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ectPr>
          <w:pgSz w:w="11900" w:h="16838" w:orient="portrait"/>
          <w:cols w:equalWidth="0" w:num="1">
            <w:col w:w="10240"/>
          </w:cols>
          <w:pgMar w:left="580" w:top="240" w:right="1079" w:bottom="1440" w:gutter="0" w:footer="0" w:header="0"/>
        </w:sectPr>
      </w:pPr>
    </w:p>
    <w:p>
      <w:pPr>
        <w:spacing w:after="0" w:line="200" w:lineRule="exact"/>
        <w:rPr>
          <w:sz w:val="24"/>
          <w:szCs w:val="24"/>
          <w:color w:val="auto"/>
        </w:rPr>
      </w:pPr>
    </w:p>
    <w:p>
      <w:pPr>
        <w:spacing w:after="0" w:line="237" w:lineRule="exact"/>
        <w:rPr>
          <w:sz w:val="24"/>
          <w:szCs w:val="24"/>
          <w:color w:val="auto"/>
        </w:rPr>
      </w:pPr>
    </w:p>
    <w:tbl>
      <w:tblPr>
        <w:tblLayout w:type="fixed"/>
        <w:tblInd w:w="440" w:type="dxa"/>
        <w:tblCellMar>
          <w:top w:w="0" w:type="dxa"/>
          <w:left w:w="0" w:type="dxa"/>
          <w:bottom w:w="0" w:type="dxa"/>
          <w:right w:w="0" w:type="dxa"/>
        </w:tblCellMar>
      </w:tblPr>
      <w:tr>
        <w:trPr>
          <w:trHeight w:val="68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Exchange</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buy these</w:t>
            </w:r>
          </w:p>
        </w:tc>
      </w:tr>
      <w:tr>
        <w:trPr>
          <w:trHeight w:val="139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U.S. Securities and</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soliciting an offer to</w:t>
            </w:r>
          </w:p>
        </w:tc>
      </w:tr>
      <w:tr>
        <w:trPr>
          <w:trHeight w:val="2769"/>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to these notes has been filed with the</w:t>
            </w:r>
          </w:p>
        </w:tc>
        <w:tc>
          <w:tcPr>
            <w:tcW w:w="320" w:type="dxa"/>
            <w:vAlign w:val="bottom"/>
            <w:textDirection w:val="btLr"/>
          </w:tcPr>
          <w:p>
            <w:pPr>
              <w:ind w:left="34"/>
              <w:spacing w:after="0"/>
              <w:rPr>
                <w:sz w:val="20"/>
                <w:szCs w:val="20"/>
                <w:color w:val="auto"/>
              </w:rPr>
            </w:pPr>
            <w:r>
              <w:rPr>
                <w:rFonts w:ascii="Arial" w:cs="Arial" w:eastAsia="Arial" w:hAnsi="Arial"/>
                <w:sz w:val="14"/>
                <w:szCs w:val="14"/>
                <w:b w:val="1"/>
                <w:bCs w:val="1"/>
                <w:color w:val="FC0014"/>
              </w:rPr>
              <w:t>offer to sell these notes and they are not</w:t>
            </w:r>
          </w:p>
        </w:tc>
      </w:tr>
      <w:tr>
        <w:trPr>
          <w:trHeight w:val="786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preliminary prospectus supplement is not complete and may be changed. A registration statement relating</w:t>
            </w:r>
          </w:p>
        </w:tc>
        <w:tc>
          <w:tcPr>
            <w:tcW w:w="320" w:type="dxa"/>
            <w:vAlign w:val="bottom"/>
            <w:textDirection w:val="btLr"/>
          </w:tcPr>
          <w:p>
            <w:pPr>
              <w:ind w:left="171"/>
              <w:spacing w:after="0"/>
              <w:rPr>
                <w:sz w:val="20"/>
                <w:szCs w:val="20"/>
                <w:color w:val="auto"/>
              </w:rPr>
            </w:pPr>
            <w:r>
              <w:rPr>
                <w:rFonts w:ascii="Arial" w:cs="Arial" w:eastAsia="Arial" w:hAnsi="Arial"/>
                <w:sz w:val="13"/>
                <w:szCs w:val="13"/>
                <w:b w:val="1"/>
                <w:bCs w:val="1"/>
                <w:color w:val="FC0014"/>
                <w:w w:val="72"/>
              </w:rPr>
              <w:t>Commission and is effective. This preliminary prospectus supplement and the accompanying prospectus are not annotesinanyjurisdictionwheretheofferorsaleisnotpermitted.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333-249838</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C0014"/>
        </w:rPr>
        <w:t>Subject to Completion, dated October 18, 2021</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194" w:lineRule="auto"/>
        <w:rPr>
          <w:sz w:val="20"/>
          <w:szCs w:val="20"/>
          <w:color w:val="auto"/>
        </w:rPr>
      </w:pPr>
      <w:r>
        <w:rPr>
          <w:rFonts w:ascii="Arial" w:cs="Arial" w:eastAsia="Arial" w:hAnsi="Arial"/>
          <w:sz w:val="18"/>
          <w:szCs w:val="18"/>
          <w:b w:val="1"/>
          <w:bCs w:val="1"/>
          <w:color w:val="auto"/>
        </w:rPr>
        <w:t>(To Prospectus dated November 4, 2020)</w:t>
      </w:r>
    </w:p>
    <w:p>
      <w:pPr>
        <w:spacing w:after="0" w:line="1" w:lineRule="exact"/>
        <w:rPr>
          <w:sz w:val="24"/>
          <w:szCs w:val="24"/>
          <w:color w:val="auto"/>
        </w:rPr>
      </w:pPr>
    </w:p>
    <w:p>
      <w:pPr>
        <w:ind w:left="4100"/>
        <w:spacing w:after="0"/>
        <w:rPr>
          <w:sz w:val="20"/>
          <w:szCs w:val="20"/>
          <w:color w:val="auto"/>
        </w:rPr>
      </w:pPr>
      <w:r>
        <w:rPr>
          <w:rFonts w:ascii="Arial" w:cs="Arial" w:eastAsia="Arial" w:hAnsi="Arial"/>
          <w:sz w:val="23"/>
          <w:szCs w:val="2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2133600</wp:posOffset>
            </wp:positionH>
            <wp:positionV relativeFrom="paragraph">
              <wp:posOffset>15875</wp:posOffset>
            </wp:positionV>
            <wp:extent cx="151701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Micron Technology, Inc.</w:t>
      </w:r>
    </w:p>
    <w:p>
      <w:pPr>
        <w:spacing w:after="0" w:line="29" w:lineRule="exact"/>
        <w:rPr>
          <w:sz w:val="24"/>
          <w:szCs w:val="24"/>
          <w:color w:val="auto"/>
        </w:rPr>
      </w:pPr>
    </w:p>
    <w:p>
      <w:pPr>
        <w:ind w:left="3960" w:hanging="261"/>
        <w:spacing w:after="0"/>
        <w:tabs>
          <w:tab w:leader="none" w:pos="3960" w:val="left"/>
        </w:tabs>
        <w:numPr>
          <w:ilvl w:val="0"/>
          <w:numId w:val="1"/>
        </w:numPr>
        <w:rPr>
          <w:rFonts w:ascii="Arial" w:cs="Arial" w:eastAsia="Arial" w:hAnsi="Arial"/>
          <w:sz w:val="22"/>
          <w:szCs w:val="22"/>
          <w:b w:val="1"/>
          <w:bCs w:val="1"/>
          <w:color w:val="00AC8C"/>
        </w:rPr>
      </w:pPr>
      <w:r>
        <w:rPr>
          <w:rFonts w:ascii="Arial" w:cs="Arial" w:eastAsia="Arial" w:hAnsi="Arial"/>
          <w:sz w:val="22"/>
          <w:szCs w:val="22"/>
          <w:b w:val="1"/>
          <w:bCs w:val="1"/>
          <w:color w:val="00AC8C"/>
        </w:rPr>
        <w:t>Senior Notes due 20</w:t>
      </w:r>
    </w:p>
    <w:p>
      <w:pPr>
        <w:spacing w:after="0" w:line="3" w:lineRule="exact"/>
        <w:rPr>
          <w:rFonts w:ascii="Arial" w:cs="Arial" w:eastAsia="Arial" w:hAnsi="Arial"/>
          <w:sz w:val="22"/>
          <w:szCs w:val="22"/>
          <w:b w:val="1"/>
          <w:bCs w:val="1"/>
          <w:color w:val="00AC8C"/>
        </w:rPr>
      </w:pPr>
    </w:p>
    <w:p>
      <w:pPr>
        <w:ind w:left="3960" w:hanging="261"/>
        <w:spacing w:after="0" w:line="230" w:lineRule="auto"/>
        <w:tabs>
          <w:tab w:leader="none" w:pos="39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Senior Notes due 20</w:t>
      </w:r>
    </w:p>
    <w:p>
      <w:pPr>
        <w:ind w:left="3960" w:hanging="261"/>
        <w:spacing w:after="0"/>
        <w:tabs>
          <w:tab w:leader="none" w:pos="39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29845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6" w:lineRule="exact"/>
        <w:rPr>
          <w:sz w:val="24"/>
          <w:szCs w:val="24"/>
          <w:color w:val="auto"/>
        </w:rPr>
      </w:pPr>
    </w:p>
    <w:p>
      <w:pPr>
        <w:ind w:left="360"/>
        <w:spacing w:after="0"/>
        <w:tabs>
          <w:tab w:leader="none" w:pos="3060" w:val="left"/>
          <w:tab w:leader="none" w:pos="5160" w:val="left"/>
          <w:tab w:leader="none" w:pos="6640" w:val="left"/>
          <w:tab w:leader="none" w:pos="8440" w:val="left"/>
        </w:tabs>
        <w:rPr>
          <w:sz w:val="20"/>
          <w:szCs w:val="20"/>
          <w:color w:val="auto"/>
        </w:rPr>
      </w:pPr>
      <w:r>
        <w:rPr>
          <w:rFonts w:ascii="Arial" w:cs="Arial" w:eastAsia="Arial" w:hAnsi="Arial"/>
          <w:sz w:val="14"/>
          <w:szCs w:val="14"/>
          <w:color w:val="auto"/>
        </w:rPr>
        <w:t>Micron Technology, Inc. is offering $</w:t>
      </w:r>
      <w:r>
        <w:rPr>
          <w:sz w:val="20"/>
          <w:szCs w:val="20"/>
          <w:color w:val="auto"/>
        </w:rPr>
        <w:tab/>
      </w:r>
      <w:r>
        <w:rPr>
          <w:rFonts w:ascii="Arial" w:cs="Arial" w:eastAsia="Arial" w:hAnsi="Arial"/>
          <w:sz w:val="14"/>
          <w:szCs w:val="14"/>
          <w:color w:val="auto"/>
        </w:rPr>
        <w:t>aggregate principal amount of</w:t>
      </w:r>
      <w:r>
        <w:rPr>
          <w:sz w:val="20"/>
          <w:szCs w:val="20"/>
          <w:color w:val="auto"/>
        </w:rPr>
        <w:tab/>
      </w:r>
      <w:r>
        <w:rPr>
          <w:rFonts w:ascii="Arial" w:cs="Arial" w:eastAsia="Arial" w:hAnsi="Arial"/>
          <w:sz w:val="14"/>
          <w:szCs w:val="14"/>
          <w:color w:val="auto"/>
        </w:rPr>
        <w:t>% senior notes due 20</w:t>
        <w:tab/>
        <w:t>(the “green bonds”), $</w:t>
      </w:r>
      <w:r>
        <w:rPr>
          <w:sz w:val="20"/>
          <w:szCs w:val="20"/>
          <w:color w:val="auto"/>
        </w:rPr>
        <w:tab/>
      </w:r>
      <w:r>
        <w:rPr>
          <w:rFonts w:ascii="Arial" w:cs="Arial" w:eastAsia="Arial" w:hAnsi="Arial"/>
          <w:sz w:val="12"/>
          <w:szCs w:val="12"/>
          <w:color w:val="auto"/>
        </w:rPr>
        <w:t>aggregate</w:t>
      </w:r>
    </w:p>
    <w:p>
      <w:pPr>
        <w:spacing w:after="0" w:line="216" w:lineRule="auto"/>
        <w:tabs>
          <w:tab w:leader="none" w:pos="1460" w:val="left"/>
          <w:tab w:leader="none" w:pos="2980" w:val="left"/>
          <w:tab w:leader="none" w:pos="3660" w:val="left"/>
          <w:tab w:leader="none" w:pos="4860" w:val="left"/>
          <w:tab w:leader="none" w:pos="6960" w:val="left"/>
          <w:tab w:leader="none" w:pos="8480" w:val="left"/>
        </w:tabs>
        <w:rPr>
          <w:sz w:val="20"/>
          <w:szCs w:val="20"/>
          <w:color w:val="auto"/>
        </w:rPr>
      </w:pPr>
      <w:r>
        <w:rPr>
          <w:rFonts w:ascii="Arial" w:cs="Arial" w:eastAsia="Arial" w:hAnsi="Arial"/>
          <w:sz w:val="14"/>
          <w:szCs w:val="14"/>
          <w:color w:val="auto"/>
        </w:rPr>
        <w:t>principal amount of</w:t>
      </w:r>
      <w:r>
        <w:rPr>
          <w:sz w:val="20"/>
          <w:szCs w:val="20"/>
          <w:color w:val="auto"/>
        </w:rPr>
        <w:tab/>
      </w:r>
      <w:r>
        <w:rPr>
          <w:rFonts w:ascii="Arial" w:cs="Arial" w:eastAsia="Arial" w:hAnsi="Arial"/>
          <w:sz w:val="14"/>
          <w:szCs w:val="14"/>
          <w:color w:val="auto"/>
        </w:rPr>
        <w:t>% senior notes due 20</w:t>
        <w:tab/>
        <w:t>(the “20</w:t>
        <w:tab/>
        <w:t>notes) and $</w:t>
      </w:r>
      <w:r>
        <w:rPr>
          <w:sz w:val="20"/>
          <w:szCs w:val="20"/>
          <w:color w:val="auto"/>
        </w:rPr>
        <w:tab/>
      </w:r>
      <w:r>
        <w:rPr>
          <w:rFonts w:ascii="Arial" w:cs="Arial" w:eastAsia="Arial" w:hAnsi="Arial"/>
          <w:sz w:val="14"/>
          <w:szCs w:val="14"/>
          <w:color w:val="auto"/>
        </w:rPr>
        <w:t>aggregate principal amount of</w:t>
      </w:r>
      <w:r>
        <w:rPr>
          <w:sz w:val="20"/>
          <w:szCs w:val="20"/>
          <w:color w:val="auto"/>
        </w:rPr>
        <w:tab/>
      </w:r>
      <w:r>
        <w:rPr>
          <w:rFonts w:ascii="Arial" w:cs="Arial" w:eastAsia="Arial" w:hAnsi="Arial"/>
          <w:sz w:val="14"/>
          <w:szCs w:val="14"/>
          <w:color w:val="auto"/>
        </w:rPr>
        <w:t>% senior notes due 20</w:t>
      </w:r>
      <w:r>
        <w:rPr>
          <w:sz w:val="20"/>
          <w:szCs w:val="20"/>
          <w:color w:val="auto"/>
        </w:rPr>
        <w:tab/>
      </w:r>
      <w:r>
        <w:rPr>
          <w:rFonts w:ascii="Arial" w:cs="Arial" w:eastAsia="Arial" w:hAnsi="Arial"/>
          <w:sz w:val="13"/>
          <w:szCs w:val="13"/>
          <w:color w:val="auto"/>
        </w:rPr>
        <w:t>(the</w:t>
      </w:r>
    </w:p>
    <w:p>
      <w:pPr>
        <w:ind w:right="460"/>
        <w:spacing w:after="0" w:line="221" w:lineRule="auto"/>
        <w:rPr>
          <w:sz w:val="20"/>
          <w:szCs w:val="20"/>
          <w:color w:val="auto"/>
        </w:rPr>
      </w:pPr>
      <w:r>
        <w:rPr>
          <w:rFonts w:ascii="Arial" w:cs="Arial" w:eastAsia="Arial" w:hAnsi="Arial"/>
          <w:sz w:val="14"/>
          <w:szCs w:val="14"/>
          <w:color w:val="auto"/>
        </w:rPr>
        <w:t>“20 notes” and, together with the green bonds and the 20 notes, the “notes”). The green bonds, the 20 notes and the 20 notes are each referred to herein as a series of notes.</w:t>
      </w:r>
    </w:p>
    <w:p>
      <w:pPr>
        <w:ind w:left="360"/>
        <w:spacing w:after="0" w:line="217" w:lineRule="auto"/>
        <w:tabs>
          <w:tab w:leader="none" w:pos="3500" w:val="left"/>
          <w:tab w:leader="none" w:pos="4780" w:val="left"/>
          <w:tab w:leader="none" w:pos="7260" w:val="left"/>
        </w:tabs>
        <w:rPr>
          <w:sz w:val="20"/>
          <w:szCs w:val="20"/>
          <w:color w:val="auto"/>
        </w:rPr>
      </w:pPr>
      <w:r>
        <w:rPr>
          <w:rFonts w:ascii="Arial" w:cs="Arial" w:eastAsia="Arial" w:hAnsi="Arial"/>
          <w:sz w:val="14"/>
          <w:szCs w:val="14"/>
          <w:color w:val="auto"/>
        </w:rPr>
        <w:t>The green bonds will bear interest at the rate of</w:t>
      </w:r>
      <w:r>
        <w:rPr>
          <w:sz w:val="20"/>
          <w:szCs w:val="20"/>
          <w:color w:val="auto"/>
        </w:rPr>
        <w:tab/>
      </w:r>
      <w:r>
        <w:rPr>
          <w:rFonts w:ascii="Arial" w:cs="Arial" w:eastAsia="Arial" w:hAnsi="Arial"/>
          <w:sz w:val="14"/>
          <w:szCs w:val="14"/>
          <w:color w:val="auto"/>
        </w:rPr>
        <w:t>% per year, the 20</w:t>
        <w:tab/>
        <w:t>notes will bear interest at the rate of</w:t>
      </w:r>
      <w:r>
        <w:rPr>
          <w:sz w:val="20"/>
          <w:szCs w:val="20"/>
          <w:color w:val="auto"/>
        </w:rPr>
        <w:tab/>
      </w:r>
      <w:r>
        <w:rPr>
          <w:rFonts w:ascii="Arial" w:cs="Arial" w:eastAsia="Arial" w:hAnsi="Arial"/>
          <w:sz w:val="13"/>
          <w:szCs w:val="13"/>
          <w:color w:val="auto"/>
        </w:rPr>
        <w:t>% per year and the 20</w:t>
      </w:r>
    </w:p>
    <w:p>
      <w:pPr>
        <w:spacing w:after="0"/>
        <w:tabs>
          <w:tab w:leader="none" w:pos="2500" w:val="left"/>
          <w:tab w:leader="none" w:pos="8560" w:val="left"/>
        </w:tabs>
        <w:rPr>
          <w:sz w:val="20"/>
          <w:szCs w:val="20"/>
          <w:color w:val="auto"/>
        </w:rPr>
      </w:pPr>
      <w:r>
        <w:rPr>
          <w:rFonts w:ascii="Arial" w:cs="Arial" w:eastAsia="Arial" w:hAnsi="Arial"/>
          <w:sz w:val="14"/>
          <w:szCs w:val="14"/>
          <w:color w:val="auto"/>
        </w:rPr>
        <w:t>notes will bear interest at the rate of</w:t>
      </w:r>
      <w:r>
        <w:rPr>
          <w:sz w:val="20"/>
          <w:szCs w:val="20"/>
          <w:color w:val="auto"/>
        </w:rPr>
        <w:tab/>
      </w:r>
      <w:r>
        <w:rPr>
          <w:rFonts w:ascii="Arial" w:cs="Arial" w:eastAsia="Arial" w:hAnsi="Arial"/>
          <w:sz w:val="14"/>
          <w:szCs w:val="14"/>
          <w:color w:val="auto"/>
        </w:rPr>
        <w:t>% per year. Interest will be payable semi-annually in arrears on and of each year, beginning</w:t>
      </w:r>
      <w:r>
        <w:rPr>
          <w:sz w:val="20"/>
          <w:szCs w:val="20"/>
          <w:color w:val="auto"/>
        </w:rPr>
        <w:tab/>
      </w:r>
      <w:r>
        <w:rPr>
          <w:rFonts w:ascii="Arial" w:cs="Arial" w:eastAsia="Arial" w:hAnsi="Arial"/>
          <w:sz w:val="13"/>
          <w:szCs w:val="13"/>
          <w:color w:val="auto"/>
        </w:rPr>
        <w:t>, 2022.</w:t>
      </w:r>
    </w:p>
    <w:p>
      <w:pPr>
        <w:ind w:left="360"/>
        <w:spacing w:after="0"/>
        <w:tabs>
          <w:tab w:leader="none" w:pos="3040" w:val="left"/>
          <w:tab w:leader="none" w:pos="3420" w:val="left"/>
          <w:tab w:leader="none" w:pos="4060" w:val="left"/>
          <w:tab w:leader="none" w:pos="6080" w:val="left"/>
          <w:tab w:leader="none" w:pos="6460" w:val="left"/>
          <w:tab w:leader="none" w:pos="7280" w:val="left"/>
        </w:tabs>
        <w:rPr>
          <w:sz w:val="20"/>
          <w:szCs w:val="20"/>
          <w:color w:val="auto"/>
        </w:rPr>
      </w:pPr>
      <w:r>
        <w:rPr>
          <w:rFonts w:ascii="Arial" w:cs="Arial" w:eastAsia="Arial" w:hAnsi="Arial"/>
          <w:sz w:val="14"/>
          <w:szCs w:val="14"/>
          <w:color w:val="auto"/>
        </w:rPr>
        <w:t>The green bonds will mature on</w:t>
      </w:r>
      <w:r>
        <w:rPr>
          <w:sz w:val="20"/>
          <w:szCs w:val="20"/>
          <w:color w:val="auto"/>
        </w:rPr>
        <w:tab/>
      </w:r>
      <w:r>
        <w:rPr>
          <w:rFonts w:ascii="Arial" w:cs="Arial" w:eastAsia="Arial" w:hAnsi="Arial"/>
          <w:sz w:val="14"/>
          <w:szCs w:val="14"/>
          <w:color w:val="auto"/>
        </w:rPr>
        <w:t>, 20</w:t>
        <w:tab/>
        <w:t>, the 20</w:t>
        <w:tab/>
        <w:t>notes will mature on</w:t>
      </w:r>
      <w:r>
        <w:rPr>
          <w:sz w:val="20"/>
          <w:szCs w:val="20"/>
          <w:color w:val="auto"/>
        </w:rPr>
        <w:tab/>
      </w:r>
      <w:r>
        <w:rPr>
          <w:rFonts w:ascii="Arial" w:cs="Arial" w:eastAsia="Arial" w:hAnsi="Arial"/>
          <w:sz w:val="14"/>
          <w:szCs w:val="14"/>
          <w:color w:val="auto"/>
        </w:rPr>
        <w:t>, 20</w:t>
        <w:tab/>
        <w:t>and the 20</w:t>
      </w:r>
      <w:r>
        <w:rPr>
          <w:sz w:val="20"/>
          <w:szCs w:val="20"/>
          <w:color w:val="auto"/>
        </w:rPr>
        <w:tab/>
      </w:r>
      <w:r>
        <w:rPr>
          <w:rFonts w:ascii="Arial" w:cs="Arial" w:eastAsia="Arial" w:hAnsi="Arial"/>
          <w:sz w:val="13"/>
          <w:szCs w:val="13"/>
          <w:color w:val="auto"/>
        </w:rPr>
        <w:t>notes will mature on</w:t>
      </w:r>
    </w:p>
    <w:p>
      <w:pPr>
        <w:ind w:left="600"/>
        <w:spacing w:after="0"/>
        <w:tabs>
          <w:tab w:leader="none" w:pos="1000" w:val="left"/>
        </w:tabs>
        <w:rPr>
          <w:sz w:val="20"/>
          <w:szCs w:val="20"/>
          <w:color w:val="auto"/>
        </w:rPr>
      </w:pPr>
      <w:r>
        <w:rPr>
          <w:rFonts w:ascii="Arial" w:cs="Arial" w:eastAsia="Arial" w:hAnsi="Arial"/>
          <w:sz w:val="14"/>
          <w:szCs w:val="14"/>
          <w:color w:val="auto"/>
        </w:rPr>
        <w:t>, 20</w:t>
        <w:tab/>
        <w:t>.</w:t>
      </w:r>
    </w:p>
    <w:p>
      <w:pPr>
        <w:spacing w:after="0" w:line="9" w:lineRule="exact"/>
        <w:rPr>
          <w:sz w:val="24"/>
          <w:szCs w:val="24"/>
          <w:color w:val="auto"/>
        </w:rPr>
      </w:pPr>
    </w:p>
    <w:p>
      <w:pPr>
        <w:ind w:right="60" w:firstLine="360"/>
        <w:spacing w:after="0" w:line="219" w:lineRule="auto"/>
        <w:rPr>
          <w:sz w:val="20"/>
          <w:szCs w:val="20"/>
          <w:color w:val="auto"/>
        </w:rPr>
      </w:pPr>
      <w:r>
        <w:rPr>
          <w:rFonts w:ascii="Arial" w:cs="Arial" w:eastAsia="Arial" w:hAnsi="Arial"/>
          <w:sz w:val="13"/>
          <w:szCs w:val="13"/>
          <w:color w:val="auto"/>
        </w:rPr>
        <w:t>We may redeem some or all of the notes, at any time or from time to time, at a redemption price equal to the greater of (i) 100% of the principal amount of the notes to be redeemed and (ii) a make-whole amount (as described in the section entitled “Description of the Notes — Optional Redemption”), plus accrued and unpaid interest thereon to, but excluding, the redemption date. In addition, we may redeem the green bonds, in whole</w:t>
      </w:r>
    </w:p>
    <w:p>
      <w:pPr>
        <w:spacing w:after="0" w:line="202" w:lineRule="auto"/>
        <w:tabs>
          <w:tab w:leader="none" w:pos="3260" w:val="left"/>
          <w:tab w:leader="none" w:pos="3620" w:val="left"/>
          <w:tab w:leader="none" w:pos="4240" w:val="left"/>
          <w:tab w:leader="none" w:pos="8460" w:val="left"/>
          <w:tab w:leader="none" w:pos="8840" w:val="left"/>
        </w:tabs>
        <w:rPr>
          <w:sz w:val="20"/>
          <w:szCs w:val="20"/>
          <w:color w:val="auto"/>
        </w:rPr>
      </w:pPr>
      <w:r>
        <w:rPr>
          <w:rFonts w:ascii="Arial" w:cs="Arial" w:eastAsia="Arial" w:hAnsi="Arial"/>
          <w:sz w:val="14"/>
          <w:szCs w:val="14"/>
          <w:color w:val="auto"/>
        </w:rPr>
        <w:t>or in part, at any time from or after</w:t>
      </w:r>
      <w:r>
        <w:rPr>
          <w:sz w:val="20"/>
          <w:szCs w:val="20"/>
          <w:color w:val="auto"/>
        </w:rPr>
        <w:tab/>
      </w:r>
      <w:r>
        <w:rPr>
          <w:rFonts w:ascii="Arial" w:cs="Arial" w:eastAsia="Arial" w:hAnsi="Arial"/>
          <w:sz w:val="14"/>
          <w:szCs w:val="14"/>
          <w:color w:val="auto"/>
        </w:rPr>
        <w:t>, 20</w:t>
        <w:tab/>
        <w:t>, the 20</w:t>
        <w:tab/>
        <w:t>notes, in whole or in part, at any time from or after</w:t>
      </w:r>
      <w:r>
        <w:rPr>
          <w:sz w:val="20"/>
          <w:szCs w:val="20"/>
          <w:color w:val="auto"/>
        </w:rPr>
        <w:tab/>
      </w:r>
      <w:r>
        <w:rPr>
          <w:rFonts w:ascii="Arial" w:cs="Arial" w:eastAsia="Arial" w:hAnsi="Arial"/>
          <w:sz w:val="14"/>
          <w:szCs w:val="14"/>
          <w:color w:val="auto"/>
        </w:rPr>
        <w:t>, 20</w:t>
        <w:tab/>
        <w:t>,</w:t>
      </w:r>
    </w:p>
    <w:p>
      <w:pPr>
        <w:spacing w:after="0" w:line="217" w:lineRule="auto"/>
        <w:tabs>
          <w:tab w:leader="none" w:pos="760" w:val="left"/>
          <w:tab w:leader="none" w:pos="4980" w:val="left"/>
          <w:tab w:leader="none" w:pos="5360" w:val="left"/>
        </w:tabs>
        <w:rPr>
          <w:sz w:val="20"/>
          <w:szCs w:val="20"/>
          <w:color w:val="auto"/>
        </w:rPr>
      </w:pPr>
      <w:r>
        <w:rPr>
          <w:rFonts w:ascii="Arial" w:cs="Arial" w:eastAsia="Arial" w:hAnsi="Arial"/>
          <w:sz w:val="14"/>
          <w:szCs w:val="14"/>
          <w:color w:val="auto"/>
        </w:rPr>
        <w:t>and the 20</w:t>
        <w:tab/>
        <w:t>notes, in whole or in part, at any time from or after</w:t>
      </w:r>
      <w:r>
        <w:rPr>
          <w:sz w:val="20"/>
          <w:szCs w:val="20"/>
          <w:color w:val="auto"/>
        </w:rPr>
        <w:tab/>
      </w:r>
      <w:r>
        <w:rPr>
          <w:rFonts w:ascii="Arial" w:cs="Arial" w:eastAsia="Arial" w:hAnsi="Arial"/>
          <w:sz w:val="14"/>
          <w:szCs w:val="14"/>
          <w:color w:val="auto"/>
        </w:rPr>
        <w:t>, 20</w:t>
      </w:r>
      <w:r>
        <w:rPr>
          <w:sz w:val="20"/>
          <w:szCs w:val="20"/>
          <w:color w:val="auto"/>
        </w:rPr>
        <w:tab/>
      </w:r>
      <w:r>
        <w:rPr>
          <w:rFonts w:ascii="Arial" w:cs="Arial" w:eastAsia="Arial" w:hAnsi="Arial"/>
          <w:sz w:val="13"/>
          <w:szCs w:val="13"/>
          <w:color w:val="auto"/>
        </w:rPr>
        <w:t>, in each case, at a redemption price equal to 100% of the</w:t>
      </w:r>
    </w:p>
    <w:p>
      <w:pPr>
        <w:ind w:right="40"/>
        <w:spacing w:after="0" w:line="209" w:lineRule="auto"/>
        <w:rPr>
          <w:sz w:val="20"/>
          <w:szCs w:val="20"/>
          <w:color w:val="auto"/>
        </w:rPr>
      </w:pPr>
      <w:r>
        <w:rPr>
          <w:rFonts w:ascii="Arial" w:cs="Arial" w:eastAsia="Arial" w:hAnsi="Arial"/>
          <w:sz w:val="14"/>
          <w:szCs w:val="14"/>
          <w:color w:val="auto"/>
        </w:rPr>
        <w:t>principal amount of the notes to be redeemed, plus accrued and unpaid interest thereon to, but excluding, the redemption date. See “Description of the Notes — Optional Redemption” in this prospectus supplement for more information. We will be required to make an offer to purchase each series of the notes, at a price equal to 101% of their principal amount, plus accrued and unpaid interest to, but excluding, the date of purchase, upon the occurrence of a Change of Control Triggering Event (as defined herein). See the section entitled “Description of the Notes — Repurchase of Notes Upon a Change of Control Triggering Event” for more information.</w:t>
      </w:r>
    </w:p>
    <w:p>
      <w:pPr>
        <w:spacing w:after="0" w:line="1" w:lineRule="exact"/>
        <w:rPr>
          <w:sz w:val="24"/>
          <w:szCs w:val="24"/>
          <w:color w:val="auto"/>
        </w:rPr>
      </w:pPr>
    </w:p>
    <w:p>
      <w:pPr>
        <w:ind w:right="80" w:firstLine="360"/>
        <w:spacing w:after="0" w:line="227" w:lineRule="auto"/>
        <w:rPr>
          <w:sz w:val="20"/>
          <w:szCs w:val="20"/>
          <w:color w:val="auto"/>
        </w:rPr>
      </w:pPr>
      <w:r>
        <w:rPr>
          <w:rFonts w:ascii="Arial" w:cs="Arial" w:eastAsia="Arial" w:hAnsi="Arial"/>
          <w:sz w:val="14"/>
          <w:szCs w:val="14"/>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25400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8" w:lineRule="exact"/>
        <w:rPr>
          <w:sz w:val="24"/>
          <w:szCs w:val="24"/>
          <w:color w:val="auto"/>
        </w:rPr>
      </w:pPr>
    </w:p>
    <w:p>
      <w:pPr>
        <w:ind w:right="640" w:firstLine="360"/>
        <w:spacing w:after="0" w:line="239" w:lineRule="auto"/>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Investing in the notes involves risks. See “Risk Factors” beginning on page </w:t>
      </w:r>
      <w:hyperlink w:anchor="page9">
        <w:r>
          <w:rPr>
            <w:rFonts w:ascii="Arial" w:cs="Arial" w:eastAsia="Arial" w:hAnsi="Arial"/>
            <w:sz w:val="14"/>
            <w:szCs w:val="14"/>
            <w:b w:val="1"/>
            <w:bCs w:val="1"/>
            <w:u w:val="single" w:color="auto"/>
            <w:color w:val="0000EE"/>
          </w:rPr>
          <w:t>S-6</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for a discussion of certain risks that should be considered in connection with an investment in the notes.</w:t>
      </w:r>
    </w:p>
    <w:p>
      <w:pPr>
        <w:spacing w:after="0" w:line="1" w:lineRule="exact"/>
        <w:rPr>
          <w:sz w:val="24"/>
          <w:szCs w:val="24"/>
          <w:color w:val="auto"/>
        </w:rPr>
      </w:pPr>
    </w:p>
    <w:p>
      <w:pPr>
        <w:ind w:right="40" w:firstLine="360"/>
        <w:spacing w:after="0" w:line="300" w:lineRule="auto"/>
        <w:rPr>
          <w:sz w:val="20"/>
          <w:szCs w:val="20"/>
          <w:color w:val="auto"/>
        </w:rPr>
      </w:pPr>
      <w:r>
        <w:rPr>
          <w:rFonts w:ascii="Arial" w:cs="Arial" w:eastAsia="Arial" w:hAnsi="Arial"/>
          <w:sz w:val="12"/>
          <w:szCs w:val="12"/>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3175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Public offering</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Underwriting</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w w:val="90"/>
              </w:rPr>
              <w:t>Proceeds to us,</w:t>
            </w:r>
          </w:p>
        </w:tc>
      </w:tr>
      <w:tr>
        <w:trPr>
          <w:trHeight w:val="185"/>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gridSpan w:val="2"/>
          </w:tcPr>
          <w:p>
            <w:pPr>
              <w:ind w:left="260"/>
              <w:spacing w:after="0" w:line="185" w:lineRule="exact"/>
              <w:rPr>
                <w:sz w:val="20"/>
                <w:szCs w:val="20"/>
                <w:color w:val="auto"/>
              </w:rPr>
            </w:pPr>
            <w:r>
              <w:rPr>
                <w:rFonts w:ascii="Arial" w:cs="Arial" w:eastAsia="Arial" w:hAnsi="Arial"/>
                <w:sz w:val="14"/>
                <w:szCs w:val="14"/>
                <w:b w:val="1"/>
                <w:bCs w:val="1"/>
                <w:color w:val="auto"/>
              </w:rPr>
              <w:t>price</w:t>
            </w:r>
            <w:r>
              <w:rPr>
                <w:rFonts w:ascii="Arial" w:cs="Arial" w:eastAsia="Arial" w:hAnsi="Arial"/>
                <w:sz w:val="17"/>
                <w:szCs w:val="17"/>
                <w:b w:val="1"/>
                <w:bCs w:val="1"/>
                <w:color w:val="auto"/>
                <w:vertAlign w:val="superscript"/>
              </w:rPr>
              <w:t>(1)</w:t>
            </w:r>
          </w:p>
        </w:tc>
        <w:tc>
          <w:tcPr>
            <w:tcW w:w="1060" w:type="dxa"/>
            <w:vAlign w:val="bottom"/>
            <w:gridSpan w:val="2"/>
          </w:tcPr>
          <w:p>
            <w:pPr>
              <w:jc w:val="right"/>
              <w:ind w:right="340"/>
              <w:spacing w:after="0" w:line="185" w:lineRule="exact"/>
              <w:rPr>
                <w:sz w:val="20"/>
                <w:szCs w:val="20"/>
                <w:color w:val="auto"/>
              </w:rPr>
            </w:pPr>
            <w:r>
              <w:rPr>
                <w:rFonts w:ascii="Arial" w:cs="Arial" w:eastAsia="Arial" w:hAnsi="Arial"/>
                <w:sz w:val="14"/>
                <w:szCs w:val="14"/>
                <w:b w:val="1"/>
                <w:bCs w:val="1"/>
                <w:color w:val="auto"/>
                <w:w w:val="96"/>
              </w:rPr>
              <w:t>discount</w:t>
            </w:r>
            <w:r>
              <w:rPr>
                <w:rFonts w:ascii="Arial" w:cs="Arial" w:eastAsia="Arial" w:hAnsi="Arial"/>
                <w:sz w:val="17"/>
                <w:szCs w:val="17"/>
                <w:b w:val="1"/>
                <w:bCs w:val="1"/>
                <w:color w:val="auto"/>
                <w:w w:val="96"/>
                <w:vertAlign w:val="superscript"/>
              </w:rPr>
              <w:t>(2)</w:t>
            </w:r>
          </w:p>
        </w:tc>
        <w:tc>
          <w:tcPr>
            <w:tcW w:w="1080" w:type="dxa"/>
            <w:vAlign w:val="bottom"/>
          </w:tcPr>
          <w:p>
            <w:pPr>
              <w:jc w:val="right"/>
              <w:spacing w:after="0" w:line="185" w:lineRule="exact"/>
              <w:rPr>
                <w:sz w:val="20"/>
                <w:szCs w:val="20"/>
                <w:color w:val="auto"/>
              </w:rPr>
            </w:pPr>
            <w:r>
              <w:rPr>
                <w:rFonts w:ascii="Arial" w:cs="Arial" w:eastAsia="Arial" w:hAnsi="Arial"/>
                <w:sz w:val="14"/>
                <w:szCs w:val="14"/>
                <w:b w:val="1"/>
                <w:bCs w:val="1"/>
                <w:color w:val="auto"/>
                <w:w w:val="83"/>
              </w:rPr>
              <w:t>before expenses</w:t>
            </w:r>
            <w:r>
              <w:rPr>
                <w:rFonts w:ascii="Arial" w:cs="Arial" w:eastAsia="Arial" w:hAnsi="Arial"/>
                <w:sz w:val="17"/>
                <w:szCs w:val="17"/>
                <w:b w:val="1"/>
                <w:bCs w:val="1"/>
                <w:color w:val="auto"/>
                <w:w w:val="83"/>
                <w:vertAlign w:val="superscript"/>
              </w:rPr>
              <w:t>(1)</w:t>
            </w:r>
          </w:p>
        </w:tc>
      </w:tr>
      <w:tr>
        <w:trPr>
          <w:trHeight w:val="142"/>
        </w:trPr>
        <w:tc>
          <w:tcPr>
            <w:tcW w:w="2640" w:type="dxa"/>
            <w:vAlign w:val="bottom"/>
            <w:tcBorders>
              <w:top w:val="single" w:sz="8" w:color="CCEEFF"/>
            </w:tcBorders>
            <w:gridSpan w:val="4"/>
            <w:shd w:val="clear" w:color="auto" w:fill="CCEEFF"/>
          </w:tcPr>
          <w:p>
            <w:pPr>
              <w:spacing w:after="0" w:line="142" w:lineRule="exact"/>
              <w:rPr>
                <w:sz w:val="20"/>
                <w:szCs w:val="20"/>
                <w:color w:val="auto"/>
              </w:rPr>
            </w:pPr>
            <w:r>
              <w:rPr>
                <w:rFonts w:ascii="Arial" w:cs="Arial" w:eastAsia="Arial" w:hAnsi="Arial"/>
                <w:sz w:val="14"/>
                <w:szCs w:val="14"/>
                <w:color w:val="auto"/>
              </w:rPr>
              <w:t>Per Green Bond</w:t>
            </w:r>
          </w:p>
        </w:tc>
        <w:tc>
          <w:tcPr>
            <w:tcW w:w="3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r>
      <w:tr>
        <w:trPr>
          <w:trHeight w:val="148"/>
        </w:trPr>
        <w:tc>
          <w:tcPr>
            <w:tcW w:w="2640" w:type="dxa"/>
            <w:vAlign w:val="bottom"/>
            <w:gridSpan w:val="4"/>
          </w:tcPr>
          <w:p>
            <w:pPr>
              <w:spacing w:after="0" w:line="149" w:lineRule="exact"/>
              <w:rPr>
                <w:sz w:val="20"/>
                <w:szCs w:val="20"/>
                <w:color w:val="auto"/>
              </w:rPr>
            </w:pPr>
            <w:r>
              <w:rPr>
                <w:rFonts w:ascii="Arial" w:cs="Arial" w:eastAsia="Arial" w:hAnsi="Arial"/>
                <w:sz w:val="14"/>
                <w:szCs w:val="14"/>
                <w:color w:val="auto"/>
              </w:rPr>
              <w:t>Green Bonds Total</w:t>
            </w:r>
          </w:p>
        </w:tc>
        <w:tc>
          <w:tcPr>
            <w:tcW w:w="4080" w:type="dxa"/>
            <w:vAlign w:val="bottom"/>
            <w:gridSpan w:val="2"/>
          </w:tcPr>
          <w:p>
            <w:pPr>
              <w:ind w:left="3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 20</w:t>
            </w:r>
          </w:p>
        </w:tc>
        <w:tc>
          <w:tcPr>
            <w:tcW w:w="21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Note</w:t>
            </w:r>
          </w:p>
        </w:tc>
        <w:tc>
          <w:tcPr>
            <w:tcW w:w="4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r>
      <w:tr>
        <w:trPr>
          <w:trHeight w:val="148"/>
        </w:trPr>
        <w:tc>
          <w:tcPr>
            <w:tcW w:w="320" w:type="dxa"/>
            <w:vAlign w:val="bottom"/>
          </w:tcPr>
          <w:p>
            <w:pPr>
              <w:spacing w:after="0" w:line="149" w:lineRule="exact"/>
              <w:rPr>
                <w:sz w:val="20"/>
                <w:szCs w:val="20"/>
                <w:color w:val="auto"/>
              </w:rPr>
            </w:pPr>
            <w:r>
              <w:rPr>
                <w:rFonts w:ascii="Arial" w:cs="Arial" w:eastAsia="Arial" w:hAnsi="Arial"/>
                <w:sz w:val="14"/>
                <w:szCs w:val="14"/>
                <w:color w:val="auto"/>
              </w:rPr>
              <w:t>20</w:t>
            </w:r>
          </w:p>
        </w:tc>
        <w:tc>
          <w:tcPr>
            <w:tcW w:w="2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w:t>
            </w:r>
          </w:p>
        </w:tc>
        <w:tc>
          <w:tcPr>
            <w:tcW w:w="4080" w:type="dxa"/>
            <w:vAlign w:val="bottom"/>
            <w:gridSpan w:val="2"/>
          </w:tcPr>
          <w:p>
            <w:pPr>
              <w:ind w:left="3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 20</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Note</w:t>
            </w:r>
          </w:p>
        </w:tc>
        <w:tc>
          <w:tcPr>
            <w:tcW w:w="4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r>
      <w:tr>
        <w:trPr>
          <w:trHeight w:val="149"/>
        </w:trPr>
        <w:tc>
          <w:tcPr>
            <w:tcW w:w="320" w:type="dxa"/>
            <w:vAlign w:val="bottom"/>
          </w:tcPr>
          <w:p>
            <w:pPr>
              <w:spacing w:after="0" w:line="149" w:lineRule="exact"/>
              <w:rPr>
                <w:sz w:val="20"/>
                <w:szCs w:val="20"/>
                <w:color w:val="auto"/>
              </w:rPr>
            </w:pPr>
            <w:r>
              <w:rPr>
                <w:rFonts w:ascii="Arial" w:cs="Arial" w:eastAsia="Arial" w:hAnsi="Arial"/>
                <w:sz w:val="14"/>
                <w:szCs w:val="14"/>
                <w:color w:val="auto"/>
              </w:rPr>
              <w:t>20</w:t>
            </w:r>
          </w:p>
        </w:tc>
        <w:tc>
          <w:tcPr>
            <w:tcW w:w="2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w:t>
            </w:r>
          </w:p>
        </w:tc>
        <w:tc>
          <w:tcPr>
            <w:tcW w:w="4080" w:type="dxa"/>
            <w:vAlign w:val="bottom"/>
            <w:gridSpan w:val="2"/>
          </w:tcPr>
          <w:p>
            <w:pPr>
              <w:ind w:left="3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r>
      <w:tr>
        <w:trPr>
          <w:trHeight w:val="162"/>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w w:val="96"/>
              </w:rPr>
              <w:t>Total</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80" w:type="dxa"/>
            <w:vAlign w:val="bottom"/>
            <w:gridSpan w:val="2"/>
            <w:shd w:val="clear" w:color="auto" w:fill="CCEEFF"/>
          </w:tcPr>
          <w:p>
            <w:pPr>
              <w:ind w:left="34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r>
      <w:tr>
        <w:trPr>
          <w:trHeight w:val="203"/>
        </w:trPr>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spacing w:after="0"/>
              <w:rPr>
                <w:sz w:val="17"/>
                <w:szCs w:val="17"/>
                <w:color w:val="auto"/>
              </w:rPr>
            </w:pPr>
          </w:p>
        </w:tc>
        <w:tc>
          <w:tcPr>
            <w:tcW w:w="7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320" w:type="dxa"/>
            <w:vAlign w:val="bottom"/>
          </w:tcPr>
          <w:p>
            <w:pPr>
              <w:spacing w:after="0"/>
              <w:rPr>
                <w:sz w:val="20"/>
                <w:szCs w:val="20"/>
                <w:color w:val="auto"/>
              </w:rPr>
            </w:pPr>
            <w:r>
              <w:rPr>
                <w:rFonts w:ascii="Arial" w:cs="Arial" w:eastAsia="Arial" w:hAnsi="Arial"/>
                <w:sz w:val="11"/>
                <w:szCs w:val="11"/>
                <w:color w:val="auto"/>
              </w:rPr>
              <w:t>(1)</w:t>
            </w:r>
          </w:p>
        </w:tc>
        <w:tc>
          <w:tcPr>
            <w:tcW w:w="2320" w:type="dxa"/>
            <w:vAlign w:val="bottom"/>
            <w:gridSpan w:val="3"/>
          </w:tcPr>
          <w:p>
            <w:pPr>
              <w:ind w:left="40"/>
              <w:spacing w:after="0"/>
              <w:rPr>
                <w:sz w:val="20"/>
                <w:szCs w:val="20"/>
                <w:color w:val="auto"/>
              </w:rPr>
            </w:pPr>
            <w:r>
              <w:rPr>
                <w:rFonts w:ascii="Arial" w:cs="Arial" w:eastAsia="Arial" w:hAnsi="Arial"/>
                <w:sz w:val="14"/>
                <w:szCs w:val="14"/>
                <w:color w:val="auto"/>
              </w:rPr>
              <w:t>Plus accrued interest, if any, from</w:t>
            </w:r>
          </w:p>
        </w:tc>
        <w:tc>
          <w:tcPr>
            <w:tcW w:w="3160" w:type="dxa"/>
            <w:vAlign w:val="bottom"/>
          </w:tcPr>
          <w:p>
            <w:pPr>
              <w:jc w:val="right"/>
              <w:ind w:right="2428"/>
              <w:spacing w:after="0"/>
              <w:rPr>
                <w:sz w:val="20"/>
                <w:szCs w:val="20"/>
                <w:color w:val="auto"/>
              </w:rPr>
            </w:pPr>
            <w:r>
              <w:rPr>
                <w:rFonts w:ascii="Arial" w:cs="Arial" w:eastAsia="Arial" w:hAnsi="Arial"/>
                <w:sz w:val="14"/>
                <w:szCs w:val="14"/>
                <w:color w:val="auto"/>
              </w:rPr>
              <w:t>, 2021.</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-960755</wp:posOffset>
            </wp:positionV>
            <wp:extent cx="5083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83175" cy="8890"/>
                    </a:xfrm>
                    <a:prstGeom prst="rect">
                      <a:avLst/>
                    </a:prstGeom>
                    <a:noFill/>
                  </pic:spPr>
                </pic:pic>
              </a:graphicData>
            </a:graphic>
          </wp:anchor>
        </w:drawing>
      </w:r>
    </w:p>
    <w:p>
      <w:pPr>
        <w:ind w:left="360" w:hanging="360"/>
        <w:spacing w:after="0" w:line="192" w:lineRule="auto"/>
        <w:tabs>
          <w:tab w:leader="none" w:pos="36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The underwriters have agreed to reimburse us for certain expenses in connection with the offering. See “Underwriting (Conflicts of Interest).”</w:t>
      </w:r>
    </w:p>
    <w:p>
      <w:pPr>
        <w:spacing w:after="0" w:line="19" w:lineRule="exact"/>
        <w:rPr>
          <w:sz w:val="24"/>
          <w:szCs w:val="24"/>
          <w:color w:val="auto"/>
        </w:rPr>
      </w:pPr>
    </w:p>
    <w:p>
      <w:pPr>
        <w:ind w:right="60" w:firstLine="360"/>
        <w:spacing w:after="0" w:line="214" w:lineRule="auto"/>
        <w:rPr>
          <w:sz w:val="20"/>
          <w:szCs w:val="20"/>
          <w:color w:val="auto"/>
        </w:rPr>
      </w:pPr>
      <w:r>
        <w:rPr>
          <w:rFonts w:ascii="Arial" w:cs="Arial" w:eastAsia="Arial" w:hAnsi="Arial"/>
          <w:sz w:val="14"/>
          <w:szCs w:val="14"/>
          <w:color w:val="auto"/>
        </w:rPr>
        <w:t>Interest on the notes will accrue from , 2021. The notes will be issued in registered, book -entry form only without interest coupons, in minimum denominations of $2,000 and integral multiples of $1,000 in excess thereof. The notes will not be listed on any securities exchange. Currently there is no public market for the notes.</w:t>
      </w:r>
    </w:p>
    <w:p>
      <w:pPr>
        <w:ind w:left="360"/>
        <w:spacing w:after="0" w:line="193" w:lineRule="auto"/>
        <w:rPr>
          <w:sz w:val="20"/>
          <w:szCs w:val="20"/>
          <w:color w:val="auto"/>
        </w:rPr>
      </w:pPr>
      <w:r>
        <w:rPr>
          <w:rFonts w:ascii="Arial" w:cs="Arial" w:eastAsia="Arial" w:hAnsi="Arial"/>
          <w:sz w:val="14"/>
          <w:szCs w:val="14"/>
          <w:color w:val="auto"/>
        </w:rPr>
        <w:t>The underwriters expect to deliver the notes to purchasers through the book-entry delivery system of The Depository Trust Company and its</w:t>
      </w:r>
    </w:p>
    <w:p>
      <w:pPr>
        <w:spacing w:after="0" w:line="180" w:lineRule="auto"/>
        <w:tabs>
          <w:tab w:leader="none" w:pos="6080" w:val="left"/>
        </w:tabs>
        <w:rPr>
          <w:sz w:val="20"/>
          <w:szCs w:val="20"/>
          <w:color w:val="auto"/>
        </w:rPr>
      </w:pPr>
      <w:r>
        <w:rPr>
          <w:rFonts w:ascii="Arial" w:cs="Arial" w:eastAsia="Arial" w:hAnsi="Arial"/>
          <w:sz w:val="14"/>
          <w:szCs w:val="14"/>
          <w:color w:val="auto"/>
        </w:rPr>
        <w:t>participants, including Euroclear Bank S.A./N.V and Clearstream Banking, S.A., on or about</w:t>
      </w:r>
      <w:r>
        <w:rPr>
          <w:sz w:val="20"/>
          <w:szCs w:val="20"/>
          <w:color w:val="auto"/>
        </w:rPr>
        <w:tab/>
      </w:r>
      <w:r>
        <w:rPr>
          <w:rFonts w:ascii="Arial" w:cs="Arial" w:eastAsia="Arial" w:hAnsi="Arial"/>
          <w:sz w:val="13"/>
          <w:szCs w:val="13"/>
          <w:color w:val="auto"/>
        </w:rPr>
        <w:t>, 2021, which will be the 10</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business day from</w:t>
      </w:r>
    </w:p>
    <w:p>
      <w:pPr>
        <w:spacing w:after="0"/>
        <w:rPr>
          <w:sz w:val="20"/>
          <w:szCs w:val="20"/>
          <w:color w:val="auto"/>
        </w:rPr>
      </w:pPr>
      <w:r>
        <w:rPr>
          <w:rFonts w:ascii="Arial" w:cs="Arial" w:eastAsia="Arial" w:hAnsi="Arial"/>
          <w:sz w:val="14"/>
          <w:szCs w:val="14"/>
          <w:color w:val="auto"/>
        </w:rPr>
        <w:t>the date of the pricing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30480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Joint Book-Running Managers</w:t>
      </w:r>
    </w:p>
    <w:p>
      <w:pPr>
        <w:spacing w:after="0"/>
        <w:tabs>
          <w:tab w:leader="none" w:pos="1820" w:val="left"/>
          <w:tab w:leader="none" w:pos="4500" w:val="left"/>
          <w:tab w:leader="none" w:pos="6760" w:val="left"/>
        </w:tabs>
        <w:rPr>
          <w:sz w:val="20"/>
          <w:szCs w:val="20"/>
          <w:color w:val="auto"/>
        </w:rPr>
      </w:pP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Credit Agricole CIB</w:t>
      </w:r>
      <w:r>
        <w:rPr>
          <w:sz w:val="20"/>
          <w:szCs w:val="20"/>
          <w:color w:val="auto"/>
        </w:rPr>
        <w:tab/>
      </w:r>
      <w:r>
        <w:rPr>
          <w:rFonts w:ascii="Arial" w:cs="Arial" w:eastAsia="Arial" w:hAnsi="Arial"/>
          <w:sz w:val="25"/>
          <w:szCs w:val="25"/>
          <w:b w:val="1"/>
          <w:bCs w:val="1"/>
          <w:color w:val="auto"/>
        </w:rPr>
        <w:t>Mizuho Securities</w:t>
      </w:r>
      <w:r>
        <w:rPr>
          <w:sz w:val="20"/>
          <w:szCs w:val="20"/>
          <w:color w:val="auto"/>
        </w:rPr>
        <w:tab/>
      </w:r>
      <w:r>
        <w:rPr>
          <w:rFonts w:ascii="Arial" w:cs="Arial" w:eastAsia="Arial" w:hAnsi="Arial"/>
          <w:sz w:val="21"/>
          <w:szCs w:val="21"/>
          <w:b w:val="1"/>
          <w:bCs w:val="1"/>
          <w:color w:val="auto"/>
        </w:rPr>
        <w:t>Wells Fargo Securities</w:t>
      </w:r>
    </w:p>
    <w:p>
      <w:pPr>
        <w:spacing w:after="0" w:line="1" w:lineRule="exact"/>
        <w:rPr>
          <w:sz w:val="24"/>
          <w:szCs w:val="24"/>
          <w:color w:val="auto"/>
        </w:rPr>
      </w:pPr>
    </w:p>
    <w:p>
      <w:pPr>
        <w:ind w:left="1500"/>
        <w:spacing w:after="0"/>
        <w:rPr>
          <w:sz w:val="20"/>
          <w:szCs w:val="20"/>
          <w:color w:val="auto"/>
        </w:rPr>
      </w:pPr>
      <w:r>
        <w:rPr>
          <w:rFonts w:ascii="Arial" w:cs="Arial" w:eastAsia="Arial" w:hAnsi="Arial"/>
          <w:sz w:val="18"/>
          <w:szCs w:val="18"/>
          <w:i w:val="1"/>
          <w:iCs w:val="1"/>
          <w:color w:val="auto"/>
        </w:rPr>
        <w:t>Green Structuring Advisor and Joint</w:t>
      </w:r>
    </w:p>
    <w:p>
      <w:pPr>
        <w:spacing w:after="0" w:line="7" w:lineRule="exact"/>
        <w:rPr>
          <w:sz w:val="24"/>
          <w:szCs w:val="24"/>
          <w:color w:val="auto"/>
        </w:rPr>
      </w:pPr>
    </w:p>
    <w:p>
      <w:pPr>
        <w:ind w:left="1540"/>
        <w:spacing w:after="0"/>
        <w:rPr>
          <w:sz w:val="20"/>
          <w:szCs w:val="20"/>
          <w:color w:val="auto"/>
        </w:rPr>
      </w:pPr>
      <w:r>
        <w:rPr>
          <w:rFonts w:ascii="Arial" w:cs="Arial" w:eastAsia="Arial" w:hAnsi="Arial"/>
          <w:sz w:val="18"/>
          <w:szCs w:val="18"/>
          <w:i w:val="1"/>
          <w:iCs w:val="1"/>
          <w:color w:val="auto"/>
        </w:rPr>
        <w:t>Book-Running Manager solely with</w:t>
      </w:r>
    </w:p>
    <w:p>
      <w:pPr>
        <w:spacing w:after="0" w:line="22" w:lineRule="exact"/>
        <w:rPr>
          <w:sz w:val="24"/>
          <w:szCs w:val="24"/>
          <w:color w:val="auto"/>
        </w:rPr>
      </w:pPr>
    </w:p>
    <w:p>
      <w:pPr>
        <w:ind w:left="1880"/>
        <w:spacing w:after="0"/>
        <w:rPr>
          <w:sz w:val="20"/>
          <w:szCs w:val="20"/>
          <w:color w:val="auto"/>
        </w:rPr>
      </w:pPr>
      <w:r>
        <w:rPr>
          <w:rFonts w:ascii="Arial" w:cs="Arial" w:eastAsia="Arial" w:hAnsi="Arial"/>
          <w:sz w:val="18"/>
          <w:szCs w:val="18"/>
          <w:i w:val="1"/>
          <w:iCs w:val="1"/>
          <w:color w:val="auto"/>
        </w:rPr>
        <w:t>respect to the green bonds</w:t>
      </w:r>
    </w:p>
    <w:p>
      <w:pPr>
        <w:spacing w:after="0" w:line="135" w:lineRule="exact"/>
        <w:rPr>
          <w:sz w:val="24"/>
          <w:szCs w:val="24"/>
          <w:color w:val="auto"/>
        </w:rPr>
      </w:pPr>
    </w:p>
    <w:p>
      <w:pPr>
        <w:ind w:left="1860"/>
        <w:spacing w:after="0"/>
        <w:tabs>
          <w:tab w:leader="none" w:pos="5940" w:val="left"/>
        </w:tabs>
        <w:rPr>
          <w:sz w:val="20"/>
          <w:szCs w:val="20"/>
          <w:color w:val="auto"/>
        </w:rPr>
      </w:pPr>
      <w:r>
        <w:rPr>
          <w:rFonts w:ascii="Arial" w:cs="Arial" w:eastAsia="Arial" w:hAnsi="Arial"/>
          <w:sz w:val="25"/>
          <w:szCs w:val="25"/>
          <w:b w:val="1"/>
          <w:bCs w:val="1"/>
          <w:color w:val="auto"/>
        </w:rPr>
        <w:t>HSBC</w:t>
      </w:r>
      <w:r>
        <w:rPr>
          <w:sz w:val="20"/>
          <w:szCs w:val="20"/>
          <w:color w:val="auto"/>
        </w:rPr>
        <w:tab/>
      </w:r>
      <w:r>
        <w:rPr>
          <w:rFonts w:ascii="Arial" w:cs="Arial" w:eastAsia="Arial" w:hAnsi="Arial"/>
          <w:sz w:val="25"/>
          <w:szCs w:val="25"/>
          <w:b w:val="1"/>
          <w:bCs w:val="1"/>
          <w:color w:val="auto"/>
        </w:rPr>
        <w:t>Morgan Stanley</w:t>
      </w:r>
    </w:p>
    <w:p>
      <w:pPr>
        <w:spacing w:after="0" w:line="149" w:lineRule="exact"/>
        <w:rPr>
          <w:sz w:val="24"/>
          <w:szCs w:val="24"/>
          <w:color w:val="auto"/>
        </w:rPr>
      </w:pPr>
    </w:p>
    <w:p>
      <w:pPr>
        <w:spacing w:after="0"/>
        <w:tabs>
          <w:tab w:leader="none" w:pos="1540" w:val="left"/>
          <w:tab w:leader="none" w:pos="3180" w:val="left"/>
          <w:tab w:leader="none" w:pos="4800" w:val="left"/>
          <w:tab w:leader="none" w:pos="7460" w:val="left"/>
        </w:tabs>
        <w:rPr>
          <w:sz w:val="20"/>
          <w:szCs w:val="20"/>
          <w:color w:val="auto"/>
        </w:rPr>
      </w:pPr>
      <w:r>
        <w:rPr>
          <w:rFonts w:ascii="Arial" w:cs="Arial" w:eastAsia="Arial" w:hAnsi="Arial"/>
          <w:sz w:val="18"/>
          <w:szCs w:val="18"/>
          <w:b w:val="1"/>
          <w:bCs w:val="1"/>
          <w:color w:val="auto"/>
        </w:rPr>
        <w:t>ANZ Securities</w:t>
      </w:r>
      <w:r>
        <w:rPr>
          <w:sz w:val="20"/>
          <w:szCs w:val="20"/>
          <w:color w:val="auto"/>
        </w:rPr>
        <w:tab/>
      </w:r>
      <w:r>
        <w:rPr>
          <w:rFonts w:ascii="Arial" w:cs="Arial" w:eastAsia="Arial" w:hAnsi="Arial"/>
          <w:sz w:val="18"/>
          <w:szCs w:val="18"/>
          <w:b w:val="1"/>
          <w:bCs w:val="1"/>
          <w:color w:val="auto"/>
        </w:rPr>
        <w:t>BNP PARIBAS</w:t>
      </w:r>
      <w:r>
        <w:rPr>
          <w:sz w:val="20"/>
          <w:szCs w:val="20"/>
          <w:color w:val="auto"/>
        </w:rPr>
        <w:tab/>
      </w:r>
      <w:r>
        <w:rPr>
          <w:rFonts w:ascii="Arial" w:cs="Arial" w:eastAsia="Arial" w:hAnsi="Arial"/>
          <w:sz w:val="18"/>
          <w:szCs w:val="18"/>
          <w:b w:val="1"/>
          <w:bCs w:val="1"/>
          <w:color w:val="auto"/>
        </w:rPr>
        <w:t>BofA Securities</w:t>
      </w:r>
      <w:r>
        <w:rPr>
          <w:sz w:val="20"/>
          <w:szCs w:val="20"/>
          <w:color w:val="auto"/>
        </w:rPr>
        <w:tab/>
      </w:r>
      <w:r>
        <w:rPr>
          <w:rFonts w:ascii="Arial" w:cs="Arial" w:eastAsia="Arial" w:hAnsi="Arial"/>
          <w:sz w:val="18"/>
          <w:szCs w:val="18"/>
          <w:b w:val="1"/>
          <w:bCs w:val="1"/>
          <w:color w:val="auto"/>
        </w:rPr>
        <w:t>Goldman Sachs &amp; Co. LLC</w:t>
      </w:r>
      <w:r>
        <w:rPr>
          <w:sz w:val="20"/>
          <w:szCs w:val="20"/>
          <w:color w:val="auto"/>
        </w:rPr>
        <w:tab/>
      </w:r>
      <w:r>
        <w:rPr>
          <w:rFonts w:ascii="Arial" w:cs="Arial" w:eastAsia="Arial" w:hAnsi="Arial"/>
          <w:sz w:val="16"/>
          <w:szCs w:val="16"/>
          <w:b w:val="1"/>
          <w:bCs w:val="1"/>
          <w:color w:val="auto"/>
        </w:rPr>
        <w:t>RBC Capital Markets</w:t>
      </w:r>
    </w:p>
    <w:p>
      <w:pPr>
        <w:spacing w:after="0" w:line="27" w:lineRule="exact"/>
        <w:rPr>
          <w:sz w:val="24"/>
          <w:szCs w:val="24"/>
          <w:color w:val="auto"/>
        </w:rPr>
      </w:pPr>
    </w:p>
    <w:p>
      <w:pPr>
        <w:ind w:left="2600"/>
        <w:spacing w:after="0"/>
        <w:tabs>
          <w:tab w:leader="none" w:pos="5440" w:val="left"/>
          <w:tab w:leader="none" w:pos="6160" w:val="left"/>
        </w:tabs>
        <w:rPr>
          <w:sz w:val="20"/>
          <w:szCs w:val="20"/>
          <w:color w:val="auto"/>
        </w:rPr>
      </w:pPr>
      <w:r>
        <w:rPr>
          <w:rFonts w:ascii="Arial" w:cs="Arial" w:eastAsia="Arial" w:hAnsi="Arial"/>
          <w:sz w:val="14"/>
          <w:szCs w:val="14"/>
          <w:i w:val="1"/>
          <w:iCs w:val="1"/>
          <w:color w:val="auto"/>
        </w:rPr>
        <w:t>Co-Manager solely with respect to the 20</w:t>
      </w:r>
      <w:r>
        <w:rPr>
          <w:sz w:val="20"/>
          <w:szCs w:val="20"/>
          <w:color w:val="auto"/>
        </w:rPr>
        <w:tab/>
      </w:r>
      <w:r>
        <w:rPr>
          <w:rFonts w:ascii="Arial" w:cs="Arial" w:eastAsia="Arial" w:hAnsi="Arial"/>
          <w:sz w:val="14"/>
          <w:szCs w:val="14"/>
          <w:i w:val="1"/>
          <w:iCs w:val="1"/>
          <w:color w:val="auto"/>
        </w:rPr>
        <w:t>and 20</w:t>
      </w:r>
      <w:r>
        <w:rPr>
          <w:sz w:val="20"/>
          <w:szCs w:val="20"/>
          <w:color w:val="auto"/>
        </w:rPr>
        <w:tab/>
      </w:r>
      <w:r>
        <w:rPr>
          <w:rFonts w:ascii="Arial" w:cs="Arial" w:eastAsia="Arial" w:hAnsi="Arial"/>
          <w:sz w:val="13"/>
          <w:szCs w:val="13"/>
          <w:i w:val="1"/>
          <w:iCs w:val="1"/>
          <w:color w:val="auto"/>
        </w:rPr>
        <w:t>notes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Credit Agricole CIB</w:t>
      </w:r>
    </w:p>
    <w:p>
      <w:pPr>
        <w:spacing w:after="0" w:line="205" w:lineRule="exact"/>
        <w:rPr>
          <w:sz w:val="24"/>
          <w:szCs w:val="24"/>
          <w:color w:val="auto"/>
        </w:rPr>
      </w:pPr>
    </w:p>
    <w:p>
      <w:pPr>
        <w:ind w:left="4760"/>
        <w:spacing w:after="0"/>
        <w:rPr>
          <w:sz w:val="20"/>
          <w:szCs w:val="20"/>
          <w:color w:val="auto"/>
        </w:rPr>
      </w:pPr>
      <w:r>
        <w:rPr>
          <w:rFonts w:ascii="Arial" w:cs="Arial" w:eastAsia="Arial" w:hAnsi="Arial"/>
          <w:sz w:val="14"/>
          <w:szCs w:val="14"/>
          <w:color w:val="auto"/>
        </w:rPr>
        <w:t>,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-720725</wp:posOffset>
            </wp:positionH>
            <wp:positionV relativeFrom="paragraph">
              <wp:posOffset>76835</wp:posOffset>
            </wp:positionV>
            <wp:extent cx="68065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900" w:space="240"/>
            <w:col w:w="9100"/>
          </w:cols>
          <w:pgMar w:left="580" w:top="240" w:right="10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Prospectus Supplement</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77"/>
              </w:rPr>
              <w:t>Page</w:t>
            </w:r>
          </w:p>
        </w:tc>
      </w:tr>
      <w:tr>
        <w:trPr>
          <w:trHeight w:val="26"/>
        </w:trPr>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Cautionary Note On Forward-Looking Statements</w:t>
              </w:r>
            </w:hyperlink>
          </w:p>
        </w:tc>
        <w:tc>
          <w:tcPr>
            <w:tcW w:w="4040" w:type="dxa"/>
            <w:vAlign w:val="bottom"/>
            <w:tcBorders>
              <w:bottom w:val="single" w:sz="8" w:color="CCEEFF"/>
            </w:tcBorders>
            <w:gridSpan w:val="2"/>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S-ii</w:t>
              </w:r>
            </w:hyperlink>
          </w:p>
        </w:tc>
      </w:tr>
      <w:tr>
        <w:trPr>
          <w:trHeight w:val="216"/>
        </w:trPr>
        <w:tc>
          <w:tcPr>
            <w:tcW w:w="78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4"/>
          </w:tcPr>
          <w:p>
            <w:pPr>
              <w:jc w:val="right"/>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S-iii</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16"/>
        </w:trPr>
        <w:tc>
          <w:tcPr>
            <w:tcW w:w="7820" w:type="dxa"/>
            <w:vAlign w:val="bottom"/>
            <w:gridSpan w:val="18"/>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S-1</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82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3"/>
          </w:tcPr>
          <w:p>
            <w:pPr>
              <w:jc w:val="right"/>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S-6</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29"/>
        </w:trPr>
        <w:tc>
          <w:tcPr>
            <w:tcW w:w="1220" w:type="dxa"/>
            <w:vAlign w:val="bottom"/>
            <w:gridSpan w:val="5"/>
            <w:shd w:val="clear" w:color="auto" w:fill="CCEEFF"/>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Use of Proceeds</w:t>
              </w:r>
            </w:hyperlink>
          </w:p>
        </w:tc>
        <w:tc>
          <w:tcPr>
            <w:tcW w:w="6600" w:type="dxa"/>
            <w:vAlign w:val="bottom"/>
            <w:gridSpan w:val="13"/>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S-12</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Cash and Capitalization</w:t>
              </w:r>
            </w:hyperlink>
          </w:p>
        </w:tc>
        <w:tc>
          <w:tcPr>
            <w:tcW w:w="380" w:type="dxa"/>
            <w:vAlign w:val="bottom"/>
            <w:gridSpan w:val="6"/>
          </w:tcPr>
          <w:p>
            <w:pPr>
              <w:jc w:val="right"/>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S-15</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29"/>
        </w:trPr>
        <w:tc>
          <w:tcPr>
            <w:tcW w:w="1860" w:type="dxa"/>
            <w:vAlign w:val="bottom"/>
            <w:gridSpan w:val="10"/>
            <w:shd w:val="clear" w:color="auto" w:fill="CCEEFF"/>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Description of the Notes</w:t>
              </w:r>
            </w:hyperlink>
          </w:p>
        </w:tc>
        <w:tc>
          <w:tcPr>
            <w:tcW w:w="5960" w:type="dxa"/>
            <w:vAlign w:val="bottom"/>
            <w:gridSpan w:val="8"/>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S-16</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Material U.S. Federal Income Tax Consequences</w:t>
              </w:r>
            </w:hyperlink>
          </w:p>
        </w:tc>
        <w:tc>
          <w:tcPr>
            <w:tcW w:w="380" w:type="dxa"/>
            <w:vAlign w:val="bottom"/>
            <w:gridSpan w:val="6"/>
          </w:tcPr>
          <w:p>
            <w:pPr>
              <w:jc w:val="right"/>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S-37</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29"/>
        </w:trPr>
        <w:tc>
          <w:tcPr>
            <w:tcW w:w="2700" w:type="dxa"/>
            <w:vAlign w:val="bottom"/>
            <w:gridSpan w:val="13"/>
            <w:shd w:val="clear" w:color="auto" w:fill="CCEEFF"/>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Underwriting (Conflicts of Interest)</w:t>
              </w:r>
            </w:hyperlink>
          </w:p>
        </w:tc>
        <w:tc>
          <w:tcPr>
            <w:tcW w:w="5120" w:type="dxa"/>
            <w:vAlign w:val="bottom"/>
            <w:gridSpan w:val="5"/>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S-41</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2700" w:type="dxa"/>
            <w:vAlign w:val="bottom"/>
            <w:gridSpan w:val="1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Validity of Securities</w:t>
              </w:r>
            </w:hyperlink>
          </w:p>
        </w:tc>
        <w:tc>
          <w:tcPr>
            <w:tcW w:w="5120" w:type="dxa"/>
            <w:vAlign w:val="bottom"/>
            <w:gridSpan w:val="5"/>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S-47</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29"/>
        </w:trPr>
        <w:tc>
          <w:tcPr>
            <w:tcW w:w="580" w:type="dxa"/>
            <w:vAlign w:val="bottom"/>
            <w:shd w:val="clear" w:color="auto" w:fill="CCEEFF"/>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Experts</w:t>
              </w:r>
            </w:hyperlink>
          </w:p>
        </w:tc>
        <w:tc>
          <w:tcPr>
            <w:tcW w:w="7240" w:type="dxa"/>
            <w:vAlign w:val="bottom"/>
            <w:gridSpan w:val="17"/>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S-47</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Where You Can Find More Information</w:t>
              </w:r>
            </w:hyperlink>
          </w:p>
        </w:tc>
        <w:tc>
          <w:tcPr>
            <w:tcW w:w="380" w:type="dxa"/>
            <w:vAlign w:val="bottom"/>
            <w:gridSpan w:val="6"/>
          </w:tcPr>
          <w:p>
            <w:pPr>
              <w:jc w:val="right"/>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S-47</w:t>
              </w:r>
            </w:hyperlink>
          </w:p>
        </w:tc>
      </w:tr>
      <w:tr>
        <w:trPr>
          <w:trHeight w:val="453"/>
        </w:trPr>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Prospectus</w:t>
            </w: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2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0"/>
        </w:trPr>
        <w:tc>
          <w:tcPr>
            <w:tcW w:w="172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About This Prospectus</w:t>
              </w:r>
            </w:hyperlink>
          </w:p>
        </w:tc>
        <w:tc>
          <w:tcPr>
            <w:tcW w:w="6100" w:type="dxa"/>
            <w:vAlign w:val="bottom"/>
            <w:tcBorders>
              <w:bottom w:val="single" w:sz="8" w:color="CCEEFF"/>
            </w:tcBorders>
            <w:gridSpan w:val="10"/>
            <w:shd w:val="clear" w:color="auto" w:fill="CCEEFF"/>
          </w:tcPr>
          <w:p>
            <w:pPr>
              <w:spacing w:after="0"/>
              <w:rPr>
                <w:sz w:val="20"/>
                <w:szCs w:val="20"/>
                <w:color w:val="auto"/>
              </w:rPr>
            </w:pPr>
          </w:p>
        </w:tc>
        <w:tc>
          <w:tcPr>
            <w:tcW w:w="180" w:type="dxa"/>
            <w:vAlign w:val="bottom"/>
            <w:tcBorders>
              <w:bottom w:val="single" w:sz="8" w:color="CCEEFF"/>
            </w:tcBorders>
            <w:gridSpan w:val="4"/>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1</w:t>
              </w:r>
            </w:hyperlink>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820" w:type="dxa"/>
            <w:vAlign w:val="bottom"/>
            <w:gridSpan w:val="1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Where You Can Find More Information; Incorporation By Reference</w:t>
              </w:r>
            </w:hyperlink>
          </w:p>
        </w:tc>
        <w:tc>
          <w:tcPr>
            <w:tcW w:w="280" w:type="dxa"/>
            <w:vAlign w:val="bottom"/>
            <w:gridSpan w:val="5"/>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2</w:t>
              </w:r>
            </w:hyperlink>
          </w:p>
        </w:tc>
        <w:tc>
          <w:tcPr>
            <w:tcW w:w="100" w:type="dxa"/>
            <w:vAlign w:val="bottom"/>
          </w:tcPr>
          <w:p>
            <w:pPr>
              <w:spacing w:after="0"/>
              <w:rPr>
                <w:sz w:val="18"/>
                <w:szCs w:val="18"/>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820" w:type="dxa"/>
            <w:vAlign w:val="bottom"/>
            <w:gridSpan w:val="18"/>
            <w:shd w:val="clear" w:color="auto" w:fill="CCEEFF"/>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The Company</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4</w:t>
              </w:r>
            </w:hyperlink>
          </w:p>
        </w:tc>
        <w:tc>
          <w:tcPr>
            <w:tcW w:w="100" w:type="dxa"/>
            <w:vAlign w:val="bottom"/>
            <w:shd w:val="clear" w:color="auto" w:fill="CCEEFF"/>
          </w:tcPr>
          <w:p>
            <w:pPr>
              <w:spacing w:after="0"/>
              <w:rPr>
                <w:sz w:val="20"/>
                <w:szCs w:val="20"/>
                <w:color w:val="auto"/>
              </w:rPr>
            </w:pPr>
          </w:p>
        </w:tc>
      </w:tr>
      <w:tr>
        <w:trPr>
          <w:trHeight w:val="230"/>
        </w:trPr>
        <w:tc>
          <w:tcPr>
            <w:tcW w:w="1060" w:type="dxa"/>
            <w:vAlign w:val="bottom"/>
            <w:tcBorders>
              <w:top w:val="single" w:sz="8" w:color="0000EE"/>
            </w:tcBorders>
            <w:gridSpan w:val="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6760" w:type="dxa"/>
            <w:vAlign w:val="bottom"/>
            <w:tcBorders>
              <w:top w:val="single" w:sz="8" w:color="CCEEFF"/>
            </w:tcBorders>
            <w:gridSpan w:val="14"/>
          </w:tcPr>
          <w:p>
            <w:pPr>
              <w:spacing w:after="0"/>
              <w:rPr>
                <w:sz w:val="19"/>
                <w:szCs w:val="19"/>
                <w:color w:val="auto"/>
              </w:rPr>
            </w:pPr>
          </w:p>
        </w:tc>
        <w:tc>
          <w:tcPr>
            <w:tcW w:w="180" w:type="dxa"/>
            <w:vAlign w:val="bottom"/>
            <w:tcBorders>
              <w:top w:val="single" w:sz="8" w:color="CCEEFF"/>
            </w:tcBorders>
            <w:gridSpan w:val="4"/>
          </w:tcPr>
          <w:p>
            <w:pPr>
              <w:spacing w:after="0"/>
              <w:rPr>
                <w:sz w:val="19"/>
                <w:szCs w:val="19"/>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w:t>
              </w:r>
            </w:hyperlink>
          </w:p>
        </w:tc>
        <w:tc>
          <w:tcPr>
            <w:tcW w:w="100" w:type="dxa"/>
            <w:vAlign w:val="bottom"/>
            <w:tcBorders>
              <w:top w:val="single" w:sz="8" w:color="CCEEFF"/>
            </w:tcBorders>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22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Use of Proceeds</w:t>
              </w:r>
            </w:hyperlink>
          </w:p>
        </w:tc>
        <w:tc>
          <w:tcPr>
            <w:tcW w:w="6600" w:type="dxa"/>
            <w:vAlign w:val="bottom"/>
            <w:tcBorders>
              <w:bottom w:val="single" w:sz="8" w:color="CCEEFF"/>
            </w:tcBorders>
            <w:gridSpan w:val="13"/>
            <w:shd w:val="clear" w:color="auto" w:fill="CCEEFF"/>
          </w:tcPr>
          <w:p>
            <w:pPr>
              <w:spacing w:after="0"/>
              <w:rPr>
                <w:sz w:val="21"/>
                <w:szCs w:val="21"/>
                <w:color w:val="auto"/>
              </w:rPr>
            </w:pPr>
          </w:p>
        </w:tc>
        <w:tc>
          <w:tcPr>
            <w:tcW w:w="1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6</w:t>
              </w:r>
            </w:hyperlink>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7820" w:type="dxa"/>
            <w:vAlign w:val="bottom"/>
            <w:gridSpan w:val="18"/>
          </w:tcPr>
          <w:p>
            <w:pPr>
              <w:spacing w:after="0"/>
              <w:rPr>
                <w:sz w:val="20"/>
                <w:szCs w:val="20"/>
                <w:color w:val="auto"/>
              </w:rPr>
            </w:pPr>
            <w:r>
              <w:rPr>
                <w:rFonts w:ascii="Arial" w:cs="Arial" w:eastAsia="Arial" w:hAnsi="Arial"/>
                <w:sz w:val="18"/>
                <w:szCs w:val="18"/>
                <w:color w:val="auto"/>
              </w:rPr>
              <w:t>Ratio of Earnings to Fixed Charges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0"/>
        </w:trPr>
        <w:tc>
          <w:tcPr>
            <w:tcW w:w="188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Description of Securities</w:t>
              </w:r>
            </w:hyperlink>
          </w:p>
        </w:tc>
        <w:tc>
          <w:tcPr>
            <w:tcW w:w="59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7</w:t>
              </w:r>
            </w:hyperlink>
          </w:p>
        </w:tc>
        <w:tc>
          <w:tcPr>
            <w:tcW w:w="100" w:type="dxa"/>
            <w:vAlign w:val="bottom"/>
            <w:tcBorders>
              <w:bottom w:val="single" w:sz="8" w:color="CCEEFF"/>
            </w:tcBorders>
            <w:shd w:val="clear" w:color="auto" w:fill="CCEEFF"/>
          </w:tcPr>
          <w:p>
            <w:pPr>
              <w:spacing w:after="0"/>
              <w:rPr>
                <w:sz w:val="21"/>
                <w:szCs w:val="21"/>
                <w:color w:val="auto"/>
              </w:rPr>
            </w:pPr>
          </w:p>
        </w:tc>
      </w:tr>
      <w:tr>
        <w:trPr>
          <w:trHeight w:val="229"/>
        </w:trPr>
        <w:tc>
          <w:tcPr>
            <w:tcW w:w="7820" w:type="dxa"/>
            <w:vAlign w:val="bottom"/>
            <w:gridSpan w:val="1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Plan of Distribution</w:t>
              </w:r>
            </w:hyperlink>
          </w:p>
        </w:tc>
        <w:tc>
          <w:tcPr>
            <w:tcW w:w="280" w:type="dxa"/>
            <w:vAlign w:val="bottom"/>
            <w:gridSpan w:val="5"/>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8</w:t>
              </w:r>
            </w:hyperlink>
          </w:p>
        </w:tc>
        <w:tc>
          <w:tcPr>
            <w:tcW w:w="10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6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Legal Matters</w:t>
              </w:r>
            </w:hyperlink>
          </w:p>
        </w:tc>
        <w:tc>
          <w:tcPr>
            <w:tcW w:w="676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9</w:t>
              </w:r>
            </w:hyperlink>
          </w:p>
        </w:tc>
        <w:tc>
          <w:tcPr>
            <w:tcW w:w="100" w:type="dxa"/>
            <w:vAlign w:val="bottom"/>
            <w:tcBorders>
              <w:bottom w:val="single" w:sz="8" w:color="CCEEFF"/>
            </w:tcBorders>
            <w:shd w:val="clear" w:color="auto" w:fill="CCEEFF"/>
          </w:tcPr>
          <w:p>
            <w:pPr>
              <w:spacing w:after="0"/>
              <w:rPr>
                <w:sz w:val="21"/>
                <w:szCs w:val="21"/>
                <w:color w:val="auto"/>
              </w:rPr>
            </w:pPr>
          </w:p>
        </w:tc>
      </w:tr>
      <w:tr>
        <w:trPr>
          <w:trHeight w:val="229"/>
        </w:trPr>
        <w:tc>
          <w:tcPr>
            <w:tcW w:w="580" w:type="dxa"/>
            <w:vAlign w:val="bottom"/>
            <w:tcBorders>
              <w:bottom w:val="single" w:sz="8" w:color="0000EE"/>
            </w:tcBorders>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Experts</w:t>
              </w:r>
            </w:hyperlink>
          </w:p>
        </w:tc>
        <w:tc>
          <w:tcPr>
            <w:tcW w:w="7240" w:type="dxa"/>
            <w:vAlign w:val="bottom"/>
            <w:gridSpan w:val="17"/>
          </w:tcPr>
          <w:p>
            <w:pPr>
              <w:spacing w:after="0"/>
              <w:rPr>
                <w:sz w:val="19"/>
                <w:szCs w:val="19"/>
                <w:color w:val="auto"/>
              </w:rPr>
            </w:pPr>
          </w:p>
        </w:tc>
        <w:tc>
          <w:tcPr>
            <w:tcW w:w="180" w:type="dxa"/>
            <w:vAlign w:val="bottom"/>
            <w:gridSpan w:val="4"/>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9</w:t>
              </w:r>
            </w:hyperlink>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-4217035</wp:posOffset>
            </wp:positionV>
            <wp:extent cx="4972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72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-1679575</wp:posOffset>
            </wp:positionV>
            <wp:extent cx="4997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This prospectus supplement, the accompanying prospectus and the information incorporated herein and therein by reference include statements that are, or may be deemed, “forward-looking statements.” You can identify forward-looking statements by the use of forward-looking terminology including “anticipates,” “believes,” “estimates,” “expects,” “future,” “intends,” “may,” “plans,” “potential,” “predicts,” “projects,” “should,” “will,” “would” and similar expressions or the negative of these words and phrases, other variations of these words and phrases or comparable terminology.</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forward-looking statements relate to, among other things:</w:t>
      </w:r>
    </w:p>
    <w:p>
      <w:pPr>
        <w:spacing w:after="0" w:line="117" w:lineRule="exact"/>
        <w:rPr>
          <w:sz w:val="20"/>
          <w:szCs w:val="20"/>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coronavirus disease 2019 to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bit shipments;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and timing for closing the pending sale of our Lehi facility;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investments; the payment of future cash dividends;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spending in 2022;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use of proceeds from the offering of notes</w:t>
      </w:r>
    </w:p>
    <w:p>
      <w:pPr>
        <w:spacing w:after="0" w:line="158" w:lineRule="exact"/>
        <w:rPr>
          <w:sz w:val="20"/>
          <w:szCs w:val="20"/>
          <w:color w:val="auto"/>
        </w:rPr>
      </w:pPr>
    </w:p>
    <w:p>
      <w:pPr>
        <w:jc w:val="both"/>
        <w:ind w:left="1260" w:right="459" w:firstLine="360"/>
        <w:spacing w:after="0" w:line="269" w:lineRule="auto"/>
        <w:rPr>
          <w:sz w:val="20"/>
          <w:szCs w:val="20"/>
          <w:color w:val="auto"/>
        </w:rPr>
      </w:pPr>
      <w:r>
        <w:rPr>
          <w:rFonts w:ascii="Arial" w:cs="Arial" w:eastAsia="Arial" w:hAnsi="Arial"/>
          <w:sz w:val="17"/>
          <w:szCs w:val="17"/>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incorporated by reference herein and as may be updated in filings we make with the U.S.</w:t>
      </w:r>
    </w:p>
    <w:p>
      <w:pPr>
        <w:spacing w:after="0" w:line="2"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12"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17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Trademarks and Service Marks</w:t>
      </w:r>
    </w:p>
    <w:p>
      <w:pPr>
        <w:spacing w:after="0" w:line="162" w:lineRule="exact"/>
        <w:rPr>
          <w:sz w:val="20"/>
          <w:szCs w:val="20"/>
          <w:color w:val="auto"/>
        </w:rPr>
      </w:pPr>
    </w:p>
    <w:p>
      <w:pPr>
        <w:ind w:left="1260" w:right="559" w:firstLine="360"/>
        <w:spacing w:after="0" w:line="239" w:lineRule="auto"/>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 symbols, but we will assert, to the fullest extent under applicable law, our rights or the rights of the applicable licensors to these trademarks, service 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 SUPPLEMENT</w:t>
      </w:r>
    </w:p>
    <w:p>
      <w:pPr>
        <w:spacing w:after="0" w:line="148"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This prospectus supplement and the accompanying prospectus dated November 4, 2020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w:t>
      </w:r>
    </w:p>
    <w:p>
      <w:pPr>
        <w:spacing w:after="0" w:line="2" w:lineRule="exact"/>
        <w:rPr>
          <w:sz w:val="20"/>
          <w:szCs w:val="20"/>
          <w:color w:val="auto"/>
        </w:rPr>
      </w:pPr>
    </w:p>
    <w:p>
      <w:pPr>
        <w:ind w:left="1260" w:right="419"/>
        <w:spacing w:after="0" w:line="251" w:lineRule="auto"/>
        <w:tabs>
          <w:tab w:leader="none" w:pos="152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28"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1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06"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16"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7"/>
          <w:szCs w:val="17"/>
          <w:color w:val="auto"/>
        </w:rPr>
        <w:t>We expect that delivery of the notes will be made to investors on or about , 2021, which will be the tenth business day following the date of this offering memorandum (such settlement being referred to as T+10).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w:t>
      </w:r>
    </w:p>
    <w:p>
      <w:pPr>
        <w:spacing w:after="0" w:line="3"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prior , 2021 will be required, by virtue of the fact that the notes initially settle in T+10, to specify an alternate settlement arrangement to prevent a failed settlement. Purchasers of the notes who wish to trade the notes prior to their date of delivery hereunder should consult their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08" w:lineRule="exact"/>
        <w:rPr>
          <w:sz w:val="20"/>
          <w:szCs w:val="20"/>
          <w:color w:val="auto"/>
        </w:rPr>
      </w:pPr>
    </w:p>
    <w:p>
      <w:pPr>
        <w:ind w:left="1280" w:right="439" w:firstLine="360"/>
        <w:spacing w:after="0" w:line="254"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w:t>
      </w:r>
      <w:hyperlink r:id="rId21">
        <w:r>
          <w:rPr>
            <w:rFonts w:ascii="Arial" w:cs="Arial" w:eastAsia="Arial" w:hAnsi="Arial"/>
            <w:sz w:val="17"/>
            <w:szCs w:val="17"/>
            <w:i w:val="1"/>
            <w:iCs w:val="1"/>
            <w:color w:val="auto"/>
          </w:rPr>
          <w:t xml:space="preserve">factors described under the heading “Risk Factors” included in this prospectus supplement, our </w:t>
        </w:r>
        <w:r>
          <w:rPr>
            <w:rFonts w:ascii="Arial" w:cs="Arial" w:eastAsia="Arial" w:hAnsi="Arial"/>
            <w:sz w:val="17"/>
            <w:szCs w:val="17"/>
            <w:i w:val="1"/>
            <w:iCs w:val="1"/>
            <w:u w:val="single" w:color="auto"/>
            <w:color w:val="0000EE"/>
          </w:rPr>
          <w:t>Annual</w:t>
        </w:r>
      </w:hyperlink>
      <w:r>
        <w:rPr>
          <w:rFonts w:ascii="Arial" w:cs="Arial" w:eastAsia="Arial" w:hAnsi="Arial"/>
          <w:sz w:val="17"/>
          <w:szCs w:val="17"/>
          <w:i w:val="1"/>
          <w:iCs w:val="1"/>
          <w:color w:val="auto"/>
        </w:rPr>
        <w:t xml:space="preserve"> </w:t>
      </w:r>
      <w:hyperlink r:id="rId21">
        <w:r>
          <w:rPr>
            <w:rFonts w:ascii="Arial" w:cs="Arial" w:eastAsia="Arial" w:hAnsi="Arial"/>
            <w:sz w:val="17"/>
            <w:szCs w:val="17"/>
            <w:i w:val="1"/>
            <w:iCs w:val="1"/>
            <w:u w:val="single" w:color="auto"/>
            <w:color w:val="0000EE"/>
          </w:rPr>
          <w:t>Report on Form 10-K for the year ended September 2, 2021</w:t>
        </w:r>
        <w:r>
          <w:rPr>
            <w:rFonts w:ascii="Arial" w:cs="Arial" w:eastAsia="Arial" w:hAnsi="Arial"/>
            <w:sz w:val="17"/>
            <w:szCs w:val="17"/>
            <w:i w:val="1"/>
            <w:iCs w:val="1"/>
            <w:color w:val="000000"/>
          </w:rPr>
          <w:t xml:space="preserve">, documents that we subsequently file with </w:t>
        </w:r>
      </w:hyperlink>
      <w:r>
        <w:rPr>
          <w:rFonts w:ascii="Arial" w:cs="Arial" w:eastAsia="Arial" w:hAnsi="Arial"/>
          <w:sz w:val="17"/>
          <w:szCs w:val="17"/>
          <w:i w:val="1"/>
          <w:iCs w:val="1"/>
          <w:color w:val="0000EE"/>
        </w:rPr>
        <w:t xml:space="preserve">the </w:t>
      </w:r>
      <w:r>
        <w:rPr>
          <w:rFonts w:ascii="Arial" w:cs="Arial" w:eastAsia="Arial" w:hAnsi="Arial"/>
          <w:sz w:val="17"/>
          <w:szCs w:val="17"/>
          <w:i w:val="1"/>
          <w:iCs w:val="1"/>
          <w:color w:val="000000"/>
        </w:rPr>
        <w:t>SEC and the financial statements and other information included or incorporated by reference in this prospectus supplement and the accompanying prospectus, before making an investment decision.</w:t>
      </w:r>
    </w:p>
    <w:p>
      <w:pPr>
        <w:spacing w:after="0" w:line="13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left="1280" w:right="439" w:firstLine="360"/>
        <w:spacing w:after="0" w:line="227"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we deliver a rich portfolio of high-performance DRAM, NAND, and NOR memory and storage products through our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22" w:lineRule="exact"/>
        <w:rPr>
          <w:sz w:val="20"/>
          <w:szCs w:val="20"/>
          <w:color w:val="auto"/>
        </w:rPr>
      </w:pPr>
    </w:p>
    <w:p>
      <w:pPr>
        <w:ind w:left="1280" w:right="619" w:firstLine="360"/>
        <w:spacing w:after="0" w:line="255" w:lineRule="auto"/>
        <w:rPr>
          <w:sz w:val="20"/>
          <w:szCs w:val="20"/>
          <w:color w:val="auto"/>
        </w:rPr>
      </w:pPr>
      <w:r>
        <w:rPr>
          <w:rFonts w:ascii="Arial" w:cs="Arial" w:eastAsia="Arial" w:hAnsi="Arial"/>
          <w:sz w:val="17"/>
          <w:szCs w:val="17"/>
          <w:color w:val="auto"/>
        </w:rPr>
        <w:t>We manufacture our products at wholly-owned facilities and also utilize subcontractors to perform certain manufacturing processes. We make significant investments to develop proprietary product and process technology, which are implemented in our manufacturing facilities. Advancements in product and process technology generally increase the density per wafer and reduce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99" w:lineRule="exact"/>
        <w:rPr>
          <w:sz w:val="20"/>
          <w:szCs w:val="20"/>
          <w:color w:val="auto"/>
        </w:rPr>
      </w:pPr>
    </w:p>
    <w:p>
      <w:pPr>
        <w:ind w:left="1280" w:right="399" w:firstLine="360"/>
        <w:spacing w:after="0" w:line="237" w:lineRule="auto"/>
        <w:rPr>
          <w:sz w:val="20"/>
          <w:szCs w:val="20"/>
          <w:color w:val="auto"/>
        </w:rPr>
      </w:pPr>
      <w:r>
        <w:rPr>
          <w:rFonts w:ascii="Arial" w:cs="Arial" w:eastAsia="Arial" w:hAnsi="Arial"/>
          <w:sz w:val="18"/>
          <w:szCs w:val="18"/>
          <w:color w:val="auto"/>
        </w:rPr>
        <w:t>The introduction of 176-layer NAND and 1α (1 -alpha) DRAM represent major technology breakthroughs for our company and the first time in our history that we have achieved industry leadership across these two flagship technologies. In 2021, we introduced our industry leading 1α memory node, the world’s most advanced memory node in high-volume production. This advancement has been realized across our standard compute DRAM and LPDRAM product lines. We are shipping these products in volume, and we have partnered with customers to provide value- added innovation, speed market adoption of our new solutions, and prepare the ecosystem for broad adoption of our offerings across markets. We also launched 176-layer NAND based solutions into the market in 2021. Our managed NAND and SSD products incorporate NAND, a controller, firmware, and in some cases, DRAM. An increasing portion of our SSDs incorporate proprietary controllers and firmware that we have developed. Development of advanced technologies enables us to diversify our product portfolio toward a richer mix of differentiated, high-value solutions and to target high-growth markets and specific customer requirements across data center, intelligent edge, client, and mobile environments.</w:t>
      </w:r>
    </w:p>
    <w:p>
      <w:pPr>
        <w:spacing w:after="0" w:line="124" w:lineRule="exact"/>
        <w:rPr>
          <w:sz w:val="20"/>
          <w:szCs w:val="20"/>
          <w:color w:val="auto"/>
        </w:rPr>
      </w:pPr>
    </w:p>
    <w:p>
      <w:pPr>
        <w:ind w:left="1280" w:right="399" w:firstLine="360"/>
        <w:spacing w:after="0" w:line="257" w:lineRule="auto"/>
        <w:rPr>
          <w:sz w:val="20"/>
          <w:szCs w:val="20"/>
          <w:color w:val="auto"/>
        </w:rPr>
      </w:pPr>
      <w:r>
        <w:rPr>
          <w:rFonts w:ascii="Arial" w:cs="Arial" w:eastAsia="Arial" w:hAnsi="Arial"/>
          <w:sz w:val="17"/>
          <w:szCs w:val="17"/>
          <w:color w:val="auto"/>
        </w:rPr>
        <w:t>We face intense competition in the semiconductor memory and storage markets and to remain competitive we must continuously develop and implement new products and technologies and decrease manufacturing costs. Our success is largely dependent on obtaining returns on our research and development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83" w:lineRule="exact"/>
        <w:rPr>
          <w:sz w:val="20"/>
          <w:szCs w:val="20"/>
          <w:color w:val="auto"/>
        </w:rPr>
      </w:pPr>
    </w:p>
    <w:p>
      <w:pPr>
        <w:ind w:left="1280" w:right="459" w:firstLine="360"/>
        <w:spacing w:after="0"/>
        <w:rPr>
          <w:sz w:val="20"/>
          <w:szCs w:val="20"/>
          <w:color w:val="auto"/>
        </w:rPr>
      </w:pPr>
      <w:r>
        <w:rPr>
          <w:rFonts w:ascii="Arial" w:cs="Arial" w:eastAsia="Arial" w:hAnsi="Arial"/>
          <w:sz w:val="18"/>
          <w:szCs w:val="18"/>
          <w:color w:val="auto"/>
        </w:rPr>
        <w:t>We were originally incorporated in Idaho in 1978. In 1984, we were reincorporated in Delaware. Our executive offices are located at 8000 South Federal Way, Boise, Idaho 83716-9632 and our telephone number is (208) 368-4000. Information about the Company is available on the internet at www.micron.com. The information contained or incorporated in our website is not part of this prospectus supplement or the accompanying prospectus. You should not rely on any such information in making your decision whether to purchase the notes.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439" w:firstLine="360"/>
        <w:spacing w:after="0" w:line="255" w:lineRule="auto"/>
        <w:rPr>
          <w:sz w:val="20"/>
          <w:szCs w:val="20"/>
          <w:color w:val="auto"/>
        </w:rPr>
      </w:pPr>
      <w:r>
        <w:rPr>
          <w:rFonts w:ascii="Arial" w:cs="Arial" w:eastAsia="Arial" w:hAnsi="Arial"/>
          <w:sz w:val="18"/>
          <w:szCs w:val="18"/>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84"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Issuer</w:t>
            </w:r>
          </w:p>
        </w:tc>
        <w:tc>
          <w:tcPr>
            <w:tcW w:w="3260" w:type="dxa"/>
            <w:vAlign w:val="bottom"/>
            <w:gridSpan w:val="4"/>
          </w:tcPr>
          <w:p>
            <w:pPr>
              <w:ind w:left="700"/>
              <w:spacing w:after="0"/>
              <w:rPr>
                <w:sz w:val="20"/>
                <w:szCs w:val="20"/>
                <w:color w:val="auto"/>
              </w:rPr>
            </w:pPr>
            <w:r>
              <w:rPr>
                <w:rFonts w:ascii="Arial" w:cs="Arial" w:eastAsia="Arial" w:hAnsi="Arial"/>
                <w:sz w:val="18"/>
                <w:szCs w:val="18"/>
                <w:color w:val="auto"/>
              </w:rPr>
              <w:t>Micron Technology, Inc.</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Securities Offered</w:t>
            </w: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2760" w:type="dxa"/>
            <w:vAlign w:val="bottom"/>
            <w:gridSpan w:val="4"/>
          </w:tcPr>
          <w:p>
            <w:pPr>
              <w:ind w:left="400"/>
              <w:spacing w:after="0"/>
              <w:rPr>
                <w:sz w:val="20"/>
                <w:szCs w:val="20"/>
                <w:color w:val="auto"/>
              </w:rPr>
            </w:pPr>
            <w:r>
              <w:rPr>
                <w:rFonts w:ascii="Arial" w:cs="Arial" w:eastAsia="Arial" w:hAnsi="Arial"/>
                <w:sz w:val="18"/>
                <w:szCs w:val="18"/>
                <w:color w:val="auto"/>
                <w:w w:val="98"/>
              </w:rPr>
              <w:t>aggregate principal amount of</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 Senior Notes</w:t>
            </w:r>
          </w:p>
        </w:tc>
      </w:tr>
      <w:tr>
        <w:trPr>
          <w:trHeight w:val="216"/>
        </w:trPr>
        <w:tc>
          <w:tcPr>
            <w:tcW w:w="2760" w:type="dxa"/>
            <w:vAlign w:val="bottom"/>
          </w:tcPr>
          <w:p>
            <w:pPr>
              <w:spacing w:after="0"/>
              <w:rPr>
                <w:sz w:val="18"/>
                <w:szCs w:val="18"/>
                <w:color w:val="auto"/>
              </w:rPr>
            </w:pPr>
          </w:p>
        </w:tc>
        <w:tc>
          <w:tcPr>
            <w:tcW w:w="1980" w:type="dxa"/>
            <w:vAlign w:val="bottom"/>
            <w:gridSpan w:val="2"/>
          </w:tcPr>
          <w:p>
            <w:pPr>
              <w:ind w:left="700"/>
              <w:spacing w:after="0"/>
              <w:rPr>
                <w:sz w:val="20"/>
                <w:szCs w:val="20"/>
                <w:color w:val="auto"/>
              </w:rPr>
            </w:pPr>
            <w:r>
              <w:rPr>
                <w:rFonts w:ascii="Arial" w:cs="Arial" w:eastAsia="Arial" w:hAnsi="Arial"/>
                <w:sz w:val="18"/>
                <w:szCs w:val="18"/>
                <w:color w:val="auto"/>
              </w:rPr>
              <w:t>due 20  , $</w:t>
            </w:r>
          </w:p>
        </w:tc>
        <w:tc>
          <w:tcPr>
            <w:tcW w:w="2760" w:type="dxa"/>
            <w:vAlign w:val="bottom"/>
            <w:gridSpan w:val="4"/>
          </w:tcPr>
          <w:p>
            <w:pPr>
              <w:jc w:val="right"/>
              <w:ind w:right="190"/>
              <w:spacing w:after="0"/>
              <w:rPr>
                <w:sz w:val="20"/>
                <w:szCs w:val="20"/>
                <w:color w:val="auto"/>
              </w:rPr>
            </w:pPr>
            <w:r>
              <w:rPr>
                <w:rFonts w:ascii="Arial" w:cs="Arial" w:eastAsia="Arial" w:hAnsi="Arial"/>
                <w:sz w:val="18"/>
                <w:szCs w:val="18"/>
                <w:color w:val="auto"/>
              </w:rPr>
              <w:t>aggregate principal amount of</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w:t>
            </w:r>
          </w:p>
        </w:tc>
      </w:tr>
      <w:tr>
        <w:trPr>
          <w:trHeight w:val="216"/>
        </w:trPr>
        <w:tc>
          <w:tcPr>
            <w:tcW w:w="2760" w:type="dxa"/>
            <w:vAlign w:val="bottom"/>
          </w:tcPr>
          <w:p>
            <w:pPr>
              <w:spacing w:after="0"/>
              <w:rPr>
                <w:sz w:val="18"/>
                <w:szCs w:val="18"/>
                <w:color w:val="auto"/>
              </w:rPr>
            </w:pPr>
          </w:p>
        </w:tc>
        <w:tc>
          <w:tcPr>
            <w:tcW w:w="2340" w:type="dxa"/>
            <w:vAlign w:val="bottom"/>
            <w:gridSpan w:val="3"/>
          </w:tcPr>
          <w:p>
            <w:pPr>
              <w:ind w:left="700"/>
              <w:spacing w:after="0"/>
              <w:rPr>
                <w:sz w:val="20"/>
                <w:szCs w:val="20"/>
                <w:color w:val="auto"/>
              </w:rPr>
            </w:pPr>
            <w:r>
              <w:rPr>
                <w:rFonts w:ascii="Arial" w:cs="Arial" w:eastAsia="Arial" w:hAnsi="Arial"/>
                <w:sz w:val="18"/>
                <w:szCs w:val="18"/>
                <w:color w:val="auto"/>
                <w:w w:val="98"/>
              </w:rPr>
              <w:t>Senior Notes due 20</w:t>
            </w:r>
          </w:p>
        </w:tc>
        <w:tc>
          <w:tcPr>
            <w:tcW w:w="920" w:type="dxa"/>
            <w:vAlign w:val="bottom"/>
          </w:tcPr>
          <w:p>
            <w:pPr>
              <w:ind w:left="120"/>
              <w:spacing w:after="0"/>
              <w:rPr>
                <w:sz w:val="20"/>
                <w:szCs w:val="20"/>
                <w:color w:val="auto"/>
              </w:rPr>
            </w:pPr>
            <w:r>
              <w:rPr>
                <w:rFonts w:ascii="Arial" w:cs="Arial" w:eastAsia="Arial" w:hAnsi="Arial"/>
                <w:sz w:val="18"/>
                <w:szCs w:val="18"/>
                <w:color w:val="auto"/>
              </w:rPr>
              <w:t>and $</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w w:val="95"/>
              </w:rPr>
              <w:t>aggregate principal amount</w:t>
            </w:r>
          </w:p>
        </w:tc>
      </w:tr>
      <w:tr>
        <w:trPr>
          <w:trHeight w:val="230"/>
        </w:trPr>
        <w:tc>
          <w:tcPr>
            <w:tcW w:w="276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of</w:t>
            </w:r>
          </w:p>
        </w:tc>
        <w:tc>
          <w:tcPr>
            <w:tcW w:w="2260" w:type="dxa"/>
            <w:vAlign w:val="bottom"/>
            <w:gridSpan w:val="3"/>
          </w:tcPr>
          <w:p>
            <w:pPr>
              <w:ind w:left="280"/>
              <w:spacing w:after="0"/>
              <w:rPr>
                <w:sz w:val="20"/>
                <w:szCs w:val="20"/>
                <w:color w:val="auto"/>
              </w:rPr>
            </w:pPr>
            <w:r>
              <w:rPr>
                <w:rFonts w:ascii="Arial" w:cs="Arial" w:eastAsia="Arial" w:hAnsi="Arial"/>
                <w:sz w:val="18"/>
                <w:szCs w:val="18"/>
                <w:color w:val="auto"/>
                <w:w w:val="97"/>
              </w:rPr>
              <w:t>% Senior Notes due 20  .</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Maturity</w:t>
            </w:r>
          </w:p>
        </w:tc>
        <w:tc>
          <w:tcPr>
            <w:tcW w:w="3260" w:type="dxa"/>
            <w:vAlign w:val="bottom"/>
            <w:gridSpan w:val="4"/>
          </w:tcPr>
          <w:p>
            <w:pPr>
              <w:ind w:left="700"/>
              <w:spacing w:after="0"/>
              <w:rPr>
                <w:sz w:val="20"/>
                <w:szCs w:val="20"/>
                <w:color w:val="auto"/>
              </w:rPr>
            </w:pPr>
            <w:r>
              <w:rPr>
                <w:rFonts w:ascii="Arial" w:cs="Arial" w:eastAsia="Arial" w:hAnsi="Arial"/>
                <w:sz w:val="18"/>
                <w:szCs w:val="18"/>
                <w:color w:val="auto"/>
              </w:rPr>
              <w:t>The green bonds will mature on</w:t>
            </w:r>
          </w:p>
        </w:tc>
        <w:tc>
          <w:tcPr>
            <w:tcW w:w="500" w:type="dxa"/>
            <w:vAlign w:val="bottom"/>
          </w:tcPr>
          <w:p>
            <w:pPr>
              <w:spacing w:after="0"/>
              <w:rPr>
                <w:sz w:val="24"/>
                <w:szCs w:val="24"/>
                <w:color w:val="auto"/>
              </w:rPr>
            </w:pP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 20  , the 20</w:t>
            </w:r>
          </w:p>
        </w:tc>
      </w:tr>
      <w:tr>
        <w:trPr>
          <w:trHeight w:val="216"/>
        </w:trPr>
        <w:tc>
          <w:tcPr>
            <w:tcW w:w="2760" w:type="dxa"/>
            <w:vAlign w:val="bottom"/>
          </w:tcPr>
          <w:p>
            <w:pPr>
              <w:spacing w:after="0"/>
              <w:rPr>
                <w:sz w:val="18"/>
                <w:szCs w:val="18"/>
                <w:color w:val="auto"/>
              </w:rPr>
            </w:pPr>
          </w:p>
        </w:tc>
        <w:tc>
          <w:tcPr>
            <w:tcW w:w="2340" w:type="dxa"/>
            <w:vAlign w:val="bottom"/>
            <w:gridSpan w:val="3"/>
          </w:tcPr>
          <w:p>
            <w:pPr>
              <w:ind w:left="700"/>
              <w:spacing w:after="0"/>
              <w:rPr>
                <w:sz w:val="20"/>
                <w:szCs w:val="20"/>
                <w:color w:val="auto"/>
              </w:rPr>
            </w:pPr>
            <w:r>
              <w:rPr>
                <w:rFonts w:ascii="Arial" w:cs="Arial" w:eastAsia="Arial" w:hAnsi="Arial"/>
                <w:sz w:val="18"/>
                <w:szCs w:val="18"/>
                <w:color w:val="auto"/>
              </w:rPr>
              <w:t>notes will mature on</w:t>
            </w:r>
          </w:p>
        </w:tc>
        <w:tc>
          <w:tcPr>
            <w:tcW w:w="920" w:type="dxa"/>
            <w:vAlign w:val="bottom"/>
          </w:tcPr>
          <w:p>
            <w:pPr>
              <w:spacing w:after="0"/>
              <w:rPr>
                <w:sz w:val="18"/>
                <w:szCs w:val="18"/>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93"/>
              </w:rPr>
              <w:t>, 20</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3"/>
              </w:rPr>
              <w:t>and the 20</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w w:val="99"/>
              </w:rPr>
              <w:t>notes</w:t>
            </w:r>
          </w:p>
        </w:tc>
      </w:tr>
      <w:tr>
        <w:trPr>
          <w:trHeight w:val="230"/>
        </w:trPr>
        <w:tc>
          <w:tcPr>
            <w:tcW w:w="2760" w:type="dxa"/>
            <w:vAlign w:val="bottom"/>
          </w:tcPr>
          <w:p>
            <w:pPr>
              <w:spacing w:after="0"/>
              <w:rPr>
                <w:sz w:val="20"/>
                <w:szCs w:val="20"/>
                <w:color w:val="auto"/>
              </w:rPr>
            </w:pPr>
          </w:p>
        </w:tc>
        <w:tc>
          <w:tcPr>
            <w:tcW w:w="1980" w:type="dxa"/>
            <w:vAlign w:val="bottom"/>
            <w:gridSpan w:val="2"/>
          </w:tcPr>
          <w:p>
            <w:pPr>
              <w:ind w:left="700"/>
              <w:spacing w:after="0"/>
              <w:rPr>
                <w:sz w:val="20"/>
                <w:szCs w:val="20"/>
                <w:color w:val="auto"/>
              </w:rPr>
            </w:pPr>
            <w:r>
              <w:rPr>
                <w:rFonts w:ascii="Arial" w:cs="Arial" w:eastAsia="Arial" w:hAnsi="Arial"/>
                <w:sz w:val="18"/>
                <w:szCs w:val="18"/>
                <w:color w:val="auto"/>
              </w:rPr>
              <w:t>will mature on</w:t>
            </w:r>
          </w:p>
        </w:tc>
        <w:tc>
          <w:tcPr>
            <w:tcW w:w="360" w:type="dxa"/>
            <w:vAlign w:val="bottom"/>
          </w:tcPr>
          <w:p>
            <w:pPr>
              <w:spacing w:after="0"/>
              <w:rPr>
                <w:sz w:val="20"/>
                <w:szCs w:val="20"/>
                <w:color w:val="auto"/>
              </w:rPr>
            </w:pPr>
          </w:p>
        </w:tc>
        <w:tc>
          <w:tcPr>
            <w:tcW w:w="1420" w:type="dxa"/>
            <w:vAlign w:val="bottom"/>
            <w:gridSpan w:val="2"/>
          </w:tcPr>
          <w:p>
            <w:pPr>
              <w:jc w:val="right"/>
              <w:ind w:right="330"/>
              <w:spacing w:after="0"/>
              <w:rPr>
                <w:sz w:val="20"/>
                <w:szCs w:val="20"/>
                <w:color w:val="auto"/>
              </w:rPr>
            </w:pPr>
            <w:r>
              <w:rPr>
                <w:rFonts w:ascii="Arial" w:cs="Arial" w:eastAsia="Arial" w:hAnsi="Arial"/>
                <w:sz w:val="18"/>
                <w:szCs w:val="18"/>
                <w:color w:val="auto"/>
              </w:rPr>
              <w:t>, 20  .</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Interest and Payment Dates</w:t>
            </w:r>
          </w:p>
        </w:tc>
        <w:tc>
          <w:tcPr>
            <w:tcW w:w="1000" w:type="dxa"/>
            <w:vAlign w:val="bottom"/>
          </w:tcPr>
          <w:p>
            <w:pPr>
              <w:spacing w:after="0"/>
              <w:rPr>
                <w:sz w:val="24"/>
                <w:szCs w:val="24"/>
                <w:color w:val="auto"/>
              </w:rPr>
            </w:pPr>
          </w:p>
        </w:tc>
        <w:tc>
          <w:tcPr>
            <w:tcW w:w="4420" w:type="dxa"/>
            <w:vAlign w:val="bottom"/>
            <w:gridSpan w:val="6"/>
          </w:tcPr>
          <w:p>
            <w:pPr>
              <w:ind w:left="160"/>
              <w:spacing w:after="0"/>
              <w:rPr>
                <w:sz w:val="20"/>
                <w:szCs w:val="20"/>
                <w:color w:val="auto"/>
              </w:rPr>
            </w:pPr>
            <w:r>
              <w:rPr>
                <w:rFonts w:ascii="Arial" w:cs="Arial" w:eastAsia="Arial" w:hAnsi="Arial"/>
                <w:sz w:val="18"/>
                <w:szCs w:val="18"/>
                <w:color w:val="auto"/>
                <w:w w:val="96"/>
              </w:rPr>
              <w:t>% per year on the principal amount of the green bonds,</w:t>
            </w:r>
          </w:p>
        </w:tc>
      </w:tr>
      <w:tr>
        <w:trPr>
          <w:trHeight w:val="216"/>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740" w:type="dxa"/>
            <w:vAlign w:val="bottom"/>
            <w:gridSpan w:val="5"/>
          </w:tcPr>
          <w:p>
            <w:pPr>
              <w:ind w:left="160"/>
              <w:spacing w:after="0"/>
              <w:rPr>
                <w:sz w:val="20"/>
                <w:szCs w:val="20"/>
                <w:color w:val="auto"/>
              </w:rPr>
            </w:pPr>
            <w:r>
              <w:rPr>
                <w:rFonts w:ascii="Arial" w:cs="Arial" w:eastAsia="Arial" w:hAnsi="Arial"/>
                <w:sz w:val="18"/>
                <w:szCs w:val="18"/>
                <w:color w:val="auto"/>
              </w:rPr>
              <w:t>% per year on the principal amount of the 20</w:t>
            </w:r>
          </w:p>
        </w:tc>
        <w:tc>
          <w:tcPr>
            <w:tcW w:w="680" w:type="dxa"/>
            <w:vAlign w:val="bottom"/>
          </w:tcPr>
          <w:p>
            <w:pPr>
              <w:jc w:val="center"/>
              <w:ind w:right="110"/>
              <w:spacing w:after="0"/>
              <w:rPr>
                <w:sz w:val="20"/>
                <w:szCs w:val="20"/>
                <w:color w:val="auto"/>
              </w:rPr>
            </w:pPr>
            <w:r>
              <w:rPr>
                <w:rFonts w:ascii="Arial" w:cs="Arial" w:eastAsia="Arial" w:hAnsi="Arial"/>
                <w:sz w:val="18"/>
                <w:szCs w:val="18"/>
                <w:color w:val="auto"/>
                <w:w w:val="90"/>
              </w:rPr>
              <w:t>notes</w:t>
            </w:r>
          </w:p>
        </w:tc>
      </w:tr>
      <w:tr>
        <w:trPr>
          <w:trHeight w:val="216"/>
        </w:trPr>
        <w:tc>
          <w:tcPr>
            <w:tcW w:w="2760" w:type="dxa"/>
            <w:vAlign w:val="bottom"/>
          </w:tcPr>
          <w:p>
            <w:pPr>
              <w:spacing w:after="0"/>
              <w:rPr>
                <w:sz w:val="18"/>
                <w:szCs w:val="18"/>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w w:val="93"/>
              </w:rPr>
              <w:t>and</w:t>
            </w:r>
          </w:p>
        </w:tc>
        <w:tc>
          <w:tcPr>
            <w:tcW w:w="4420" w:type="dxa"/>
            <w:vAlign w:val="bottom"/>
            <w:gridSpan w:val="6"/>
          </w:tcPr>
          <w:p>
            <w:pPr>
              <w:ind w:left="480"/>
              <w:spacing w:after="0"/>
              <w:rPr>
                <w:sz w:val="20"/>
                <w:szCs w:val="20"/>
                <w:color w:val="auto"/>
              </w:rPr>
            </w:pPr>
            <w:r>
              <w:rPr>
                <w:rFonts w:ascii="Arial" w:cs="Arial" w:eastAsia="Arial" w:hAnsi="Arial"/>
                <w:sz w:val="18"/>
                <w:szCs w:val="18"/>
                <w:color w:val="auto"/>
              </w:rPr>
              <w:t>% per year on the principal amount of the 20</w:t>
            </w:r>
          </w:p>
        </w:tc>
      </w:tr>
      <w:tr>
        <w:trPr>
          <w:trHeight w:val="216"/>
        </w:trPr>
        <w:tc>
          <w:tcPr>
            <w:tcW w:w="2760" w:type="dxa"/>
            <w:vAlign w:val="bottom"/>
          </w:tcPr>
          <w:p>
            <w:pPr>
              <w:spacing w:after="0"/>
              <w:rPr>
                <w:sz w:val="18"/>
                <w:szCs w:val="18"/>
                <w:color w:val="auto"/>
              </w:rPr>
            </w:pPr>
          </w:p>
        </w:tc>
        <w:tc>
          <w:tcPr>
            <w:tcW w:w="5420" w:type="dxa"/>
            <w:vAlign w:val="bottom"/>
            <w:gridSpan w:val="7"/>
          </w:tcPr>
          <w:p>
            <w:pPr>
              <w:ind w:left="700"/>
              <w:spacing w:after="0"/>
              <w:rPr>
                <w:sz w:val="20"/>
                <w:szCs w:val="20"/>
                <w:color w:val="auto"/>
              </w:rPr>
            </w:pPr>
            <w:r>
              <w:rPr>
                <w:rFonts w:ascii="Arial" w:cs="Arial" w:eastAsia="Arial" w:hAnsi="Arial"/>
                <w:sz w:val="18"/>
                <w:szCs w:val="18"/>
                <w:color w:val="auto"/>
              </w:rPr>
              <w:t>notes. Interest is payable on the notes on and of each year</w:t>
            </w:r>
          </w:p>
        </w:tc>
      </w:tr>
      <w:tr>
        <w:trPr>
          <w:trHeight w:val="216"/>
        </w:trPr>
        <w:tc>
          <w:tcPr>
            <w:tcW w:w="2760" w:type="dxa"/>
            <w:vAlign w:val="bottom"/>
          </w:tcPr>
          <w:p>
            <w:pPr>
              <w:spacing w:after="0"/>
              <w:rPr>
                <w:sz w:val="18"/>
                <w:szCs w:val="18"/>
                <w:color w:val="auto"/>
              </w:rPr>
            </w:pPr>
          </w:p>
        </w:tc>
        <w:tc>
          <w:tcPr>
            <w:tcW w:w="3760" w:type="dxa"/>
            <w:vAlign w:val="bottom"/>
            <w:gridSpan w:val="5"/>
          </w:tcPr>
          <w:p>
            <w:pPr>
              <w:ind w:left="700"/>
              <w:spacing w:after="0"/>
              <w:rPr>
                <w:sz w:val="20"/>
                <w:szCs w:val="20"/>
                <w:color w:val="auto"/>
              </w:rPr>
            </w:pPr>
            <w:r>
              <w:rPr>
                <w:rFonts w:ascii="Arial" w:cs="Arial" w:eastAsia="Arial" w:hAnsi="Arial"/>
                <w:sz w:val="18"/>
                <w:szCs w:val="18"/>
                <w:color w:val="auto"/>
                <w:w w:val="96"/>
              </w:rPr>
              <w:t>after the date of issuance, commencing</w:t>
            </w:r>
          </w:p>
        </w:tc>
        <w:tc>
          <w:tcPr>
            <w:tcW w:w="1660" w:type="dxa"/>
            <w:vAlign w:val="bottom"/>
            <w:gridSpan w:val="2"/>
          </w:tcPr>
          <w:p>
            <w:pPr>
              <w:jc w:val="right"/>
              <w:ind w:right="150"/>
              <w:spacing w:after="0"/>
              <w:rPr>
                <w:sz w:val="20"/>
                <w:szCs w:val="20"/>
                <w:color w:val="auto"/>
              </w:rPr>
            </w:pPr>
            <w:r>
              <w:rPr>
                <w:rFonts w:ascii="Arial" w:cs="Arial" w:eastAsia="Arial" w:hAnsi="Arial"/>
                <w:sz w:val="18"/>
                <w:szCs w:val="18"/>
                <w:color w:val="auto"/>
              </w:rPr>
              <w:t>, 2022.</w:t>
            </w:r>
          </w:p>
        </w:tc>
      </w:tr>
      <w:tr>
        <w:trPr>
          <w:trHeight w:val="230"/>
        </w:trPr>
        <w:tc>
          <w:tcPr>
            <w:tcW w:w="2760" w:type="dxa"/>
            <w:vAlign w:val="bottom"/>
          </w:tcPr>
          <w:p>
            <w:pPr>
              <w:spacing w:after="0"/>
              <w:rPr>
                <w:sz w:val="20"/>
                <w:szCs w:val="20"/>
                <w:color w:val="auto"/>
              </w:rPr>
            </w:pPr>
          </w:p>
        </w:tc>
        <w:tc>
          <w:tcPr>
            <w:tcW w:w="3760" w:type="dxa"/>
            <w:vAlign w:val="bottom"/>
            <w:gridSpan w:val="5"/>
          </w:tcPr>
          <w:p>
            <w:pPr>
              <w:ind w:left="700"/>
              <w:spacing w:after="0"/>
              <w:rPr>
                <w:sz w:val="20"/>
                <w:szCs w:val="20"/>
                <w:color w:val="auto"/>
              </w:rPr>
            </w:pPr>
            <w:r>
              <w:rPr>
                <w:rFonts w:ascii="Arial" w:cs="Arial" w:eastAsia="Arial" w:hAnsi="Arial"/>
                <w:sz w:val="18"/>
                <w:szCs w:val="18"/>
                <w:color w:val="auto"/>
              </w:rPr>
              <w:t>Interest on the notes will accrue from</w:t>
            </w:r>
          </w:p>
        </w:tc>
        <w:tc>
          <w:tcPr>
            <w:tcW w:w="1660" w:type="dxa"/>
            <w:vAlign w:val="bottom"/>
            <w:gridSpan w:val="2"/>
          </w:tcPr>
          <w:p>
            <w:pPr>
              <w:jc w:val="right"/>
              <w:ind w:right="270"/>
              <w:spacing w:after="0"/>
              <w:rPr>
                <w:sz w:val="20"/>
                <w:szCs w:val="20"/>
                <w:color w:val="auto"/>
              </w:rPr>
            </w:pPr>
            <w:r>
              <w:rPr>
                <w:rFonts w:ascii="Arial" w:cs="Arial" w:eastAsia="Arial" w:hAnsi="Arial"/>
                <w:sz w:val="18"/>
                <w:szCs w:val="18"/>
                <w:color w:val="auto"/>
              </w:rPr>
              <w:t>, 2021.</w:t>
            </w: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Ranking of the Notes</w:t>
            </w:r>
          </w:p>
        </w:tc>
        <w:tc>
          <w:tcPr>
            <w:tcW w:w="5420" w:type="dxa"/>
            <w:vAlign w:val="bottom"/>
            <w:gridSpan w:val="7"/>
          </w:tcPr>
          <w:p>
            <w:pPr>
              <w:ind w:left="700"/>
              <w:spacing w:after="0"/>
              <w:rPr>
                <w:sz w:val="20"/>
                <w:szCs w:val="20"/>
                <w:color w:val="auto"/>
              </w:rPr>
            </w:pPr>
            <w:r>
              <w:rPr>
                <w:rFonts w:ascii="Arial" w:cs="Arial" w:eastAsia="Arial" w:hAnsi="Arial"/>
                <w:sz w:val="18"/>
                <w:szCs w:val="18"/>
                <w:color w:val="auto"/>
              </w:rPr>
              <w:t>The notes will be our senior unsecured obligations and will</w:t>
            </w:r>
          </w:p>
        </w:tc>
      </w:tr>
      <w:tr>
        <w:trPr>
          <w:trHeight w:val="216"/>
        </w:trPr>
        <w:tc>
          <w:tcPr>
            <w:tcW w:w="2760" w:type="dxa"/>
            <w:vAlign w:val="bottom"/>
          </w:tcPr>
          <w:p>
            <w:pPr>
              <w:spacing w:after="0"/>
              <w:rPr>
                <w:sz w:val="18"/>
                <w:szCs w:val="18"/>
                <w:color w:val="auto"/>
              </w:rPr>
            </w:pPr>
          </w:p>
        </w:tc>
        <w:tc>
          <w:tcPr>
            <w:tcW w:w="4740" w:type="dxa"/>
            <w:vAlign w:val="bottom"/>
            <w:gridSpan w:val="6"/>
          </w:tcPr>
          <w:p>
            <w:pPr>
              <w:ind w:left="700"/>
              <w:spacing w:after="0"/>
              <w:rPr>
                <w:sz w:val="20"/>
                <w:szCs w:val="20"/>
                <w:color w:val="auto"/>
              </w:rPr>
            </w:pPr>
            <w:r>
              <w:rPr>
                <w:rFonts w:ascii="Arial" w:cs="Arial" w:eastAsia="Arial" w:hAnsi="Arial"/>
                <w:sz w:val="18"/>
                <w:szCs w:val="18"/>
                <w:color w:val="auto"/>
                <w:w w:val="98"/>
              </w:rPr>
              <w:t>rank equally with all of our other existing and future</w:t>
            </w:r>
          </w:p>
        </w:tc>
        <w:tc>
          <w:tcPr>
            <w:tcW w:w="6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5420" w:type="dxa"/>
            <w:vAlign w:val="bottom"/>
            <w:gridSpan w:val="7"/>
          </w:tcPr>
          <w:p>
            <w:pPr>
              <w:ind w:left="700"/>
              <w:spacing w:after="0"/>
              <w:rPr>
                <w:sz w:val="20"/>
                <w:szCs w:val="20"/>
                <w:color w:val="auto"/>
              </w:rPr>
            </w:pPr>
            <w:r>
              <w:rPr>
                <w:rFonts w:ascii="Arial" w:cs="Arial" w:eastAsia="Arial" w:hAnsi="Arial"/>
                <w:sz w:val="18"/>
                <w:szCs w:val="18"/>
                <w:color w:val="auto"/>
                <w:w w:val="94"/>
              </w:rPr>
              <w:t>unsecured and unsubordinated indebtedness from time to time</w:t>
            </w:r>
          </w:p>
        </w:tc>
      </w:tr>
      <w:tr>
        <w:trPr>
          <w:trHeight w:val="230"/>
        </w:trPr>
        <w:tc>
          <w:tcPr>
            <w:tcW w:w="2760" w:type="dxa"/>
            <w:vAlign w:val="bottom"/>
          </w:tcPr>
          <w:p>
            <w:pPr>
              <w:spacing w:after="0"/>
              <w:rPr>
                <w:sz w:val="20"/>
                <w:szCs w:val="20"/>
                <w:color w:val="auto"/>
              </w:rPr>
            </w:pPr>
          </w:p>
        </w:tc>
        <w:tc>
          <w:tcPr>
            <w:tcW w:w="1980" w:type="dxa"/>
            <w:vAlign w:val="bottom"/>
            <w:gridSpan w:val="2"/>
          </w:tcPr>
          <w:p>
            <w:pPr>
              <w:ind w:left="700"/>
              <w:spacing w:after="0"/>
              <w:rPr>
                <w:sz w:val="20"/>
                <w:szCs w:val="20"/>
                <w:color w:val="auto"/>
              </w:rPr>
            </w:pPr>
            <w:r>
              <w:rPr>
                <w:rFonts w:ascii="Arial" w:cs="Arial" w:eastAsia="Arial" w:hAnsi="Arial"/>
                <w:sz w:val="18"/>
                <w:szCs w:val="18"/>
                <w:color w:val="auto"/>
              </w:rPr>
              <w:t>outstanding.</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65"/>
        </w:trPr>
        <w:tc>
          <w:tcPr>
            <w:tcW w:w="2760" w:type="dxa"/>
            <w:vAlign w:val="bottom"/>
          </w:tcPr>
          <w:p>
            <w:pPr>
              <w:spacing w:after="0"/>
              <w:rPr>
                <w:sz w:val="24"/>
                <w:szCs w:val="24"/>
                <w:color w:val="auto"/>
              </w:rPr>
            </w:pPr>
          </w:p>
        </w:tc>
        <w:tc>
          <w:tcPr>
            <w:tcW w:w="3260" w:type="dxa"/>
            <w:vAlign w:val="bottom"/>
            <w:gridSpan w:val="4"/>
          </w:tcPr>
          <w:p>
            <w:pPr>
              <w:ind w:left="700"/>
              <w:spacing w:after="0"/>
              <w:rPr>
                <w:sz w:val="20"/>
                <w:szCs w:val="20"/>
                <w:color w:val="auto"/>
              </w:rPr>
            </w:pPr>
            <w:r>
              <w:rPr>
                <w:rFonts w:ascii="Arial" w:cs="Arial" w:eastAsia="Arial" w:hAnsi="Arial"/>
                <w:sz w:val="18"/>
                <w:szCs w:val="18"/>
                <w:color w:val="auto"/>
              </w:rPr>
              <w:t>As of September 2, 2021:</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0"/>
        </w:trPr>
        <w:tc>
          <w:tcPr>
            <w:tcW w:w="2760" w:type="dxa"/>
            <w:vAlign w:val="bottom"/>
          </w:tcPr>
          <w:p>
            <w:pPr>
              <w:spacing w:after="0"/>
              <w:rPr>
                <w:sz w:val="24"/>
                <w:szCs w:val="24"/>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4420" w:type="dxa"/>
            <w:vAlign w:val="bottom"/>
            <w:gridSpan w:val="6"/>
          </w:tcPr>
          <w:p>
            <w:pPr>
              <w:ind w:left="60"/>
              <w:spacing w:after="0"/>
              <w:rPr>
                <w:sz w:val="20"/>
                <w:szCs w:val="20"/>
                <w:color w:val="auto"/>
              </w:rPr>
            </w:pPr>
            <w:r>
              <w:rPr>
                <w:rFonts w:ascii="Arial" w:cs="Arial" w:eastAsia="Arial" w:hAnsi="Arial"/>
                <w:sz w:val="18"/>
                <w:szCs w:val="18"/>
                <w:color w:val="auto"/>
                <w:w w:val="99"/>
              </w:rPr>
              <w:t>we had approximately $6.18 billion aggregate principal</w:t>
            </w:r>
          </w:p>
        </w:tc>
      </w:tr>
      <w:tr>
        <w:trPr>
          <w:trHeight w:val="230"/>
        </w:trPr>
        <w:tc>
          <w:tcPr>
            <w:tcW w:w="2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60" w:type="dxa"/>
            <w:vAlign w:val="bottom"/>
            <w:gridSpan w:val="3"/>
          </w:tcPr>
          <w:p>
            <w:pPr>
              <w:ind w:left="60"/>
              <w:spacing w:after="0"/>
              <w:rPr>
                <w:sz w:val="20"/>
                <w:szCs w:val="20"/>
                <w:color w:val="auto"/>
              </w:rPr>
            </w:pPr>
            <w:r>
              <w:rPr>
                <w:rFonts w:ascii="Arial" w:cs="Arial" w:eastAsia="Arial" w:hAnsi="Arial"/>
                <w:sz w:val="18"/>
                <w:szCs w:val="18"/>
                <w:color w:val="auto"/>
              </w:rPr>
              <w:t>amount of indebtedness;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50"/>
        </w:trPr>
        <w:tc>
          <w:tcPr>
            <w:tcW w:w="2760" w:type="dxa"/>
            <w:vAlign w:val="bottom"/>
          </w:tcPr>
          <w:p>
            <w:pPr>
              <w:spacing w:after="0"/>
              <w:rPr>
                <w:sz w:val="24"/>
                <w:szCs w:val="24"/>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4420" w:type="dxa"/>
            <w:vAlign w:val="bottom"/>
            <w:gridSpan w:val="6"/>
          </w:tcPr>
          <w:p>
            <w:pPr>
              <w:ind w:left="60"/>
              <w:spacing w:after="0"/>
              <w:rPr>
                <w:sz w:val="20"/>
                <w:szCs w:val="20"/>
                <w:color w:val="auto"/>
              </w:rPr>
            </w:pPr>
            <w:r>
              <w:rPr>
                <w:rFonts w:ascii="Arial" w:cs="Arial" w:eastAsia="Arial" w:hAnsi="Arial"/>
                <w:sz w:val="18"/>
                <w:szCs w:val="18"/>
                <w:color w:val="auto"/>
                <w:w w:val="96"/>
              </w:rPr>
              <w:t>and our subsidiaries had outstanding liabilities (including</w:t>
            </w:r>
          </w:p>
        </w:tc>
      </w:tr>
      <w:tr>
        <w:trPr>
          <w:trHeight w:val="216"/>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20" w:type="dxa"/>
            <w:vAlign w:val="bottom"/>
            <w:gridSpan w:val="6"/>
          </w:tcPr>
          <w:p>
            <w:pPr>
              <w:ind w:left="60"/>
              <w:spacing w:after="0"/>
              <w:rPr>
                <w:sz w:val="20"/>
                <w:szCs w:val="20"/>
                <w:color w:val="auto"/>
              </w:rPr>
            </w:pPr>
            <w:r>
              <w:rPr>
                <w:rFonts w:ascii="Arial" w:cs="Arial" w:eastAsia="Arial" w:hAnsi="Arial"/>
                <w:sz w:val="18"/>
                <w:szCs w:val="18"/>
                <w:color w:val="auto"/>
                <w:w w:val="93"/>
              </w:rPr>
              <w:t>trade payables and indebtedness to third parties at the full</w:t>
            </w:r>
          </w:p>
        </w:tc>
      </w:tr>
      <w:tr>
        <w:trPr>
          <w:trHeight w:val="216"/>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20" w:type="dxa"/>
            <w:vAlign w:val="bottom"/>
            <w:gridSpan w:val="6"/>
          </w:tcPr>
          <w:p>
            <w:pPr>
              <w:ind w:left="60"/>
              <w:spacing w:after="0"/>
              <w:rPr>
                <w:sz w:val="20"/>
                <w:szCs w:val="20"/>
                <w:color w:val="auto"/>
              </w:rPr>
            </w:pPr>
            <w:r>
              <w:rPr>
                <w:rFonts w:ascii="Arial" w:cs="Arial" w:eastAsia="Arial" w:hAnsi="Arial"/>
                <w:sz w:val="18"/>
                <w:szCs w:val="18"/>
                <w:color w:val="auto"/>
              </w:rPr>
              <w:t>stated amount thereof but excluding intercompany</w:t>
            </w:r>
          </w:p>
        </w:tc>
      </w:tr>
      <w:tr>
        <w:trPr>
          <w:trHeight w:val="216"/>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20" w:type="dxa"/>
            <w:vAlign w:val="bottom"/>
            <w:gridSpan w:val="6"/>
          </w:tcPr>
          <w:p>
            <w:pPr>
              <w:ind w:left="60"/>
              <w:spacing w:after="0"/>
              <w:rPr>
                <w:sz w:val="20"/>
                <w:szCs w:val="20"/>
                <w:color w:val="auto"/>
              </w:rPr>
            </w:pPr>
            <w:r>
              <w:rPr>
                <w:rFonts w:ascii="Arial" w:cs="Arial" w:eastAsia="Arial" w:hAnsi="Arial"/>
                <w:sz w:val="18"/>
                <w:szCs w:val="18"/>
                <w:color w:val="auto"/>
              </w:rPr>
              <w:t>indebtedness and other obligations and liabilities of a</w:t>
            </w:r>
          </w:p>
        </w:tc>
      </w:tr>
      <w:tr>
        <w:trPr>
          <w:trHeight w:val="216"/>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20" w:type="dxa"/>
            <w:vAlign w:val="bottom"/>
            <w:gridSpan w:val="6"/>
          </w:tcPr>
          <w:p>
            <w:pPr>
              <w:ind w:left="60"/>
              <w:spacing w:after="0"/>
              <w:rPr>
                <w:sz w:val="20"/>
                <w:szCs w:val="20"/>
                <w:color w:val="auto"/>
              </w:rPr>
            </w:pPr>
            <w:r>
              <w:rPr>
                <w:rFonts w:ascii="Arial" w:cs="Arial" w:eastAsia="Arial" w:hAnsi="Arial"/>
                <w:sz w:val="18"/>
                <w:szCs w:val="18"/>
                <w:color w:val="auto"/>
              </w:rPr>
              <w:t>type not required to be reflected on a balance sheet of</w:t>
            </w:r>
          </w:p>
        </w:tc>
      </w:tr>
      <w:tr>
        <w:trPr>
          <w:trHeight w:val="216"/>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740" w:type="dxa"/>
            <w:vAlign w:val="bottom"/>
            <w:gridSpan w:val="5"/>
          </w:tcPr>
          <w:p>
            <w:pPr>
              <w:ind w:left="60"/>
              <w:spacing w:after="0"/>
              <w:rPr>
                <w:sz w:val="20"/>
                <w:szCs w:val="20"/>
                <w:color w:val="auto"/>
              </w:rPr>
            </w:pPr>
            <w:r>
              <w:rPr>
                <w:rFonts w:ascii="Arial" w:cs="Arial" w:eastAsia="Arial" w:hAnsi="Arial"/>
                <w:sz w:val="18"/>
                <w:szCs w:val="18"/>
                <w:color w:val="auto"/>
                <w:w w:val="98"/>
              </w:rPr>
              <w:t>such subsidiaries in accordance with GAAP) of</w:t>
            </w:r>
          </w:p>
        </w:tc>
        <w:tc>
          <w:tcPr>
            <w:tcW w:w="6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740" w:type="dxa"/>
            <w:vAlign w:val="bottom"/>
            <w:gridSpan w:val="5"/>
          </w:tcPr>
          <w:p>
            <w:pPr>
              <w:ind w:left="60"/>
              <w:spacing w:after="0"/>
              <w:rPr>
                <w:sz w:val="20"/>
                <w:szCs w:val="20"/>
                <w:color w:val="auto"/>
              </w:rPr>
            </w:pPr>
            <w:r>
              <w:rPr>
                <w:rFonts w:ascii="Arial" w:cs="Arial" w:eastAsia="Arial" w:hAnsi="Arial"/>
                <w:sz w:val="18"/>
                <w:szCs w:val="18"/>
                <w:color w:val="auto"/>
              </w:rPr>
              <w:t>approximately $6.9 billion, all of which will be</w:t>
            </w:r>
          </w:p>
        </w:tc>
        <w:tc>
          <w:tcPr>
            <w:tcW w:w="6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20" w:type="dxa"/>
            <w:vAlign w:val="bottom"/>
            <w:gridSpan w:val="6"/>
          </w:tcPr>
          <w:p>
            <w:pPr>
              <w:ind w:left="60"/>
              <w:spacing w:after="0"/>
              <w:rPr>
                <w:sz w:val="20"/>
                <w:szCs w:val="20"/>
                <w:color w:val="auto"/>
              </w:rPr>
            </w:pPr>
            <w:r>
              <w:rPr>
                <w:rFonts w:ascii="Arial" w:cs="Arial" w:eastAsia="Arial" w:hAnsi="Arial"/>
                <w:sz w:val="18"/>
                <w:szCs w:val="18"/>
                <w:color w:val="auto"/>
                <w:w w:val="98"/>
              </w:rPr>
              <w:t>structurally senior to the notes with respect to claims on</w:t>
            </w:r>
          </w:p>
        </w:tc>
      </w:tr>
      <w:tr>
        <w:trPr>
          <w:trHeight w:val="230"/>
        </w:trPr>
        <w:tc>
          <w:tcPr>
            <w:tcW w:w="2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40" w:type="dxa"/>
            <w:vAlign w:val="bottom"/>
            <w:gridSpan w:val="5"/>
          </w:tcPr>
          <w:p>
            <w:pPr>
              <w:ind w:left="60"/>
              <w:spacing w:after="0"/>
              <w:rPr>
                <w:sz w:val="20"/>
                <w:szCs w:val="20"/>
                <w:color w:val="auto"/>
              </w:rPr>
            </w:pPr>
            <w:r>
              <w:rPr>
                <w:rFonts w:ascii="Arial" w:cs="Arial" w:eastAsia="Arial" w:hAnsi="Arial"/>
                <w:sz w:val="18"/>
                <w:szCs w:val="18"/>
                <w:color w:val="auto"/>
              </w:rPr>
              <w:t>the assets and cash flows of our subsidiaries.</w:t>
            </w:r>
          </w:p>
        </w:tc>
        <w:tc>
          <w:tcPr>
            <w:tcW w:w="680" w:type="dxa"/>
            <w:vAlign w:val="bottom"/>
          </w:tcPr>
          <w:p>
            <w:pPr>
              <w:spacing w:after="0"/>
              <w:rPr>
                <w:sz w:val="20"/>
                <w:szCs w:val="20"/>
                <w:color w:val="auto"/>
              </w:rPr>
            </w:pP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Sinking Fund</w:t>
            </w:r>
          </w:p>
        </w:tc>
        <w:tc>
          <w:tcPr>
            <w:tcW w:w="1980" w:type="dxa"/>
            <w:vAlign w:val="bottom"/>
            <w:gridSpan w:val="2"/>
          </w:tcPr>
          <w:p>
            <w:pPr>
              <w:ind w:left="700"/>
              <w:spacing w:after="0"/>
              <w:rPr>
                <w:sz w:val="20"/>
                <w:szCs w:val="20"/>
                <w:color w:val="auto"/>
              </w:rPr>
            </w:pPr>
            <w:r>
              <w:rPr>
                <w:rFonts w:ascii="Arial" w:cs="Arial" w:eastAsia="Arial" w:hAnsi="Arial"/>
                <w:sz w:val="18"/>
                <w:szCs w:val="18"/>
                <w:color w:val="auto"/>
              </w:rPr>
              <w:t>None.</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Optional Redemption</w:t>
            </w:r>
          </w:p>
        </w:tc>
        <w:tc>
          <w:tcPr>
            <w:tcW w:w="5420" w:type="dxa"/>
            <w:vAlign w:val="bottom"/>
            <w:gridSpan w:val="7"/>
          </w:tcPr>
          <w:p>
            <w:pPr>
              <w:ind w:left="700"/>
              <w:spacing w:after="0"/>
              <w:rPr>
                <w:sz w:val="20"/>
                <w:szCs w:val="20"/>
                <w:color w:val="auto"/>
              </w:rPr>
            </w:pPr>
            <w:r>
              <w:rPr>
                <w:rFonts w:ascii="Arial" w:cs="Arial" w:eastAsia="Arial" w:hAnsi="Arial"/>
                <w:sz w:val="18"/>
                <w:szCs w:val="18"/>
                <w:color w:val="auto"/>
              </w:rPr>
              <w:t>The notes will be redeemable at our option, in whole or in</w:t>
            </w:r>
          </w:p>
        </w:tc>
      </w:tr>
      <w:tr>
        <w:trPr>
          <w:trHeight w:val="216"/>
        </w:trPr>
        <w:tc>
          <w:tcPr>
            <w:tcW w:w="2760" w:type="dxa"/>
            <w:vAlign w:val="bottom"/>
          </w:tcPr>
          <w:p>
            <w:pPr>
              <w:spacing w:after="0"/>
              <w:rPr>
                <w:sz w:val="18"/>
                <w:szCs w:val="18"/>
                <w:color w:val="auto"/>
              </w:rPr>
            </w:pPr>
          </w:p>
        </w:tc>
        <w:tc>
          <w:tcPr>
            <w:tcW w:w="5420" w:type="dxa"/>
            <w:vAlign w:val="bottom"/>
            <w:gridSpan w:val="7"/>
          </w:tcPr>
          <w:p>
            <w:pPr>
              <w:ind w:left="700"/>
              <w:spacing w:after="0"/>
              <w:rPr>
                <w:sz w:val="20"/>
                <w:szCs w:val="20"/>
                <w:color w:val="auto"/>
              </w:rPr>
            </w:pPr>
            <w:r>
              <w:rPr>
                <w:rFonts w:ascii="Arial" w:cs="Arial" w:eastAsia="Arial" w:hAnsi="Arial"/>
                <w:sz w:val="18"/>
                <w:szCs w:val="18"/>
                <w:color w:val="auto"/>
                <w:w w:val="98"/>
              </w:rPr>
              <w:t>part, at any time and from time to time at a redemption price</w:t>
            </w:r>
          </w:p>
        </w:tc>
      </w:tr>
      <w:tr>
        <w:trPr>
          <w:trHeight w:val="216"/>
        </w:trPr>
        <w:tc>
          <w:tcPr>
            <w:tcW w:w="2760" w:type="dxa"/>
            <w:vAlign w:val="bottom"/>
          </w:tcPr>
          <w:p>
            <w:pPr>
              <w:spacing w:after="0"/>
              <w:rPr>
                <w:sz w:val="18"/>
                <w:szCs w:val="18"/>
                <w:color w:val="auto"/>
              </w:rPr>
            </w:pPr>
          </w:p>
        </w:tc>
        <w:tc>
          <w:tcPr>
            <w:tcW w:w="5420" w:type="dxa"/>
            <w:vAlign w:val="bottom"/>
            <w:gridSpan w:val="7"/>
          </w:tcPr>
          <w:p>
            <w:pPr>
              <w:ind w:left="700"/>
              <w:spacing w:after="0"/>
              <w:rPr>
                <w:sz w:val="20"/>
                <w:szCs w:val="20"/>
                <w:color w:val="auto"/>
              </w:rPr>
            </w:pPr>
            <w:r>
              <w:rPr>
                <w:rFonts w:ascii="Arial" w:cs="Arial" w:eastAsia="Arial" w:hAnsi="Arial"/>
                <w:sz w:val="18"/>
                <w:szCs w:val="18"/>
                <w:color w:val="auto"/>
                <w:w w:val="95"/>
              </w:rPr>
              <w:t>for each series of notes equal to the greater of (i) 100% of the</w:t>
            </w:r>
          </w:p>
        </w:tc>
      </w:tr>
      <w:tr>
        <w:trPr>
          <w:trHeight w:val="216"/>
        </w:trPr>
        <w:tc>
          <w:tcPr>
            <w:tcW w:w="2760" w:type="dxa"/>
            <w:vAlign w:val="bottom"/>
          </w:tcPr>
          <w:p>
            <w:pPr>
              <w:spacing w:after="0"/>
              <w:rPr>
                <w:sz w:val="18"/>
                <w:szCs w:val="18"/>
                <w:color w:val="auto"/>
              </w:rPr>
            </w:pPr>
          </w:p>
        </w:tc>
        <w:tc>
          <w:tcPr>
            <w:tcW w:w="5420" w:type="dxa"/>
            <w:vAlign w:val="bottom"/>
            <w:gridSpan w:val="7"/>
          </w:tcPr>
          <w:p>
            <w:pPr>
              <w:ind w:left="700"/>
              <w:spacing w:after="0"/>
              <w:rPr>
                <w:sz w:val="20"/>
                <w:szCs w:val="20"/>
                <w:color w:val="auto"/>
              </w:rPr>
            </w:pPr>
            <w:r>
              <w:rPr>
                <w:rFonts w:ascii="Arial" w:cs="Arial" w:eastAsia="Arial" w:hAnsi="Arial"/>
                <w:sz w:val="18"/>
                <w:szCs w:val="18"/>
                <w:color w:val="auto"/>
              </w:rPr>
              <w:t>principal amount of the notes to be redeemed and (ii) the</w:t>
            </w:r>
          </w:p>
        </w:tc>
      </w:tr>
      <w:tr>
        <w:trPr>
          <w:trHeight w:val="216"/>
        </w:trPr>
        <w:tc>
          <w:tcPr>
            <w:tcW w:w="2760" w:type="dxa"/>
            <w:vAlign w:val="bottom"/>
          </w:tcPr>
          <w:p>
            <w:pPr>
              <w:spacing w:after="0"/>
              <w:rPr>
                <w:sz w:val="18"/>
                <w:szCs w:val="18"/>
                <w:color w:val="auto"/>
              </w:rPr>
            </w:pPr>
          </w:p>
        </w:tc>
        <w:tc>
          <w:tcPr>
            <w:tcW w:w="5420" w:type="dxa"/>
            <w:vAlign w:val="bottom"/>
            <w:gridSpan w:val="7"/>
          </w:tcPr>
          <w:p>
            <w:pPr>
              <w:ind w:left="700"/>
              <w:spacing w:after="0"/>
              <w:rPr>
                <w:sz w:val="20"/>
                <w:szCs w:val="20"/>
                <w:color w:val="auto"/>
              </w:rPr>
            </w:pPr>
            <w:r>
              <w:rPr>
                <w:rFonts w:ascii="Arial" w:cs="Arial" w:eastAsia="Arial" w:hAnsi="Arial"/>
                <w:sz w:val="18"/>
                <w:szCs w:val="18"/>
                <w:color w:val="auto"/>
              </w:rPr>
              <w:t>make-whole amount (as described in the section entitled</w:t>
            </w:r>
          </w:p>
        </w:tc>
      </w:tr>
      <w:tr>
        <w:trPr>
          <w:trHeight w:val="216"/>
        </w:trPr>
        <w:tc>
          <w:tcPr>
            <w:tcW w:w="2760" w:type="dxa"/>
            <w:vAlign w:val="bottom"/>
          </w:tcPr>
          <w:p>
            <w:pPr>
              <w:spacing w:after="0"/>
              <w:rPr>
                <w:sz w:val="18"/>
                <w:szCs w:val="18"/>
                <w:color w:val="auto"/>
              </w:rPr>
            </w:pPr>
          </w:p>
        </w:tc>
        <w:tc>
          <w:tcPr>
            <w:tcW w:w="5420" w:type="dxa"/>
            <w:vAlign w:val="bottom"/>
            <w:gridSpan w:val="7"/>
          </w:tcPr>
          <w:p>
            <w:pPr>
              <w:ind w:left="700"/>
              <w:spacing w:after="0"/>
              <w:rPr>
                <w:sz w:val="20"/>
                <w:szCs w:val="20"/>
                <w:color w:val="auto"/>
              </w:rPr>
            </w:pPr>
            <w:r>
              <w:rPr>
                <w:rFonts w:ascii="Arial" w:cs="Arial" w:eastAsia="Arial" w:hAnsi="Arial"/>
                <w:sz w:val="18"/>
                <w:szCs w:val="18"/>
                <w:color w:val="auto"/>
              </w:rPr>
              <w:t>“Description of the Notes — Optional Redemption”), plus</w:t>
            </w:r>
          </w:p>
        </w:tc>
      </w:tr>
      <w:tr>
        <w:trPr>
          <w:trHeight w:val="216"/>
        </w:trPr>
        <w:tc>
          <w:tcPr>
            <w:tcW w:w="2760" w:type="dxa"/>
            <w:vAlign w:val="bottom"/>
          </w:tcPr>
          <w:p>
            <w:pPr>
              <w:spacing w:after="0"/>
              <w:rPr>
                <w:sz w:val="18"/>
                <w:szCs w:val="18"/>
                <w:color w:val="auto"/>
              </w:rPr>
            </w:pPr>
          </w:p>
        </w:tc>
        <w:tc>
          <w:tcPr>
            <w:tcW w:w="5420" w:type="dxa"/>
            <w:vAlign w:val="bottom"/>
            <w:gridSpan w:val="7"/>
          </w:tcPr>
          <w:p>
            <w:pPr>
              <w:ind w:left="700"/>
              <w:spacing w:after="0"/>
              <w:rPr>
                <w:sz w:val="20"/>
                <w:szCs w:val="20"/>
                <w:color w:val="auto"/>
              </w:rPr>
            </w:pPr>
            <w:r>
              <w:rPr>
                <w:rFonts w:ascii="Arial" w:cs="Arial" w:eastAsia="Arial" w:hAnsi="Arial"/>
                <w:sz w:val="18"/>
                <w:szCs w:val="18"/>
                <w:color w:val="auto"/>
              </w:rPr>
              <w:t>accrued and unpaid interest thereon to, but excluding, the</w:t>
            </w:r>
          </w:p>
        </w:tc>
      </w:tr>
      <w:tr>
        <w:trPr>
          <w:trHeight w:val="216"/>
        </w:trPr>
        <w:tc>
          <w:tcPr>
            <w:tcW w:w="2760" w:type="dxa"/>
            <w:vAlign w:val="bottom"/>
          </w:tcPr>
          <w:p>
            <w:pPr>
              <w:spacing w:after="0"/>
              <w:rPr>
                <w:sz w:val="18"/>
                <w:szCs w:val="18"/>
                <w:color w:val="auto"/>
              </w:rPr>
            </w:pPr>
          </w:p>
        </w:tc>
        <w:tc>
          <w:tcPr>
            <w:tcW w:w="3760" w:type="dxa"/>
            <w:vAlign w:val="bottom"/>
            <w:gridSpan w:val="5"/>
          </w:tcPr>
          <w:p>
            <w:pPr>
              <w:ind w:left="700"/>
              <w:spacing w:after="0"/>
              <w:rPr>
                <w:sz w:val="20"/>
                <w:szCs w:val="20"/>
                <w:color w:val="auto"/>
              </w:rPr>
            </w:pPr>
            <w:r>
              <w:rPr>
                <w:rFonts w:ascii="Arial" w:cs="Arial" w:eastAsia="Arial" w:hAnsi="Arial"/>
                <w:sz w:val="18"/>
                <w:szCs w:val="18"/>
                <w:color w:val="auto"/>
                <w:w w:val="96"/>
              </w:rPr>
              <w:t>redemption date. In addition, on or after</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 20   in</w:t>
            </w:r>
          </w:p>
        </w:tc>
      </w:tr>
      <w:tr>
        <w:trPr>
          <w:trHeight w:val="216"/>
        </w:trPr>
        <w:tc>
          <w:tcPr>
            <w:tcW w:w="2760" w:type="dxa"/>
            <w:vAlign w:val="bottom"/>
          </w:tcPr>
          <w:p>
            <w:pPr>
              <w:spacing w:after="0"/>
              <w:rPr>
                <w:sz w:val="18"/>
                <w:szCs w:val="18"/>
                <w:color w:val="auto"/>
              </w:rPr>
            </w:pPr>
          </w:p>
        </w:tc>
        <w:tc>
          <w:tcPr>
            <w:tcW w:w="5420" w:type="dxa"/>
            <w:vAlign w:val="bottom"/>
            <w:gridSpan w:val="7"/>
          </w:tcPr>
          <w:p>
            <w:pPr>
              <w:ind w:left="700"/>
              <w:spacing w:after="0"/>
              <w:rPr>
                <w:sz w:val="20"/>
                <w:szCs w:val="20"/>
                <w:color w:val="auto"/>
              </w:rPr>
            </w:pPr>
            <w:r>
              <w:rPr>
                <w:rFonts w:ascii="Arial" w:cs="Arial" w:eastAsia="Arial" w:hAnsi="Arial"/>
                <w:sz w:val="18"/>
                <w:szCs w:val="18"/>
                <w:color w:val="auto"/>
                <w:w w:val="94"/>
              </w:rPr>
              <w:t>the case of the green bonds (three months prior to the maturity</w:t>
            </w:r>
          </w:p>
        </w:tc>
      </w:tr>
      <w:tr>
        <w:trPr>
          <w:trHeight w:val="216"/>
        </w:trPr>
        <w:tc>
          <w:tcPr>
            <w:tcW w:w="2760" w:type="dxa"/>
            <w:vAlign w:val="bottom"/>
          </w:tcPr>
          <w:p>
            <w:pPr>
              <w:spacing w:after="0"/>
              <w:rPr>
                <w:sz w:val="18"/>
                <w:szCs w:val="18"/>
                <w:color w:val="auto"/>
              </w:rPr>
            </w:pPr>
          </w:p>
        </w:tc>
        <w:tc>
          <w:tcPr>
            <w:tcW w:w="3760" w:type="dxa"/>
            <w:vAlign w:val="bottom"/>
            <w:gridSpan w:val="5"/>
          </w:tcPr>
          <w:p>
            <w:pPr>
              <w:ind w:left="700"/>
              <w:spacing w:after="0"/>
              <w:rPr>
                <w:sz w:val="20"/>
                <w:szCs w:val="20"/>
                <w:color w:val="auto"/>
              </w:rPr>
            </w:pPr>
            <w:r>
              <w:rPr>
                <w:rFonts w:ascii="Arial" w:cs="Arial" w:eastAsia="Arial" w:hAnsi="Arial"/>
                <w:sz w:val="18"/>
                <w:szCs w:val="18"/>
                <w:color w:val="auto"/>
              </w:rPr>
              <w:t>date of the green bonds), on or after</w:t>
            </w:r>
          </w:p>
        </w:tc>
        <w:tc>
          <w:tcPr>
            <w:tcW w:w="980" w:type="dxa"/>
            <w:vAlign w:val="bottom"/>
          </w:tcPr>
          <w:p>
            <w:pPr>
              <w:jc w:val="right"/>
              <w:spacing w:after="0"/>
              <w:rPr>
                <w:sz w:val="20"/>
                <w:szCs w:val="20"/>
                <w:color w:val="auto"/>
              </w:rPr>
            </w:pPr>
            <w:r>
              <w:rPr>
                <w:rFonts w:ascii="Arial" w:cs="Arial" w:eastAsia="Arial" w:hAnsi="Arial"/>
                <w:sz w:val="18"/>
                <w:szCs w:val="18"/>
                <w:color w:val="auto"/>
              </w:rPr>
              <w:t>, 20</w:t>
            </w:r>
          </w:p>
        </w:tc>
        <w:tc>
          <w:tcPr>
            <w:tcW w:w="680" w:type="dxa"/>
            <w:vAlign w:val="bottom"/>
          </w:tcPr>
          <w:p>
            <w:pPr>
              <w:jc w:val="right"/>
              <w:spacing w:after="0"/>
              <w:rPr>
                <w:sz w:val="20"/>
                <w:szCs w:val="20"/>
                <w:color w:val="auto"/>
              </w:rPr>
            </w:pPr>
            <w:r>
              <w:rPr>
                <w:rFonts w:ascii="Arial" w:cs="Arial" w:eastAsia="Arial" w:hAnsi="Arial"/>
                <w:sz w:val="18"/>
                <w:szCs w:val="18"/>
                <w:color w:val="auto"/>
              </w:rPr>
              <w:t>in the</w:t>
            </w:r>
          </w:p>
        </w:tc>
      </w:tr>
      <w:tr>
        <w:trPr>
          <w:trHeight w:val="230"/>
        </w:trPr>
        <w:tc>
          <w:tcPr>
            <w:tcW w:w="2760" w:type="dxa"/>
            <w:vAlign w:val="bottom"/>
          </w:tcPr>
          <w:p>
            <w:pPr>
              <w:spacing w:after="0"/>
              <w:rPr>
                <w:sz w:val="20"/>
                <w:szCs w:val="20"/>
                <w:color w:val="auto"/>
              </w:rPr>
            </w:pPr>
          </w:p>
        </w:tc>
        <w:tc>
          <w:tcPr>
            <w:tcW w:w="4740" w:type="dxa"/>
            <w:vAlign w:val="bottom"/>
            <w:gridSpan w:val="6"/>
          </w:tcPr>
          <w:p>
            <w:pPr>
              <w:ind w:left="700"/>
              <w:spacing w:after="0"/>
              <w:rPr>
                <w:sz w:val="20"/>
                <w:szCs w:val="20"/>
                <w:color w:val="auto"/>
              </w:rPr>
            </w:pPr>
            <w:r>
              <w:rPr>
                <w:rFonts w:ascii="Arial" w:cs="Arial" w:eastAsia="Arial" w:hAnsi="Arial"/>
                <w:sz w:val="18"/>
                <w:szCs w:val="18"/>
                <w:color w:val="auto"/>
              </w:rPr>
              <w:t>case of the 20   notes (six months prior to the</w:t>
            </w:r>
          </w:p>
        </w:tc>
        <w:tc>
          <w:tcPr>
            <w:tcW w:w="6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45"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60" w:hanging="179"/>
        <w:spacing w:after="0" w:line="308" w:lineRule="auto"/>
        <w:rPr>
          <w:sz w:val="20"/>
          <w:szCs w:val="20"/>
          <w:color w:val="auto"/>
        </w:rPr>
      </w:pPr>
      <w:r>
        <w:rPr>
          <w:rFonts w:ascii="Arial" w:cs="Arial" w:eastAsia="Arial" w:hAnsi="Arial"/>
          <w:sz w:val="17"/>
          <w:szCs w:val="17"/>
          <w:color w:val="auto"/>
        </w:rPr>
        <w:t>Mandatory Offer to Repurchase Upon a Change of Control Triggering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
        <w:spacing w:after="0"/>
        <w:tabs>
          <w:tab w:leader="none" w:pos="1945" w:val="left"/>
          <w:tab w:leader="none" w:pos="4585" w:val="left"/>
        </w:tabs>
        <w:rPr>
          <w:sz w:val="20"/>
          <w:szCs w:val="20"/>
          <w:color w:val="auto"/>
        </w:rPr>
      </w:pPr>
      <w:r>
        <w:rPr>
          <w:rFonts w:ascii="Arial" w:cs="Arial" w:eastAsia="Arial" w:hAnsi="Arial"/>
          <w:sz w:val="18"/>
          <w:szCs w:val="18"/>
          <w:color w:val="auto"/>
        </w:rPr>
        <w:t>maturity date of the 20</w:t>
        <w:tab/>
        <w:t>notes) and on or after</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6" w:right="439" w:hanging="6"/>
        <w:spacing w:after="0" w:line="252" w:lineRule="auto"/>
        <w:tabs>
          <w:tab w:leader="none" w:pos="42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case of the 20 notes (six months prior to the maturity date of the 20 notes), in each case, we may redeem the notes at a redemption price equal to 100% of the principal amount thereof plus accrued and unpaid interest to, but excluding, the date of redemption. See “Description of the Notes — Optional Redemption.”</w:t>
      </w:r>
    </w:p>
    <w:p>
      <w:pPr>
        <w:spacing w:after="0" w:line="302" w:lineRule="exact"/>
        <w:rPr>
          <w:sz w:val="20"/>
          <w:szCs w:val="20"/>
          <w:color w:val="auto"/>
        </w:rPr>
      </w:pPr>
    </w:p>
    <w:p>
      <w:pPr>
        <w:ind w:left="6" w:right="459"/>
        <w:spacing w:after="0" w:line="272" w:lineRule="auto"/>
        <w:rPr>
          <w:sz w:val="20"/>
          <w:szCs w:val="20"/>
          <w:color w:val="auto"/>
        </w:rPr>
      </w:pPr>
      <w:r>
        <w:rPr>
          <w:rFonts w:ascii="Arial" w:cs="Arial" w:eastAsia="Arial" w:hAnsi="Arial"/>
          <w:sz w:val="17"/>
          <w:szCs w:val="17"/>
          <w:color w:val="auto"/>
        </w:rPr>
        <w:t>Upon the occurrence of a Change of Control Triggering Event (as defined elsewhere in this prospectus supplement), we will be required to make an offer to purchase the notes at a price equal to 101% of their principal amount plus accrued and unpaid interest to, but excluding, the date of purchase. See “Description of the Notes — Repurchase of Notes Upon a Change of Control Triggering Event.”</w:t>
      </w:r>
    </w:p>
    <w:p>
      <w:pPr>
        <w:spacing w:after="0" w:line="69" w:lineRule="exact"/>
        <w:rPr>
          <w:sz w:val="20"/>
          <w:szCs w:val="20"/>
          <w:color w:val="auto"/>
        </w:rPr>
      </w:pPr>
    </w:p>
    <w:p>
      <w:pPr>
        <w:sectPr>
          <w:pgSz w:w="11900" w:h="16838" w:orient="portrait"/>
          <w:cols w:equalWidth="0" w:num="2">
            <w:col w:w="4260" w:space="474"/>
            <w:col w:w="5145"/>
          </w:cols>
          <w:pgMar w:left="580" w:top="131"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Certain Covenants</w:t>
            </w: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w w:val="95"/>
              </w:rPr>
              <w:t>The indenture that will govern each series of notes contains</w:t>
            </w:r>
          </w:p>
        </w:tc>
        <w:tc>
          <w:tcPr>
            <w:tcW w:w="2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w w:val="99"/>
              </w:rPr>
              <w:t>covenants that, subject to significant exceptions, limit our</w:t>
            </w:r>
          </w:p>
        </w:tc>
        <w:tc>
          <w:tcPr>
            <w:tcW w:w="2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5400" w:type="dxa"/>
            <w:vAlign w:val="bottom"/>
            <w:gridSpan w:val="3"/>
          </w:tcPr>
          <w:p>
            <w:pPr>
              <w:ind w:left="660"/>
              <w:spacing w:after="0"/>
              <w:rPr>
                <w:sz w:val="20"/>
                <w:szCs w:val="20"/>
                <w:color w:val="auto"/>
              </w:rPr>
            </w:pPr>
            <w:r>
              <w:rPr>
                <w:rFonts w:ascii="Arial" w:cs="Arial" w:eastAsia="Arial" w:hAnsi="Arial"/>
                <w:sz w:val="18"/>
                <w:szCs w:val="18"/>
                <w:color w:val="auto"/>
              </w:rPr>
              <w:t>ability and/or the ability of our restricted subsidiaries (which</w:t>
            </w:r>
          </w:p>
        </w:tc>
      </w:tr>
      <w:tr>
        <w:trPr>
          <w:trHeight w:val="216"/>
        </w:trPr>
        <w:tc>
          <w:tcPr>
            <w:tcW w:w="2800" w:type="dxa"/>
            <w:vAlign w:val="bottom"/>
          </w:tcPr>
          <w:p>
            <w:pPr>
              <w:spacing w:after="0"/>
              <w:rPr>
                <w:sz w:val="18"/>
                <w:szCs w:val="18"/>
                <w:color w:val="auto"/>
              </w:rPr>
            </w:pPr>
          </w:p>
        </w:tc>
        <w:tc>
          <w:tcPr>
            <w:tcW w:w="5400" w:type="dxa"/>
            <w:vAlign w:val="bottom"/>
            <w:gridSpan w:val="3"/>
          </w:tcPr>
          <w:p>
            <w:pPr>
              <w:ind w:left="660"/>
              <w:spacing w:after="0"/>
              <w:rPr>
                <w:sz w:val="20"/>
                <w:szCs w:val="20"/>
                <w:color w:val="auto"/>
              </w:rPr>
            </w:pPr>
            <w:r>
              <w:rPr>
                <w:rFonts w:ascii="Arial" w:cs="Arial" w:eastAsia="Arial" w:hAnsi="Arial"/>
                <w:sz w:val="18"/>
                <w:szCs w:val="18"/>
                <w:color w:val="auto"/>
                <w:w w:val="98"/>
              </w:rPr>
              <w:t>are generally domestic subsidiaries in which we own at least</w:t>
            </w:r>
          </w:p>
        </w:tc>
      </w:tr>
      <w:tr>
        <w:trPr>
          <w:trHeight w:val="216"/>
        </w:trPr>
        <w:tc>
          <w:tcPr>
            <w:tcW w:w="2800" w:type="dxa"/>
            <w:vAlign w:val="bottom"/>
          </w:tcPr>
          <w:p>
            <w:pPr>
              <w:spacing w:after="0"/>
              <w:rPr>
                <w:sz w:val="18"/>
                <w:szCs w:val="18"/>
                <w:color w:val="auto"/>
              </w:rPr>
            </w:pPr>
          </w:p>
        </w:tc>
        <w:tc>
          <w:tcPr>
            <w:tcW w:w="5400" w:type="dxa"/>
            <w:vAlign w:val="bottom"/>
            <w:gridSpan w:val="3"/>
          </w:tcPr>
          <w:p>
            <w:pPr>
              <w:ind w:left="660"/>
              <w:spacing w:after="0"/>
              <w:rPr>
                <w:sz w:val="20"/>
                <w:szCs w:val="20"/>
                <w:color w:val="auto"/>
              </w:rPr>
            </w:pPr>
            <w:r>
              <w:rPr>
                <w:rFonts w:ascii="Arial" w:cs="Arial" w:eastAsia="Arial" w:hAnsi="Arial"/>
                <w:sz w:val="18"/>
                <w:szCs w:val="18"/>
                <w:color w:val="auto"/>
                <w:w w:val="96"/>
              </w:rPr>
              <w:t>80% of the voting stock and which own Principal Property (as</w:t>
            </w:r>
          </w:p>
        </w:tc>
      </w:tr>
      <w:tr>
        <w:trPr>
          <w:trHeight w:val="230"/>
        </w:trPr>
        <w:tc>
          <w:tcPr>
            <w:tcW w:w="2800" w:type="dxa"/>
            <w:vAlign w:val="bottom"/>
          </w:tcPr>
          <w:p>
            <w:pPr>
              <w:spacing w:after="0"/>
              <w:rPr>
                <w:sz w:val="20"/>
                <w:szCs w:val="20"/>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rPr>
              <w:t>defined herein)) to:</w:t>
            </w:r>
          </w:p>
        </w:tc>
        <w:tc>
          <w:tcPr>
            <w:tcW w:w="200" w:type="dxa"/>
            <w:vAlign w:val="bottom"/>
          </w:tcPr>
          <w:p>
            <w:pPr>
              <w:spacing w:after="0"/>
              <w:rPr>
                <w:sz w:val="20"/>
                <w:szCs w:val="20"/>
                <w:color w:val="auto"/>
              </w:rPr>
            </w:pPr>
          </w:p>
        </w:tc>
      </w:tr>
      <w:tr>
        <w:trPr>
          <w:trHeight w:val="337"/>
        </w:trPr>
        <w:tc>
          <w:tcPr>
            <w:tcW w:w="2800" w:type="dxa"/>
            <w:vAlign w:val="bottom"/>
          </w:tcPr>
          <w:p>
            <w:pPr>
              <w:spacing w:after="0"/>
              <w:rPr>
                <w:sz w:val="24"/>
                <w:szCs w:val="24"/>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rPr>
              <w:t>•</w:t>
            </w: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w w:val="97"/>
              </w:rPr>
              <w:t>create or incur certain liens on Principal Property owned</w:t>
            </w:r>
          </w:p>
        </w:tc>
      </w:tr>
      <w:tr>
        <w:trPr>
          <w:trHeight w:val="216"/>
        </w:trPr>
        <w:tc>
          <w:tcPr>
            <w:tcW w:w="2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w w:val="97"/>
              </w:rPr>
              <w:t>by us or a Restricted Subsidiary and shares of capital</w:t>
            </w:r>
          </w:p>
        </w:tc>
        <w:tc>
          <w:tcPr>
            <w:tcW w:w="2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w w:val="97"/>
              </w:rPr>
              <w:t>stock of any restricted subsidiary and enter into sale and</w:t>
            </w:r>
          </w:p>
        </w:tc>
      </w:tr>
      <w:tr>
        <w:trPr>
          <w:trHeight w:val="216"/>
        </w:trPr>
        <w:tc>
          <w:tcPr>
            <w:tcW w:w="2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w w:val="94"/>
              </w:rPr>
              <w:t>lease-back transactions with respect to Principal Property;</w:t>
            </w:r>
          </w:p>
        </w:tc>
      </w:tr>
      <w:tr>
        <w:trPr>
          <w:trHeight w:val="230"/>
        </w:trPr>
        <w:tc>
          <w:tcPr>
            <w:tcW w:w="2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and</w:t>
            </w:r>
          </w:p>
        </w:tc>
        <w:tc>
          <w:tcPr>
            <w:tcW w:w="200" w:type="dxa"/>
            <w:vAlign w:val="bottom"/>
          </w:tcPr>
          <w:p>
            <w:pPr>
              <w:spacing w:after="0"/>
              <w:rPr>
                <w:sz w:val="20"/>
                <w:szCs w:val="20"/>
                <w:color w:val="auto"/>
              </w:rPr>
            </w:pPr>
          </w:p>
        </w:tc>
      </w:tr>
      <w:tr>
        <w:trPr>
          <w:trHeight w:val="350"/>
        </w:trPr>
        <w:tc>
          <w:tcPr>
            <w:tcW w:w="2800" w:type="dxa"/>
            <w:vAlign w:val="bottom"/>
          </w:tcPr>
          <w:p>
            <w:pPr>
              <w:spacing w:after="0"/>
              <w:rPr>
                <w:sz w:val="24"/>
                <w:szCs w:val="24"/>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rPr>
              <w:t>•</w:t>
            </w:r>
          </w:p>
        </w:tc>
        <w:tc>
          <w:tcPr>
            <w:tcW w:w="4340" w:type="dxa"/>
            <w:vAlign w:val="bottom"/>
          </w:tcPr>
          <w:p>
            <w:pPr>
              <w:ind w:left="160"/>
              <w:spacing w:after="0"/>
              <w:rPr>
                <w:sz w:val="20"/>
                <w:szCs w:val="20"/>
                <w:color w:val="auto"/>
              </w:rPr>
            </w:pPr>
            <w:r>
              <w:rPr>
                <w:rFonts w:ascii="Arial" w:cs="Arial" w:eastAsia="Arial" w:hAnsi="Arial"/>
                <w:sz w:val="18"/>
                <w:szCs w:val="18"/>
                <w:color w:val="auto"/>
              </w:rPr>
              <w:t>consolidate with or merge with or into, or convey,</w:t>
            </w:r>
          </w:p>
        </w:tc>
        <w:tc>
          <w:tcPr>
            <w:tcW w:w="20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w w:val="95"/>
              </w:rPr>
              <w:t>transfer or lease all or substantially all of our assets, to</w:t>
            </w:r>
          </w:p>
        </w:tc>
        <w:tc>
          <w:tcPr>
            <w:tcW w:w="2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another person.</w:t>
            </w:r>
          </w:p>
        </w:tc>
        <w:tc>
          <w:tcPr>
            <w:tcW w:w="200" w:type="dxa"/>
            <w:vAlign w:val="bottom"/>
          </w:tcPr>
          <w:p>
            <w:pPr>
              <w:spacing w:after="0"/>
              <w:rPr>
                <w:sz w:val="20"/>
                <w:szCs w:val="20"/>
                <w:color w:val="auto"/>
              </w:rPr>
            </w:pPr>
          </w:p>
        </w:tc>
      </w:tr>
      <w:tr>
        <w:trPr>
          <w:trHeight w:val="323"/>
        </w:trPr>
        <w:tc>
          <w:tcPr>
            <w:tcW w:w="2800" w:type="dxa"/>
            <w:vAlign w:val="bottom"/>
          </w:tcPr>
          <w:p>
            <w:pPr>
              <w:spacing w:after="0"/>
              <w:rPr>
                <w:sz w:val="24"/>
                <w:szCs w:val="24"/>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rPr>
              <w:t>These covenants are subject to a number of important</w:t>
            </w:r>
          </w:p>
        </w:tc>
        <w:tc>
          <w:tcPr>
            <w:tcW w:w="200" w:type="dxa"/>
            <w:vAlign w:val="bottom"/>
          </w:tcPr>
          <w:p>
            <w:pPr>
              <w:spacing w:after="0"/>
              <w:rPr>
                <w:sz w:val="24"/>
                <w:szCs w:val="24"/>
                <w:color w:val="auto"/>
              </w:rPr>
            </w:pPr>
          </w:p>
        </w:tc>
      </w:tr>
      <w:tr>
        <w:trPr>
          <w:trHeight w:val="203"/>
        </w:trPr>
        <w:tc>
          <w:tcPr>
            <w:tcW w:w="2800" w:type="dxa"/>
            <w:vAlign w:val="bottom"/>
          </w:tcPr>
          <w:p>
            <w:pPr>
              <w:spacing w:after="0"/>
              <w:rPr>
                <w:sz w:val="17"/>
                <w:szCs w:val="17"/>
                <w:color w:val="auto"/>
              </w:rPr>
            </w:pPr>
          </w:p>
        </w:tc>
        <w:tc>
          <w:tcPr>
            <w:tcW w:w="5400" w:type="dxa"/>
            <w:vAlign w:val="bottom"/>
            <w:gridSpan w:val="3"/>
          </w:tcPr>
          <w:p>
            <w:pPr>
              <w:ind w:left="660"/>
              <w:spacing w:after="0" w:line="202" w:lineRule="exact"/>
              <w:rPr>
                <w:sz w:val="20"/>
                <w:szCs w:val="20"/>
                <w:color w:val="auto"/>
              </w:rPr>
            </w:pPr>
            <w:r>
              <w:rPr>
                <w:rFonts w:ascii="Arial" w:cs="Arial" w:eastAsia="Arial" w:hAnsi="Arial"/>
                <w:sz w:val="18"/>
                <w:szCs w:val="18"/>
                <w:color w:val="auto"/>
                <w:w w:val="97"/>
              </w:rPr>
              <w:t>limitations and exceptions as described under “Description of</w:t>
            </w:r>
          </w:p>
        </w:tc>
      </w:tr>
      <w:tr>
        <w:trPr>
          <w:trHeight w:val="230"/>
        </w:trPr>
        <w:tc>
          <w:tcPr>
            <w:tcW w:w="2800" w:type="dxa"/>
            <w:vAlign w:val="bottom"/>
          </w:tcPr>
          <w:p>
            <w:pPr>
              <w:spacing w:after="0"/>
              <w:rPr>
                <w:sz w:val="20"/>
                <w:szCs w:val="20"/>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rPr>
              <w:t>the Notes — Certain Covenants.”</w:t>
            </w:r>
          </w:p>
        </w:tc>
        <w:tc>
          <w:tcPr>
            <w:tcW w:w="200" w:type="dxa"/>
            <w:vAlign w:val="bottom"/>
          </w:tcPr>
          <w:p>
            <w:pPr>
              <w:spacing w:after="0"/>
              <w:rPr>
                <w:sz w:val="20"/>
                <w:szCs w:val="20"/>
                <w:color w:val="auto"/>
              </w:rPr>
            </w:pPr>
          </w:p>
        </w:tc>
      </w:tr>
      <w:tr>
        <w:trPr>
          <w:trHeight w:val="296"/>
        </w:trPr>
        <w:tc>
          <w:tcPr>
            <w:tcW w:w="2800" w:type="dxa"/>
            <w:vAlign w:val="bottom"/>
          </w:tcPr>
          <w:p>
            <w:pPr>
              <w:spacing w:after="0"/>
              <w:rPr>
                <w:sz w:val="20"/>
                <w:szCs w:val="20"/>
                <w:color w:val="auto"/>
              </w:rPr>
            </w:pPr>
            <w:r>
              <w:rPr>
                <w:rFonts w:ascii="Arial" w:cs="Arial" w:eastAsia="Arial" w:hAnsi="Arial"/>
                <w:sz w:val="18"/>
                <w:szCs w:val="18"/>
                <w:color w:val="auto"/>
              </w:rPr>
              <w:t>No Prior Market; No Listing</w:t>
            </w:r>
          </w:p>
        </w:tc>
        <w:tc>
          <w:tcPr>
            <w:tcW w:w="5400" w:type="dxa"/>
            <w:vAlign w:val="bottom"/>
            <w:gridSpan w:val="3"/>
          </w:tcPr>
          <w:p>
            <w:pPr>
              <w:ind w:left="660"/>
              <w:spacing w:after="0"/>
              <w:rPr>
                <w:sz w:val="20"/>
                <w:szCs w:val="20"/>
                <w:color w:val="auto"/>
              </w:rPr>
            </w:pPr>
            <w:r>
              <w:rPr>
                <w:rFonts w:ascii="Arial" w:cs="Arial" w:eastAsia="Arial" w:hAnsi="Arial"/>
                <w:sz w:val="18"/>
                <w:szCs w:val="18"/>
                <w:color w:val="auto"/>
                <w:w w:val="98"/>
              </w:rPr>
              <w:t>The notes will be a new issue of securities for which there is</w:t>
            </w:r>
          </w:p>
        </w:tc>
      </w:tr>
      <w:tr>
        <w:trPr>
          <w:trHeight w:val="216"/>
        </w:trPr>
        <w:tc>
          <w:tcPr>
            <w:tcW w:w="2800" w:type="dxa"/>
            <w:vAlign w:val="bottom"/>
          </w:tcPr>
          <w:p>
            <w:pPr>
              <w:spacing w:after="0"/>
              <w:rPr>
                <w:sz w:val="18"/>
                <w:szCs w:val="18"/>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rPr>
              <w:t>currently no established public market. Although the</w:t>
            </w:r>
          </w:p>
        </w:tc>
        <w:tc>
          <w:tcPr>
            <w:tcW w:w="2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w w:val="99"/>
              </w:rPr>
              <w:t>underwriters have informed us that they intend to make a</w:t>
            </w:r>
          </w:p>
        </w:tc>
        <w:tc>
          <w:tcPr>
            <w:tcW w:w="2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w w:val="94"/>
              </w:rPr>
              <w:t>market in the notes, they are not obligated to do so and may</w:t>
            </w:r>
          </w:p>
        </w:tc>
        <w:tc>
          <w:tcPr>
            <w:tcW w:w="2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w w:val="96"/>
              </w:rPr>
              <w:t>discontinue market-making with respect to the notes at any</w:t>
            </w:r>
          </w:p>
        </w:tc>
        <w:tc>
          <w:tcPr>
            <w:tcW w:w="2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5400" w:type="dxa"/>
            <w:vAlign w:val="bottom"/>
            <w:gridSpan w:val="3"/>
          </w:tcPr>
          <w:p>
            <w:pPr>
              <w:ind w:left="660"/>
              <w:spacing w:after="0"/>
              <w:rPr>
                <w:sz w:val="20"/>
                <w:szCs w:val="20"/>
                <w:color w:val="auto"/>
              </w:rPr>
            </w:pPr>
            <w:r>
              <w:rPr>
                <w:rFonts w:ascii="Arial" w:cs="Arial" w:eastAsia="Arial" w:hAnsi="Arial"/>
                <w:sz w:val="18"/>
                <w:szCs w:val="18"/>
                <w:color w:val="auto"/>
                <w:w w:val="97"/>
              </w:rPr>
              <w:t>time without notice. Accordingly, a liquid market for the notes</w:t>
            </w:r>
          </w:p>
        </w:tc>
      </w:tr>
      <w:tr>
        <w:trPr>
          <w:trHeight w:val="216"/>
        </w:trPr>
        <w:tc>
          <w:tcPr>
            <w:tcW w:w="2800" w:type="dxa"/>
            <w:vAlign w:val="bottom"/>
          </w:tcPr>
          <w:p>
            <w:pPr>
              <w:spacing w:after="0"/>
              <w:rPr>
                <w:sz w:val="18"/>
                <w:szCs w:val="18"/>
                <w:color w:val="auto"/>
              </w:rPr>
            </w:pPr>
          </w:p>
        </w:tc>
        <w:tc>
          <w:tcPr>
            <w:tcW w:w="5400" w:type="dxa"/>
            <w:vAlign w:val="bottom"/>
            <w:gridSpan w:val="3"/>
          </w:tcPr>
          <w:p>
            <w:pPr>
              <w:ind w:left="660"/>
              <w:spacing w:after="0"/>
              <w:rPr>
                <w:sz w:val="20"/>
                <w:szCs w:val="20"/>
                <w:color w:val="auto"/>
              </w:rPr>
            </w:pPr>
            <w:r>
              <w:rPr>
                <w:rFonts w:ascii="Arial" w:cs="Arial" w:eastAsia="Arial" w:hAnsi="Arial"/>
                <w:sz w:val="18"/>
                <w:szCs w:val="18"/>
                <w:color w:val="auto"/>
                <w:w w:val="95"/>
              </w:rPr>
              <w:t>may not develop or be maintained. See “Risk Factors — Risks</w:t>
            </w:r>
          </w:p>
        </w:tc>
      </w:tr>
      <w:tr>
        <w:trPr>
          <w:trHeight w:val="216"/>
        </w:trPr>
        <w:tc>
          <w:tcPr>
            <w:tcW w:w="2800" w:type="dxa"/>
            <w:vAlign w:val="bottom"/>
          </w:tcPr>
          <w:p>
            <w:pPr>
              <w:spacing w:after="0"/>
              <w:rPr>
                <w:sz w:val="18"/>
                <w:szCs w:val="18"/>
                <w:color w:val="auto"/>
              </w:rPr>
            </w:pPr>
          </w:p>
        </w:tc>
        <w:tc>
          <w:tcPr>
            <w:tcW w:w="5400" w:type="dxa"/>
            <w:vAlign w:val="bottom"/>
            <w:gridSpan w:val="3"/>
          </w:tcPr>
          <w:p>
            <w:pPr>
              <w:ind w:left="660"/>
              <w:spacing w:after="0"/>
              <w:rPr>
                <w:sz w:val="20"/>
                <w:szCs w:val="20"/>
                <w:color w:val="auto"/>
              </w:rPr>
            </w:pPr>
            <w:r>
              <w:rPr>
                <w:rFonts w:ascii="Arial" w:cs="Arial" w:eastAsia="Arial" w:hAnsi="Arial"/>
                <w:sz w:val="18"/>
                <w:szCs w:val="18"/>
                <w:color w:val="auto"/>
                <w:w w:val="97"/>
              </w:rPr>
              <w:t>Related to the Notes — Your ability to transfer the notes may</w:t>
            </w:r>
          </w:p>
        </w:tc>
      </w:tr>
      <w:tr>
        <w:trPr>
          <w:trHeight w:val="216"/>
        </w:trPr>
        <w:tc>
          <w:tcPr>
            <w:tcW w:w="2800" w:type="dxa"/>
            <w:vAlign w:val="bottom"/>
          </w:tcPr>
          <w:p>
            <w:pPr>
              <w:spacing w:after="0"/>
              <w:rPr>
                <w:sz w:val="18"/>
                <w:szCs w:val="18"/>
                <w:color w:val="auto"/>
              </w:rPr>
            </w:pPr>
          </w:p>
        </w:tc>
        <w:tc>
          <w:tcPr>
            <w:tcW w:w="5400" w:type="dxa"/>
            <w:vAlign w:val="bottom"/>
            <w:gridSpan w:val="3"/>
          </w:tcPr>
          <w:p>
            <w:pPr>
              <w:ind w:left="660"/>
              <w:spacing w:after="0"/>
              <w:rPr>
                <w:sz w:val="20"/>
                <w:szCs w:val="20"/>
                <w:color w:val="auto"/>
              </w:rPr>
            </w:pPr>
            <w:r>
              <w:rPr>
                <w:rFonts w:ascii="Arial" w:cs="Arial" w:eastAsia="Arial" w:hAnsi="Arial"/>
                <w:sz w:val="18"/>
                <w:szCs w:val="18"/>
                <w:color w:val="auto"/>
                <w:w w:val="97"/>
              </w:rPr>
              <w:t>be limited by the absence of an active trading market, and an</w:t>
            </w:r>
          </w:p>
        </w:tc>
      </w:tr>
      <w:tr>
        <w:trPr>
          <w:trHeight w:val="230"/>
        </w:trPr>
        <w:tc>
          <w:tcPr>
            <w:tcW w:w="2800" w:type="dxa"/>
            <w:vAlign w:val="bottom"/>
          </w:tcPr>
          <w:p>
            <w:pPr>
              <w:spacing w:after="0"/>
              <w:rPr>
                <w:sz w:val="20"/>
                <w:szCs w:val="20"/>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rPr>
              <w:t>active trading market may not develop for the notes.”</w:t>
            </w:r>
          </w:p>
        </w:tc>
        <w:tc>
          <w:tcPr>
            <w:tcW w:w="200" w:type="dxa"/>
            <w:vAlign w:val="bottom"/>
          </w:tcPr>
          <w:p>
            <w:pPr>
              <w:spacing w:after="0"/>
              <w:rPr>
                <w:sz w:val="20"/>
                <w:szCs w:val="20"/>
                <w:color w:val="auto"/>
              </w:rPr>
            </w:pPr>
          </w:p>
        </w:tc>
      </w:tr>
      <w:tr>
        <w:trPr>
          <w:trHeight w:val="337"/>
        </w:trPr>
        <w:tc>
          <w:tcPr>
            <w:tcW w:w="2800" w:type="dxa"/>
            <w:vAlign w:val="bottom"/>
          </w:tcPr>
          <w:p>
            <w:pPr>
              <w:spacing w:after="0"/>
              <w:rPr>
                <w:sz w:val="24"/>
                <w:szCs w:val="24"/>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w w:val="96"/>
              </w:rPr>
              <w:t>We do not intend to apply for the listing of the notes on any</w:t>
            </w:r>
          </w:p>
        </w:tc>
        <w:tc>
          <w:tcPr>
            <w:tcW w:w="200" w:type="dxa"/>
            <w:vAlign w:val="bottom"/>
          </w:tcPr>
          <w:p>
            <w:pPr>
              <w:spacing w:after="0"/>
              <w:rPr>
                <w:sz w:val="24"/>
                <w:szCs w:val="24"/>
                <w:color w:val="auto"/>
              </w:rPr>
            </w:pPr>
          </w:p>
        </w:tc>
      </w:tr>
      <w:tr>
        <w:trPr>
          <w:trHeight w:val="203"/>
        </w:trPr>
        <w:tc>
          <w:tcPr>
            <w:tcW w:w="2800" w:type="dxa"/>
            <w:vAlign w:val="bottom"/>
          </w:tcPr>
          <w:p>
            <w:pPr>
              <w:spacing w:after="0"/>
              <w:rPr>
                <w:sz w:val="17"/>
                <w:szCs w:val="17"/>
                <w:color w:val="auto"/>
              </w:rPr>
            </w:pPr>
          </w:p>
        </w:tc>
        <w:tc>
          <w:tcPr>
            <w:tcW w:w="520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6"/>
              </w:rPr>
              <w:t>securities exchange or for the quotation of the notes in any</w:t>
            </w:r>
          </w:p>
        </w:tc>
        <w:tc>
          <w:tcPr>
            <w:tcW w:w="200" w:type="dxa"/>
            <w:vAlign w:val="bottom"/>
          </w:tcPr>
          <w:p>
            <w:pPr>
              <w:spacing w:after="0"/>
              <w:rPr>
                <w:sz w:val="17"/>
                <w:szCs w:val="17"/>
                <w:color w:val="auto"/>
              </w:rPr>
            </w:pPr>
          </w:p>
        </w:tc>
      </w:tr>
      <w:tr>
        <w:trPr>
          <w:trHeight w:val="230"/>
        </w:trPr>
        <w:tc>
          <w:tcPr>
            <w:tcW w:w="2800" w:type="dxa"/>
            <w:vAlign w:val="bottom"/>
          </w:tcPr>
          <w:p>
            <w:pPr>
              <w:spacing w:after="0"/>
              <w:rPr>
                <w:sz w:val="20"/>
                <w:szCs w:val="20"/>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rPr>
              <w:t>dealer quotation system.</w:t>
            </w:r>
          </w:p>
        </w:tc>
        <w:tc>
          <w:tcPr>
            <w:tcW w:w="200" w:type="dxa"/>
            <w:vAlign w:val="bottom"/>
          </w:tcPr>
          <w:p>
            <w:pPr>
              <w:spacing w:after="0"/>
              <w:rPr>
                <w:sz w:val="20"/>
                <w:szCs w:val="20"/>
                <w:color w:val="auto"/>
              </w:rPr>
            </w:pPr>
          </w:p>
        </w:tc>
      </w:tr>
      <w:tr>
        <w:trPr>
          <w:trHeight w:val="296"/>
        </w:trPr>
        <w:tc>
          <w:tcPr>
            <w:tcW w:w="2800" w:type="dxa"/>
            <w:vAlign w:val="bottom"/>
          </w:tcPr>
          <w:p>
            <w:pPr>
              <w:spacing w:after="0"/>
              <w:rPr>
                <w:sz w:val="20"/>
                <w:szCs w:val="20"/>
                <w:color w:val="auto"/>
              </w:rPr>
            </w:pPr>
            <w:r>
              <w:rPr>
                <w:rFonts w:ascii="Arial" w:cs="Arial" w:eastAsia="Arial" w:hAnsi="Arial"/>
                <w:sz w:val="18"/>
                <w:szCs w:val="18"/>
                <w:color w:val="auto"/>
              </w:rPr>
              <w:t>Use of Proceeds</w:t>
            </w:r>
          </w:p>
        </w:tc>
        <w:tc>
          <w:tcPr>
            <w:tcW w:w="5400" w:type="dxa"/>
            <w:vAlign w:val="bottom"/>
            <w:gridSpan w:val="3"/>
          </w:tcPr>
          <w:p>
            <w:pPr>
              <w:ind w:left="660"/>
              <w:spacing w:after="0"/>
              <w:rPr>
                <w:sz w:val="20"/>
                <w:szCs w:val="20"/>
                <w:color w:val="auto"/>
              </w:rPr>
            </w:pPr>
            <w:r>
              <w:rPr>
                <w:rFonts w:ascii="Arial" w:cs="Arial" w:eastAsia="Arial" w:hAnsi="Arial"/>
                <w:sz w:val="18"/>
                <w:szCs w:val="18"/>
                <w:color w:val="auto"/>
                <w:w w:val="96"/>
              </w:rPr>
              <w:t>We estimate net proceeds from the sale of the 20   notes and</w:t>
            </w:r>
          </w:p>
        </w:tc>
      </w:tr>
      <w:tr>
        <w:trPr>
          <w:trHeight w:val="216"/>
        </w:trPr>
        <w:tc>
          <w:tcPr>
            <w:tcW w:w="2800" w:type="dxa"/>
            <w:vAlign w:val="bottom"/>
          </w:tcPr>
          <w:p>
            <w:pPr>
              <w:spacing w:after="0"/>
              <w:rPr>
                <w:sz w:val="18"/>
                <w:szCs w:val="18"/>
                <w:color w:val="auto"/>
              </w:rPr>
            </w:pPr>
          </w:p>
        </w:tc>
        <w:tc>
          <w:tcPr>
            <w:tcW w:w="5400" w:type="dxa"/>
            <w:vAlign w:val="bottom"/>
            <w:gridSpan w:val="3"/>
          </w:tcPr>
          <w:p>
            <w:pPr>
              <w:ind w:left="660"/>
              <w:spacing w:after="0"/>
              <w:rPr>
                <w:sz w:val="20"/>
                <w:szCs w:val="20"/>
                <w:color w:val="auto"/>
              </w:rPr>
            </w:pPr>
            <w:r>
              <w:rPr>
                <w:rFonts w:ascii="Arial" w:cs="Arial" w:eastAsia="Arial" w:hAnsi="Arial"/>
                <w:sz w:val="18"/>
                <w:szCs w:val="18"/>
                <w:color w:val="auto"/>
                <w:w w:val="97"/>
              </w:rPr>
              <w:t>the 20   notes, after deducting underwriter discount and other</w:t>
            </w:r>
          </w:p>
        </w:tc>
      </w:tr>
      <w:tr>
        <w:trPr>
          <w:trHeight w:val="216"/>
        </w:trPr>
        <w:tc>
          <w:tcPr>
            <w:tcW w:w="2800" w:type="dxa"/>
            <w:vAlign w:val="bottom"/>
          </w:tcPr>
          <w:p>
            <w:pPr>
              <w:spacing w:after="0"/>
              <w:rPr>
                <w:sz w:val="18"/>
                <w:szCs w:val="18"/>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rPr>
              <w:t>estimated offering expenses, will be approximately $</w:t>
            </w:r>
          </w:p>
        </w:tc>
        <w:tc>
          <w:tcPr>
            <w:tcW w:w="200" w:type="dxa"/>
            <w:vAlign w:val="bottom"/>
          </w:tcPr>
          <w:p>
            <w:pPr>
              <w:jc w:val="right"/>
              <w:ind w:right="50"/>
              <w:spacing w:after="0"/>
              <w:rPr>
                <w:sz w:val="20"/>
                <w:szCs w:val="20"/>
                <w:color w:val="auto"/>
              </w:rPr>
            </w:pPr>
            <w:r>
              <w:rPr>
                <w:rFonts w:ascii="Arial" w:cs="Arial" w:eastAsia="Arial" w:hAnsi="Arial"/>
                <w:sz w:val="18"/>
                <w:szCs w:val="18"/>
                <w:color w:val="auto"/>
                <w:w w:val="78"/>
              </w:rPr>
              <w:t>.</w:t>
            </w:r>
          </w:p>
        </w:tc>
      </w:tr>
      <w:tr>
        <w:trPr>
          <w:trHeight w:val="230"/>
        </w:trPr>
        <w:tc>
          <w:tcPr>
            <w:tcW w:w="2800" w:type="dxa"/>
            <w:vAlign w:val="bottom"/>
          </w:tcPr>
          <w:p>
            <w:pPr>
              <w:spacing w:after="0"/>
              <w:rPr>
                <w:sz w:val="20"/>
                <w:szCs w:val="20"/>
                <w:color w:val="auto"/>
              </w:rPr>
            </w:pPr>
          </w:p>
        </w:tc>
        <w:tc>
          <w:tcPr>
            <w:tcW w:w="5200" w:type="dxa"/>
            <w:vAlign w:val="bottom"/>
            <w:gridSpan w:val="2"/>
          </w:tcPr>
          <w:p>
            <w:pPr>
              <w:ind w:left="660"/>
              <w:spacing w:after="0"/>
              <w:rPr>
                <w:sz w:val="20"/>
                <w:szCs w:val="20"/>
                <w:color w:val="auto"/>
              </w:rPr>
            </w:pPr>
            <w:r>
              <w:rPr>
                <w:rFonts w:ascii="Arial" w:cs="Arial" w:eastAsia="Arial" w:hAnsi="Arial"/>
                <w:sz w:val="18"/>
                <w:szCs w:val="18"/>
                <w:color w:val="auto"/>
                <w:w w:val="98"/>
              </w:rPr>
              <w:t>We intend to use the net proceeds from the sale of the 20</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8"/>
              </w:rPr>
              <w:t>notes and the 20   notes, together with cash on hand, for the</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7"/>
              </w:rPr>
              <w:t>redemption of our 2.497% Senior Notes due 2023 (the “2023</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notes”) and our 4.640% Senior Notes due 2024 (the “2024</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7"/>
              </w:rPr>
              <w:t>notes”). We estimate net proceeds from the sale of the green</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bonds, after deducting underwriter discount and estimated</w:t>
            </w:r>
          </w:p>
        </w:tc>
      </w:tr>
      <w:tr>
        <w:trPr>
          <w:trHeight w:val="216"/>
        </w:trPr>
        <w:tc>
          <w:tcPr>
            <w:tcW w:w="31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offering expenses, will be approximately $</w:t>
            </w:r>
          </w:p>
        </w:tc>
        <w:tc>
          <w:tcPr>
            <w:tcW w:w="1040" w:type="dxa"/>
            <w:vAlign w:val="bottom"/>
          </w:tcPr>
          <w:p>
            <w:pPr>
              <w:ind w:left="80"/>
              <w:spacing w:after="0"/>
              <w:rPr>
                <w:sz w:val="20"/>
                <w:szCs w:val="20"/>
                <w:color w:val="auto"/>
              </w:rPr>
            </w:pPr>
            <w:r>
              <w:rPr>
                <w:rFonts w:ascii="Arial" w:cs="Arial" w:eastAsia="Arial" w:hAnsi="Arial"/>
                <w:sz w:val="18"/>
                <w:szCs w:val="18"/>
                <w:color w:val="auto"/>
              </w:rPr>
              <w:t>. We intend</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to use the net proceeds of the green bonds to finance or</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refinance, in whole or in part, one or more Eligible Projects</w:t>
            </w:r>
          </w:p>
        </w:tc>
      </w:tr>
      <w:tr>
        <w:trPr>
          <w:trHeight w:val="230"/>
        </w:trPr>
        <w:tc>
          <w:tcPr>
            <w:tcW w:w="310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(as defined herein). See “Use of Proceeds.”</w:t>
            </w:r>
          </w:p>
        </w:tc>
        <w:tc>
          <w:tcPr>
            <w:tcW w:w="1040" w:type="dxa"/>
            <w:vAlign w:val="bottom"/>
          </w:tcPr>
          <w:p>
            <w:pPr>
              <w:spacing w:after="0"/>
              <w:rPr>
                <w:sz w:val="20"/>
                <w:szCs w:val="20"/>
                <w:color w:val="auto"/>
              </w:rPr>
            </w:pPr>
          </w:p>
        </w:tc>
      </w:tr>
      <w:tr>
        <w:trPr>
          <w:trHeight w:val="310"/>
        </w:trPr>
        <w:tc>
          <w:tcPr>
            <w:tcW w:w="3100" w:type="dxa"/>
            <w:vAlign w:val="bottom"/>
          </w:tcPr>
          <w:p>
            <w:pPr>
              <w:spacing w:after="0"/>
              <w:rPr>
                <w:sz w:val="20"/>
                <w:szCs w:val="20"/>
                <w:color w:val="auto"/>
              </w:rPr>
            </w:pPr>
            <w:r>
              <w:rPr>
                <w:rFonts w:ascii="Arial" w:cs="Arial" w:eastAsia="Arial" w:hAnsi="Arial"/>
                <w:sz w:val="18"/>
                <w:szCs w:val="18"/>
                <w:color w:val="auto"/>
              </w:rPr>
              <w:t>Risk Factors</w:t>
            </w: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9"/>
              </w:rPr>
              <w:t>You should carefully consider all of the information set forth</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in this prospectus supplement and the accompanying</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prospectus and the documents, including the information</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7"/>
              </w:rPr>
              <w:t>incorporated by reference, and, in particular, should evaluate</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the specific factors set forth in this prospectus supplement</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under “Risk Factors” for an explanation of certain risks you</w:t>
            </w:r>
          </w:p>
        </w:tc>
      </w:tr>
      <w:tr>
        <w:trPr>
          <w:trHeight w:val="230"/>
        </w:trPr>
        <w:tc>
          <w:tcPr>
            <w:tcW w:w="310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should consider before investing in the notes.</w:t>
            </w:r>
          </w:p>
        </w:tc>
        <w:tc>
          <w:tcPr>
            <w:tcW w:w="1040" w:type="dxa"/>
            <w:vAlign w:val="bottom"/>
          </w:tcPr>
          <w:p>
            <w:pPr>
              <w:spacing w:after="0"/>
              <w:rPr>
                <w:sz w:val="20"/>
                <w:szCs w:val="20"/>
                <w:color w:val="auto"/>
              </w:rPr>
            </w:pPr>
          </w:p>
        </w:tc>
      </w:tr>
      <w:tr>
        <w:trPr>
          <w:trHeight w:val="310"/>
        </w:trPr>
        <w:tc>
          <w:tcPr>
            <w:tcW w:w="3100" w:type="dxa"/>
            <w:vAlign w:val="bottom"/>
          </w:tcPr>
          <w:p>
            <w:pPr>
              <w:spacing w:after="0"/>
              <w:rPr>
                <w:sz w:val="20"/>
                <w:szCs w:val="20"/>
                <w:color w:val="auto"/>
              </w:rPr>
            </w:pPr>
            <w:r>
              <w:rPr>
                <w:rFonts w:ascii="Arial" w:cs="Arial" w:eastAsia="Arial" w:hAnsi="Arial"/>
                <w:sz w:val="18"/>
                <w:szCs w:val="18"/>
                <w:color w:val="auto"/>
              </w:rPr>
              <w:t>Form and Denomination</w:t>
            </w: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The notes will be issued in the form of one or more fully</w:t>
            </w:r>
          </w:p>
        </w:tc>
      </w:tr>
      <w:tr>
        <w:trPr>
          <w:trHeight w:val="216"/>
        </w:trPr>
        <w:tc>
          <w:tcPr>
            <w:tcW w:w="31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w w:val="97"/>
              </w:rPr>
              <w:t>registered global securities, without coupons, in</w:t>
            </w:r>
          </w:p>
        </w:tc>
        <w:tc>
          <w:tcPr>
            <w:tcW w:w="104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denominations of $2,000 in principal amount and integral</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7"/>
              </w:rPr>
              <w:t>multiples of $1,000 in excess thereof. These global notes will</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6"/>
              </w:rPr>
              <w:t>be deposited with the trustee as custodian for, and registered</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7"/>
              </w:rPr>
              <w:t>in the name of, a nominee of The Depository Trust Company</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7"/>
              </w:rPr>
              <w:t>(“DTC”). Except in the limited circumstances described under</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6"/>
              </w:rPr>
              <w:t>“Description of the Notes — Book-Entry, Form, Denomination</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and Delivery of Notes,” notes in certificated form will not be</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4"/>
              </w:rPr>
              <w:t>issued or exchanged for interests in global securities. Investors</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may hold their interests in a global note directly through</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5"/>
              </w:rPr>
              <w:t>Euroclear Bank S.A./N.V, as operator of the Euroclear System</w:t>
            </w:r>
          </w:p>
        </w:tc>
      </w:tr>
      <w:tr>
        <w:trPr>
          <w:trHeight w:val="216"/>
        </w:trPr>
        <w:tc>
          <w:tcPr>
            <w:tcW w:w="31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(“Euroclear”), and Clearstream Banking, S.A.</w:t>
            </w:r>
          </w:p>
        </w:tc>
        <w:tc>
          <w:tcPr>
            <w:tcW w:w="104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(“Clearstream”), if they are participants in such systems, or</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9"/>
              </w:rPr>
              <w:t>indirectly through organizations that are participants in such</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systems. Euroclear and Clearstream will hold interests in a</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global note on behalf of their participants through their</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8"/>
              </w:rPr>
              <w:t>respective depositaries, which in turn will hold such interests</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in the global note in customers’ securities accounts in the</w:t>
            </w:r>
          </w:p>
        </w:tc>
      </w:tr>
      <w:tr>
        <w:trPr>
          <w:trHeight w:val="230"/>
        </w:trPr>
        <w:tc>
          <w:tcPr>
            <w:tcW w:w="310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depositaries’ names on the books of DTC.</w:t>
            </w:r>
          </w:p>
        </w:tc>
        <w:tc>
          <w:tcPr>
            <w:tcW w:w="1040" w:type="dxa"/>
            <w:vAlign w:val="bottom"/>
          </w:tcPr>
          <w:p>
            <w:pPr>
              <w:spacing w:after="0"/>
              <w:rPr>
                <w:sz w:val="20"/>
                <w:szCs w:val="20"/>
                <w:color w:val="auto"/>
              </w:rPr>
            </w:pP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Trustee, Registrar and Paying Agent</w:t>
            </w:r>
          </w:p>
        </w:tc>
        <w:tc>
          <w:tcPr>
            <w:tcW w:w="4060" w:type="dxa"/>
            <w:vAlign w:val="bottom"/>
          </w:tcPr>
          <w:p>
            <w:pPr>
              <w:ind w:left="360"/>
              <w:spacing w:after="0"/>
              <w:rPr>
                <w:sz w:val="20"/>
                <w:szCs w:val="20"/>
                <w:color w:val="auto"/>
              </w:rPr>
            </w:pPr>
            <w:r>
              <w:rPr>
                <w:rFonts w:ascii="Arial" w:cs="Arial" w:eastAsia="Arial" w:hAnsi="Arial"/>
                <w:sz w:val="18"/>
                <w:szCs w:val="18"/>
                <w:color w:val="auto"/>
              </w:rPr>
              <w:t>U.S. Bank National Association.</w:t>
            </w:r>
          </w:p>
        </w:tc>
        <w:tc>
          <w:tcPr>
            <w:tcW w:w="1040" w:type="dxa"/>
            <w:vAlign w:val="bottom"/>
          </w:tcPr>
          <w:p>
            <w:pPr>
              <w:spacing w:after="0"/>
              <w:rPr>
                <w:sz w:val="24"/>
                <w:szCs w:val="24"/>
                <w:color w:val="auto"/>
              </w:rPr>
            </w:pPr>
          </w:p>
        </w:tc>
      </w:tr>
      <w:tr>
        <w:trPr>
          <w:trHeight w:val="310"/>
        </w:trPr>
        <w:tc>
          <w:tcPr>
            <w:tcW w:w="3100" w:type="dxa"/>
            <w:vAlign w:val="bottom"/>
          </w:tcPr>
          <w:p>
            <w:pPr>
              <w:spacing w:after="0"/>
              <w:rPr>
                <w:sz w:val="20"/>
                <w:szCs w:val="20"/>
                <w:color w:val="auto"/>
              </w:rPr>
            </w:pPr>
            <w:r>
              <w:rPr>
                <w:rFonts w:ascii="Arial" w:cs="Arial" w:eastAsia="Arial" w:hAnsi="Arial"/>
                <w:sz w:val="18"/>
                <w:szCs w:val="18"/>
                <w:color w:val="auto"/>
              </w:rPr>
              <w:t>Governing Law</w:t>
            </w: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9"/>
              </w:rPr>
              <w:t>The indenture and the notes will be governed by the laws of</w:t>
            </w:r>
          </w:p>
        </w:tc>
      </w:tr>
      <w:tr>
        <w:trPr>
          <w:trHeight w:val="230"/>
        </w:trPr>
        <w:tc>
          <w:tcPr>
            <w:tcW w:w="310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the State of New York.</w:t>
            </w:r>
          </w:p>
        </w:tc>
        <w:tc>
          <w:tcPr>
            <w:tcW w:w="1040" w:type="dxa"/>
            <w:vAlign w:val="bottom"/>
          </w:tcPr>
          <w:p>
            <w:pPr>
              <w:spacing w:after="0"/>
              <w:rPr>
                <w:sz w:val="20"/>
                <w:szCs w:val="20"/>
                <w:color w:val="auto"/>
              </w:rPr>
            </w:pPr>
          </w:p>
        </w:tc>
      </w:tr>
      <w:tr>
        <w:trPr>
          <w:trHeight w:val="310"/>
        </w:trPr>
        <w:tc>
          <w:tcPr>
            <w:tcW w:w="3100" w:type="dxa"/>
            <w:vAlign w:val="bottom"/>
          </w:tcPr>
          <w:p>
            <w:pPr>
              <w:spacing w:after="0"/>
              <w:rPr>
                <w:sz w:val="20"/>
                <w:szCs w:val="20"/>
                <w:color w:val="auto"/>
              </w:rPr>
            </w:pPr>
            <w:r>
              <w:rPr>
                <w:rFonts w:ascii="Arial" w:cs="Arial" w:eastAsia="Arial" w:hAnsi="Arial"/>
                <w:sz w:val="18"/>
                <w:szCs w:val="18"/>
                <w:color w:val="auto"/>
              </w:rPr>
              <w:t>Conflicts of Interest</w:t>
            </w: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Certain of the underwriters and/or their affiliates may hold</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positions in certain of our outstanding 2023 notes or 2024</w:t>
            </w:r>
          </w:p>
        </w:tc>
      </w:tr>
      <w:tr>
        <w:trPr>
          <w:trHeight w:val="216"/>
        </w:trPr>
        <w:tc>
          <w:tcPr>
            <w:tcW w:w="3100" w:type="dxa"/>
            <w:vAlign w:val="bottom"/>
          </w:tcPr>
          <w:p>
            <w:pPr>
              <w:spacing w:after="0"/>
              <w:rPr>
                <w:sz w:val="18"/>
                <w:szCs w:val="18"/>
                <w:color w:val="auto"/>
              </w:rPr>
            </w:pP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w w:val="95"/>
              </w:rPr>
              <w:t>notes and, consequently, may receive a portion of the offering</w:t>
            </w:r>
          </w:p>
        </w:tc>
      </w:tr>
      <w:tr>
        <w:trPr>
          <w:trHeight w:val="230"/>
        </w:trPr>
        <w:tc>
          <w:tcPr>
            <w:tcW w:w="310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proceeds. See “Use of Proceeds.”</w:t>
            </w:r>
          </w:p>
        </w:tc>
        <w:tc>
          <w:tcPr>
            <w:tcW w:w="10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Consolidated Financial Data</w:t>
      </w:r>
    </w:p>
    <w:p>
      <w:pPr>
        <w:spacing w:after="0" w:line="162" w:lineRule="exact"/>
        <w:rPr>
          <w:sz w:val="20"/>
          <w:szCs w:val="20"/>
          <w:color w:val="auto"/>
        </w:rPr>
      </w:pPr>
    </w:p>
    <w:p>
      <w:pPr>
        <w:ind w:left="1280" w:right="439" w:firstLine="360"/>
        <w:spacing w:after="0" w:line="254" w:lineRule="auto"/>
        <w:rPr>
          <w:rFonts w:ascii="Arial" w:cs="Arial" w:eastAsia="Arial" w:hAnsi="Arial"/>
          <w:sz w:val="18"/>
          <w:szCs w:val="18"/>
          <w:color w:val="0000EE"/>
        </w:rPr>
      </w:pPr>
      <w:r>
        <w:rPr>
          <w:rFonts w:ascii="Arial" w:cs="Arial" w:eastAsia="Arial" w:hAnsi="Arial"/>
          <w:sz w:val="18"/>
          <w:szCs w:val="18"/>
          <w:color w:val="auto"/>
        </w:rPr>
        <w:t xml:space="preserve">Our summary consolidated financial information presented below as of and for the three fiscal years ended September 2, 2021 has been derived from our audited consolidated financial statements. Our historical results, including our operating results for the fiscal year ended September 2, 2021, are not necessarily indicative of results that may be expected for future periods. Our summary consolidated financial information set forth below should be read in conjunction with our consolidated financial statements, including the notes thereto, and “Management’s Discussion and Analysis of Financial Condition </w:t>
      </w:r>
      <w:hyperlink r:id="rId21">
        <w:r>
          <w:rPr>
            <w:rFonts w:ascii="Arial" w:cs="Arial" w:eastAsia="Arial" w:hAnsi="Arial"/>
            <w:sz w:val="18"/>
            <w:szCs w:val="18"/>
            <w:color w:val="auto"/>
          </w:rPr>
          <w:t xml:space="preserve">and Results of Operations,” both of which can be found in our </w:t>
        </w:r>
        <w:r>
          <w:rPr>
            <w:rFonts w:ascii="Arial" w:cs="Arial" w:eastAsia="Arial" w:hAnsi="Arial"/>
            <w:sz w:val="18"/>
            <w:szCs w:val="18"/>
            <w:u w:val="single" w:color="auto"/>
            <w:color w:val="0000EE"/>
          </w:rPr>
          <w:t>Annual Report on Form 10-K for the fiscal</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year ended September 2, 2021</w:t>
        </w:r>
        <w:r>
          <w:rPr>
            <w:rFonts w:ascii="Arial" w:cs="Arial" w:eastAsia="Arial" w:hAnsi="Arial"/>
            <w:sz w:val="18"/>
            <w:szCs w:val="18"/>
            <w:color w:val="000000"/>
          </w:rPr>
          <w:t>, which is incorporated by reference herein.</w:t>
        </w:r>
      </w:hyperlink>
    </w:p>
    <w:p>
      <w:pPr>
        <w:spacing w:after="0" w:line="129"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Fiscal Year Ended</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September 2,</w:t>
            </w:r>
          </w:p>
        </w:tc>
        <w:tc>
          <w:tcPr>
            <w:tcW w:w="220" w:type="dxa"/>
            <w:vAlign w:val="bottom"/>
          </w:tcPr>
          <w:p>
            <w:pPr>
              <w:spacing w:after="0"/>
              <w:rPr>
                <w:sz w:val="15"/>
                <w:szCs w:val="15"/>
                <w:color w:val="auto"/>
              </w:rPr>
            </w:pPr>
          </w:p>
        </w:tc>
        <w:tc>
          <w:tcPr>
            <w:tcW w:w="1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September 3,</w:t>
            </w: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3"/>
              </w:rPr>
              <w:t>August 29,</w:t>
            </w:r>
          </w:p>
        </w:tc>
      </w:tr>
      <w:tr>
        <w:trPr>
          <w:trHeight w:val="186"/>
        </w:trPr>
        <w:tc>
          <w:tcPr>
            <w:tcW w:w="52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60" w:type="dxa"/>
            <w:vAlign w:val="bottom"/>
          </w:tcPr>
          <w:p>
            <w:pPr>
              <w:spacing w:after="0"/>
              <w:rPr>
                <w:sz w:val="16"/>
                <w:szCs w:val="16"/>
                <w:color w:val="auto"/>
              </w:rPr>
            </w:pPr>
          </w:p>
        </w:tc>
      </w:tr>
      <w:tr>
        <w:trPr>
          <w:trHeight w:val="26"/>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Revenue</w:t>
            </w: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$27,705</w:t>
            </w: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$21,435</w:t>
            </w:r>
          </w:p>
        </w:tc>
        <w:tc>
          <w:tcPr>
            <w:tcW w:w="24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$23,406</w:t>
            </w:r>
          </w:p>
        </w:tc>
        <w:tc>
          <w:tcPr>
            <w:tcW w:w="60" w:type="dxa"/>
            <w:vAlign w:val="bottom"/>
          </w:tcPr>
          <w:p>
            <w:pPr>
              <w:spacing w:after="0"/>
              <w:rPr>
                <w:sz w:val="22"/>
                <w:szCs w:val="22"/>
                <w:color w:val="auto"/>
              </w:rPr>
            </w:pPr>
          </w:p>
        </w:tc>
      </w:tr>
      <w:tr>
        <w:trPr>
          <w:trHeight w:val="263"/>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17,282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14,883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12,704</w:t>
            </w:r>
          </w:p>
        </w:tc>
        <w:tc>
          <w:tcPr>
            <w:tcW w:w="60" w:type="dxa"/>
            <w:vAlign w:val="bottom"/>
            <w:tcBorders>
              <w:left w:val="single" w:sz="8" w:color="CCEEFF"/>
            </w:tcBorders>
          </w:tcPr>
          <w:p>
            <w:pPr>
              <w:spacing w:after="0"/>
              <w:rPr>
                <w:sz w:val="22"/>
                <w:szCs w:val="22"/>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10,423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6,552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10,702</w:t>
            </w:r>
          </w:p>
        </w:tc>
        <w:tc>
          <w:tcPr>
            <w:tcW w:w="60" w:type="dxa"/>
            <w:vAlign w:val="bottom"/>
          </w:tcPr>
          <w:p>
            <w:pPr>
              <w:spacing w:after="0"/>
              <w:rPr>
                <w:sz w:val="22"/>
                <w:szCs w:val="22"/>
                <w:color w:val="auto"/>
              </w:rPr>
            </w:pPr>
          </w:p>
        </w:tc>
      </w:tr>
      <w:tr>
        <w:trPr>
          <w:trHeight w:val="25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tcBorders>
              <w:left w:val="single" w:sz="8" w:color="CCEEFF"/>
            </w:tcBorders>
          </w:tcPr>
          <w:p>
            <w:pPr>
              <w:spacing w:after="0"/>
              <w:rPr>
                <w:sz w:val="22"/>
                <w:szCs w:val="22"/>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2,600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2,441</w:t>
            </w:r>
          </w:p>
        </w:tc>
        <w:tc>
          <w:tcPr>
            <w:tcW w:w="60" w:type="dxa"/>
            <w:vAlign w:val="bottom"/>
          </w:tcPr>
          <w:p>
            <w:pPr>
              <w:spacing w:after="0"/>
              <w:rPr>
                <w:sz w:val="22"/>
                <w:szCs w:val="22"/>
                <w:color w:val="auto"/>
              </w:rPr>
            </w:pPr>
          </w:p>
        </w:tc>
      </w:tr>
      <w:tr>
        <w:trPr>
          <w:trHeight w:val="257"/>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60" w:type="dxa"/>
            <w:vAlign w:val="bottom"/>
            <w:tcBorders>
              <w:left w:val="single" w:sz="8" w:color="CCEEFF"/>
            </w:tcBorders>
          </w:tcPr>
          <w:p>
            <w:pPr>
              <w:spacing w:after="0"/>
              <w:rPr>
                <w:sz w:val="22"/>
                <w:szCs w:val="22"/>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left w:val="single" w:sz="8" w:color="CCEEFF"/>
            </w:tcBorders>
          </w:tcPr>
          <w:p>
            <w:pPr>
              <w:spacing w:after="0"/>
              <w:rPr>
                <w:sz w:val="22"/>
                <w:szCs w:val="22"/>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6,283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3,003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7,376</w:t>
            </w:r>
          </w:p>
        </w:tc>
        <w:tc>
          <w:tcPr>
            <w:tcW w:w="60" w:type="dxa"/>
            <w:vAlign w:val="bottom"/>
          </w:tcPr>
          <w:p>
            <w:pPr>
              <w:spacing w:after="0"/>
              <w:rPr>
                <w:sz w:val="22"/>
                <w:szCs w:val="22"/>
                <w:color w:val="auto"/>
              </w:rPr>
            </w:pPr>
          </w:p>
        </w:tc>
      </w:tr>
      <w:tr>
        <w:trPr>
          <w:trHeight w:val="25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left w:val="single" w:sz="8" w:color="CCEEFF"/>
            </w:tcBorders>
          </w:tcPr>
          <w:p>
            <w:pPr>
              <w:spacing w:after="0"/>
              <w:rPr>
                <w:sz w:val="22"/>
                <w:szCs w:val="22"/>
                <w:color w:val="auto"/>
              </w:rPr>
            </w:pPr>
          </w:p>
        </w:tc>
      </w:tr>
      <w:tr>
        <w:trPr>
          <w:trHeight w:val="263"/>
        </w:trPr>
        <w:tc>
          <w:tcPr>
            <w:tcW w:w="526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57"/>
        </w:trPr>
        <w:tc>
          <w:tcPr>
            <w:tcW w:w="5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60" w:type="dxa"/>
            <w:vAlign w:val="bottom"/>
            <w:tcBorders>
              <w:left w:val="single" w:sz="8" w:color="CCEEFF"/>
            </w:tcBorders>
          </w:tcPr>
          <w:p>
            <w:pPr>
              <w:spacing w:after="0"/>
              <w:rPr>
                <w:sz w:val="22"/>
                <w:szCs w:val="22"/>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(693)</w:t>
            </w:r>
          </w:p>
        </w:tc>
      </w:tr>
      <w:tr>
        <w:trPr>
          <w:trHeight w:val="27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left w:val="single" w:sz="8" w:color="CCEEFF"/>
            </w:tcBorders>
          </w:tcPr>
          <w:p>
            <w:pPr>
              <w:spacing w:after="0"/>
              <w:rPr>
                <w:sz w:val="24"/>
                <w:szCs w:val="24"/>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5,861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2,710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6,358</w:t>
            </w:r>
          </w:p>
        </w:tc>
        <w:tc>
          <w:tcPr>
            <w:tcW w:w="60" w:type="dxa"/>
            <w:vAlign w:val="bottom"/>
          </w:tcPr>
          <w:p>
            <w:pPr>
              <w:spacing w:after="0"/>
              <w:rPr>
                <w:sz w:val="23"/>
                <w:szCs w:val="23"/>
                <w:color w:val="auto"/>
              </w:rPr>
            </w:pPr>
          </w:p>
        </w:tc>
      </w:tr>
      <w:tr>
        <w:trPr>
          <w:trHeight w:val="27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left w:val="single" w:sz="8" w:color="CCEEFF"/>
            </w:tcBorders>
          </w:tcPr>
          <w:p>
            <w:pPr>
              <w:spacing w:after="0"/>
              <w:rPr>
                <w:sz w:val="24"/>
                <w:szCs w:val="24"/>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260" w:type="dxa"/>
            <w:vAlign w:val="bottom"/>
          </w:tcPr>
          <w:p>
            <w:pPr>
              <w:spacing w:after="0"/>
              <w:rPr>
                <w:sz w:val="20"/>
                <w:szCs w:val="20"/>
                <w:color w:val="auto"/>
              </w:rPr>
            </w:pPr>
            <w:r>
              <w:rPr>
                <w:rFonts w:ascii="Arial" w:cs="Arial" w:eastAsia="Arial" w:hAnsi="Arial"/>
                <w:sz w:val="18"/>
                <w:szCs w:val="18"/>
                <w:color w:val="auto"/>
              </w:rPr>
              <w:t>Net income attributable to Micron</w:t>
            </w:r>
          </w:p>
        </w:tc>
        <w:tc>
          <w:tcPr>
            <w:tcW w:w="32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5,861</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2,687</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6,313</w:t>
            </w:r>
          </w:p>
        </w:tc>
        <w:tc>
          <w:tcPr>
            <w:tcW w:w="60" w:type="dxa"/>
            <w:vAlign w:val="bottom"/>
          </w:tcPr>
          <w:p>
            <w:pPr>
              <w:spacing w:after="0"/>
              <w:rPr>
                <w:sz w:val="24"/>
                <w:szCs w:val="24"/>
                <w:color w:val="auto"/>
              </w:rPr>
            </w:pPr>
          </w:p>
        </w:tc>
      </w:tr>
      <w:tr>
        <w:trPr>
          <w:trHeight w:val="21"/>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September 2,</w:t>
            </w:r>
          </w:p>
        </w:tc>
        <w:tc>
          <w:tcPr>
            <w:tcW w:w="220" w:type="dxa"/>
            <w:vAlign w:val="bottom"/>
          </w:tcPr>
          <w:p>
            <w:pPr>
              <w:spacing w:after="0"/>
              <w:rPr>
                <w:sz w:val="15"/>
                <w:szCs w:val="15"/>
                <w:color w:val="auto"/>
              </w:rPr>
            </w:pPr>
          </w:p>
        </w:tc>
        <w:tc>
          <w:tcPr>
            <w:tcW w:w="1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September 3,</w:t>
            </w: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3"/>
              </w:rPr>
              <w:t>August 29,</w:t>
            </w:r>
          </w:p>
        </w:tc>
      </w:tr>
      <w:tr>
        <w:trPr>
          <w:trHeight w:val="186"/>
        </w:trPr>
        <w:tc>
          <w:tcPr>
            <w:tcW w:w="52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60" w:type="dxa"/>
            <w:vAlign w:val="bottom"/>
          </w:tcPr>
          <w:p>
            <w:pPr>
              <w:spacing w:after="0"/>
              <w:rPr>
                <w:sz w:val="16"/>
                <w:szCs w:val="16"/>
                <w:color w:val="auto"/>
              </w:rPr>
            </w:pPr>
          </w:p>
        </w:tc>
      </w:tr>
      <w:tr>
        <w:trPr>
          <w:trHeight w:val="25"/>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r>
      <w:tr>
        <w:trPr>
          <w:trHeight w:val="256"/>
        </w:trPr>
        <w:tc>
          <w:tcPr>
            <w:tcW w:w="5260" w:type="dxa"/>
            <w:vAlign w:val="bottom"/>
          </w:tcPr>
          <w:p>
            <w:pPr>
              <w:spacing w:after="0"/>
              <w:rPr>
                <w:sz w:val="20"/>
                <w:szCs w:val="20"/>
                <w:color w:val="auto"/>
              </w:rPr>
            </w:pPr>
            <w:r>
              <w:rPr>
                <w:rFonts w:ascii="Arial" w:cs="Arial" w:eastAsia="Arial" w:hAnsi="Arial"/>
                <w:sz w:val="18"/>
                <w:szCs w:val="18"/>
                <w:color w:val="auto"/>
              </w:rPr>
              <w:t>Cash and equivalents and short-term investments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8,633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8,142</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7,955</w:t>
            </w:r>
          </w:p>
        </w:tc>
        <w:tc>
          <w:tcPr>
            <w:tcW w:w="60" w:type="dxa"/>
            <w:vAlign w:val="bottom"/>
          </w:tcPr>
          <w:p>
            <w:pPr>
              <w:spacing w:after="0"/>
              <w:rPr>
                <w:sz w:val="22"/>
                <w:szCs w:val="22"/>
                <w:color w:val="auto"/>
              </w:rPr>
            </w:pPr>
          </w:p>
        </w:tc>
      </w:tr>
      <w:tr>
        <w:trPr>
          <w:trHeight w:val="27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11,274</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9,823</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60" w:type="dxa"/>
            <w:vAlign w:val="bottom"/>
            <w:tcBorders>
              <w:left w:val="single" w:sz="8" w:color="CCEEFF"/>
            </w:tcBorders>
          </w:tcPr>
          <w:p>
            <w:pPr>
              <w:spacing w:after="0"/>
              <w:rPr>
                <w:sz w:val="23"/>
                <w:szCs w:val="23"/>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1,164</w:t>
            </w:r>
          </w:p>
        </w:tc>
        <w:tc>
          <w:tcPr>
            <w:tcW w:w="60" w:type="dxa"/>
            <w:vAlign w:val="bottom"/>
          </w:tcPr>
          <w:p>
            <w:pPr>
              <w:spacing w:after="0"/>
              <w:rPr>
                <w:sz w:val="23"/>
                <w:szCs w:val="23"/>
                <w:color w:val="auto"/>
              </w:rPr>
            </w:pPr>
          </w:p>
        </w:tc>
      </w:tr>
      <w:tr>
        <w:trPr>
          <w:trHeight w:val="27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58,849</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53,678</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48,887</w:t>
            </w:r>
          </w:p>
        </w:tc>
        <w:tc>
          <w:tcPr>
            <w:tcW w:w="60" w:type="dxa"/>
            <w:vAlign w:val="bottom"/>
            <w:tcBorders>
              <w:left w:val="single" w:sz="8" w:color="CCEEFF"/>
            </w:tcBorders>
          </w:tcPr>
          <w:p>
            <w:pPr>
              <w:spacing w:after="0"/>
              <w:rPr>
                <w:sz w:val="23"/>
                <w:szCs w:val="23"/>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Current debt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1,310</w:t>
            </w:r>
          </w:p>
        </w:tc>
        <w:tc>
          <w:tcPr>
            <w:tcW w:w="60" w:type="dxa"/>
            <w:vAlign w:val="bottom"/>
          </w:tcPr>
          <w:p>
            <w:pPr>
              <w:spacing w:after="0"/>
              <w:rPr>
                <w:sz w:val="23"/>
                <w:szCs w:val="23"/>
                <w:color w:val="auto"/>
              </w:rPr>
            </w:pPr>
          </w:p>
        </w:tc>
      </w:tr>
      <w:tr>
        <w:trPr>
          <w:trHeight w:val="27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6,621</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6,373</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60" w:type="dxa"/>
            <w:vAlign w:val="bottom"/>
            <w:tcBorders>
              <w:left w:val="single" w:sz="8" w:color="CCEEFF"/>
            </w:tcBorders>
          </w:tcPr>
          <w:p>
            <w:pPr>
              <w:spacing w:after="0"/>
              <w:rPr>
                <w:sz w:val="23"/>
                <w:szCs w:val="23"/>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Total Micron shareholders’ equity</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43,933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38,996</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35,881</w:t>
            </w:r>
          </w:p>
        </w:tc>
        <w:tc>
          <w:tcPr>
            <w:tcW w:w="60" w:type="dxa"/>
            <w:vAlign w:val="bottom"/>
          </w:tcPr>
          <w:p>
            <w:pPr>
              <w:spacing w:after="0"/>
              <w:rPr>
                <w:sz w:val="23"/>
                <w:szCs w:val="23"/>
                <w:color w:val="auto"/>
              </w:rPr>
            </w:pPr>
          </w:p>
        </w:tc>
      </w:tr>
      <w:tr>
        <w:trPr>
          <w:trHeight w:val="27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60" w:type="dxa"/>
            <w:vAlign w:val="bottom"/>
            <w:tcBorders>
              <w:left w:val="single" w:sz="8" w:color="CCEEFF"/>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59" w:firstLine="360"/>
        <w:spacing w:after="0" w:line="255"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In considering whether to purchase the notes, you should carefully consider all the information contained or incorporated by reference in this prospectus supplement and the accompanying prospectus. In </w:t>
      </w:r>
      <w:hyperlink r:id="rId21">
        <w:r>
          <w:rPr>
            <w:rFonts w:ascii="Arial" w:cs="Arial" w:eastAsia="Arial" w:hAnsi="Arial"/>
            <w:sz w:val="18"/>
            <w:szCs w:val="18"/>
            <w:i w:val="1"/>
            <w:iCs w:val="1"/>
            <w:color w:val="auto"/>
          </w:rPr>
          <w:t xml:space="preserve">particular, you should carefully consider the risk factors in our </w:t>
        </w:r>
        <w:r>
          <w:rPr>
            <w:rFonts w:ascii="Arial" w:cs="Arial" w:eastAsia="Arial" w:hAnsi="Arial"/>
            <w:sz w:val="18"/>
            <w:szCs w:val="18"/>
            <w:i w:val="1"/>
            <w:iCs w:val="1"/>
            <w:u w:val="single" w:color="auto"/>
            <w:color w:val="0000EE"/>
          </w:rPr>
          <w:t>Annual Report on Form 10-K for the fiscal</w:t>
        </w:r>
      </w:hyperlink>
      <w:r>
        <w:rPr>
          <w:rFonts w:ascii="Arial" w:cs="Arial" w:eastAsia="Arial" w:hAnsi="Arial"/>
          <w:sz w:val="18"/>
          <w:szCs w:val="18"/>
          <w:i w:val="1"/>
          <w:iCs w:val="1"/>
          <w:color w:val="auto"/>
        </w:rPr>
        <w:t xml:space="preserve"> </w:t>
      </w:r>
      <w:hyperlink r:id="rId21">
        <w:r>
          <w:rPr>
            <w:rFonts w:ascii="Arial" w:cs="Arial" w:eastAsia="Arial" w:hAnsi="Arial"/>
            <w:sz w:val="18"/>
            <w:szCs w:val="18"/>
            <w:i w:val="1"/>
            <w:iCs w:val="1"/>
            <w:u w:val="single" w:color="auto"/>
            <w:color w:val="0000EE"/>
          </w:rPr>
          <w:t>year ended September 2, 2021</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as well as the risk factors described below, which are not exhaustive. In this</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section, references to “Micron,” “us,” “we,” or “our” refer only to Micron Technology, Inc. and not to any of its subsidiaries.</w:t>
      </w:r>
    </w:p>
    <w:p>
      <w:pPr>
        <w:spacing w:after="0" w:line="18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ind w:left="1260" w:right="479" w:firstLine="360"/>
        <w:spacing w:after="0" w:line="277" w:lineRule="auto"/>
        <w:rPr>
          <w:rFonts w:ascii="Arial" w:cs="Arial" w:eastAsia="Arial" w:hAnsi="Arial"/>
          <w:sz w:val="18"/>
          <w:szCs w:val="18"/>
          <w:u w:val="single" w:color="auto"/>
          <w:color w:val="0000EE"/>
        </w:rPr>
      </w:pPr>
      <w:hyperlink r:id="rId21">
        <w:r>
          <w:rPr>
            <w:rFonts w:ascii="Arial" w:cs="Arial" w:eastAsia="Arial" w:hAnsi="Arial"/>
            <w:sz w:val="18"/>
            <w:szCs w:val="18"/>
            <w:color w:val="auto"/>
          </w:rPr>
          <w:t xml:space="preserve">We hereby incorporate by reference the risk factors in Item 1A of our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the fiscal year ended September 2, 2021.</w:t>
        </w:r>
      </w:hyperlink>
    </w:p>
    <w:p>
      <w:pPr>
        <w:spacing w:after="0" w:line="16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103"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107"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13"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92"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b w:val="1"/>
          <w:bCs w:val="1"/>
          <w:i w:val="1"/>
          <w:iCs w:val="1"/>
          <w:color w:val="auto"/>
        </w:rPr>
        <w:t>Despite current indebtedness levels, we are able to incur substantially more debt. This could further exacerbate the risks described herein.</w:t>
      </w:r>
    </w:p>
    <w:p>
      <w:pPr>
        <w:spacing w:after="0" w:line="10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 xml:space="preserve">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the holders of that debt will be entitled to share ratably with you in any proceeds distributed in connection with any insolvency, liquidation, reorganization, dissolution or other winding-up of us. If new debt is added to our current debt levels, the related risks that we and our subsidiaries now face could intensify. See “Description of the Notes.”</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b w:val="1"/>
          <w:bCs w:val="1"/>
          <w:i w:val="1"/>
          <w:iCs w:val="1"/>
          <w:color w:val="auto"/>
        </w:rPr>
        <w:t>The indenture governing each series of notes will contain negative covenants that may have a limited effect but these covenants may still restrict the operation of our business.</w:t>
      </w:r>
    </w:p>
    <w:p>
      <w:pPr>
        <w:spacing w:after="0" w:line="90"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113"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 default provisions, which could require us to repurchase or repay debt prior to the date it is otherwise due and that could adversely affect our financial condition. The indenture governing each series of notes does not have cross-acceleration or cross-default provisions.</w:t>
      </w:r>
    </w:p>
    <w:p>
      <w:pPr>
        <w:spacing w:after="0" w:line="113"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Claims of noteholders will be structurally subordinated to claims of creditors of our subsidiaries.</w:t>
      </w:r>
    </w:p>
    <w:p>
      <w:pPr>
        <w:spacing w:after="0" w:line="156"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September 2, 2021,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$6.9 billion, all of which will be structurally senior to the notes with respect to claims on the assets and cash flows of our subsidiaries.</w:t>
      </w:r>
    </w:p>
    <w:p>
      <w:pPr>
        <w:spacing w:after="0" w:line="199" w:lineRule="exact"/>
        <w:rPr>
          <w:sz w:val="20"/>
          <w:szCs w:val="20"/>
          <w:color w:val="auto"/>
        </w:rPr>
      </w:pPr>
    </w:p>
    <w:p>
      <w:pPr>
        <w:jc w:val="both"/>
        <w:ind w:left="1260" w:right="799"/>
        <w:spacing w:after="0" w:line="248"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114"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3" w:lineRule="auto"/>
        <w:rPr>
          <w:sz w:val="20"/>
          <w:szCs w:val="20"/>
          <w:color w:val="auto"/>
        </w:rPr>
      </w:pPr>
      <w:r>
        <w:rPr>
          <w:rFonts w:ascii="Arial" w:cs="Arial" w:eastAsia="Arial" w:hAnsi="Arial"/>
          <w:sz w:val="17"/>
          <w:szCs w:val="17"/>
          <w:color w:val="auto"/>
        </w:rPr>
        <w:t>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131"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1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89"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an active trading market may not develop for the notes.</w:t>
      </w:r>
    </w:p>
    <w:p>
      <w:pPr>
        <w:spacing w:after="0" w:line="7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Each series of notes is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76"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3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75" w:lineRule="exact"/>
        <w:rPr>
          <w:sz w:val="20"/>
          <w:szCs w:val="20"/>
          <w:color w:val="auto"/>
        </w:rPr>
      </w:pPr>
    </w:p>
    <w:p>
      <w:pPr>
        <w:ind w:left="1260" w:right="479"/>
        <w:spacing w:after="0" w:line="433" w:lineRule="auto"/>
        <w:rPr>
          <w:sz w:val="20"/>
          <w:szCs w:val="20"/>
          <w:color w:val="auto"/>
        </w:rPr>
      </w:pPr>
      <w:r>
        <w:rPr>
          <w:rFonts w:ascii="Arial" w:cs="Arial" w:eastAsia="Arial" w:hAnsi="Arial"/>
          <w:sz w:val="13"/>
          <w:szCs w:val="13"/>
          <w:b w:val="1"/>
          <w:bCs w:val="1"/>
          <w:i w:val="1"/>
          <w:iCs w:val="1"/>
          <w:color w:val="auto"/>
        </w:rPr>
        <w:t>Upon a Change of Control Triggering Event, we may not have the funds necessary to finance the change of control offer required by the indenture governing each series of notes, which would violate the terms of such indenture.</w:t>
      </w:r>
    </w:p>
    <w:p>
      <w:pPr>
        <w:spacing w:after="0" w:line="1" w:lineRule="exact"/>
        <w:rPr>
          <w:sz w:val="20"/>
          <w:szCs w:val="20"/>
          <w:color w:val="auto"/>
        </w:rPr>
      </w:pPr>
    </w:p>
    <w:p>
      <w:pPr>
        <w:ind w:left="1260" w:right="519" w:firstLine="360"/>
        <w:spacing w:after="0" w:line="324" w:lineRule="auto"/>
        <w:rPr>
          <w:sz w:val="20"/>
          <w:szCs w:val="20"/>
          <w:color w:val="auto"/>
        </w:rPr>
      </w:pPr>
      <w:r>
        <w:rPr>
          <w:rFonts w:ascii="Arial" w:cs="Arial" w:eastAsia="Arial" w:hAnsi="Arial"/>
          <w:sz w:val="16"/>
          <w:szCs w:val="16"/>
          <w:color w:val="auto"/>
        </w:rPr>
        <w:t>Upon the occurrence of a Change of Control Triggering Event (as defined in the indenture governing each series of notes), holders of each series of notes will have the right to require us to purchase such notes</w:t>
      </w:r>
    </w:p>
    <w:p>
      <w:pPr>
        <w:spacing w:after="0" w:line="30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at a price equal to 101% of the principal amount, plus accrued and unpaid interest, if any, to but excluding the date of purchase as described in “Description of the Notes — Repurchase of Notes upon a Change of Control Triggering Event.” The indentures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of a series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The provisions of the notes will not necessarily protect you in the event of certain highly leveraged transactions.</w:t>
      </w:r>
    </w:p>
    <w:p>
      <w:pPr>
        <w:spacing w:after="0" w:line="17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Upon the occurrence of a Change of Control Triggering Event, you will have the right to require us to purchase the notes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116" w:lineRule="exact"/>
        <w:rPr>
          <w:sz w:val="20"/>
          <w:szCs w:val="20"/>
          <w:color w:val="auto"/>
        </w:rPr>
      </w:pPr>
    </w:p>
    <w:p>
      <w:pPr>
        <w:ind w:left="1260" w:right="519" w:firstLine="360"/>
        <w:spacing w:after="0" w:line="322" w:lineRule="auto"/>
        <w:rPr>
          <w:sz w:val="20"/>
          <w:szCs w:val="20"/>
          <w:color w:val="auto"/>
        </w:rPr>
      </w:pPr>
      <w:r>
        <w:rPr>
          <w:rFonts w:ascii="Arial" w:cs="Arial" w:eastAsia="Arial" w:hAnsi="Arial"/>
          <w:sz w:val="15"/>
          <w:szCs w:val="15"/>
          <w:b w:val="1"/>
          <w:bCs w:val="1"/>
          <w:i w:val="1"/>
          <w:iCs w:val="1"/>
          <w:color w:val="auto"/>
        </w:rPr>
        <w:t>There is no legal, regulatory or market definition of or standardized criteria for what constitutes a “green,” “environmental,” “social,” “sustainable” or other equivalently labeled project, and any such designations made by third parties with respect to the green bonds may not be suitable for the investment criteria of an investor.</w:t>
      </w:r>
    </w:p>
    <w:p>
      <w:pPr>
        <w:spacing w:after="0" w:line="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There is currently no clearly defined definition (legal, regulatory or otherwise) of, nor market consensus as to what constitutes, a “green,” “environmental,” “social,” “sustainable” or an equivalently labeled project, or as to what precise attributes are required for a particular project to be defined as “green,” “environmental,” “social,” “sustainable” or such other equivalent label, and nor can any assurance be given that such a clear definition or consensus will develop over time. Accordingly, no assurance is or can be given to investors that any Eligible Projects selected to receive an allocation of funds from the net proceeds of the green bonds will meet any or all investor expectations regarding such “green,” “social,” “sustainable” or other equivalently-labeled performance objectives, or that any adverse environmental, social and/or other impacts will not occur during the implementation of any Eligible Projects funded in whole or in part by the net proceeds from the sale of the green bonds.</w:t>
      </w:r>
    </w:p>
    <w:p>
      <w:pPr>
        <w:spacing w:after="0" w:line="11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intend to allocate an amount equal to the net proceeds from the sale of the green bonds to finance or refinance one or more existing or new Eligible Projects, but no assurance can be given that any such Eligible Projects will be successfully implemented or will be capable of being implemented in accordance with any timing schedule, or that such Eligible Projects will be completed within any specified period or at all or with the results or outcome (whether or not related to the environment) that we originally expected or anticipated. We have significant flexibility in allocating the net proceeds from the sale of the green bonds and there can be no assurance that funds in an amount equal to such net proceeds will be totally or partially disbursed for any such Eligible Projects. None of the underwriters for this offering or the trustee are responsible for assessing or verifying whether or not the Eligible Projects to which we allocate such funds meet the criteria described in “Use of Proceeds,” or for the monitoring of the use of such funds generally. Neither the terms of the green bonds nor the indenture governing the green bonds require us to use such funds as described under “Use of Proceeds” or to satisfy the tracking, reporting and other undertakings described thereunder. Any failure by us to comply with the anticipated use of such funds or such undertakings will not constitute a breach of or a default under the green bonds or the indenture governing the green bonds, and holders of the green bonds will have no remedies under such indenture for any such failure.</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Prospective investors should carefully review the information set out in this prospectus supplement regarding such use of such net proceeds and must determine for themselves the relevance of such information for the purpose of any investment in the green bonds together with any other investigation such investor deems necessary. In particular, no assurance is given by us, any underwriter, or the trustee that the use of an amount equal to such net proceeds from the green bonds to fund any Eligible Projects will satisfy (or will continue to satisfy), whether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its own bylaws or other governing rules or investment portfolio mandates, ratings mandates or other independent expectations, in particular with regard to any direct or indirect environmental, sustainability or social impact of any Eligible Projects. Any failure by us to allocate an amount equal to the net proceeds from the sale of the green bonds to one or more Eligible Projects or the failure of those investments or financings to satisfy investor expectations or requirements could materially and adversely affect the trading price of the green bonds.</w:t>
      </w:r>
    </w:p>
    <w:p>
      <w:pPr>
        <w:spacing w:after="0" w:line="103"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No assurance or representation is given as to the suitability or reliability for any purpose whatsoever of any opinion or certification of any third party (whether or not solicited by us) that may be made available in connection with the issuance of the green bonds and, in particular, with respect to whether any Eligible Projects fulfill any environmental, social, sustainability and/or other criteria. For the avoidance of doubt, any such opinion or certification is not and shall not be deemed to be incorporated into and/or form part of this prospectus supplement and the accompanying prospectus. Any such opinion or certification is not, nor should be deemed to be, a recommendation by us or any underwriter, the trustee or any other person to buy, sell or hold the green bonds. Any such opinion or certification is only current as of the date that opinion or certification was initially issued. Prospective investors must determine for themselves the relevance of any such opinion or certification and/or the information contained therein and/or the provider of such opinion or certification for the purpose of any investment in the green bonds. As of the date of this prospectus supplement, the providers of such opinions and certifications are not subject to any specific regulatory or other regime or oversight. Any withdrawal of any such opinion or certification or any additional opinion or certification attesting that we are not complying in whole or in part with any matters for which such opinion or certification is opining or certifying may have a material adverse effect on the trading price of the green bonds and/or result in adverse consequences for certain investors with mandates to invest in securities to be used for a particular purpose.</w:t>
      </w:r>
    </w:p>
    <w:p>
      <w:pPr>
        <w:spacing w:after="0" w:line="191" w:lineRule="exact"/>
        <w:rPr>
          <w:sz w:val="20"/>
          <w:szCs w:val="20"/>
          <w:color w:val="auto"/>
        </w:rPr>
      </w:pPr>
    </w:p>
    <w:p>
      <w:pPr>
        <w:jc w:val="both"/>
        <w:ind w:left="1260" w:right="559"/>
        <w:spacing w:after="0" w:line="411" w:lineRule="auto"/>
        <w:rPr>
          <w:sz w:val="20"/>
          <w:szCs w:val="20"/>
          <w:color w:val="auto"/>
        </w:rPr>
      </w:pPr>
      <w:r>
        <w:rPr>
          <w:rFonts w:ascii="Arial" w:cs="Arial" w:eastAsia="Arial" w:hAnsi="Arial"/>
          <w:sz w:val="13"/>
          <w:szCs w:val="13"/>
          <w:b w:val="1"/>
          <w:bCs w:val="1"/>
          <w:i w:val="1"/>
          <w:iCs w:val="1"/>
          <w:color w:val="auto"/>
        </w:rPr>
        <w:t>The green bonds may not be listed or admitted to any dedicated “green,” “environmental,” “social,” “sustainable” or other equivalently-labeled segment of any stock exchange or securities market, and any such potential listing or admission may not be indicative that the green bonds will be suitable for the investment criteria of an investor.</w:t>
      </w:r>
    </w:p>
    <w:p>
      <w:pPr>
        <w:spacing w:after="0" w:line="2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do not currently intend to seek listing or admittance of the green bonds to any stock exchange or securities market. While no assurance can be given that any such listing or admission will happen, in the event that the green bonds are listed or admitted to trading on any dedicated “green,” “environmental,” “social,” “sustainable” or other equivalently-labeled segment of any stock exchange or securities market (whether or not regulated), no representation or assurance can be given by us, any underwriter, the trustee or any other person:</w:t>
      </w:r>
    </w:p>
    <w:p>
      <w:pPr>
        <w:spacing w:after="0" w:line="84" w:lineRule="exact"/>
        <w:rPr>
          <w:sz w:val="20"/>
          <w:szCs w:val="20"/>
          <w:color w:val="auto"/>
        </w:rPr>
      </w:pPr>
    </w:p>
    <w:p>
      <w:pPr>
        <w:ind w:left="1800" w:right="519" w:hanging="180"/>
        <w:spacing w:after="0" w:line="25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such listing or admission would satisfy (or would continue to satisfy), whether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its own by-laws or other governing rules or investment portfolio mandates, ratings mandates or other expectations, in particular with regard to any direct or indirect environmental, social or sustainability impact of any projects or uses, the subject of or related to, any Eligible Projects (and it should be noted that the criteria for any such listings or admission to trading may vary from one stock exchange or securities market to another); or</w:t>
      </w:r>
    </w:p>
    <w:p>
      <w:pPr>
        <w:spacing w:after="0" w:line="101"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that any such listing or admission to trading will be maintained during the life of the green bonds.</w:t>
      </w: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In the event that the green bonds are listed on any such exchange or securities market, any change to the listing or admission status of the green bonds, including but not limited to if the green bonds are no longer being listed or admitted to trading on any stock exchange or securities market, may have a material adverse effect on the value of the green bonds and/or result in adverse consequences for certain investors with portfolio mandates to invest in securities to be used for a particular purpose.</w:t>
      </w:r>
    </w:p>
    <w:p>
      <w:pPr>
        <w:spacing w:after="0" w:line="176" w:lineRule="exact"/>
        <w:rPr>
          <w:sz w:val="20"/>
          <w:szCs w:val="20"/>
          <w:color w:val="auto"/>
        </w:rPr>
      </w:pPr>
    </w:p>
    <w:p>
      <w:pPr>
        <w:ind w:left="1260" w:right="819"/>
        <w:spacing w:after="0" w:line="263" w:lineRule="auto"/>
        <w:rPr>
          <w:sz w:val="20"/>
          <w:szCs w:val="20"/>
          <w:color w:val="auto"/>
        </w:rPr>
      </w:pPr>
      <w:r>
        <w:rPr>
          <w:rFonts w:ascii="Arial" w:cs="Arial" w:eastAsia="Arial" w:hAnsi="Arial"/>
          <w:sz w:val="18"/>
          <w:szCs w:val="18"/>
          <w:b w:val="1"/>
          <w:bCs w:val="1"/>
          <w:i w:val="1"/>
          <w:iCs w:val="1"/>
          <w:color w:val="auto"/>
        </w:rPr>
        <w:t>The trading price of the green bonds may be negatively affected to the extent that perception by investors of the suitability of the green bonds as “green” bonds deteriorates or demand for sustainability-themed investment products diminishes.</w:t>
      </w:r>
    </w:p>
    <w:p>
      <w:pPr>
        <w:spacing w:after="0" w:line="10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Perception by investors of the suitability of the green bonds as “green” bonds could be negatively affected by dissatisfaction with our compliance with the framework for determining Eligible Projects described under “Use of Proceeds,” controversies involving the environmental or sustainability impact of our business or industry, evolving standards or market consensus as to what constitutes a “green” bond or the desirability of investing in “green” bonds or any opinion or certification as to the suitability of the green bonds as “green” bonds no longer being in effect. Additionally, the Eligible Projects to which we intend to allocate amounts relating to the offering of the green bonds have complex direct or indirect environmental or sustainability impacts, and adverse environmental impacts may occur during the design, construction and operation of such Eligible Projects. Such Eligible Projects may become controversial or criticized by activist groups or other stakeholders. None of the underwriters, the trustee or any stock exchange, securities market segment or regulatory body makes any representation as to the suitability of the green bonds to meet or fulfill environmental or sustainability criteria, expectations, impact or performance required by prospective investors, any third-party reviewer or opinion provider, any stock exchange or securities market. The trading price of the green bonds may be negatively affected to the extent investors are required or choose to sell their holdings due to deterioration in the perception by the investor or the market in general as to the suitability of this offering as “green” bonds. The trading price of the green bonds may be also negatively affected to the extent demand for sustainability-themed investment products diminishes due to evolving investor preferences, increased regulatory or market scrutiny on funds and strategies dedicated to sustainability or environmental, social or governance themed investing or for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260"/>
        <w:spacing w:after="0"/>
        <w:tabs>
          <w:tab w:leader="none" w:pos="3340" w:val="left"/>
          <w:tab w:leader="none" w:pos="4740" w:val="left"/>
        </w:tabs>
        <w:rPr>
          <w:sz w:val="20"/>
          <w:szCs w:val="20"/>
          <w:color w:val="auto"/>
        </w:rPr>
      </w:pPr>
      <w:r>
        <w:rPr>
          <w:rFonts w:ascii="Arial" w:cs="Arial" w:eastAsia="Arial" w:hAnsi="Arial"/>
          <w:sz w:val="18"/>
          <w:szCs w:val="18"/>
          <w:b w:val="1"/>
          <w:bCs w:val="1"/>
          <w:color w:val="auto"/>
        </w:rPr>
        <w:t>Use of proceeds for the 20</w:t>
        <w:tab/>
        <w:t>notes and the 20</w:t>
      </w:r>
      <w:r>
        <w:rPr>
          <w:sz w:val="20"/>
          <w:szCs w:val="20"/>
          <w:color w:val="auto"/>
        </w:rPr>
        <w:tab/>
      </w:r>
      <w:r>
        <w:rPr>
          <w:rFonts w:ascii="Arial" w:cs="Arial" w:eastAsia="Arial" w:hAnsi="Arial"/>
          <w:sz w:val="13"/>
          <w:szCs w:val="13"/>
          <w:b w:val="1"/>
          <w:bCs w:val="1"/>
          <w:color w:val="auto"/>
        </w:rPr>
        <w:t>notes</w:t>
      </w:r>
    </w:p>
    <w:p>
      <w:pPr>
        <w:spacing w:after="0" w:line="148" w:lineRule="exact"/>
        <w:rPr>
          <w:sz w:val="20"/>
          <w:szCs w:val="20"/>
          <w:color w:val="auto"/>
        </w:rPr>
      </w:pPr>
    </w:p>
    <w:p>
      <w:pPr>
        <w:ind w:left="1620"/>
        <w:spacing w:after="0"/>
        <w:tabs>
          <w:tab w:leader="none" w:pos="5500" w:val="left"/>
          <w:tab w:leader="none" w:pos="6980" w:val="left"/>
        </w:tabs>
        <w:rPr>
          <w:sz w:val="20"/>
          <w:szCs w:val="20"/>
          <w:color w:val="auto"/>
        </w:rPr>
      </w:pPr>
      <w:r>
        <w:rPr>
          <w:rFonts w:ascii="Arial" w:cs="Arial" w:eastAsia="Arial" w:hAnsi="Arial"/>
          <w:sz w:val="18"/>
          <w:szCs w:val="18"/>
          <w:color w:val="auto"/>
        </w:rPr>
        <w:t>We estimate net proceeds from the sale of the 20</w:t>
        <w:tab/>
        <w:t>notes and the 20</w:t>
      </w:r>
      <w:r>
        <w:rPr>
          <w:sz w:val="20"/>
          <w:szCs w:val="20"/>
          <w:color w:val="auto"/>
        </w:rPr>
        <w:tab/>
      </w:r>
      <w:r>
        <w:rPr>
          <w:rFonts w:ascii="Arial" w:cs="Arial" w:eastAsia="Arial" w:hAnsi="Arial"/>
          <w:sz w:val="16"/>
          <w:szCs w:val="16"/>
          <w:color w:val="auto"/>
        </w:rPr>
        <w:t>notes, after deducting</w:t>
      </w:r>
    </w:p>
    <w:p>
      <w:pPr>
        <w:spacing w:after="0" w:line="12" w:lineRule="exact"/>
        <w:rPr>
          <w:sz w:val="20"/>
          <w:szCs w:val="20"/>
          <w:color w:val="auto"/>
        </w:rPr>
      </w:pPr>
    </w:p>
    <w:p>
      <w:pPr>
        <w:ind w:left="1260"/>
        <w:spacing w:after="0"/>
        <w:tabs>
          <w:tab w:leader="none" w:pos="8240" w:val="left"/>
        </w:tabs>
        <w:rPr>
          <w:sz w:val="20"/>
          <w:szCs w:val="20"/>
          <w:color w:val="auto"/>
        </w:rPr>
      </w:pPr>
      <w:r>
        <w:rPr>
          <w:rFonts w:ascii="Arial" w:cs="Arial" w:eastAsia="Arial" w:hAnsi="Arial"/>
          <w:sz w:val="18"/>
          <w:szCs w:val="18"/>
          <w:color w:val="auto"/>
        </w:rPr>
        <w:t>underwriter discounts and other estimated offering expenses, will be approximately $</w:t>
      </w:r>
      <w:r>
        <w:rPr>
          <w:sz w:val="20"/>
          <w:szCs w:val="20"/>
          <w:color w:val="auto"/>
        </w:rPr>
        <w:tab/>
      </w:r>
      <w:r>
        <w:rPr>
          <w:rFonts w:ascii="Arial" w:cs="Arial" w:eastAsia="Arial" w:hAnsi="Arial"/>
          <w:sz w:val="13"/>
          <w:szCs w:val="13"/>
          <w:color w:val="auto"/>
        </w:rPr>
        <w:t>.</w:t>
      </w:r>
    </w:p>
    <w:p>
      <w:pPr>
        <w:spacing w:after="0" w:line="128"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We intend to use the net proceeds from the sale of the 20 notes and the 20 notes, together with cash on hand, for the redemption of the 2023 notes and the 2024 notes. Our 2023 notes bear interest at a rate of 2.497% per annum and our 2024 notes bear interest at a rate of 4.640% per annum.</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proceeds for the green bonds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estimate net proceeds from the sale of the green bonds, after deducting underwriter discounts and</w:t>
      </w:r>
    </w:p>
    <w:p>
      <w:pPr>
        <w:spacing w:after="0" w:line="23" w:lineRule="exact"/>
        <w:rPr>
          <w:sz w:val="20"/>
          <w:szCs w:val="20"/>
          <w:color w:val="auto"/>
        </w:rPr>
      </w:pPr>
    </w:p>
    <w:p>
      <w:pPr>
        <w:ind w:left="1260"/>
        <w:spacing w:after="0"/>
        <w:tabs>
          <w:tab w:leader="none" w:pos="6240" w:val="left"/>
        </w:tabs>
        <w:rPr>
          <w:sz w:val="20"/>
          <w:szCs w:val="20"/>
          <w:color w:val="auto"/>
        </w:rPr>
      </w:pPr>
      <w:r>
        <w:rPr>
          <w:rFonts w:ascii="Arial" w:cs="Arial" w:eastAsia="Arial" w:hAnsi="Arial"/>
          <w:sz w:val="18"/>
          <w:szCs w:val="18"/>
          <w:color w:val="auto"/>
        </w:rPr>
        <w:t>other estimated offering expenses, will be approximately $</w:t>
      </w:r>
      <w:r>
        <w:rPr>
          <w:sz w:val="20"/>
          <w:szCs w:val="20"/>
          <w:color w:val="auto"/>
        </w:rPr>
        <w:tab/>
      </w:r>
      <w:r>
        <w:rPr>
          <w:rFonts w:ascii="Arial" w:cs="Arial" w:eastAsia="Arial" w:hAnsi="Arial"/>
          <w:sz w:val="13"/>
          <w:szCs w:val="13"/>
          <w:color w:val="auto"/>
        </w:rPr>
        <w:t>.</w:t>
      </w:r>
    </w:p>
    <w:p>
      <w:pPr>
        <w:spacing w:after="0" w:line="115"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We intend to allocate an amount equal to the net proceeds from the sale of the green bonds to finance or refinance, in whole or in part, one or more new or existing Eligible Projects.</w:t>
      </w:r>
    </w:p>
    <w:p>
      <w:pPr>
        <w:spacing w:after="0" w:line="103" w:lineRule="exact"/>
        <w:rPr>
          <w:sz w:val="20"/>
          <w:szCs w:val="20"/>
          <w:color w:val="auto"/>
        </w:rPr>
      </w:pPr>
    </w:p>
    <w:p>
      <w:pPr>
        <w:jc w:val="both"/>
        <w:ind w:left="1260" w:right="439" w:firstLine="360"/>
        <w:spacing w:after="0" w:line="248" w:lineRule="auto"/>
        <w:rPr>
          <w:sz w:val="20"/>
          <w:szCs w:val="20"/>
          <w:color w:val="auto"/>
        </w:rPr>
      </w:pPr>
      <w:r>
        <w:rPr>
          <w:rFonts w:ascii="Arial" w:cs="Arial" w:eastAsia="Arial" w:hAnsi="Arial"/>
          <w:sz w:val="18"/>
          <w:szCs w:val="18"/>
          <w:color w:val="auto"/>
        </w:rPr>
        <w:t>“Eligible Projects” are investments or expenditures made by us beginning with the issuance date of the green bonds and including the 24 months prior to any such issuance that meet the eligibility criteria outlined below or the refinancing of any amounts used for any such projects.</w:t>
      </w:r>
    </w:p>
    <w:p>
      <w:pPr>
        <w:spacing w:after="0" w:line="70" w:lineRule="exact"/>
        <w:rPr>
          <w:sz w:val="20"/>
          <w:szCs w:val="20"/>
          <w:color w:val="auto"/>
        </w:rPr>
      </w:pPr>
    </w:p>
    <w:p>
      <w:pPr>
        <w:ind w:left="1800" w:right="499" w:hanging="180"/>
        <w:spacing w:after="0" w:line="256"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Renewable Energy</w:t>
      </w:r>
      <w:r>
        <w:rPr>
          <w:rFonts w:ascii="Arial" w:cs="Arial" w:eastAsia="Arial" w:hAnsi="Arial"/>
          <w:sz w:val="18"/>
          <w:szCs w:val="18"/>
          <w:color w:val="auto"/>
        </w:rPr>
        <w:t>: Expenditures related to renewable energy including the installation,</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and operation of renewable energy generation on-site, which will be exclusively solar and wind. Example projects will also include renewable energy power purchase agreements (“PPAs” or “VPPAs”) that are long term (i.e., 5 or more years) and tied to a given project, which will be exclusively solar or wind, or low-impact hydropower that complies with recognized international standards set forth by the Climate Bonds Initiative.</w:t>
      </w:r>
    </w:p>
    <w:p>
      <w:pPr>
        <w:spacing w:after="0" w:line="65" w:lineRule="exact"/>
        <w:rPr>
          <w:rFonts w:ascii="Arial" w:cs="Arial" w:eastAsia="Arial" w:hAnsi="Arial"/>
          <w:sz w:val="18"/>
          <w:szCs w:val="18"/>
          <w:color w:val="auto"/>
        </w:rPr>
      </w:pPr>
    </w:p>
    <w:p>
      <w:pPr>
        <w:ind w:left="1800" w:right="459" w:hanging="180"/>
        <w:spacing w:after="0" w:line="266"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Green Buildings</w:t>
      </w:r>
      <w:r>
        <w:rPr>
          <w:rFonts w:ascii="Arial" w:cs="Arial" w:eastAsia="Arial" w:hAnsi="Arial"/>
          <w:sz w:val="18"/>
          <w:szCs w:val="18"/>
          <w:color w:val="auto"/>
        </w:rPr>
        <w:t>: Expenditures related to design, building, and improvements of our fabrication,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assembly, and testing sites, labs, office spaces and other facilities that meet or exceed the Leadership in Energy and Environmental Design (LEED) Gold or higher.</w:t>
      </w:r>
    </w:p>
    <w:p>
      <w:pPr>
        <w:spacing w:after="0" w:line="67" w:lineRule="exact"/>
        <w:rPr>
          <w:rFonts w:ascii="Arial" w:cs="Arial" w:eastAsia="Arial" w:hAnsi="Arial"/>
          <w:sz w:val="18"/>
          <w:szCs w:val="18"/>
          <w:color w:val="auto"/>
        </w:rPr>
      </w:pPr>
    </w:p>
    <w:p>
      <w:pPr>
        <w:ind w:left="1800" w:right="599" w:hanging="180"/>
        <w:spacing w:after="0" w:line="261"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Energy Efficiency</w:t>
      </w:r>
      <w:r>
        <w:rPr>
          <w:rFonts w:ascii="Arial" w:cs="Arial" w:eastAsia="Arial" w:hAnsi="Arial"/>
          <w:sz w:val="18"/>
          <w:szCs w:val="18"/>
          <w:color w:val="auto"/>
        </w:rPr>
        <w:t>: Expenditures related to the design, construction, operation, and maintenance of</w:t>
      </w:r>
      <w:r>
        <w:rPr>
          <w:rFonts w:ascii="Arial" w:cs="Arial" w:eastAsia="Arial" w:hAnsi="Arial"/>
          <w:sz w:val="18"/>
          <w:szCs w:val="18"/>
          <w:b w:val="1"/>
          <w:bCs w:val="1"/>
          <w:color w:val="auto"/>
        </w:rPr>
        <w:t xml:space="preserve"> </w:t>
      </w:r>
      <w:r>
        <w:rPr>
          <w:rFonts w:ascii="Arial" w:cs="Arial" w:eastAsia="Arial" w:hAnsi="Arial"/>
          <w:sz w:val="18"/>
          <w:szCs w:val="18"/>
          <w:color w:val="auto"/>
        </w:rPr>
        <w:t>energy-efficient facilities, infrastructure, and other energy efficiency projects intended to reduce emissions, prioritizing upgrades which deliver the greatest potential energy savings. Example projects may include:</w:t>
      </w:r>
    </w:p>
    <w:p>
      <w:pPr>
        <w:spacing w:after="0" w:line="75" w:lineRule="exact"/>
        <w:rPr>
          <w:rFonts w:ascii="Arial" w:cs="Arial" w:eastAsia="Arial" w:hAnsi="Arial"/>
          <w:sz w:val="18"/>
          <w:szCs w:val="18"/>
          <w:color w:val="auto"/>
        </w:rPr>
      </w:pPr>
    </w:p>
    <w:p>
      <w:pPr>
        <w:ind w:left="2160" w:right="839" w:hanging="180"/>
        <w:spacing w:after="0" w:line="277" w:lineRule="auto"/>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Energy management systems, including smart grids, smart control systems, automation and monitoring platforms, high efficiency motors, waste heat recovery;</w:t>
      </w:r>
    </w:p>
    <w:p>
      <w:pPr>
        <w:spacing w:after="0" w:line="48" w:lineRule="exact"/>
        <w:rPr>
          <w:rFonts w:ascii="Arial" w:cs="Arial" w:eastAsia="Arial" w:hAnsi="Arial"/>
          <w:sz w:val="18"/>
          <w:szCs w:val="18"/>
          <w:color w:val="auto"/>
        </w:rPr>
      </w:pPr>
    </w:p>
    <w:p>
      <w:pPr>
        <w:ind w:left="2160" w:right="739" w:hanging="180"/>
        <w:spacing w:after="0" w:line="263" w:lineRule="auto"/>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Technologies that reduce carbon footprint across our operations, including LED lighting and HVAC upgrades, smart building retrofits, smart water management services, sensors and controls;</w:t>
      </w:r>
    </w:p>
    <w:p>
      <w:pPr>
        <w:spacing w:after="0" w:line="75" w:lineRule="exact"/>
        <w:rPr>
          <w:rFonts w:ascii="Arial" w:cs="Arial" w:eastAsia="Arial" w:hAnsi="Arial"/>
          <w:sz w:val="18"/>
          <w:szCs w:val="18"/>
          <w:color w:val="auto"/>
        </w:rPr>
      </w:pPr>
    </w:p>
    <w:p>
      <w:pPr>
        <w:ind w:left="2160" w:hanging="180"/>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Facility design upgrades and retrofits.</w:t>
      </w:r>
    </w:p>
    <w:p>
      <w:pPr>
        <w:spacing w:after="0" w:line="113" w:lineRule="exact"/>
        <w:rPr>
          <w:rFonts w:ascii="Arial" w:cs="Arial" w:eastAsia="Arial" w:hAnsi="Arial"/>
          <w:sz w:val="18"/>
          <w:szCs w:val="18"/>
          <w:color w:val="auto"/>
        </w:rPr>
      </w:pPr>
    </w:p>
    <w:p>
      <w:pPr>
        <w:ind w:left="1800" w:right="639" w:hanging="180"/>
        <w:spacing w:after="0" w:line="266"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Sustainable Water and Wastewater Management</w:t>
      </w:r>
      <w:r>
        <w:rPr>
          <w:rFonts w:ascii="Arial" w:cs="Arial" w:eastAsia="Arial" w:hAnsi="Arial"/>
          <w:sz w:val="18"/>
          <w:szCs w:val="18"/>
          <w:color w:val="auto"/>
        </w:rPr>
        <w:t>: Expenditures related to the design,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and maintenance of facilities, infrastructure and other projects that improve water efficiency, reuse and recycling. Example projects may include:</w:t>
      </w:r>
    </w:p>
    <w:p>
      <w:pPr>
        <w:spacing w:after="0" w:line="58" w:lineRule="exact"/>
        <w:rPr>
          <w:rFonts w:ascii="Arial" w:cs="Arial" w:eastAsia="Arial" w:hAnsi="Arial"/>
          <w:sz w:val="18"/>
          <w:szCs w:val="18"/>
          <w:color w:val="auto"/>
        </w:rPr>
      </w:pPr>
    </w:p>
    <w:p>
      <w:pPr>
        <w:ind w:left="2160" w:hanging="180"/>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Deployment of advanced purification technologies;</w:t>
      </w:r>
    </w:p>
    <w:p>
      <w:pPr>
        <w:spacing w:after="0" w:line="117" w:lineRule="exact"/>
        <w:rPr>
          <w:rFonts w:ascii="Arial" w:cs="Arial" w:eastAsia="Arial" w:hAnsi="Arial"/>
          <w:sz w:val="18"/>
          <w:szCs w:val="18"/>
          <w:color w:val="auto"/>
        </w:rPr>
      </w:pPr>
    </w:p>
    <w:p>
      <w:pPr>
        <w:ind w:left="2160" w:right="899" w:hanging="180"/>
        <w:spacing w:after="0" w:line="263" w:lineRule="auto"/>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Facility design upgrades and retrofits to enhance water management that includes water treatment, wastewater reuse, wastewater recycle, water usage reduction through efficiency improvement and process optimization.</w:t>
      </w:r>
    </w:p>
    <w:p>
      <w:pPr>
        <w:spacing w:after="0" w:line="71" w:lineRule="exact"/>
        <w:rPr>
          <w:rFonts w:ascii="Arial" w:cs="Arial" w:eastAsia="Arial" w:hAnsi="Arial"/>
          <w:sz w:val="18"/>
          <w:szCs w:val="18"/>
          <w:color w:val="auto"/>
        </w:rPr>
      </w:pPr>
    </w:p>
    <w:p>
      <w:pPr>
        <w:ind w:left="1800" w:right="719" w:hanging="180"/>
        <w:spacing w:after="0" w:line="266"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Pollution Prevention and Control</w:t>
      </w:r>
      <w:r>
        <w:rPr>
          <w:rFonts w:ascii="Arial" w:cs="Arial" w:eastAsia="Arial" w:hAnsi="Arial"/>
          <w:sz w:val="18"/>
          <w:szCs w:val="18"/>
          <w:color w:val="auto"/>
        </w:rPr>
        <w:t>: Expenditures related to projects and processes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wastewater treatment, waste prevention, waste reduction, waste recycling and associated environmental monitoring. Example projects may include:</w:t>
      </w:r>
    </w:p>
    <w:p>
      <w:pPr>
        <w:spacing w:after="0" w:line="71" w:lineRule="exact"/>
        <w:rPr>
          <w:rFonts w:ascii="Arial" w:cs="Arial" w:eastAsia="Arial" w:hAnsi="Arial"/>
          <w:sz w:val="18"/>
          <w:szCs w:val="18"/>
          <w:color w:val="auto"/>
        </w:rPr>
      </w:pPr>
    </w:p>
    <w:p>
      <w:pPr>
        <w:ind w:left="2160" w:hanging="180"/>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Reusing chemicals from production on-site;</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Recycling inorganic sludge for construction off-site;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60" w:hanging="180"/>
        <w:spacing w:after="0"/>
        <w:tabs>
          <w:tab w:leader="none" w:pos="2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Sending solvents and acids off-site for reuse;</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Transferring mixtures of solvents to an off-site distillation facility for reuse of constituents.</w:t>
      </w:r>
    </w:p>
    <w:p>
      <w:pPr>
        <w:spacing w:after="0" w:line="158" w:lineRule="exact"/>
        <w:rPr>
          <w:sz w:val="20"/>
          <w:szCs w:val="20"/>
          <w:color w:val="auto"/>
        </w:rPr>
      </w:pPr>
    </w:p>
    <w:p>
      <w:pPr>
        <w:ind w:left="1800" w:right="519"/>
        <w:spacing w:after="0" w:line="248" w:lineRule="auto"/>
        <w:rPr>
          <w:sz w:val="20"/>
          <w:szCs w:val="20"/>
          <w:color w:val="auto"/>
        </w:rPr>
      </w:pPr>
      <w:r>
        <w:rPr>
          <w:rFonts w:ascii="Arial" w:cs="Arial" w:eastAsia="Arial" w:hAnsi="Arial"/>
          <w:sz w:val="18"/>
          <w:szCs w:val="18"/>
          <w:color w:val="auto"/>
        </w:rPr>
        <w:t>Expenditures related to the design, construction, operation, and maintenance of facilities, infrastructure, and other projects that reduce greenhouse gas emissions intensity (scope 1). Example projects may include:</w:t>
      </w:r>
    </w:p>
    <w:p>
      <w:pPr>
        <w:spacing w:after="0" w:line="60" w:lineRule="exact"/>
        <w:rPr>
          <w:sz w:val="20"/>
          <w:szCs w:val="20"/>
          <w:color w:val="auto"/>
        </w:rPr>
      </w:pPr>
    </w:p>
    <w:p>
      <w:pPr>
        <w:ind w:left="2160" w:hanging="1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Greenhouse gas abatement systems not using fossil fuels;</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Smart greenhouse gas monitoring systems.</w:t>
      </w:r>
    </w:p>
    <w:p>
      <w:pPr>
        <w:spacing w:after="0" w:line="113" w:lineRule="exact"/>
        <w:rPr>
          <w:rFonts w:ascii="Arial" w:cs="Arial" w:eastAsia="Arial" w:hAnsi="Arial"/>
          <w:sz w:val="18"/>
          <w:szCs w:val="18"/>
          <w:color w:val="auto"/>
        </w:rPr>
      </w:pPr>
    </w:p>
    <w:p>
      <w:pPr>
        <w:jc w:val="both"/>
        <w:ind w:left="1800" w:right="439" w:hanging="180"/>
        <w:spacing w:after="0" w:line="261"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Circular Economy Adapted Products, Production Technologies and Processes</w:t>
      </w:r>
      <w:r>
        <w:rPr>
          <w:rFonts w:ascii="Arial" w:cs="Arial" w:eastAsia="Arial" w:hAnsi="Arial"/>
          <w:sz w:val="18"/>
          <w:szCs w:val="18"/>
          <w:color w:val="auto"/>
        </w:rPr>
        <w:t>: Expenditures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development of more energy and material efficient products, reducing waste in the design phase, incorporating more recycled content, and reducing product carbon footprint. Example projects may include:</w:t>
      </w:r>
    </w:p>
    <w:p>
      <w:pPr>
        <w:spacing w:after="0" w:line="62" w:lineRule="exact"/>
        <w:rPr>
          <w:rFonts w:ascii="Arial" w:cs="Arial" w:eastAsia="Arial" w:hAnsi="Arial"/>
          <w:sz w:val="18"/>
          <w:szCs w:val="18"/>
          <w:color w:val="auto"/>
        </w:rPr>
      </w:pPr>
    </w:p>
    <w:p>
      <w:pPr>
        <w:ind w:left="2160" w:hanging="1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Improvements in Micron product energy efficiency;</w:t>
      </w:r>
    </w:p>
    <w:p>
      <w:pPr>
        <w:spacing w:after="0" w:line="103" w:lineRule="exact"/>
        <w:rPr>
          <w:rFonts w:ascii="Arial" w:cs="Arial" w:eastAsia="Arial" w:hAnsi="Arial"/>
          <w:sz w:val="18"/>
          <w:szCs w:val="18"/>
          <w:color w:val="auto"/>
        </w:rPr>
      </w:pPr>
    </w:p>
    <w:p>
      <w:pPr>
        <w:ind w:left="2160" w:right="759" w:hanging="180"/>
        <w:spacing w:after="0" w:line="277" w:lineRule="auto"/>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Supply line expenditures related to recycled materials for use in product manufacturing, and costs to develop manufacturing processes capable of using such materials;</w:t>
      </w:r>
    </w:p>
    <w:p>
      <w:pPr>
        <w:spacing w:after="0" w:line="48" w:lineRule="exact"/>
        <w:rPr>
          <w:rFonts w:ascii="Arial" w:cs="Arial" w:eastAsia="Arial" w:hAnsi="Arial"/>
          <w:sz w:val="18"/>
          <w:szCs w:val="18"/>
          <w:color w:val="auto"/>
        </w:rPr>
      </w:pPr>
    </w:p>
    <w:p>
      <w:pPr>
        <w:ind w:left="2160" w:hanging="1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Improving material recovery;</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Increasing supply of more sustainable materials;</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Supporting recovery and reuse of electronics or components.</w:t>
      </w:r>
    </w:p>
    <w:p>
      <w:pPr>
        <w:spacing w:after="0" w:line="158"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Where a business derives 90% or more of its revenues from activities in the eligibility criteria listed above, it will be considered as eligible for financing from the green bonds.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Process for Eligible Project Evaluation and Selection</w:t>
      </w:r>
    </w:p>
    <w:p>
      <w:pPr>
        <w:spacing w:after="0" w:line="162"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We will form a committee (the “Green Bond Committee”) to oversee the implementation of the allocation and selection process for Eligible Projects. The Green Bond Committee will be comprised of members from our finance, operations, sustainability and legal teams. Our Green Bond Committee will recommend the allocation of Eligible Projects for approval by our Chief Financial Officer and will review the list of Eligible Projects periodically to ensure relevance and alignment with our previousy announced Micron Green Bond Framework.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Management of the Proceeds</w:t>
      </w:r>
    </w:p>
    <w:p>
      <w:pPr>
        <w:spacing w:after="0" w:line="14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We have established an internal tracking system to monitor and account for the proceeds from the sale of the green bonds spent on one or more Eligible Projects. Pending the full allocation of an amount equal to the net proceeds to one or more Eligible Projects, the proceeds will be managed in alignment with our normal liquidity practices. We will allocate Eligible Projects as soon as practicable and, where feasible, within the first 12 to 24 months after issuance of the green bonds.</w:t>
      </w:r>
    </w:p>
    <w:p>
      <w:pPr>
        <w:spacing w:after="0" w:line="122"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In the case of divestment or if a project no longer meets the eligibility criteria, we will use reasonable efforts to reallocate an equal amount of the funds to other Eligible Projects. Payment of principal and interest will be made from our general account and not be linked to the performance of the Eligible Projects.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Reporting</w:t>
      </w:r>
    </w:p>
    <w:p>
      <w:pPr>
        <w:spacing w:after="0" w:line="162"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Annually, until the net proceeds from the sale of the green bonds have been fully allocated, and on a timely basis in case of material developments, we will publish a Green Bond Report on our website, www.micron.com, that will include:</w:t>
      </w:r>
    </w:p>
    <w:p>
      <w:pPr>
        <w:spacing w:after="0" w:line="101" w:lineRule="exact"/>
        <w:rPr>
          <w:sz w:val="20"/>
          <w:szCs w:val="20"/>
          <w:color w:val="auto"/>
        </w:rPr>
      </w:pPr>
    </w:p>
    <w:p>
      <w:pPr>
        <w:ind w:left="1980" w:right="479" w:hanging="360"/>
        <w:spacing w:after="0" w:line="308" w:lineRule="auto"/>
        <w:tabs>
          <w:tab w:leader="none" w:pos="1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 of net proceeds from the sale of the green bonds that have been allocated to one or more Eligible Projects either individually or by category, subject to confidentiality considerations;</w:t>
      </w:r>
    </w:p>
    <w:p>
      <w:pPr>
        <w:spacing w:after="0" w:line="65" w:lineRule="exact"/>
        <w:rPr>
          <w:rFonts w:ascii="Arial" w:cs="Arial" w:eastAsia="Arial" w:hAnsi="Arial"/>
          <w:sz w:val="17"/>
          <w:szCs w:val="17"/>
          <w:color w:val="auto"/>
        </w:rPr>
      </w:pPr>
    </w:p>
    <w:p>
      <w:pPr>
        <w:ind w:left="1980" w:hanging="360"/>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list of Eligible Project categories with a selection of brief descriptions;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estimated impact metrics, where feasible;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819" w:hanging="360"/>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outstanding amount of net proceeds from the sale of the green bonds yet to be allocated to Eligible Projects at the end of the reporting period.</w:t>
      </w:r>
    </w:p>
    <w:p>
      <w:pPr>
        <w:spacing w:after="0" w:line="8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Information contained on, or accessible through, our website and in our Green Bond Report are not incorporated in, and are not part of, this prospectus supplement, the accompanying prospectus or any other report or filing we make with the SEC. Neither the green bonds nor the indenture requires Micron to use the net proceeds from the sale of the green bonds as described above, and any failure of Micron to comply with the foregoing will not constitute a breach of or default under the green bonds or the indenture. The above description of the use of the proceeds from the sale of the green bonds is not intended to modify or add any covenant or other contractual obligation undertaken by us under the green bonds or the indenture governing the green bonds.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Second Party Reporting and Audit</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We will retain an organization to provide a Second Party Opinion (“SPO”) on the environmental benefits of the Micron Green Bond Framework and its alignment with the Green Bond Principles. The SPO will be available on the SPO provider’s website.</w:t>
      </w:r>
    </w:p>
    <w:p>
      <w:pPr>
        <w:spacing w:after="0" w:line="116"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Additionally, our allocation reports will be accompanied by an audit report from an independent party in respect to its examination of our assertions about allocation, in accordance with attestation standards established by the American Institute of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CASH AND CAPITALIZATION</w:t>
      </w:r>
    </w:p>
    <w:p>
      <w:pPr>
        <w:spacing w:after="0" w:line="148" w:lineRule="exact"/>
        <w:rPr>
          <w:sz w:val="20"/>
          <w:szCs w:val="20"/>
          <w:color w:val="auto"/>
        </w:rPr>
      </w:pPr>
    </w:p>
    <w:p>
      <w:pPr>
        <w:ind w:left="1260" w:right="1039" w:firstLine="360"/>
        <w:spacing w:after="0" w:line="308" w:lineRule="auto"/>
        <w:rPr>
          <w:sz w:val="20"/>
          <w:szCs w:val="20"/>
          <w:color w:val="auto"/>
        </w:rPr>
      </w:pPr>
      <w:r>
        <w:rPr>
          <w:rFonts w:ascii="Arial" w:cs="Arial" w:eastAsia="Arial" w:hAnsi="Arial"/>
          <w:sz w:val="17"/>
          <w:szCs w:val="17"/>
          <w:color w:val="auto"/>
        </w:rPr>
        <w:t>The following table sets forth a summary of our consolidated cash, cash equivalents, short-term investments and long-term marketable investments and capitalization as of September 2, 2021:</w:t>
      </w:r>
    </w:p>
    <w:p>
      <w:pPr>
        <w:spacing w:after="0" w:line="38"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 as adjusted basis to give effect to (i) the issuance of the notes offered by this prospectus</w:t>
      </w:r>
    </w:p>
    <w:p>
      <w:pPr>
        <w:spacing w:after="0" w:line="23" w:lineRule="exact"/>
        <w:rPr>
          <w:sz w:val="20"/>
          <w:szCs w:val="20"/>
          <w:color w:val="auto"/>
        </w:rPr>
      </w:pPr>
    </w:p>
    <w:p>
      <w:pPr>
        <w:ind w:left="1800" w:right="599"/>
        <w:spacing w:after="0" w:line="277" w:lineRule="auto"/>
        <w:rPr>
          <w:sz w:val="20"/>
          <w:szCs w:val="20"/>
          <w:color w:val="auto"/>
        </w:rPr>
      </w:pPr>
      <w:r>
        <w:rPr>
          <w:rFonts w:ascii="Arial" w:cs="Arial" w:eastAsia="Arial" w:hAnsi="Arial"/>
          <w:sz w:val="17"/>
          <w:szCs w:val="17"/>
          <w:color w:val="auto"/>
        </w:rPr>
        <w:t>supplement as if the offering had occurred on September 2, 2021; and (ii) the application of the net proceeds from the sale of the 20 notes and the 20 notes, together with cash on hand, as described in “Use of Proceeds” to pay the costs of redeeming our 2023 notes and our 2024 notes.</w:t>
      </w:r>
    </w:p>
    <w:p>
      <w:pPr>
        <w:spacing w:after="0" w:line="105"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This table should be read in conjunction with our consolidated financial statements incorporated by reference in this prospectus supplement.</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54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0"/>
              </w:rPr>
              <w:t>As of September 2, 2021</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Actual</w:t>
            </w:r>
          </w:p>
        </w:tc>
        <w:tc>
          <w:tcPr>
            <w:tcW w:w="84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(dollars in millions)</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39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63"/>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Long-term marketable investments</w:t>
            </w:r>
          </w:p>
        </w:tc>
        <w:tc>
          <w:tcPr>
            <w:tcW w:w="39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1,765</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9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60" w:type="dxa"/>
            <w:vAlign w:val="bottom"/>
            <w:gridSpan w:val="3"/>
          </w:tcPr>
          <w:p>
            <w:pPr>
              <w:ind w:left="360"/>
              <w:spacing w:after="0"/>
              <w:rPr>
                <w:sz w:val="20"/>
                <w:szCs w:val="20"/>
                <w:color w:val="auto"/>
              </w:rPr>
            </w:pPr>
            <w:r>
              <w:rPr>
                <w:rFonts w:ascii="Arial" w:cs="Arial" w:eastAsia="Arial" w:hAnsi="Arial"/>
                <w:sz w:val="18"/>
                <w:szCs w:val="18"/>
                <w:color w:val="auto"/>
              </w:rPr>
              <w:t>Cash and equivalents, short-term investments and long-term marketable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3"/>
              </w:rPr>
              <w:t>10,398</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00" w:type="dxa"/>
            <w:vAlign w:val="bottom"/>
            <w:gridSpan w:val="2"/>
          </w:tcPr>
          <w:p>
            <w:pPr>
              <w:ind w:left="540"/>
              <w:spacing w:after="0"/>
              <w:rPr>
                <w:sz w:val="20"/>
                <w:szCs w:val="20"/>
                <w:color w:val="auto"/>
              </w:rPr>
            </w:pPr>
            <w:r>
              <w:rPr>
                <w:rFonts w:ascii="Arial" w:cs="Arial" w:eastAsia="Arial" w:hAnsi="Arial"/>
                <w:sz w:val="18"/>
                <w:szCs w:val="18"/>
                <w:color w:val="auto"/>
              </w:rPr>
              <w:t>investments</w:t>
            </w:r>
          </w:p>
        </w:tc>
        <w:tc>
          <w:tcPr>
            <w:tcW w:w="396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debt:</w:t>
            </w:r>
          </w:p>
        </w:tc>
        <w:tc>
          <w:tcPr>
            <w:tcW w:w="39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Long-term debt and finance lease obligations, excluding current portion: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 senior notes due 20</w:t>
            </w:r>
          </w:p>
        </w:tc>
        <w:tc>
          <w:tcPr>
            <w:tcW w:w="39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offered hereby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ind w:left="560"/>
              <w:spacing w:after="0"/>
              <w:rPr>
                <w:sz w:val="20"/>
                <w:szCs w:val="20"/>
                <w:color w:val="auto"/>
              </w:rPr>
            </w:pPr>
            <w:r>
              <w:rPr>
                <w:rFonts w:ascii="Arial" w:cs="Arial" w:eastAsia="Arial" w:hAnsi="Arial"/>
                <w:sz w:val="18"/>
                <w:szCs w:val="18"/>
                <w:color w:val="auto"/>
              </w:rPr>
              <w:t>% senior notes due 20</w:t>
            </w:r>
          </w:p>
        </w:tc>
        <w:tc>
          <w:tcPr>
            <w:tcW w:w="3960" w:type="dxa"/>
            <w:vAlign w:val="bottom"/>
          </w:tcPr>
          <w:p>
            <w:pPr>
              <w:ind w:left="80"/>
              <w:spacing w:after="0"/>
              <w:rPr>
                <w:sz w:val="20"/>
                <w:szCs w:val="20"/>
                <w:color w:val="auto"/>
              </w:rPr>
            </w:pPr>
            <w:r>
              <w:rPr>
                <w:rFonts w:ascii="Arial" w:cs="Arial" w:eastAsia="Arial" w:hAnsi="Arial"/>
                <w:sz w:val="18"/>
                <w:szCs w:val="18"/>
                <w:color w:val="auto"/>
              </w:rPr>
              <w:t>offered hereby</w:t>
            </w:r>
          </w:p>
        </w:tc>
        <w:tc>
          <w:tcPr>
            <w:tcW w:w="10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 senior notes due 20</w:t>
            </w:r>
          </w:p>
        </w:tc>
        <w:tc>
          <w:tcPr>
            <w:tcW w:w="39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offered hereby</w:t>
            </w: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Finance lease obligations</w:t>
            </w:r>
          </w:p>
        </w:tc>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56"/>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 Loan A Credit Facility</w:t>
            </w:r>
          </w:p>
        </w:tc>
        <w:tc>
          <w:tcPr>
            <w:tcW w:w="39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1,186</w:t>
            </w:r>
          </w:p>
        </w:tc>
        <w:tc>
          <w:tcPr>
            <w:tcW w:w="0" w:type="dxa"/>
            <w:vAlign w:val="bottom"/>
          </w:tcPr>
          <w:p>
            <w:pPr>
              <w:spacing w:after="0"/>
              <w:rPr>
                <w:sz w:val="1"/>
                <w:szCs w:val="1"/>
                <w:color w:val="auto"/>
              </w:rPr>
            </w:pPr>
          </w:p>
        </w:tc>
      </w:tr>
      <w:tr>
        <w:trPr>
          <w:trHeight w:val="284"/>
        </w:trPr>
        <w:tc>
          <w:tcPr>
            <w:tcW w:w="2700" w:type="dxa"/>
            <w:vAlign w:val="bottom"/>
            <w:gridSpan w:val="2"/>
          </w:tcPr>
          <w:p>
            <w:pPr>
              <w:ind w:left="180"/>
              <w:spacing w:after="0"/>
              <w:rPr>
                <w:sz w:val="20"/>
                <w:szCs w:val="20"/>
                <w:color w:val="auto"/>
              </w:rPr>
            </w:pPr>
            <w:r>
              <w:rPr>
                <w:rFonts w:ascii="Arial" w:cs="Arial" w:eastAsia="Arial" w:hAnsi="Arial"/>
                <w:sz w:val="18"/>
                <w:szCs w:val="18"/>
                <w:color w:val="auto"/>
                <w:w w:val="95"/>
              </w:rPr>
              <w:t>2.497% senior notes due 2023</w:t>
            </w:r>
            <w:r>
              <w:rPr>
                <w:rFonts w:ascii="Arial" w:cs="Arial" w:eastAsia="Arial" w:hAnsi="Arial"/>
                <w:sz w:val="23"/>
                <w:szCs w:val="23"/>
                <w:color w:val="auto"/>
                <w:w w:val="95"/>
                <w:vertAlign w:val="superscript"/>
              </w:rPr>
              <w:t>(1)</w:t>
            </w: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4.640% senior notes due 2024</w:t>
            </w:r>
            <w:r>
              <w:rPr>
                <w:rFonts w:ascii="Arial" w:cs="Arial" w:eastAsia="Arial" w:hAnsi="Arial"/>
                <w:sz w:val="23"/>
                <w:szCs w:val="23"/>
                <w:color w:val="auto"/>
                <w:w w:val="95"/>
                <w:vertAlign w:val="superscript"/>
              </w:rPr>
              <w:t>(1)</w:t>
            </w:r>
          </w:p>
        </w:tc>
        <w:tc>
          <w:tcPr>
            <w:tcW w:w="39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4.975% senior notes due 2026</w:t>
            </w:r>
          </w:p>
        </w:tc>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56"/>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4.185% senior notes due 2027</w:t>
            </w:r>
          </w:p>
        </w:tc>
        <w:tc>
          <w:tcPr>
            <w:tcW w:w="39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57"/>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5.327% senior notes due 2029</w:t>
            </w:r>
          </w:p>
        </w:tc>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7"/>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4.663% senior notes due 2030</w:t>
            </w:r>
          </w:p>
        </w:tc>
        <w:tc>
          <w:tcPr>
            <w:tcW w:w="39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9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60" w:type="dxa"/>
            <w:vAlign w:val="bottom"/>
            <w:gridSpan w:val="3"/>
          </w:tcPr>
          <w:p>
            <w:pPr>
              <w:ind w:left="360"/>
              <w:spacing w:after="0"/>
              <w:rPr>
                <w:sz w:val="20"/>
                <w:szCs w:val="20"/>
                <w:color w:val="auto"/>
              </w:rPr>
            </w:pPr>
            <w:r>
              <w:rPr>
                <w:rFonts w:ascii="Arial" w:cs="Arial" w:eastAsia="Arial" w:hAnsi="Arial"/>
                <w:sz w:val="18"/>
                <w:szCs w:val="18"/>
                <w:color w:val="auto"/>
              </w:rPr>
              <w:t>Total long-term debt and finance lease obligations, excluding current portion</w:t>
            </w:r>
          </w:p>
        </w:tc>
        <w:tc>
          <w:tcPr>
            <w:tcW w:w="100" w:type="dxa"/>
            <w:vAlign w:val="bottom"/>
          </w:tcPr>
          <w:p>
            <w:pPr>
              <w:spacing w:after="0"/>
              <w:rPr>
                <w:sz w:val="24"/>
                <w:szCs w:val="2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6,621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9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Micron shareholders’ equity</w:t>
            </w:r>
          </w:p>
        </w:tc>
        <w:tc>
          <w:tcPr>
            <w:tcW w:w="39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43,933</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9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70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39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50,554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9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-488315</wp:posOffset>
            </wp:positionV>
            <wp:extent cx="5212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-3848100</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620" w:right="439" w:hanging="360"/>
        <w:spacing w:after="0" w:line="207" w:lineRule="auto"/>
        <w:tabs>
          <w:tab w:leader="none" w:pos="16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Amounts listed above assume the 2023 notes and 2024 notes, as applicable, are redeemed on November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THE NOTES</w:t>
      </w:r>
    </w:p>
    <w:p>
      <w:pPr>
        <w:spacing w:after="0" w:line="148"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i w:val="1"/>
          <w:iCs w:val="1"/>
          <w:color w:val="auto"/>
        </w:rPr>
        <w:t>The notes will be issued under a base indenture (the “Base Indenture”), dated as of February 6, 2019, between Micron Technology, Inc. and U.S. Bank National Association, as trustee (the “Trustee”), as</w:t>
      </w:r>
    </w:p>
    <w:p>
      <w:pPr>
        <w:ind w:left="1260" w:right="739"/>
        <w:spacing w:after="0" w:line="260" w:lineRule="auto"/>
        <w:rPr>
          <w:sz w:val="20"/>
          <w:szCs w:val="20"/>
          <w:color w:val="auto"/>
        </w:rPr>
      </w:pPr>
      <w:r>
        <w:rPr>
          <w:rFonts w:ascii="Arial" w:cs="Arial" w:eastAsia="Arial" w:hAnsi="Arial"/>
          <w:sz w:val="18"/>
          <w:szCs w:val="18"/>
          <w:i w:val="1"/>
          <w:iCs w:val="1"/>
          <w:color w:val="auto"/>
        </w:rPr>
        <w:t>supplemented by a supplemental indenture, to be dated , 2021, with respect to the notes (the “Supplemental Indenture” and, together with the Base Indenture, the “Indenture”).</w:t>
      </w:r>
    </w:p>
    <w:p>
      <w:pPr>
        <w:spacing w:after="0" w:line="11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119"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i w:val="1"/>
          <w:iCs w:val="1"/>
          <w:color w:val="auto"/>
        </w:rPr>
        <w:t>The registered holder of a note will be treated as the owner of such note for all purposes. Only registered holders will have rights under the Indenture</w:t>
      </w:r>
      <w:r>
        <w:rPr>
          <w:rFonts w:ascii="Arial" w:cs="Arial" w:eastAsia="Arial" w:hAnsi="Arial"/>
          <w:sz w:val="18"/>
          <w:szCs w:val="18"/>
          <w:color w:val="auto"/>
        </w:rPr>
        <w:t>.</w:t>
      </w:r>
    </w:p>
    <w:p>
      <w:pPr>
        <w:spacing w:after="0" w:line="89"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i w:val="1"/>
          <w:iCs w:val="1"/>
          <w:color w:val="auto"/>
        </w:rPr>
        <w:t>The definition of certain terms used in this description are summarized under the subheading “— Certain Definitions.” In this description, references to “Micron,” “us,” “we,” “our” or the “Company” refer only to Micron Technology, Inc. and not to any of its subsidiaries.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General</w:t>
            </w:r>
          </w:p>
        </w:tc>
        <w:tc>
          <w:tcPr>
            <w:tcW w:w="1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0"/>
        </w:trPr>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We will issue $</w:t>
            </w:r>
          </w:p>
        </w:tc>
        <w:tc>
          <w:tcPr>
            <w:tcW w:w="6300" w:type="dxa"/>
            <w:vAlign w:val="bottom"/>
            <w:gridSpan w:val="5"/>
          </w:tcPr>
          <w:p>
            <w:pPr>
              <w:ind w:left="500"/>
              <w:spacing w:after="0"/>
              <w:rPr>
                <w:sz w:val="20"/>
                <w:szCs w:val="20"/>
                <w:color w:val="auto"/>
              </w:rPr>
            </w:pPr>
            <w:r>
              <w:rPr>
                <w:rFonts w:ascii="Arial" w:cs="Arial" w:eastAsia="Arial" w:hAnsi="Arial"/>
                <w:sz w:val="18"/>
                <w:szCs w:val="18"/>
                <w:color w:val="auto"/>
                <w:w w:val="99"/>
              </w:rPr>
              <w:t>aggregate principal amount of green bonds. The green bonds will mature</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on</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 20</w:t>
            </w:r>
          </w:p>
        </w:tc>
        <w:tc>
          <w:tcPr>
            <w:tcW w:w="5080" w:type="dxa"/>
            <w:vAlign w:val="bottom"/>
            <w:gridSpan w:val="4"/>
          </w:tcPr>
          <w:p>
            <w:pPr>
              <w:jc w:val="center"/>
              <w:ind w:left="570"/>
              <w:spacing w:after="0"/>
              <w:rPr>
                <w:sz w:val="20"/>
                <w:szCs w:val="20"/>
                <w:color w:val="auto"/>
              </w:rPr>
            </w:pPr>
            <w:r>
              <w:rPr>
                <w:rFonts w:ascii="Arial" w:cs="Arial" w:eastAsia="Arial" w:hAnsi="Arial"/>
                <w:sz w:val="18"/>
                <w:szCs w:val="18"/>
                <w:color w:val="auto"/>
                <w:w w:val="94"/>
              </w:rPr>
              <w:t>. Interest on the green bonds will accrue at the rate of</w:t>
            </w:r>
          </w:p>
        </w:tc>
        <w:tc>
          <w:tcPr>
            <w:tcW w:w="1220" w:type="dxa"/>
            <w:vAlign w:val="bottom"/>
          </w:tcPr>
          <w:p>
            <w:pPr>
              <w:ind w:left="180"/>
              <w:spacing w:after="0"/>
              <w:rPr>
                <w:sz w:val="20"/>
                <w:szCs w:val="20"/>
                <w:color w:val="auto"/>
              </w:rPr>
            </w:pPr>
            <w:r>
              <w:rPr>
                <w:rFonts w:ascii="Arial" w:cs="Arial" w:eastAsia="Arial" w:hAnsi="Arial"/>
                <w:sz w:val="18"/>
                <w:szCs w:val="18"/>
                <w:color w:val="auto"/>
                <w:w w:val="90"/>
              </w:rPr>
              <w:t>% per annum.</w:t>
            </w:r>
          </w:p>
        </w:tc>
      </w:tr>
      <w:tr>
        <w:trPr>
          <w:trHeight w:val="350"/>
        </w:trPr>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We will issue $</w:t>
            </w:r>
          </w:p>
        </w:tc>
        <w:tc>
          <w:tcPr>
            <w:tcW w:w="3120" w:type="dxa"/>
            <w:vAlign w:val="bottom"/>
            <w:gridSpan w:val="2"/>
          </w:tcPr>
          <w:p>
            <w:pPr>
              <w:ind w:left="500"/>
              <w:spacing w:after="0"/>
              <w:rPr>
                <w:sz w:val="20"/>
                <w:szCs w:val="20"/>
                <w:color w:val="auto"/>
              </w:rPr>
            </w:pPr>
            <w:r>
              <w:rPr>
                <w:rFonts w:ascii="Arial" w:cs="Arial" w:eastAsia="Arial" w:hAnsi="Arial"/>
                <w:sz w:val="18"/>
                <w:szCs w:val="18"/>
                <w:color w:val="auto"/>
                <w:w w:val="98"/>
              </w:rPr>
              <w:t>aggregate principal amount of 20</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notes. The 20</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notes will mature</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on</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 20</w:t>
            </w:r>
          </w:p>
        </w:tc>
        <w:tc>
          <w:tcPr>
            <w:tcW w:w="1600" w:type="dxa"/>
            <w:vAlign w:val="bottom"/>
          </w:tcPr>
          <w:p>
            <w:pPr>
              <w:ind w:left="60"/>
              <w:spacing w:after="0"/>
              <w:rPr>
                <w:sz w:val="20"/>
                <w:szCs w:val="20"/>
                <w:color w:val="auto"/>
              </w:rPr>
            </w:pPr>
            <w:r>
              <w:rPr>
                <w:rFonts w:ascii="Arial" w:cs="Arial" w:eastAsia="Arial" w:hAnsi="Arial"/>
                <w:sz w:val="18"/>
                <w:szCs w:val="18"/>
                <w:color w:val="auto"/>
              </w:rPr>
              <w:t>. Interest on the 20</w:t>
            </w:r>
          </w:p>
        </w:tc>
        <w:tc>
          <w:tcPr>
            <w:tcW w:w="2740" w:type="dxa"/>
            <w:vAlign w:val="bottom"/>
            <w:gridSpan w:val="2"/>
          </w:tcPr>
          <w:p>
            <w:pPr>
              <w:jc w:val="center"/>
              <w:ind w:right="130"/>
              <w:spacing w:after="0"/>
              <w:rPr>
                <w:sz w:val="20"/>
                <w:szCs w:val="20"/>
                <w:color w:val="auto"/>
              </w:rPr>
            </w:pPr>
            <w:r>
              <w:rPr>
                <w:rFonts w:ascii="Arial" w:cs="Arial" w:eastAsia="Arial" w:hAnsi="Arial"/>
                <w:sz w:val="18"/>
                <w:szCs w:val="18"/>
                <w:color w:val="auto"/>
                <w:w w:val="95"/>
              </w:rPr>
              <w:t>notes will accrue at the rate of</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 per annum.</w:t>
            </w:r>
          </w:p>
        </w:tc>
      </w:tr>
      <w:tr>
        <w:trPr>
          <w:trHeight w:val="337"/>
        </w:trPr>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We will issue $</w:t>
            </w:r>
          </w:p>
        </w:tc>
        <w:tc>
          <w:tcPr>
            <w:tcW w:w="3120" w:type="dxa"/>
            <w:vAlign w:val="bottom"/>
            <w:gridSpan w:val="2"/>
          </w:tcPr>
          <w:p>
            <w:pPr>
              <w:ind w:left="500"/>
              <w:spacing w:after="0"/>
              <w:rPr>
                <w:sz w:val="20"/>
                <w:szCs w:val="20"/>
                <w:color w:val="auto"/>
              </w:rPr>
            </w:pPr>
            <w:r>
              <w:rPr>
                <w:rFonts w:ascii="Arial" w:cs="Arial" w:eastAsia="Arial" w:hAnsi="Arial"/>
                <w:sz w:val="18"/>
                <w:szCs w:val="18"/>
                <w:color w:val="auto"/>
                <w:w w:val="98"/>
              </w:rPr>
              <w:t>aggregate principal amount of 20</w:t>
            </w: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notes. The 20</w:t>
            </w: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notes will mature</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on</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 20</w:t>
            </w:r>
          </w:p>
        </w:tc>
        <w:tc>
          <w:tcPr>
            <w:tcW w:w="1600" w:type="dxa"/>
            <w:vAlign w:val="bottom"/>
          </w:tcPr>
          <w:p>
            <w:pPr>
              <w:ind w:left="60"/>
              <w:spacing w:after="0"/>
              <w:rPr>
                <w:sz w:val="20"/>
                <w:szCs w:val="20"/>
                <w:color w:val="auto"/>
              </w:rPr>
            </w:pPr>
            <w:r>
              <w:rPr>
                <w:rFonts w:ascii="Arial" w:cs="Arial" w:eastAsia="Arial" w:hAnsi="Arial"/>
                <w:sz w:val="18"/>
                <w:szCs w:val="18"/>
                <w:color w:val="auto"/>
              </w:rPr>
              <w:t>. Interest on the 20</w:t>
            </w:r>
          </w:p>
        </w:tc>
        <w:tc>
          <w:tcPr>
            <w:tcW w:w="2740" w:type="dxa"/>
            <w:vAlign w:val="bottom"/>
            <w:gridSpan w:val="2"/>
          </w:tcPr>
          <w:p>
            <w:pPr>
              <w:ind w:left="440"/>
              <w:spacing w:after="0"/>
              <w:rPr>
                <w:sz w:val="20"/>
                <w:szCs w:val="20"/>
                <w:color w:val="auto"/>
              </w:rPr>
            </w:pPr>
            <w:r>
              <w:rPr>
                <w:rFonts w:ascii="Arial" w:cs="Arial" w:eastAsia="Arial" w:hAnsi="Arial"/>
                <w:sz w:val="18"/>
                <w:szCs w:val="18"/>
                <w:color w:val="auto"/>
                <w:w w:val="95"/>
              </w:rPr>
              <w:t>notes will accrue at the rate of</w:t>
            </w:r>
          </w:p>
        </w:tc>
        <w:tc>
          <w:tcPr>
            <w:tcW w:w="1960" w:type="dxa"/>
            <w:vAlign w:val="bottom"/>
            <w:gridSpan w:val="2"/>
          </w:tcPr>
          <w:p>
            <w:pPr>
              <w:ind w:left="360"/>
              <w:spacing w:after="0"/>
              <w:rPr>
                <w:sz w:val="20"/>
                <w:szCs w:val="20"/>
                <w:color w:val="auto"/>
              </w:rPr>
            </w:pPr>
            <w:r>
              <w:rPr>
                <w:rFonts w:ascii="Arial" w:cs="Arial" w:eastAsia="Arial" w:hAnsi="Arial"/>
                <w:sz w:val="18"/>
                <w:szCs w:val="18"/>
                <w:color w:val="auto"/>
              </w:rPr>
              <w:t>% per annum.</w:t>
            </w:r>
          </w:p>
        </w:tc>
      </w:tr>
    </w:tbl>
    <w:p>
      <w:pPr>
        <w:spacing w:after="0" w:line="134" w:lineRule="exact"/>
        <w:rPr>
          <w:sz w:val="20"/>
          <w:szCs w:val="20"/>
          <w:color w:val="auto"/>
        </w:rPr>
      </w:pPr>
    </w:p>
    <w:p>
      <w:pPr>
        <w:ind w:left="1620"/>
        <w:spacing w:after="0"/>
        <w:tabs>
          <w:tab w:leader="none" w:pos="3660" w:val="left"/>
          <w:tab w:leader="none" w:pos="5120" w:val="left"/>
        </w:tabs>
        <w:rPr>
          <w:sz w:val="20"/>
          <w:szCs w:val="20"/>
          <w:color w:val="auto"/>
        </w:rPr>
      </w:pPr>
      <w:r>
        <w:rPr>
          <w:rFonts w:ascii="Arial" w:cs="Arial" w:eastAsia="Arial" w:hAnsi="Arial"/>
          <w:sz w:val="18"/>
          <w:szCs w:val="18"/>
          <w:color w:val="auto"/>
        </w:rPr>
        <w:t>The green bonds, the 20</w:t>
        <w:tab/>
        <w:t>notes and the 20</w:t>
      </w:r>
      <w:r>
        <w:rPr>
          <w:sz w:val="20"/>
          <w:szCs w:val="20"/>
          <w:color w:val="auto"/>
        </w:rPr>
        <w:tab/>
      </w:r>
      <w:r>
        <w:rPr>
          <w:rFonts w:ascii="Arial" w:cs="Arial" w:eastAsia="Arial" w:hAnsi="Arial"/>
          <w:sz w:val="17"/>
          <w:szCs w:val="17"/>
          <w:color w:val="auto"/>
        </w:rPr>
        <w:t>notes are collectively referred to as the “notes.”</w:t>
      </w:r>
    </w:p>
    <w:p>
      <w:pPr>
        <w:spacing w:after="0" w:line="158"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The notes will be senior unsecured obligations and will rank on the same basis with all of our other senior unsecured indebtedness from time to time outstanding. Each series of the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04"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Interest</w:t>
      </w:r>
    </w:p>
    <w:p>
      <w:pPr>
        <w:spacing w:after="0" w:line="162" w:lineRule="exact"/>
        <w:rPr>
          <w:sz w:val="20"/>
          <w:szCs w:val="20"/>
          <w:color w:val="auto"/>
        </w:rPr>
      </w:pPr>
    </w:p>
    <w:p>
      <w:pPr>
        <w:ind w:left="1620"/>
        <w:spacing w:after="0"/>
        <w:tabs>
          <w:tab w:leader="none" w:pos="5400" w:val="left"/>
          <w:tab w:leader="none" w:pos="7520" w:val="left"/>
        </w:tabs>
        <w:rPr>
          <w:sz w:val="20"/>
          <w:szCs w:val="20"/>
          <w:color w:val="auto"/>
        </w:rPr>
      </w:pPr>
      <w:r>
        <w:rPr>
          <w:rFonts w:ascii="Arial" w:cs="Arial" w:eastAsia="Arial" w:hAnsi="Arial"/>
          <w:sz w:val="18"/>
          <w:szCs w:val="18"/>
          <w:color w:val="auto"/>
        </w:rPr>
        <w:t>The green bonds will bear interest at a rate of</w:t>
      </w:r>
      <w:r>
        <w:rPr>
          <w:sz w:val="20"/>
          <w:szCs w:val="20"/>
          <w:color w:val="auto"/>
        </w:rPr>
        <w:tab/>
      </w:r>
      <w:r>
        <w:rPr>
          <w:rFonts w:ascii="Arial" w:cs="Arial" w:eastAsia="Arial" w:hAnsi="Arial"/>
          <w:sz w:val="18"/>
          <w:szCs w:val="18"/>
          <w:color w:val="auto"/>
        </w:rPr>
        <w:t>% per annum, the 20</w:t>
      </w:r>
      <w:r>
        <w:rPr>
          <w:sz w:val="20"/>
          <w:szCs w:val="20"/>
          <w:color w:val="auto"/>
        </w:rPr>
        <w:tab/>
      </w:r>
      <w:r>
        <w:rPr>
          <w:rFonts w:ascii="Arial" w:cs="Arial" w:eastAsia="Arial" w:hAnsi="Arial"/>
          <w:sz w:val="17"/>
          <w:szCs w:val="17"/>
          <w:color w:val="auto"/>
        </w:rPr>
        <w:t>notes will accrue interest</w:t>
      </w:r>
    </w:p>
    <w:p>
      <w:pPr>
        <w:spacing w:after="0" w:line="23" w:lineRule="exact"/>
        <w:rPr>
          <w:sz w:val="20"/>
          <w:szCs w:val="20"/>
          <w:color w:val="auto"/>
        </w:rPr>
      </w:pPr>
    </w:p>
    <w:p>
      <w:pPr>
        <w:ind w:left="1260"/>
        <w:spacing w:after="0"/>
        <w:tabs>
          <w:tab w:leader="none" w:pos="2420" w:val="left"/>
          <w:tab w:leader="none" w:pos="4820" w:val="left"/>
          <w:tab w:leader="none" w:pos="7940" w:val="left"/>
        </w:tabs>
        <w:rPr>
          <w:sz w:val="20"/>
          <w:szCs w:val="20"/>
          <w:color w:val="auto"/>
        </w:rPr>
      </w:pPr>
      <w:r>
        <w:rPr>
          <w:rFonts w:ascii="Arial" w:cs="Arial" w:eastAsia="Arial" w:hAnsi="Arial"/>
          <w:sz w:val="18"/>
          <w:szCs w:val="18"/>
          <w:color w:val="auto"/>
        </w:rPr>
        <w:t>at a rate of</w:t>
      </w:r>
      <w:r>
        <w:rPr>
          <w:sz w:val="20"/>
          <w:szCs w:val="20"/>
          <w:color w:val="auto"/>
        </w:rPr>
        <w:tab/>
      </w:r>
      <w:r>
        <w:rPr>
          <w:rFonts w:ascii="Arial" w:cs="Arial" w:eastAsia="Arial" w:hAnsi="Arial"/>
          <w:sz w:val="18"/>
          <w:szCs w:val="18"/>
          <w:color w:val="auto"/>
        </w:rPr>
        <w:t>% per annum and the 20</w:t>
      </w:r>
      <w:r>
        <w:rPr>
          <w:sz w:val="20"/>
          <w:szCs w:val="20"/>
          <w:color w:val="auto"/>
        </w:rPr>
        <w:tab/>
      </w:r>
      <w:r>
        <w:rPr>
          <w:rFonts w:ascii="Arial" w:cs="Arial" w:eastAsia="Arial" w:hAnsi="Arial"/>
          <w:sz w:val="18"/>
          <w:szCs w:val="18"/>
          <w:color w:val="auto"/>
        </w:rPr>
        <w:t>notes will accrue interest at a rate of</w:t>
      </w:r>
      <w:r>
        <w:rPr>
          <w:sz w:val="20"/>
          <w:szCs w:val="20"/>
          <w:color w:val="auto"/>
        </w:rPr>
        <w:tab/>
      </w:r>
      <w:r>
        <w:rPr>
          <w:rFonts w:ascii="Arial" w:cs="Arial" w:eastAsia="Arial" w:hAnsi="Arial"/>
          <w:sz w:val="16"/>
          <w:szCs w:val="16"/>
          <w:color w:val="auto"/>
        </w:rPr>
        <w:t>% per annum.</w:t>
      </w:r>
    </w:p>
    <w:p>
      <w:pPr>
        <w:spacing w:after="0" w:line="9" w:lineRule="exact"/>
        <w:rPr>
          <w:sz w:val="20"/>
          <w:szCs w:val="20"/>
          <w:color w:val="auto"/>
        </w:rPr>
      </w:pPr>
    </w:p>
    <w:p>
      <w:pPr>
        <w:ind w:left="1260"/>
        <w:spacing w:after="0"/>
        <w:tabs>
          <w:tab w:leader="none" w:pos="5040" w:val="left"/>
        </w:tabs>
        <w:rPr>
          <w:sz w:val="20"/>
          <w:szCs w:val="20"/>
          <w:color w:val="auto"/>
        </w:rPr>
      </w:pPr>
      <w:r>
        <w:rPr>
          <w:rFonts w:ascii="Arial" w:cs="Arial" w:eastAsia="Arial" w:hAnsi="Arial"/>
          <w:sz w:val="18"/>
          <w:szCs w:val="18"/>
          <w:color w:val="auto"/>
        </w:rPr>
        <w:t>Interest on the notes will accrue from</w:t>
      </w:r>
      <w:r>
        <w:rPr>
          <w:sz w:val="20"/>
          <w:szCs w:val="20"/>
          <w:color w:val="auto"/>
        </w:rPr>
        <w:tab/>
      </w:r>
      <w:r>
        <w:rPr>
          <w:rFonts w:ascii="Arial" w:cs="Arial" w:eastAsia="Arial" w:hAnsi="Arial"/>
          <w:sz w:val="17"/>
          <w:szCs w:val="17"/>
          <w:color w:val="auto"/>
        </w:rPr>
        <w:t>, 2021, or from the most recent interest payment date to</w:t>
      </w:r>
    </w:p>
    <w:p>
      <w:pPr>
        <w:spacing w:after="0" w:line="9" w:lineRule="exact"/>
        <w:rPr>
          <w:sz w:val="20"/>
          <w:szCs w:val="20"/>
          <w:color w:val="auto"/>
        </w:rPr>
      </w:pPr>
    </w:p>
    <w:p>
      <w:pPr>
        <w:ind w:left="1260" w:right="899"/>
        <w:spacing w:after="0" w:line="265" w:lineRule="auto"/>
        <w:rPr>
          <w:sz w:val="20"/>
          <w:szCs w:val="20"/>
          <w:color w:val="auto"/>
        </w:rPr>
      </w:pPr>
      <w:r>
        <w:rPr>
          <w:rFonts w:ascii="Arial" w:cs="Arial" w:eastAsia="Arial" w:hAnsi="Arial"/>
          <w:sz w:val="17"/>
          <w:szCs w:val="17"/>
          <w:color w:val="auto"/>
        </w:rPr>
        <w:t>which interest has been paid or provided for, to, but excluding, the relevant interest payment date. The Company will make interest payments on each series of notes semi-annually in arrears on</w:t>
      </w:r>
    </w:p>
    <w:p>
      <w:pPr>
        <w:ind w:left="1440"/>
        <w:spacing w:after="0"/>
        <w:tabs>
          <w:tab w:leader="none" w:pos="2680" w:val="left"/>
          <w:tab w:leader="none" w:pos="566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6"/>
          <w:szCs w:val="16"/>
          <w:color w:val="auto"/>
        </w:rPr>
        <w:t>, 2022, to the Person in whose name such notes</w:t>
      </w:r>
    </w:p>
    <w:p>
      <w:pPr>
        <w:spacing w:after="0" w:line="9" w:lineRule="exact"/>
        <w:rPr>
          <w:sz w:val="20"/>
          <w:szCs w:val="20"/>
          <w:color w:val="auto"/>
        </w:rPr>
      </w:pPr>
    </w:p>
    <w:p>
      <w:pPr>
        <w:ind w:left="1260"/>
        <w:spacing w:after="0"/>
        <w:tabs>
          <w:tab w:leader="none" w:pos="7340" w:val="left"/>
          <w:tab w:leader="none" w:pos="8480" w:val="left"/>
        </w:tabs>
        <w:rPr>
          <w:sz w:val="20"/>
          <w:szCs w:val="20"/>
          <w:color w:val="auto"/>
        </w:rPr>
      </w:pPr>
      <w:r>
        <w:rPr>
          <w:rFonts w:ascii="Arial" w:cs="Arial" w:eastAsia="Arial" w:hAnsi="Arial"/>
          <w:sz w:val="18"/>
          <w:szCs w:val="18"/>
          <w:color w:val="auto"/>
        </w:rPr>
        <w:t>are registered at the close of business on the immediately preceding</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3"/>
          <w:szCs w:val="13"/>
          <w:color w:val="auto"/>
        </w:rPr>
        <w:t>, as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applicable.</w:t>
      </w:r>
    </w:p>
    <w:p>
      <w:pPr>
        <w:sectPr>
          <w:pgSz w:w="11900" w:h="16838" w:orient="portrait"/>
          <w:cols w:equalWidth="0" w:num="1">
            <w:col w:w="9879"/>
          </w:cols>
          <w:pgMar w:left="580" w:top="131" w:right="1440" w:bottom="1440" w:gutter="0" w:footer="0" w:header="0"/>
        </w:sectPr>
      </w:pP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144"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Optional Redemption</w:t>
      </w:r>
    </w:p>
    <w:p>
      <w:pPr>
        <w:spacing w:after="0" w:line="162"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Except as otherwise described below, the notes of each series will be redeemable in whole at any time or in part from time to time, at the Company’s option, prior to the applicable Par Call Date, at a redemption price as calculated by the Company equal to the greater of:</w:t>
      </w:r>
    </w:p>
    <w:p>
      <w:pPr>
        <w:spacing w:after="0" w:line="74"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 or</w:t>
      </w:r>
    </w:p>
    <w:p>
      <w:pPr>
        <w:spacing w:after="0" w:line="117" w:lineRule="exact"/>
        <w:rPr>
          <w:rFonts w:ascii="Arial" w:cs="Arial" w:eastAsia="Arial" w:hAnsi="Arial"/>
          <w:sz w:val="18"/>
          <w:szCs w:val="18"/>
          <w:color w:val="auto"/>
        </w:rPr>
      </w:pPr>
    </w:p>
    <w:p>
      <w:pPr>
        <w:ind w:left="1800" w:right="559" w:hanging="180"/>
        <w:spacing w:after="0" w:line="286" w:lineRule="auto"/>
        <w:tabs>
          <w:tab w:leader="none" w:pos="1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that would be due if the notes of such series matured on the applicable Par Call Date (exclusive of interest accrued to the date of redemption), discounted to the date of redemption on a semi-annual basis (assuming a 360-day year consisting of twelve 30-day months) at the then current Treasury</w:t>
      </w:r>
    </w:p>
    <w:p>
      <w:pPr>
        <w:sectPr>
          <w:pgSz w:w="11900" w:h="16838" w:orient="portrait"/>
          <w:cols w:equalWidth="0" w:num="1">
            <w:col w:w="9879"/>
          </w:cols>
          <w:pgMar w:left="580" w:top="131" w:right="1440" w:bottom="1440" w:gutter="0" w:footer="0" w:header="0"/>
        </w:sectPr>
      </w:pPr>
    </w:p>
    <w:p>
      <w:pPr>
        <w:spacing w:after="0" w:line="1"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Rate plus</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Arial" w:cs="Arial" w:eastAsia="Arial" w:hAnsi="Arial"/>
          <w:sz w:val="16"/>
          <w:szCs w:val="16"/>
          <w:color w:val="auto"/>
        </w:rPr>
        <w:t>basis points for the green bonds,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basis points for the</w:t>
      </w:r>
    </w:p>
    <w:p>
      <w:pPr>
        <w:spacing w:after="0" w:line="21" w:lineRule="exact"/>
        <w:rPr>
          <w:sz w:val="20"/>
          <w:szCs w:val="20"/>
          <w:color w:val="auto"/>
        </w:rPr>
      </w:pPr>
    </w:p>
    <w:p>
      <w:pPr>
        <w:sectPr>
          <w:pgSz w:w="11900" w:h="16838" w:orient="portrait"/>
          <w:cols w:equalWidth="0" w:num="3">
            <w:col w:w="2780" w:space="720"/>
            <w:col w:w="2700" w:space="720"/>
            <w:col w:w="2959"/>
          </w:cols>
          <w:pgMar w:left="580" w:top="131" w:right="1440" w:bottom="1440" w:gutter="0" w:footer="0" w:header="0"/>
          <w:type w:val="continuous"/>
        </w:sectPr>
      </w:pPr>
    </w:p>
    <w:p>
      <w:pPr>
        <w:ind w:left="180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notes and basis points for the 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notes,</w:t>
      </w:r>
    </w:p>
    <w:p>
      <w:pPr>
        <w:spacing w:after="0" w:line="153" w:lineRule="exact"/>
        <w:rPr>
          <w:sz w:val="20"/>
          <w:szCs w:val="20"/>
          <w:color w:val="auto"/>
        </w:rPr>
      </w:pPr>
    </w:p>
    <w:p>
      <w:pPr>
        <w:sectPr>
          <w:pgSz w:w="11900" w:h="16838" w:orient="portrait"/>
          <w:cols w:equalWidth="0" w:num="3">
            <w:col w:w="1980" w:space="560"/>
            <w:col w:w="2440" w:space="560"/>
            <w:col w:w="4339"/>
          </w:cols>
          <w:pgMar w:left="580" w:top="131" w:right="1440" w:bottom="1440" w:gutter="0" w:footer="0" w:header="0"/>
          <w:type w:val="continuous"/>
        </w:sectPr>
      </w:pPr>
    </w:p>
    <w:p>
      <w:pPr>
        <w:ind w:left="1260" w:right="539"/>
        <w:spacing w:after="0" w:line="261" w:lineRule="auto"/>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 We will calculate the redemption price.</w:t>
      </w:r>
    </w:p>
    <w:p>
      <w:pPr>
        <w:spacing w:after="0" w:line="103"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If we elect to redeem any green bonds, 20 notes or 20 notes on or after the applicable Par Call Date, we will pay an amount equal to 100% of the principal amount of the notes redeemed, plus accrued and unpaid interest, if any, to, but excluding, the date of redemption.</w:t>
      </w:r>
    </w:p>
    <w:p>
      <w:pPr>
        <w:spacing w:after="0" w:line="114" w:lineRule="exact"/>
        <w:rPr>
          <w:sz w:val="20"/>
          <w:szCs w:val="20"/>
          <w:color w:val="auto"/>
        </w:rPr>
      </w:pPr>
    </w:p>
    <w:p>
      <w:pPr>
        <w:ind w:left="1620"/>
        <w:spacing w:after="0"/>
        <w:tabs>
          <w:tab w:leader="none" w:pos="4140" w:val="left"/>
          <w:tab w:leader="none" w:pos="5000" w:val="left"/>
        </w:tabs>
        <w:rPr>
          <w:sz w:val="20"/>
          <w:szCs w:val="20"/>
          <w:color w:val="auto"/>
        </w:rPr>
      </w:pPr>
      <w:r>
        <w:rPr>
          <w:rFonts w:ascii="Arial" w:cs="Arial" w:eastAsia="Arial" w:hAnsi="Arial"/>
          <w:sz w:val="18"/>
          <w:szCs w:val="18"/>
          <w:color w:val="auto"/>
        </w:rPr>
        <w:t>“Par Call Date” means (i)</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 with respect to any green bonds (three months prior to</w:t>
      </w:r>
    </w:p>
    <w:p>
      <w:pPr>
        <w:spacing w:after="0" w:line="7" w:lineRule="exact"/>
        <w:rPr>
          <w:sz w:val="20"/>
          <w:szCs w:val="20"/>
          <w:color w:val="auto"/>
        </w:rPr>
      </w:pPr>
    </w:p>
    <w:p>
      <w:pPr>
        <w:ind w:left="1260"/>
        <w:spacing w:after="0"/>
        <w:tabs>
          <w:tab w:leader="none" w:pos="4980" w:val="left"/>
          <w:tab w:leader="none" w:pos="5820" w:val="left"/>
          <w:tab w:leader="none" w:pos="8140" w:val="left"/>
        </w:tabs>
        <w:rPr>
          <w:sz w:val="20"/>
          <w:szCs w:val="20"/>
          <w:color w:val="auto"/>
        </w:rPr>
      </w:pPr>
      <w:r>
        <w:rPr>
          <w:rFonts w:ascii="Arial" w:cs="Arial" w:eastAsia="Arial" w:hAnsi="Arial"/>
          <w:sz w:val="18"/>
          <w:szCs w:val="18"/>
          <w:color w:val="auto"/>
        </w:rPr>
        <w:t>the maturity date of the green bonds), (ii)</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 with respect to any 20</w:t>
      </w:r>
      <w:r>
        <w:rPr>
          <w:sz w:val="20"/>
          <w:szCs w:val="20"/>
          <w:color w:val="auto"/>
        </w:rPr>
        <w:tab/>
      </w:r>
      <w:r>
        <w:rPr>
          <w:rFonts w:ascii="Arial" w:cs="Arial" w:eastAsia="Arial" w:hAnsi="Arial"/>
          <w:sz w:val="16"/>
          <w:szCs w:val="16"/>
          <w:color w:val="auto"/>
        </w:rPr>
        <w:t>notes</w:t>
      </w:r>
    </w:p>
    <w:p>
      <w:pPr>
        <w:ind w:left="1260"/>
        <w:spacing w:after="0"/>
        <w:tabs>
          <w:tab w:leader="none" w:pos="5340" w:val="left"/>
          <w:tab w:leader="none" w:pos="7080" w:val="left"/>
          <w:tab w:leader="none" w:pos="7920" w:val="left"/>
        </w:tabs>
        <w:rPr>
          <w:sz w:val="20"/>
          <w:szCs w:val="20"/>
          <w:color w:val="auto"/>
        </w:rPr>
      </w:pPr>
      <w:r>
        <w:rPr>
          <w:rFonts w:ascii="Arial" w:cs="Arial" w:eastAsia="Arial" w:hAnsi="Arial"/>
          <w:sz w:val="18"/>
          <w:szCs w:val="18"/>
          <w:color w:val="auto"/>
        </w:rPr>
        <w:t>(six months prior to the maturity date of the 20</w:t>
      </w:r>
      <w:r>
        <w:rPr>
          <w:sz w:val="20"/>
          <w:szCs w:val="20"/>
          <w:color w:val="auto"/>
        </w:rPr>
        <w:tab/>
      </w:r>
      <w:r>
        <w:rPr>
          <w:rFonts w:ascii="Arial" w:cs="Arial" w:eastAsia="Arial" w:hAnsi="Arial"/>
          <w:sz w:val="18"/>
          <w:szCs w:val="18"/>
          <w:color w:val="auto"/>
        </w:rPr>
        <w:t>notes) and (iii)</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 with respect to</w:t>
      </w:r>
    </w:p>
    <w:p>
      <w:pPr>
        <w:spacing w:after="0" w:line="1" w:lineRule="exact"/>
        <w:rPr>
          <w:sz w:val="20"/>
          <w:szCs w:val="20"/>
          <w:color w:val="auto"/>
        </w:rPr>
      </w:pPr>
    </w:p>
    <w:p>
      <w:pPr>
        <w:ind w:left="1260"/>
        <w:spacing w:after="0"/>
        <w:tabs>
          <w:tab w:leader="none" w:pos="2300" w:val="left"/>
          <w:tab w:leader="none" w:pos="6860" w:val="left"/>
        </w:tabs>
        <w:rPr>
          <w:sz w:val="20"/>
          <w:szCs w:val="20"/>
          <w:color w:val="auto"/>
        </w:rPr>
      </w:pPr>
      <w:r>
        <w:rPr>
          <w:rFonts w:ascii="Arial" w:cs="Arial" w:eastAsia="Arial" w:hAnsi="Arial"/>
          <w:sz w:val="18"/>
          <w:szCs w:val="18"/>
          <w:color w:val="auto"/>
        </w:rPr>
        <w:t>any 20</w:t>
      </w:r>
      <w:r>
        <w:rPr>
          <w:sz w:val="20"/>
          <w:szCs w:val="20"/>
          <w:color w:val="auto"/>
        </w:rPr>
        <w:tab/>
      </w:r>
      <w:r>
        <w:rPr>
          <w:rFonts w:ascii="Arial" w:cs="Arial" w:eastAsia="Arial" w:hAnsi="Arial"/>
          <w:sz w:val="18"/>
          <w:szCs w:val="18"/>
          <w:color w:val="auto"/>
        </w:rPr>
        <w:t>notes (six months prior to the maturity date of the 20</w:t>
      </w:r>
      <w:r>
        <w:rPr>
          <w:sz w:val="20"/>
          <w:szCs w:val="20"/>
          <w:color w:val="auto"/>
        </w:rPr>
        <w:tab/>
      </w:r>
      <w:r>
        <w:rPr>
          <w:rFonts w:ascii="Arial" w:cs="Arial" w:eastAsia="Arial" w:hAnsi="Arial"/>
          <w:sz w:val="16"/>
          <w:szCs w:val="16"/>
          <w:color w:val="auto"/>
        </w:rPr>
        <w:t>notes).</w:t>
      </w:r>
    </w:p>
    <w:p>
      <w:pPr>
        <w:spacing w:after="0" w:line="115"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The Company will prepare and send, or cause to be sent, a notice of redemption to each holder of notes to be redeemed (with a copy to the Trustee) at least 10 and not more than 60 calendar days prior to the date fixed for redemption. On and after a redemption date, interest will cease to accrue on the notes called for redemption (unless the Company defaults in the payment of the redemption price and accrued interest). On or before a redemption date, the Company will deposit with a paying agent (or the Trustee) money sufficient to pay the redemption price of and accrued interest on the notes to be redeemed on that date. If less than all of the notes of a series are to be redeemed, the notes of such series to be redeemed shall be selected by the Trustee pro rata or by lot or by a method the Trustee deems to be fair and appropriate and, in respect of global notes, in accordance with the procedures of The Depository Trust Company (“DTC”). Any redemption or notice of redemption may, at the Company’s discretion, be subject to one or more conditions precedent.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The Company is not required to make any mandatory redemption or sinking fund payments with respect to the notes. However, under certain circumstances, the Company may be required to offer to purchase each series of notes as described under the caption “— Repurchase of Notes upon a Change of Control Triggering Event.” The Company may at any time and from time to time purchase notes in the open market or otherwise.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Ranking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104" w:lineRule="exact"/>
        <w:rPr>
          <w:sz w:val="20"/>
          <w:szCs w:val="20"/>
          <w:color w:val="auto"/>
        </w:rPr>
      </w:pPr>
    </w:p>
    <w:p>
      <w:pPr>
        <w:ind w:left="1800" w:right="45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unsecured unsubordinated indebtedness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1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structurally subordinated to any indebtedness and other liabilities of the Company’s Subsidiaries.</w:t>
      </w:r>
    </w:p>
    <w:p>
      <w:pPr>
        <w:spacing w:after="0" w:line="156"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Repurchase of Notes upon a Change of Control Triggering Event</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Not later than 60 days following a Change of Control Triggering Event, unless the Company has exercised its right to redeem all of the notes of a series as described under “— Optional Redemption,” the Company will make an Offer to Purchase all of the outstanding notes of such series at a purchase price equal to 101% of the principal amount thereof plus accrued and unpaid interest, if any, to, but excluding, the date of purchase.</w:t>
      </w:r>
    </w:p>
    <w:p>
      <w:pPr>
        <w:spacing w:after="0" w:line="120"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96"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127"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Company will not be required to make an Offer to Purchase following a Change of Control Triggering Event with respect to the notes of a series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15"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If holders of not less than 90% in aggregate principal amount of the outstanding notes of a series validly tender and do not withdraw such notes in a change of control offer and the Company, or any third party approved in writing by the Company making a change of control offer in lieu of the Company as described above, purchases all of the notes of such series validly tendered and not withdrawn by such</w:t>
      </w: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each series of notes, which would violate the terms of the indenture.”</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1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 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08"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and Transfer</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Holders of notes of a series generally will be able to exchange notes of such series for other notes of such series with the same total principal amount and the same terms.</w:t>
      </w:r>
    </w:p>
    <w:p>
      <w:pPr>
        <w:spacing w:after="0" w:line="103"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58"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approve a change in the office of any transfer agent.</w:t>
      </w:r>
    </w:p>
    <w:p>
      <w:pPr>
        <w:spacing w:after="0" w:line="144"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the Company elects to redeem the notes of each series or makes an Offer to Purchase, neither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nor the Trustee will be required to:</w:t>
      </w:r>
    </w:p>
    <w:p>
      <w:pPr>
        <w:spacing w:after="0" w:line="103" w:lineRule="exact"/>
        <w:rPr>
          <w:sz w:val="20"/>
          <w:szCs w:val="20"/>
          <w:color w:val="auto"/>
        </w:rPr>
      </w:pPr>
    </w:p>
    <w:p>
      <w:pPr>
        <w:ind w:left="1800" w:right="499" w:hanging="180"/>
        <w:spacing w:after="0" w:line="259"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78"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register the transfer or exchange of any note of such series so selected for redemption or subject to purchase in such Offer to Purchase, except for any portion not to be redeemed or subject to purchase; or</w:t>
      </w:r>
    </w:p>
    <w:p>
      <w:pPr>
        <w:spacing w:after="0" w:line="75"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Payment and Paying Agents</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119"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76" w:lineRule="exact"/>
        <w:rPr>
          <w:sz w:val="20"/>
          <w:szCs w:val="20"/>
          <w:color w:val="auto"/>
        </w:rPr>
      </w:pPr>
    </w:p>
    <w:p>
      <w:pPr>
        <w:ind w:left="1800" w:right="105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62" w:lineRule="exact"/>
        <w:rPr>
          <w:rFonts w:ascii="Arial" w:cs="Arial" w:eastAsia="Arial" w:hAnsi="Arial"/>
          <w:sz w:val="18"/>
          <w:szCs w:val="18"/>
          <w:color w:val="auto"/>
        </w:rPr>
      </w:pPr>
    </w:p>
    <w:p>
      <w:pPr>
        <w:jc w:val="both"/>
        <w:ind w:left="1800" w:right="579" w:hanging="180"/>
        <w:spacing w:after="0" w:line="286"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9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p>
    <w:p>
      <w:pPr>
        <w:spacing w:after="0" w:line="106"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01"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20"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For purposes of the foregoing covenant, (i) the creation of a Lien to secure Indebtedness which existed prior to the creation of such Lien will be deemed to involve Indebtedness in an amount equal to the lesser of</w:t>
      </w:r>
    </w:p>
    <w:p>
      <w:pPr>
        <w:spacing w:after="0" w:line="1" w:lineRule="exact"/>
        <w:rPr>
          <w:sz w:val="20"/>
          <w:szCs w:val="20"/>
          <w:color w:val="auto"/>
        </w:rPr>
      </w:pPr>
    </w:p>
    <w:p>
      <w:pPr>
        <w:ind w:left="1260" w:right="459"/>
        <w:spacing w:after="0" w:line="250" w:lineRule="auto"/>
        <w:tabs>
          <w:tab w:leader="none" w:pos="15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1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44"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60"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48"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66" w:lineRule="exact"/>
        <w:rPr>
          <w:rFonts w:ascii="Arial" w:cs="Arial" w:eastAsia="Arial" w:hAnsi="Arial"/>
          <w:sz w:val="18"/>
          <w:szCs w:val="18"/>
          <w:color w:val="auto"/>
        </w:rPr>
      </w:pPr>
    </w:p>
    <w:p>
      <w:pPr>
        <w:ind w:left="1800" w:right="63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such transaction involves a lease for not more than three years (or which may be terminated by the Company or the applicable Restricted Subsidiary within a period of not more than three years);</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59"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 Limitation on Liens” above; or</w:t>
      </w:r>
    </w:p>
    <w:p>
      <w:pPr>
        <w:spacing w:after="0" w:line="78" w:lineRule="exact"/>
        <w:rPr>
          <w:rFonts w:ascii="Arial" w:cs="Arial" w:eastAsia="Arial" w:hAnsi="Arial"/>
          <w:sz w:val="18"/>
          <w:szCs w:val="18"/>
          <w:color w:val="auto"/>
        </w:rPr>
      </w:pPr>
    </w:p>
    <w:p>
      <w:pPr>
        <w:ind w:left="1800" w:right="479" w:hanging="180"/>
        <w:spacing w:after="0" w:line="272" w:lineRule="auto"/>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96"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Consolidation, Merger and Conveyance, Transfer and Lease of All or Substantially All Assets</w:t>
      </w:r>
    </w:p>
    <w:p>
      <w:pPr>
        <w:spacing w:after="0" w:line="169"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89" w:lineRule="exact"/>
        <w:rPr>
          <w:sz w:val="20"/>
          <w:szCs w:val="20"/>
          <w:color w:val="auto"/>
        </w:rPr>
      </w:pPr>
    </w:p>
    <w:p>
      <w:pPr>
        <w:jc w:val="both"/>
        <w:ind w:left="1620" w:right="599" w:firstLine="360"/>
        <w:spacing w:after="0" w:line="259" w:lineRule="auto"/>
        <w:tabs>
          <w:tab w:leader="none" w:pos="23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119" w:lineRule="exact"/>
        <w:rPr>
          <w:rFonts w:ascii="Arial" w:cs="Arial" w:eastAsia="Arial" w:hAnsi="Arial"/>
          <w:sz w:val="18"/>
          <w:szCs w:val="18"/>
          <w:color w:val="auto"/>
        </w:rPr>
      </w:pPr>
    </w:p>
    <w:p>
      <w:pPr>
        <w:ind w:left="1620" w:right="699" w:firstLine="360"/>
        <w:spacing w:after="0" w:line="263" w:lineRule="auto"/>
        <w:tabs>
          <w:tab w:leader="none" w:pos="23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16" w:lineRule="exact"/>
        <w:rPr>
          <w:rFonts w:ascii="Arial" w:cs="Arial" w:eastAsia="Arial" w:hAnsi="Arial"/>
          <w:sz w:val="18"/>
          <w:szCs w:val="18"/>
          <w:color w:val="auto"/>
        </w:rPr>
      </w:pPr>
    </w:p>
    <w:p>
      <w:pPr>
        <w:ind w:left="2340" w:hanging="360"/>
        <w:spacing w:after="0"/>
        <w:tabs>
          <w:tab w:leader="none" w:pos="2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144"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 of Financial Information</w:t>
      </w:r>
    </w:p>
    <w:p>
      <w:pPr>
        <w:spacing w:after="0" w:line="162"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Definitions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44" w:lineRule="exact"/>
        <w:rPr>
          <w:sz w:val="20"/>
          <w:szCs w:val="20"/>
          <w:color w:val="auto"/>
        </w:rPr>
      </w:pPr>
    </w:p>
    <w:p>
      <w:pPr>
        <w:ind w:left="1260" w:right="579" w:firstLine="360"/>
        <w:spacing w:after="0" w:line="342" w:lineRule="auto"/>
        <w:rPr>
          <w:sz w:val="20"/>
          <w:szCs w:val="20"/>
          <w:color w:val="auto"/>
        </w:rPr>
      </w:pPr>
      <w:r>
        <w:rPr>
          <w:rFonts w:ascii="Arial" w:cs="Arial" w:eastAsia="Arial" w:hAnsi="Arial"/>
          <w:sz w:val="16"/>
          <w:szCs w:val="16"/>
          <w:color w:val="auto"/>
        </w:rPr>
        <w:t>“Aggregate Debt” means the sum of the following as of the date of determination: (1) the then aggregate outstanding amount of the Indebtedness of the Company and its Restricted Subsidiaries, without</w:t>
      </w:r>
    </w:p>
    <w:p>
      <w:pPr>
        <w:sectPr>
          <w:pgSz w:w="11900" w:h="16838" w:orient="portrait"/>
          <w:cols w:equalWidth="0" w:num="1">
            <w:col w:w="9879"/>
          </w:cols>
          <w:pgMar w:left="580" w:top="131" w:right="1440" w:bottom="1440" w:gutter="0" w:footer="0" w:header="0"/>
        </w:sect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6" w:lineRule="auto"/>
        <w:rPr>
          <w:sz w:val="20"/>
          <w:szCs w:val="20"/>
          <w:color w:val="auto"/>
        </w:rPr>
      </w:pPr>
      <w:r>
        <w:rPr>
          <w:rFonts w:ascii="Arial" w:cs="Arial" w:eastAsia="Arial" w:hAnsi="Arial"/>
          <w:sz w:val="17"/>
          <w:szCs w:val="17"/>
          <w:color w:val="auto"/>
        </w:rPr>
        <w:t>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17"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25"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7"/>
          <w:szCs w:val="17"/>
          <w:color w:val="auto"/>
        </w:rPr>
        <w:t>“Below Investment Grade Rating Event” means, with respect to each series of the notes, the rating on such series of notes is lowered by two or more of the Rating Agencies within 60 days from the earlier of</w:t>
      </w:r>
    </w:p>
    <w:p>
      <w:pPr>
        <w:ind w:left="1260" w:right="419"/>
        <w:spacing w:after="0" w:line="267" w:lineRule="auto"/>
        <w:tabs>
          <w:tab w:leader="none" w:pos="152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date of the first public notice of an arrangement that could result in a Change of Control or (2) the occurrence of a Change of Control (which period shall be extended so long as the rating of such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p>
    <w:p>
      <w:pPr>
        <w:spacing w:after="0" w:line="117"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“Board of Directors” means the board of directors of the Company or any committee thereof duly authorized to act on behalf of such board.</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“Business Day” means each day that is not a Legal Holiday.</w:t>
      </w:r>
    </w:p>
    <w:p>
      <w:pPr>
        <w:spacing w:after="0" w:line="158"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“Capital Stock” means, with respect to any Person, any and all shares of stock of a corporation, partnership interests or other equivalent interests (however designated, whether voting or non-voting) in</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color w:val="auto"/>
        </w:rPr>
        <w:t>such Person’s equity, entitling the holder to receive a share of the profits and losses, and a distribution of assets, after liabilities, of such Person.</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“Change of Control” means:</w:t>
      </w:r>
    </w:p>
    <w:p>
      <w:pPr>
        <w:spacing w:after="0" w:line="158" w:lineRule="exact"/>
        <w:rPr>
          <w:sz w:val="20"/>
          <w:szCs w:val="20"/>
          <w:color w:val="auto"/>
        </w:rPr>
      </w:pPr>
    </w:p>
    <w:p>
      <w:pPr>
        <w:ind w:left="1620" w:right="459" w:firstLine="360"/>
        <w:spacing w:after="0" w:line="251" w:lineRule="auto"/>
        <w:tabs>
          <w:tab w:leader="none" w:pos="234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11" w:lineRule="exact"/>
        <w:rPr>
          <w:rFonts w:ascii="Arial" w:cs="Arial" w:eastAsia="Arial" w:hAnsi="Arial"/>
          <w:sz w:val="17"/>
          <w:szCs w:val="17"/>
          <w:color w:val="auto"/>
        </w:rPr>
      </w:pPr>
    </w:p>
    <w:p>
      <w:pPr>
        <w:ind w:left="1620" w:right="439" w:firstLine="360"/>
        <w:spacing w:after="0" w:line="239" w:lineRule="auto"/>
        <w:tabs>
          <w:tab w:leader="none" w:pos="23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09" w:lineRule="exact"/>
        <w:rPr>
          <w:rFonts w:ascii="Arial" w:cs="Arial" w:eastAsia="Arial" w:hAnsi="Arial"/>
          <w:sz w:val="18"/>
          <w:szCs w:val="18"/>
          <w:color w:val="auto"/>
        </w:rPr>
      </w:pPr>
    </w:p>
    <w:p>
      <w:pPr>
        <w:ind w:left="2340" w:hanging="360"/>
        <w:spacing w:after="0"/>
        <w:tabs>
          <w:tab w:leader="none" w:pos="2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15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9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7900" w:type="dxa"/>
            <w:vAlign w:val="bottom"/>
            <w:gridSpan w:val="7"/>
          </w:tcPr>
          <w:p>
            <w:pPr>
              <w:jc w:val="center"/>
              <w:ind w:right="330"/>
              <w:spacing w:after="0"/>
              <w:rPr>
                <w:sz w:val="20"/>
                <w:szCs w:val="20"/>
                <w:color w:val="auto"/>
              </w:rPr>
            </w:pPr>
            <w:r>
              <w:rPr>
                <w:rFonts w:ascii="Arial" w:cs="Arial" w:eastAsia="Arial" w:hAnsi="Arial"/>
                <w:sz w:val="18"/>
                <w:szCs w:val="18"/>
                <w:color w:val="auto"/>
                <w:w w:val="93"/>
              </w:rPr>
              <w:t>“Comparable Treasury Issue” means the United States Treasury security selected by a Reference</w:t>
            </w:r>
          </w:p>
        </w:tc>
        <w:tc>
          <w:tcPr>
            <w:tcW w:w="40" w:type="dxa"/>
            <w:vAlign w:val="bottom"/>
          </w:tcPr>
          <w:p>
            <w:pPr>
              <w:spacing w:after="0"/>
              <w:rPr>
                <w:sz w:val="18"/>
                <w:szCs w:val="18"/>
                <w:color w:val="auto"/>
              </w:rPr>
            </w:pPr>
          </w:p>
        </w:tc>
      </w:tr>
      <w:tr>
        <w:trPr>
          <w:trHeight w:val="203"/>
        </w:trPr>
        <w:tc>
          <w:tcPr>
            <w:tcW w:w="8160" w:type="dxa"/>
            <w:vAlign w:val="bottom"/>
            <w:gridSpan w:val="8"/>
          </w:tcPr>
          <w:p>
            <w:pPr>
              <w:spacing w:after="0" w:line="202" w:lineRule="exact"/>
              <w:rPr>
                <w:sz w:val="20"/>
                <w:szCs w:val="20"/>
                <w:color w:val="auto"/>
              </w:rPr>
            </w:pPr>
            <w:r>
              <w:rPr>
                <w:rFonts w:ascii="Arial" w:cs="Arial" w:eastAsia="Arial" w:hAnsi="Arial"/>
                <w:sz w:val="18"/>
                <w:szCs w:val="18"/>
                <w:color w:val="auto"/>
                <w:w w:val="97"/>
              </w:rPr>
              <w:t>Treasury Dealer (as defined below) as having an actual or interpolated maturity comparable to the period</w:t>
            </w:r>
          </w:p>
        </w:tc>
        <w:tc>
          <w:tcPr>
            <w:tcW w:w="40" w:type="dxa"/>
            <w:vAlign w:val="bottom"/>
          </w:tcPr>
          <w:p>
            <w:pPr>
              <w:spacing w:after="0"/>
              <w:rPr>
                <w:sz w:val="17"/>
                <w:szCs w:val="17"/>
                <w:color w:val="auto"/>
              </w:rPr>
            </w:pPr>
          </w:p>
        </w:tc>
      </w:tr>
      <w:tr>
        <w:trPr>
          <w:trHeight w:val="203"/>
        </w:trPr>
        <w:tc>
          <w:tcPr>
            <w:tcW w:w="2920" w:type="dxa"/>
            <w:vAlign w:val="bottom"/>
            <w:gridSpan w:val="3"/>
          </w:tcPr>
          <w:p>
            <w:pPr>
              <w:spacing w:after="0" w:line="202" w:lineRule="exact"/>
              <w:rPr>
                <w:sz w:val="20"/>
                <w:szCs w:val="20"/>
                <w:color w:val="auto"/>
              </w:rPr>
            </w:pPr>
            <w:r>
              <w:rPr>
                <w:rFonts w:ascii="Arial" w:cs="Arial" w:eastAsia="Arial" w:hAnsi="Arial"/>
                <w:sz w:val="18"/>
                <w:szCs w:val="18"/>
                <w:color w:val="auto"/>
              </w:rPr>
              <w:t>from the redemption date to</w:t>
            </w:r>
          </w:p>
        </w:tc>
        <w:tc>
          <w:tcPr>
            <w:tcW w:w="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 20</w:t>
            </w:r>
          </w:p>
        </w:tc>
        <w:tc>
          <w:tcPr>
            <w:tcW w:w="29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 in the case of the green bonds,</w:t>
            </w:r>
          </w:p>
        </w:tc>
        <w:tc>
          <w:tcPr>
            <w:tcW w:w="15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 20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203"/>
        </w:trPr>
        <w:tc>
          <w:tcPr>
            <w:tcW w:w="1740" w:type="dxa"/>
            <w:vAlign w:val="bottom"/>
            <w:gridSpan w:val="2"/>
          </w:tcPr>
          <w:p>
            <w:pPr>
              <w:spacing w:after="0" w:line="202" w:lineRule="exact"/>
              <w:rPr>
                <w:sz w:val="20"/>
                <w:szCs w:val="20"/>
                <w:color w:val="auto"/>
              </w:rPr>
            </w:pPr>
            <w:r>
              <w:rPr>
                <w:rFonts w:ascii="Arial" w:cs="Arial" w:eastAsia="Arial" w:hAnsi="Arial"/>
                <w:sz w:val="18"/>
                <w:szCs w:val="18"/>
                <w:color w:val="auto"/>
              </w:rPr>
              <w:t>in the case of the 20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notes, and</w:t>
            </w:r>
          </w:p>
        </w:tc>
        <w:tc>
          <w:tcPr>
            <w:tcW w:w="680" w:type="dxa"/>
            <w:vAlign w:val="bottom"/>
          </w:tcPr>
          <w:p>
            <w:pPr>
              <w:spacing w:after="0"/>
              <w:rPr>
                <w:sz w:val="17"/>
                <w:szCs w:val="17"/>
                <w:color w:val="auto"/>
              </w:rPr>
            </w:pPr>
          </w:p>
        </w:tc>
        <w:tc>
          <w:tcPr>
            <w:tcW w:w="8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 20</w:t>
            </w:r>
          </w:p>
        </w:tc>
        <w:tc>
          <w:tcPr>
            <w:tcW w:w="21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 in the case of the 20</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notes, that would</w:t>
            </w:r>
          </w:p>
        </w:tc>
        <w:tc>
          <w:tcPr>
            <w:tcW w:w="40" w:type="dxa"/>
            <w:vAlign w:val="bottom"/>
          </w:tcPr>
          <w:p>
            <w:pPr>
              <w:spacing w:after="0"/>
              <w:rPr>
                <w:sz w:val="17"/>
                <w:szCs w:val="17"/>
                <w:color w:val="auto"/>
              </w:rPr>
            </w:pPr>
          </w:p>
        </w:tc>
      </w:tr>
      <w:tr>
        <w:trPr>
          <w:trHeight w:val="203"/>
        </w:trPr>
        <w:tc>
          <w:tcPr>
            <w:tcW w:w="8160" w:type="dxa"/>
            <w:vAlign w:val="bottom"/>
            <w:gridSpan w:val="8"/>
          </w:tcPr>
          <w:p>
            <w:pPr>
              <w:spacing w:after="0" w:line="202" w:lineRule="exact"/>
              <w:rPr>
                <w:sz w:val="20"/>
                <w:szCs w:val="20"/>
                <w:color w:val="auto"/>
              </w:rPr>
            </w:pPr>
            <w:r>
              <w:rPr>
                <w:rFonts w:ascii="Arial" w:cs="Arial" w:eastAsia="Arial" w:hAnsi="Arial"/>
                <w:sz w:val="18"/>
                <w:szCs w:val="18"/>
                <w:color w:val="auto"/>
              </w:rPr>
              <w:t>be utilized, at the time of selection and in accordance with customary financial practice, in pricing new</w:t>
            </w:r>
          </w:p>
        </w:tc>
        <w:tc>
          <w:tcPr>
            <w:tcW w:w="40" w:type="dxa"/>
            <w:vAlign w:val="bottom"/>
          </w:tcPr>
          <w:p>
            <w:pPr>
              <w:spacing w:after="0"/>
              <w:rPr>
                <w:sz w:val="17"/>
                <w:szCs w:val="17"/>
                <w:color w:val="auto"/>
              </w:rPr>
            </w:pPr>
          </w:p>
        </w:tc>
      </w:tr>
      <w:tr>
        <w:trPr>
          <w:trHeight w:val="203"/>
        </w:trPr>
        <w:tc>
          <w:tcPr>
            <w:tcW w:w="8160" w:type="dxa"/>
            <w:vAlign w:val="bottom"/>
            <w:gridSpan w:val="8"/>
          </w:tcPr>
          <w:p>
            <w:pPr>
              <w:spacing w:after="0" w:line="202" w:lineRule="exact"/>
              <w:rPr>
                <w:sz w:val="20"/>
                <w:szCs w:val="20"/>
                <w:color w:val="auto"/>
              </w:rPr>
            </w:pPr>
            <w:r>
              <w:rPr>
                <w:rFonts w:ascii="Arial" w:cs="Arial" w:eastAsia="Arial" w:hAnsi="Arial"/>
                <w:sz w:val="18"/>
                <w:szCs w:val="18"/>
                <w:color w:val="auto"/>
              </w:rPr>
              <w:t>issues of corporate debt securities of comparable maturity to the period from the redemption date</w:t>
            </w:r>
          </w:p>
        </w:tc>
        <w:tc>
          <w:tcPr>
            <w:tcW w:w="40" w:type="dxa"/>
            <w:vAlign w:val="bottom"/>
          </w:tcPr>
          <w:p>
            <w:pPr>
              <w:spacing w:after="0"/>
              <w:rPr>
                <w:sz w:val="17"/>
                <w:szCs w:val="17"/>
                <w:color w:val="auto"/>
              </w:rPr>
            </w:pPr>
          </w:p>
        </w:tc>
      </w:t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to</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 20</w:t>
            </w:r>
          </w:p>
        </w:tc>
        <w:tc>
          <w:tcPr>
            <w:tcW w:w="11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 20</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 20</w:t>
            </w:r>
          </w:p>
        </w:tc>
        <w:tc>
          <w:tcPr>
            <w:tcW w:w="2480" w:type="dxa"/>
            <w:vAlign w:val="bottom"/>
            <w:gridSpan w:val="2"/>
          </w:tcPr>
          <w:p>
            <w:pPr>
              <w:jc w:val="right"/>
              <w:ind w:right="1070"/>
              <w:spacing w:after="0"/>
              <w:rPr>
                <w:sz w:val="20"/>
                <w:szCs w:val="20"/>
                <w:color w:val="auto"/>
              </w:rPr>
            </w:pPr>
            <w:r>
              <w:rPr>
                <w:rFonts w:ascii="Arial" w:cs="Arial" w:eastAsia="Arial" w:hAnsi="Arial"/>
                <w:sz w:val="18"/>
                <w:szCs w:val="18"/>
                <w:color w:val="auto"/>
              </w:rPr>
              <w:t>, respectively.</w:t>
            </w:r>
          </w:p>
        </w:tc>
        <w:tc>
          <w:tcPr>
            <w:tcW w:w="40" w:type="dxa"/>
            <w:vAlign w:val="bottom"/>
          </w:tcPr>
          <w:p>
            <w:pPr>
              <w:spacing w:after="0"/>
              <w:rPr>
                <w:sz w:val="20"/>
                <w:szCs w:val="20"/>
                <w:color w:val="auto"/>
              </w:rPr>
            </w:pPr>
          </w:p>
        </w:tc>
      </w:tr>
    </w:tbl>
    <w:p>
      <w:pPr>
        <w:spacing w:after="0" w:line="107"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“Comparable Treasury Price”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2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 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w:t>
      </w: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06"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16"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“Equity Interests” means all Capital Stock and all warrants or options with respect to, or other rights to purchase, Capital Stock, but excluding Indebtedness convertible into or exchangeable for equity.</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144"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116"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19"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58" w:lineRule="exact"/>
        <w:rPr>
          <w:sz w:val="20"/>
          <w:szCs w:val="20"/>
          <w:color w:val="auto"/>
        </w:rPr>
      </w:pPr>
    </w:p>
    <w:p>
      <w:pPr>
        <w:ind w:left="1620" w:right="599" w:firstLine="360"/>
        <w:spacing w:after="0" w:line="277" w:lineRule="auto"/>
        <w:tabs>
          <w:tab w:leader="none" w:pos="23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102" w:lineRule="exact"/>
        <w:rPr>
          <w:rFonts w:ascii="Arial" w:cs="Arial" w:eastAsia="Arial" w:hAnsi="Arial"/>
          <w:sz w:val="18"/>
          <w:szCs w:val="18"/>
          <w:color w:val="auto"/>
        </w:rPr>
      </w:pPr>
    </w:p>
    <w:p>
      <w:pPr>
        <w:ind w:left="2340" w:hanging="360"/>
        <w:spacing w:after="0"/>
        <w:tabs>
          <w:tab w:leader="none" w:pos="2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44" w:lineRule="exact"/>
        <w:rPr>
          <w:rFonts w:ascii="Arial" w:cs="Arial" w:eastAsia="Arial" w:hAnsi="Arial"/>
          <w:sz w:val="18"/>
          <w:szCs w:val="18"/>
          <w:color w:val="auto"/>
        </w:rPr>
      </w:pPr>
    </w:p>
    <w:p>
      <w:pPr>
        <w:ind w:left="1620" w:right="499" w:firstLine="360"/>
        <w:spacing w:after="0" w:line="259" w:lineRule="auto"/>
        <w:tabs>
          <w:tab w:leader="none" w:pos="23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19"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103"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“Issue Date” means the date of original issuance of the notes under the Indenture.</w:t>
      </w:r>
    </w:p>
    <w:p>
      <w:pPr>
        <w:spacing w:after="0" w:line="158"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116" w:lineRule="exact"/>
        <w:rPr>
          <w:sz w:val="20"/>
          <w:szCs w:val="20"/>
          <w:color w:val="auto"/>
        </w:rPr>
      </w:pPr>
    </w:p>
    <w:p>
      <w:pPr>
        <w:ind w:left="1260" w:right="499" w:firstLine="360"/>
        <w:spacing w:after="0" w:line="308" w:lineRule="auto"/>
        <w:rPr>
          <w:sz w:val="20"/>
          <w:szCs w:val="20"/>
          <w:color w:val="auto"/>
        </w:rPr>
      </w:pPr>
      <w:r>
        <w:rPr>
          <w:rFonts w:ascii="Arial" w:cs="Arial" w:eastAsia="Arial" w:hAnsi="Arial"/>
          <w:sz w:val="17"/>
          <w:szCs w:val="17"/>
          <w:color w:val="auto"/>
        </w:rPr>
        <w:t>“Legal Holiday” means a Saturday, a Sunday or a day on which commercial banking institutions or the corporate trust office are not required to be open in the State of New York or the place of payment.</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firstLine="360"/>
        <w:spacing w:after="0" w:line="270" w:lineRule="auto"/>
        <w:rPr>
          <w:sz w:val="20"/>
          <w:szCs w:val="20"/>
          <w:color w:val="auto"/>
        </w:rPr>
      </w:pPr>
      <w:r>
        <w:rPr>
          <w:rFonts w:ascii="Arial" w:cs="Arial" w:eastAsia="Arial" w:hAnsi="Arial"/>
          <w:sz w:val="17"/>
          <w:szCs w:val="17"/>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8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“Moody’s” means Moody’s Investors Service, Inc. and any successor to its rating agency business.</w:t>
      </w:r>
    </w:p>
    <w:p>
      <w:pPr>
        <w:spacing w:after="0" w:line="169" w:lineRule="exact"/>
        <w:rPr>
          <w:sz w:val="20"/>
          <w:szCs w:val="20"/>
          <w:color w:val="auto"/>
        </w:rPr>
      </w:pPr>
    </w:p>
    <w:p>
      <w:pPr>
        <w:jc w:val="both"/>
        <w:ind w:left="1260" w:right="499" w:firstLine="360"/>
        <w:spacing w:after="0" w:line="239" w:lineRule="auto"/>
        <w:rPr>
          <w:sz w:val="20"/>
          <w:szCs w:val="20"/>
          <w:color w:val="auto"/>
        </w:rPr>
      </w:pPr>
      <w:r>
        <w:rPr>
          <w:rFonts w:ascii="Arial" w:cs="Arial" w:eastAsia="Arial" w:hAnsi="Arial"/>
          <w:sz w:val="18"/>
          <w:szCs w:val="18"/>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“Permitted Liens” means:</w:t>
      </w:r>
    </w:p>
    <w:p>
      <w:pPr>
        <w:spacing w:after="0" w:line="117" w:lineRule="exact"/>
        <w:rPr>
          <w:sz w:val="20"/>
          <w:szCs w:val="20"/>
          <w:color w:val="auto"/>
        </w:rPr>
      </w:pPr>
    </w:p>
    <w:p>
      <w:pPr>
        <w:ind w:left="1800" w:right="51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62" w:lineRule="exact"/>
        <w:rPr>
          <w:rFonts w:ascii="Arial" w:cs="Arial" w:eastAsia="Arial" w:hAnsi="Arial"/>
          <w:sz w:val="18"/>
          <w:szCs w:val="18"/>
          <w:color w:val="auto"/>
        </w:rPr>
      </w:pPr>
    </w:p>
    <w:p>
      <w:pPr>
        <w:ind w:left="1800" w:right="439" w:hanging="180"/>
        <w:spacing w:after="0" w:line="268"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w:t>
      </w:r>
    </w:p>
    <w:p>
      <w:pPr>
        <w:ind w:left="1800" w:right="799"/>
        <w:spacing w:after="0" w:line="290" w:lineRule="auto"/>
        <w:tabs>
          <w:tab w:leader="none" w:pos="2083"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placing into commercial operation of such Principal Property after the acquisition or completion of any such development, operation, construction, alteration, repair or improvement;</w:t>
      </w:r>
    </w:p>
    <w:p>
      <w:pPr>
        <w:spacing w:after="0" w:line="53" w:lineRule="exact"/>
        <w:rPr>
          <w:rFonts w:ascii="Arial" w:cs="Arial" w:eastAsia="Arial" w:hAnsi="Arial"/>
          <w:sz w:val="17"/>
          <w:szCs w:val="17"/>
          <w:color w:val="auto"/>
        </w:rPr>
      </w:pPr>
    </w:p>
    <w:p>
      <w:pPr>
        <w:ind w:left="1800" w:right="459" w:hanging="180"/>
        <w:spacing w:after="0" w:line="267"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w:t>
      </w:r>
    </w:p>
    <w:p>
      <w:pPr>
        <w:spacing w:after="0" w:line="2" w:lineRule="exact"/>
        <w:rPr>
          <w:rFonts w:ascii="Arial" w:cs="Arial" w:eastAsia="Arial" w:hAnsi="Arial"/>
          <w:sz w:val="17"/>
          <w:szCs w:val="17"/>
          <w:color w:val="auto"/>
        </w:rPr>
      </w:pPr>
    </w:p>
    <w:p>
      <w:pPr>
        <w:ind w:left="1800" w:right="919"/>
        <w:spacing w:after="0" w:line="260" w:lineRule="auto"/>
        <w:tabs>
          <w:tab w:leader="none" w:pos="2083"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shares of Capital Stock of any Restricted Subsidiary that, in each case, were not previously encumbered by such Liens;</w:t>
      </w:r>
    </w:p>
    <w:p>
      <w:pPr>
        <w:spacing w:after="0" w:line="77" w:lineRule="exact"/>
        <w:rPr>
          <w:rFonts w:ascii="Arial" w:cs="Arial" w:eastAsia="Arial" w:hAnsi="Arial"/>
          <w:sz w:val="18"/>
          <w:szCs w:val="18"/>
          <w:color w:val="auto"/>
        </w:rPr>
      </w:pPr>
    </w:p>
    <w:p>
      <w:pPr>
        <w:ind w:left="1800" w:right="419" w:hanging="180"/>
        <w:spacing w:after="0" w:line="253"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83" w:lineRule="exact"/>
        <w:rPr>
          <w:rFonts w:ascii="Arial" w:cs="Arial" w:eastAsia="Arial" w:hAnsi="Arial"/>
          <w:sz w:val="18"/>
          <w:szCs w:val="18"/>
          <w:color w:val="auto"/>
        </w:rPr>
      </w:pPr>
    </w:p>
    <w:p>
      <w:pPr>
        <w:ind w:left="1800" w:right="599" w:hanging="180"/>
        <w:spacing w:after="0" w:line="259"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5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78"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75" w:lineRule="exact"/>
        <w:rPr>
          <w:rFonts w:ascii="Arial" w:cs="Arial" w:eastAsia="Arial" w:hAnsi="Arial"/>
          <w:sz w:val="18"/>
          <w:szCs w:val="18"/>
          <w:color w:val="auto"/>
        </w:rPr>
      </w:pPr>
    </w:p>
    <w:p>
      <w:pPr>
        <w:ind w:left="1800" w:right="499" w:hanging="180"/>
        <w:spacing w:after="0" w:line="254"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83" w:lineRule="exact"/>
        <w:rPr>
          <w:rFonts w:ascii="Arial" w:cs="Arial" w:eastAsia="Arial" w:hAnsi="Arial"/>
          <w:sz w:val="18"/>
          <w:szCs w:val="18"/>
          <w:color w:val="auto"/>
        </w:rPr>
      </w:pPr>
    </w:p>
    <w:p>
      <w:pPr>
        <w:ind w:left="1800" w:right="479" w:hanging="180"/>
        <w:spacing w:after="0" w:line="255"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84" w:lineRule="exact"/>
        <w:rPr>
          <w:rFonts w:ascii="Arial" w:cs="Arial" w:eastAsia="Arial" w:hAnsi="Arial"/>
          <w:sz w:val="18"/>
          <w:szCs w:val="18"/>
          <w:color w:val="auto"/>
        </w:rPr>
      </w:pPr>
    </w:p>
    <w:p>
      <w:pPr>
        <w:ind w:left="1800" w:right="579" w:hanging="180"/>
        <w:spacing w:after="0" w:line="286"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57" w:lineRule="exact"/>
        <w:rPr>
          <w:rFonts w:ascii="Arial" w:cs="Arial" w:eastAsia="Arial" w:hAnsi="Arial"/>
          <w:sz w:val="17"/>
          <w:szCs w:val="17"/>
          <w:color w:val="auto"/>
        </w:rPr>
      </w:pPr>
    </w:p>
    <w:p>
      <w:pPr>
        <w:ind w:left="1800" w:right="61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created in connection with the acquisition of assets or a project financed with, and created to secure a Nonrecourse Obligation; and</w:t>
      </w:r>
    </w:p>
    <w:p>
      <w:pPr>
        <w:spacing w:after="0" w:line="62" w:lineRule="exact"/>
        <w:rPr>
          <w:rFonts w:ascii="Arial" w:cs="Arial" w:eastAsia="Arial" w:hAnsi="Arial"/>
          <w:sz w:val="18"/>
          <w:szCs w:val="18"/>
          <w:color w:val="auto"/>
        </w:rPr>
      </w:pPr>
    </w:p>
    <w:p>
      <w:pPr>
        <w:ind w:left="1800" w:right="479" w:hanging="180"/>
        <w:spacing w:after="0" w:line="270"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13"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03"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103"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ectPr>
          <w:pgSz w:w="11900" w:h="16838" w:orient="portrait"/>
          <w:cols w:equalWidth="0" w:num="1">
            <w:col w:w="9879"/>
          </w:cols>
          <w:pgMar w:left="580" w:top="131" w:right="1440" w:bottom="1440" w:gutter="0" w:footer="0" w:header="0"/>
        </w:sectPr>
      </w:pP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“Rating Agency” means (1) each of Fitch, Moody’s and S&amp;P; and (2) if any of Fitch, Moody’s or S&amp;P</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ceases to rate the notes or fails to make a rating of the notes publicly available for reasons outside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Company’s control, a “nationally recognized statistical rating organization” within the meaning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3(a)(62) of the Exchange Act, selected by the Company as a replacement agency for Fitch, Moody’s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 S&amp;P, or all of them, as the case may be.</w:t>
      </w:r>
    </w:p>
    <w:p>
      <w:pPr>
        <w:spacing w:after="0" w:line="130"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“Reference Treasury Dealer” means at least two primary U.S. Government securities dealers selected by the Company</w:t>
      </w:r>
    </w:p>
    <w:p>
      <w:pPr>
        <w:spacing w:after="0" w:line="103"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“Reference Treasury Dealer Quotations”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04"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w:t>
      </w:r>
    </w:p>
    <w:p>
      <w:pPr>
        <w:ind w:left="1260" w:right="759"/>
        <w:spacing w:after="0" w:line="253" w:lineRule="auto"/>
        <w:tabs>
          <w:tab w:leader="none" w:pos="15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24" w:lineRule="exact"/>
        <w:rPr>
          <w:sz w:val="20"/>
          <w:szCs w:val="20"/>
          <w:color w:val="auto"/>
        </w:rPr>
      </w:pPr>
    </w:p>
    <w:p>
      <w:pPr>
        <w:jc w:val="both"/>
        <w:ind w:left="1260" w:right="819" w:firstLine="360"/>
        <w:spacing w:after="0" w:line="263"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19"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(computed as of 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120" w:lineRule="exact"/>
        <w:rPr>
          <w:sz w:val="20"/>
          <w:szCs w:val="20"/>
          <w:color w:val="auto"/>
        </w:rPr>
      </w:pPr>
    </w:p>
    <w:p>
      <w:pPr>
        <w:jc w:val="both"/>
        <w:ind w:left="1260" w:right="639" w:firstLine="360"/>
        <w:spacing w:after="0" w:line="263" w:lineRule="auto"/>
        <w:rPr>
          <w:sz w:val="20"/>
          <w:szCs w:val="20"/>
          <w:color w:val="auto"/>
        </w:rPr>
      </w:pPr>
      <w:r>
        <w:rPr>
          <w:rFonts w:ascii="Arial" w:cs="Arial" w:eastAsia="Arial" w:hAnsi="Arial"/>
          <w:sz w:val="18"/>
          <w:szCs w:val="18"/>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Each of the following will be an event of default under the Indenture for each series of notes:</w:t>
      </w:r>
    </w:p>
    <w:p>
      <w:pPr>
        <w:spacing w:after="0" w:line="117" w:lineRule="exact"/>
        <w:rPr>
          <w:sz w:val="20"/>
          <w:szCs w:val="20"/>
          <w:color w:val="auto"/>
        </w:rPr>
      </w:pPr>
    </w:p>
    <w:p>
      <w:pPr>
        <w:ind w:left="1800" w:right="49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of that series when it becomes due and payable, and continuance of that default for a period of 30 days;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default in the payment of principal of or premium on any note of that series when due and payable;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308" w:lineRule="auto"/>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by the Company to comply with the requirement to make an Offer to Purchase with respect to notes of that series in connection with a Change of Control Triggering Event for 30 calendar days;</w:t>
      </w:r>
    </w:p>
    <w:p>
      <w:pPr>
        <w:spacing w:after="0" w:line="24" w:lineRule="exact"/>
        <w:rPr>
          <w:rFonts w:ascii="Arial" w:cs="Arial" w:eastAsia="Arial" w:hAnsi="Arial"/>
          <w:sz w:val="17"/>
          <w:szCs w:val="17"/>
          <w:color w:val="auto"/>
        </w:rPr>
      </w:pPr>
    </w:p>
    <w:p>
      <w:pPr>
        <w:ind w:left="1800" w:right="419" w:hanging="180"/>
        <w:spacing w:after="0" w:line="25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of that series as provided in the Indenture; and</w:t>
      </w:r>
    </w:p>
    <w:p>
      <w:pPr>
        <w:spacing w:after="0" w:line="79" w:lineRule="exact"/>
        <w:rPr>
          <w:rFonts w:ascii="Arial" w:cs="Arial" w:eastAsia="Arial" w:hAnsi="Arial"/>
          <w:sz w:val="18"/>
          <w:szCs w:val="18"/>
          <w:color w:val="auto"/>
        </w:rPr>
      </w:pPr>
    </w:p>
    <w:p>
      <w:pPr>
        <w:ind w:left="1800" w:right="119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pacing w:after="0" w:line="103"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If an event of default with respect to notes of a series at the time outstanding occurs and is continuing, then the Trustee or the holders of not less than 25% in principal amount of the outstanding notes of that series may, by a notice in writing to the Company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the outstanding notes of such series. At any time after a declaration of acceleration with respect to notes of any series has been made, but before a judgment or decree for payment of the money due has been obtained by the Trustee, the holders of a majority in principal amount of the outstanding notes of that series may rescind and annul the acceleration if all events of default, other than the non-payment of the principal and interest with respect to the notes of that series which have become due solely by such declaration of acceleration, have been cured or waived as provided in the Indenture and the Trustee’s fees and expenses have been paid in full.</w:t>
      </w:r>
    </w:p>
    <w:p>
      <w:pPr>
        <w:spacing w:after="0" w:line="121"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p>
    <w:p>
      <w:pPr>
        <w:spacing w:after="0" w:line="108"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w:t>
      </w:r>
    </w:p>
    <w:p>
      <w:pPr>
        <w:spacing w:after="0" w:line="114" w:lineRule="exact"/>
        <w:rPr>
          <w:sz w:val="20"/>
          <w:szCs w:val="20"/>
          <w:color w:val="auto"/>
        </w:rPr>
      </w:pPr>
    </w:p>
    <w:p>
      <w:pPr>
        <w:ind w:left="1620" w:right="519" w:firstLine="360"/>
        <w:spacing w:after="0" w:line="261" w:lineRule="auto"/>
        <w:tabs>
          <w:tab w:leader="none" w:pos="23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the notes of that series; and</w:t>
      </w:r>
    </w:p>
    <w:p>
      <w:pPr>
        <w:spacing w:after="0" w:line="103" w:lineRule="exact"/>
        <w:rPr>
          <w:rFonts w:ascii="Arial" w:cs="Arial" w:eastAsia="Arial" w:hAnsi="Arial"/>
          <w:sz w:val="18"/>
          <w:szCs w:val="18"/>
          <w:color w:val="auto"/>
        </w:rPr>
      </w:pPr>
    </w:p>
    <w:p>
      <w:pPr>
        <w:ind w:left="1620" w:right="479" w:firstLine="360"/>
        <w:spacing w:after="0" w:line="241" w:lineRule="auto"/>
        <w:tabs>
          <w:tab w:leader="none" w:pos="23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 60 days.</w:t>
      </w:r>
    </w:p>
    <w:p>
      <w:pPr>
        <w:spacing w:after="0" w:line="108"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05"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The Indenture requires us, within 120 days after the end of our fiscal year, to furnish to the Trustee a statement as to compliance with the Indenture. The Indenture provides that the Trustee may withhold notice</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5" w:lineRule="auto"/>
        <w:rPr>
          <w:sz w:val="20"/>
          <w:szCs w:val="20"/>
          <w:color w:val="auto"/>
        </w:rPr>
      </w:pPr>
      <w:r>
        <w:rPr>
          <w:rFonts w:ascii="Arial" w:cs="Arial" w:eastAsia="Arial" w:hAnsi="Arial"/>
          <w:sz w:val="17"/>
          <w:szCs w:val="17"/>
          <w:color w:val="auto"/>
        </w:rPr>
        <w:t>to the holders of the notes of any series of any default or event of default (except in payment on any notes of that series) with respect to the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and Waiver</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Company or the Trustee may amend or supplement the Indenture or the notes of one or more series without the consent of the holders of the outstanding notes under the Indenture:</w:t>
      </w:r>
    </w:p>
    <w:p>
      <w:pPr>
        <w:spacing w:after="0" w:line="63"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notes of such series;</w:t>
      </w:r>
    </w:p>
    <w:p>
      <w:pPr>
        <w:spacing w:after="0" w:line="117"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evidence the succession of another corporation to the Company or successive successions and the assumption of the covenants, agreements and obligations of the Company by a successor;</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notes of any series;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any series;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rights of any holder of notes of such series;</w:t>
      </w:r>
    </w:p>
    <w:p>
      <w:pPr>
        <w:spacing w:after="0" w:line="128" w:lineRule="exact"/>
        <w:rPr>
          <w:rFonts w:ascii="Arial" w:cs="Arial" w:eastAsia="Arial" w:hAnsi="Arial"/>
          <w:sz w:val="17"/>
          <w:szCs w:val="17"/>
          <w:color w:val="auto"/>
        </w:rPr>
      </w:pPr>
    </w:p>
    <w:p>
      <w:pPr>
        <w:ind w:left="1800" w:right="5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notes of any series as permitted by the Indenture;</w:t>
      </w:r>
    </w:p>
    <w:p>
      <w:pPr>
        <w:spacing w:after="0" w:line="62"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p>
    <w:p>
      <w:pPr>
        <w:spacing w:after="0" w:line="65" w:lineRule="exact"/>
        <w:rPr>
          <w:rFonts w:ascii="Arial" w:cs="Arial" w:eastAsia="Arial" w:hAnsi="Arial"/>
          <w:sz w:val="18"/>
          <w:szCs w:val="18"/>
          <w:color w:val="auto"/>
        </w:rPr>
      </w:pPr>
    </w:p>
    <w:p>
      <w:pPr>
        <w:ind w:left="1800" w:right="659" w:hanging="180"/>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78"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conform any provision of the Indenture, insofar as it relates to a series of notes, to the description of such series of notes in this “Description of the Notes.”</w:t>
      </w:r>
    </w:p>
    <w:p>
      <w:pPr>
        <w:spacing w:after="0" w:line="103"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color w:val="auto"/>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p>
    <w:p>
      <w:pPr>
        <w:spacing w:after="0" w:line="51"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reduces the principal amount of, or changes the stated maturity of, any notes;</w:t>
      </w:r>
    </w:p>
    <w:p>
      <w:pPr>
        <w:spacing w:after="0" w:line="117" w:lineRule="exact"/>
        <w:rPr>
          <w:rFonts w:ascii="Arial" w:cs="Arial" w:eastAsia="Arial" w:hAnsi="Arial"/>
          <w:sz w:val="18"/>
          <w:szCs w:val="18"/>
          <w:color w:val="auto"/>
        </w:rPr>
      </w:pPr>
    </w:p>
    <w:p>
      <w:pPr>
        <w:jc w:val="both"/>
        <w:ind w:left="1800" w:right="51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59" w:hanging="180"/>
        <w:spacing w:after="0" w:line="259"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notes of any series by the holders of at least a majority in principal amount of the outstanding notes of such series and a waiver of the payment default that resulted from such acceleration) or</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pacing w:after="0" w:line="144"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 outstanding notes of any series may on behalf of the holders of all the notes of such series waive any past default under the Indenture with respect to that series and its consequences, 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Defeasance of Notes and Certain Covenants in Certain Circumstances</w:t>
      </w:r>
    </w:p>
    <w:p>
      <w:pPr>
        <w:spacing w:after="0" w:line="162"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i w:val="1"/>
          <w:iCs w:val="1"/>
          <w:color w:val="auto"/>
        </w:rPr>
        <w:t xml:space="preserve">Legal Defeasance. </w:t>
      </w:r>
      <w:r>
        <w:rPr>
          <w:rFonts w:ascii="Arial" w:cs="Arial" w:eastAsia="Arial" w:hAnsi="Arial"/>
          <w:sz w:val="17"/>
          <w:szCs w:val="17"/>
          <w:color w:val="auto"/>
        </w:rPr>
        <w:t>The Indenture provides that the Company may be discharged from any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in respect of the notes of any series (except 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p>
    <w:p>
      <w:pPr>
        <w:spacing w:after="0" w:line="100"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11"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upon compliance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103" w:lineRule="exact"/>
        <w:rPr>
          <w:sz w:val="20"/>
          <w:szCs w:val="20"/>
          <w:color w:val="auto"/>
        </w:rPr>
      </w:pPr>
    </w:p>
    <w:p>
      <w:pPr>
        <w:ind w:left="1980"/>
        <w:spacing w:after="0"/>
        <w:tabs>
          <w:tab w:leader="none" w:pos="2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the Company may omit to comply with the covenants described under the heading</w:t>
      </w:r>
    </w:p>
    <w:p>
      <w:pPr>
        <w:spacing w:after="0" w:line="23" w:lineRule="exact"/>
        <w:rPr>
          <w:sz w:val="20"/>
          <w:szCs w:val="20"/>
          <w:color w:val="auto"/>
        </w:rPr>
      </w:pPr>
    </w:p>
    <w:p>
      <w:pPr>
        <w:ind w:left="1620" w:right="479"/>
        <w:spacing w:after="0" w:line="260" w:lineRule="auto"/>
        <w:rPr>
          <w:sz w:val="20"/>
          <w:szCs w:val="20"/>
          <w:color w:val="auto"/>
        </w:rPr>
      </w:pPr>
      <w:r>
        <w:rPr>
          <w:rFonts w:ascii="Arial" w:cs="Arial" w:eastAsia="Arial" w:hAnsi="Arial"/>
          <w:sz w:val="18"/>
          <w:szCs w:val="18"/>
          <w:color w:val="auto"/>
        </w:rPr>
        <w:t>“— Certain Covenants” and “— Repurchase of Notes upon a Change of Control Triggering Event” and certain other covenants set forth in the Indenture; and</w:t>
      </w:r>
    </w:p>
    <w:p>
      <w:pPr>
        <w:spacing w:after="0" w:line="104" w:lineRule="exact"/>
        <w:rPr>
          <w:sz w:val="20"/>
          <w:szCs w:val="20"/>
          <w:color w:val="auto"/>
        </w:rPr>
      </w:pPr>
    </w:p>
    <w:p>
      <w:pPr>
        <w:ind w:left="1620" w:right="879" w:firstLine="360"/>
        <w:spacing w:after="0" w:line="277" w:lineRule="auto"/>
        <w:tabs>
          <w:tab w:leader="none" w:pos="23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of that series (“covenant defeasance”).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conditions include:</w:t>
      </w:r>
    </w:p>
    <w:p>
      <w:pPr>
        <w:spacing w:after="0" w:line="158" w:lineRule="exact"/>
        <w:rPr>
          <w:sz w:val="20"/>
          <w:szCs w:val="20"/>
          <w:color w:val="auto"/>
        </w:rPr>
      </w:pPr>
    </w:p>
    <w:p>
      <w:pPr>
        <w:ind w:left="1620" w:right="459" w:firstLine="360"/>
        <w:spacing w:after="0" w:line="275" w:lineRule="auto"/>
        <w:tabs>
          <w:tab w:leader="none" w:pos="2346"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p>
    <w:p>
      <w:pPr>
        <w:spacing w:after="0" w:line="95" w:lineRule="exact"/>
        <w:rPr>
          <w:rFonts w:ascii="Arial" w:cs="Arial" w:eastAsia="Arial" w:hAnsi="Arial"/>
          <w:sz w:val="17"/>
          <w:szCs w:val="17"/>
          <w:color w:val="auto"/>
        </w:rPr>
      </w:pPr>
    </w:p>
    <w:p>
      <w:pPr>
        <w:ind w:left="1620" w:right="539" w:firstLine="360"/>
        <w:spacing w:after="0" w:line="259" w:lineRule="auto"/>
        <w:tabs>
          <w:tab w:leader="none" w:pos="23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79"/>
        <w:spacing w:after="0" w:line="277" w:lineRule="auto"/>
        <w:rPr>
          <w:sz w:val="20"/>
          <w:szCs w:val="20"/>
          <w:color w:val="auto"/>
        </w:rPr>
      </w:pPr>
      <w:r>
        <w:rPr>
          <w:rFonts w:ascii="Arial" w:cs="Arial" w:eastAsia="Arial" w:hAnsi="Arial"/>
          <w:sz w:val="18"/>
          <w:szCs w:val="18"/>
          <w:color w:val="auto"/>
        </w:rPr>
        <w:t>the same amounts and in the same manner and at the same times as would have been the case if the deposit and related covenant defeasance had not occurred.</w:t>
      </w:r>
    </w:p>
    <w:p>
      <w:pPr>
        <w:spacing w:after="0" w:line="8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 xml:space="preserve">Covenant Defeasance and Events of Default. </w:t>
      </w:r>
      <w:r>
        <w:rPr>
          <w:rFonts w:ascii="Arial" w:cs="Arial" w:eastAsia="Arial" w:hAnsi="Arial"/>
          <w:sz w:val="18"/>
          <w:szCs w:val="18"/>
          <w:color w:val="auto"/>
        </w:rPr>
        <w:t>In the event the Company exercises its option to effect</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 defeasance with respect to any series of notes and the notes of that series are declared due and payable because of the occurrence of any event of default, the amount of money and/or U.S. Government Obligations on deposit with the Trustee should be sufficient to pay amounts due on the notes of that series at the time of their stated maturity but may not be sufficient to pay amounts due on the notes of that series at the time of the acceleration resulting from the event of default. However, the Company shall remain liable for those payments.</w:t>
      </w:r>
    </w:p>
    <w:p>
      <w:pPr>
        <w:spacing w:after="0" w:line="12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Satisfaction and Discharge</w:t>
      </w:r>
    </w:p>
    <w:p>
      <w:pPr>
        <w:spacing w:after="0" w:line="162"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00"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Book-Entry, Form, Denomination and Delivery of Notes</w:t>
      </w:r>
    </w:p>
    <w:p>
      <w:pPr>
        <w:spacing w:after="0" w:line="162"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9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a series of notes, to register the transfer or exchange of any note of such series on or after the regular record date and before the date of such redemption or purchase.</w:t>
      </w:r>
    </w:p>
    <w:p>
      <w:pPr>
        <w:spacing w:after="0" w:line="113"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14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20"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117" w:lineRule="exact"/>
        <w:rPr>
          <w:sz w:val="20"/>
          <w:szCs w:val="20"/>
          <w:color w:val="auto"/>
        </w:rPr>
      </w:pPr>
    </w:p>
    <w:p>
      <w:pPr>
        <w:ind w:left="1800" w:right="59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underwriters with portions of the principal amount of the global notes; and</w:t>
      </w:r>
    </w:p>
    <w:p>
      <w:pPr>
        <w:spacing w:after="0" w:line="62" w:lineRule="exact"/>
        <w:rPr>
          <w:rFonts w:ascii="Arial" w:cs="Arial" w:eastAsia="Arial" w:hAnsi="Arial"/>
          <w:sz w:val="18"/>
          <w:szCs w:val="18"/>
          <w:color w:val="auto"/>
        </w:rPr>
      </w:pPr>
    </w:p>
    <w:p>
      <w:pPr>
        <w:ind w:left="1800" w:right="679" w:hanging="180"/>
        <w:spacing w:after="0" w:line="259"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19"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95" w:lineRule="exact"/>
        <w:rPr>
          <w:sz w:val="20"/>
          <w:szCs w:val="20"/>
          <w:color w:val="auto"/>
        </w:rPr>
      </w:pPr>
    </w:p>
    <w:p>
      <w:pPr>
        <w:ind w:left="1260" w:right="639" w:firstLine="360"/>
        <w:spacing w:after="0" w:line="289" w:lineRule="auto"/>
        <w:rPr>
          <w:sz w:val="20"/>
          <w:szCs w:val="20"/>
          <w:color w:val="auto"/>
        </w:rPr>
      </w:pPr>
      <w:r>
        <w:rPr>
          <w:rFonts w:ascii="Arial" w:cs="Arial" w:eastAsia="Arial" w:hAnsi="Arial"/>
          <w:sz w:val="17"/>
          <w:szCs w:val="17"/>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94"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39" w:firstLine="360"/>
        <w:spacing w:after="0" w:line="262" w:lineRule="auto"/>
        <w:rPr>
          <w:sz w:val="20"/>
          <w:szCs w:val="20"/>
          <w:color w:val="auto"/>
        </w:rPr>
      </w:pPr>
      <w:r>
        <w:rPr>
          <w:rFonts w:ascii="Arial" w:cs="Arial" w:eastAsia="Arial" w:hAnsi="Arial"/>
          <w:sz w:val="17"/>
          <w:szCs w:val="17"/>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51" w:lineRule="exact"/>
        <w:rPr>
          <w:sz w:val="20"/>
          <w:szCs w:val="20"/>
          <w:color w:val="auto"/>
        </w:rPr>
      </w:pPr>
    </w:p>
    <w:p>
      <w:pPr>
        <w:ind w:left="1800" w:right="579" w:hanging="180"/>
        <w:spacing w:after="0" w:line="263"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75"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03"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12"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14"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28"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0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Global Notes</w:t>
      </w:r>
    </w:p>
    <w:p>
      <w:pPr>
        <w:spacing w:after="0" w:line="158"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11"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5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144"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57" w:lineRule="exact"/>
        <w:rPr>
          <w:sz w:val="20"/>
          <w:szCs w:val="20"/>
          <w:color w:val="auto"/>
        </w:rPr>
      </w:pPr>
    </w:p>
    <w:p>
      <w:pPr>
        <w:ind w:left="1800" w:right="10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75" w:lineRule="exact"/>
        <w:rPr>
          <w:rFonts w:ascii="Arial" w:cs="Arial" w:eastAsia="Arial" w:hAnsi="Arial"/>
          <w:sz w:val="18"/>
          <w:szCs w:val="18"/>
          <w:color w:val="auto"/>
        </w:rPr>
      </w:pPr>
    </w:p>
    <w:p>
      <w:pPr>
        <w:jc w:val="both"/>
        <w:ind w:left="1800" w:right="579" w:hanging="180"/>
        <w:spacing w:after="0" w:line="286" w:lineRule="auto"/>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84"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119"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Notices</w:t>
      </w:r>
    </w:p>
    <w:p>
      <w:pPr>
        <w:spacing w:after="0" w:line="148"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Title</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law will govern the Indenture and each series of the notes.</w:t>
      </w:r>
    </w:p>
    <w:p>
      <w:pPr>
        <w:spacing w:after="0" w:line="158"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p>
    <w:p>
      <w:pPr>
        <w:spacing w:after="0" w:line="12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Regarding the Trustee</w:t>
      </w:r>
    </w:p>
    <w:p>
      <w:pPr>
        <w:spacing w:after="0" w:line="148"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U.S. Bank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96"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If an event of default occurs under the Indenture with respect to a series of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p>
    <w:p>
      <w:pPr>
        <w:spacing w:after="0" w:line="12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6"/>
          <w:szCs w:val="16"/>
          <w:color w:val="auto"/>
        </w:rPr>
        <w:t>This section is a discussion of the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assurances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00"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The summary generally applies only to beneficial owners of the notes that purchase their notes in this offering for an amount equal to their issue price, which is the first price at which a substantial amount of the notes of the applicable series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 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summary does not describe the effects of any other U.S. federal tax laws, such as the Medicare contribution tax on net investment income or estate and gift tax laws, or the effects of any applicable non-U.S., state or local laws.</w:t>
      </w:r>
    </w:p>
    <w:p>
      <w:pPr>
        <w:spacing w:after="0" w:line="126" w:lineRule="exact"/>
        <w:rPr>
          <w:sz w:val="20"/>
          <w:szCs w:val="20"/>
          <w:color w:val="auto"/>
        </w:rPr>
      </w:pPr>
    </w:p>
    <w:p>
      <w:pPr>
        <w:jc w:val="both"/>
        <w:ind w:left="1260" w:right="839" w:firstLine="360"/>
        <w:spacing w:after="0" w:line="262" w:lineRule="auto"/>
        <w:rPr>
          <w:sz w:val="20"/>
          <w:szCs w:val="20"/>
          <w:color w:val="auto"/>
        </w:rPr>
      </w:pPr>
      <w:r>
        <w:rPr>
          <w:rFonts w:ascii="Arial" w:cs="Arial" w:eastAsia="Arial" w:hAnsi="Arial"/>
          <w:sz w:val="17"/>
          <w:szCs w:val="17"/>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91"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the control of one of more U.S. persons or (y) has a valid election in effect under applicable U.S. Treasury regulations to be treated as a U.S. person.</w:t>
      </w:r>
    </w:p>
    <w:p>
      <w:pPr>
        <w:spacing w:after="0" w:line="112"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A “non- U.S. holder” is a beneficial owner of a note (other than a partnership or an entity or arrangement (domestic or foreign) that is treated as a partnership for U.S. federal income tax purposes) that is not a U.S. holder. 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15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7"/>
          <w:szCs w:val="17"/>
          <w:color w:val="auto"/>
        </w:rPr>
        <w:t>We may be required in certain circumstances to make payments on the notes that are in excess of payments of principal and stated interest. We believe there is only a remote possibility that we would be</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3" w:lineRule="auto"/>
        <w:rPr>
          <w:sz w:val="20"/>
          <w:szCs w:val="20"/>
          <w:color w:val="auto"/>
        </w:rPr>
      </w:pPr>
      <w:r>
        <w:rPr>
          <w:rFonts w:ascii="Arial" w:cs="Arial" w:eastAsia="Arial" w:hAnsi="Arial"/>
          <w:sz w:val="17"/>
          <w:szCs w:val="17"/>
          <w:color w:val="auto"/>
        </w:rPr>
        <w:t>required to make any of these additional payments, that any of such additional payments, if made, would be an incidental amount, or that the possibility of such payments is otherwise disregarded for purposes of rules governing certain contingent payment debt instruments. Therefore, we do not intend to treat the notes as subject to the special rules governing certain contingent payment debt instruments. Our determination in this regard, while not binding on the IRS, is binding on holders unless they disclose their contrary position. If the IRS successfully asserted that the notes are subject to the rules governing certain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77"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A U.S. holder will be required to recognize as ordinary income any stated interest paid or accrued on the notes, in accordance with such holder’s regular method of tax accounting.</w:t>
      </w:r>
    </w:p>
    <w:p>
      <w:pPr>
        <w:spacing w:after="0" w:line="36"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In general, if the terms of a debt instrument entitle a holder to receive payments (other than fixed periodic interest) that exceed the issue price of the instrument by more than a statutorily defined de minimis amount, the U.S. holder will be required to include such excess in income as “original issue discount” over the term of the instrument, irrespective of the U.S. holder’s regular method of tax accounting. We expect, and the discussion below assumes, that the notes will not be issued with original issue discount for U.S. federal income tax purposes.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7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the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 -corporate U.S. holders generally are eligible for reduced rates of taxation. Short-term capital gains are taxed at ordinary income rates. The deductibility of capital losses is subject to limitation.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5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Subject to the discussion below under “ — Income or gains effectively connected with a U.S. trade or business,” payments of interest to non-U.S. holders are generally subject to U.S. federal income tax at a flat rate of 30% (or a reduced or zero rate under the terms of an applicable income tax treaty between the United States and the non-U.S. holder’s country of residence), collected by means of withholding by the payer. Payments of interest on the notes to most non-U.S. holders, however, will qualify as “portfolio interest,” and thus will be exempt from U.S. federal income tax, including withholding of such tax, if the non-U.S. holders certify their nonresident status as described below, subject to the discussions below under</w:t>
      </w:r>
    </w:p>
    <w:p>
      <w:pPr>
        <w:spacing w:after="0" w:line="4"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 Legislation and guidance relating to foreign accounts” and “Backup withholding and Information Reporting”. The portfolio interest exemption will not apply to payments of interest to a non-U.S. holder that:</w:t>
      </w:r>
    </w:p>
    <w:p>
      <w:pPr>
        <w:spacing w:after="0" w:line="82" w:lineRule="exact"/>
        <w:rPr>
          <w:sz w:val="20"/>
          <w:szCs w:val="20"/>
          <w:color w:val="auto"/>
        </w:rPr>
      </w:pPr>
    </w:p>
    <w:p>
      <w:pPr>
        <w:ind w:left="1800" w:right="519" w:hanging="180"/>
        <w:spacing w:after="0" w:line="308"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owns, actually or constructively (applying certain attribution rules), shares of our stock representing at least 10% of the total combined voting power of all classes of our stock entitled to vote; or</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w:t>
      </w:r>
    </w:p>
    <w:p>
      <w:pPr>
        <w:spacing w:after="0" w:line="89"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form to the applicable withholding agent prior to the payment. If the non-U.S. holder holds the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58"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7"/>
          <w:szCs w:val="17"/>
          <w:color w:val="auto"/>
        </w:rPr>
        <w:t>Subject to the discussion below under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w:t>
      </w:r>
    </w:p>
    <w:p>
      <w:pPr>
        <w:spacing w:after="0" w:line="2" w:lineRule="exact"/>
        <w:rPr>
          <w:sz w:val="20"/>
          <w:szCs w:val="20"/>
          <w:color w:val="auto"/>
        </w:rPr>
      </w:pPr>
    </w:p>
    <w:p>
      <w:pPr>
        <w:ind w:left="1260" w:right="639"/>
        <w:spacing w:after="0" w:line="260" w:lineRule="auto"/>
        <w:rPr>
          <w:sz w:val="20"/>
          <w:szCs w:val="20"/>
          <w:color w:val="auto"/>
        </w:rPr>
      </w:pPr>
      <w:r>
        <w:rPr>
          <w:rFonts w:ascii="Arial" w:cs="Arial" w:eastAsia="Arial" w:hAnsi="Arial"/>
          <w:sz w:val="18"/>
          <w:szCs w:val="18"/>
          <w:color w:val="auto"/>
        </w:rPr>
        <w:t>— Taxation of interest” above). This general rule, however, is subject to several exceptions. For example, the gain would be subject to U.S. federal income tax if:</w:t>
      </w:r>
    </w:p>
    <w:p>
      <w:pPr>
        <w:spacing w:after="0" w:line="77" w:lineRule="exact"/>
        <w:rPr>
          <w:sz w:val="20"/>
          <w:szCs w:val="20"/>
          <w:color w:val="auto"/>
        </w:rPr>
      </w:pPr>
    </w:p>
    <w:p>
      <w:pPr>
        <w:ind w:left="1800" w:right="479" w:hanging="180"/>
        <w:spacing w:after="0" w:line="257" w:lineRule="auto"/>
        <w:tabs>
          <w:tab w:leader="none" w:pos="1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 Income or gains effectively connected with a U.S. trade or business;” or</w:t>
      </w:r>
    </w:p>
    <w:p>
      <w:pPr>
        <w:spacing w:after="0" w:line="93" w:lineRule="exact"/>
        <w:rPr>
          <w:rFonts w:ascii="Arial" w:cs="Arial" w:eastAsia="Arial" w:hAnsi="Arial"/>
          <w:sz w:val="18"/>
          <w:szCs w:val="18"/>
          <w:color w:val="auto"/>
        </w:rPr>
      </w:pPr>
    </w:p>
    <w:p>
      <w:pPr>
        <w:ind w:left="1800" w:right="479" w:hanging="180"/>
        <w:spacing w:after="0" w:line="257" w:lineRule="auto"/>
        <w:tabs>
          <w:tab w:leader="none" w:pos="1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tax, even though the individual is not considered a resident of the United States.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14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 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38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Legislation and guidance relating to foreign accounts</w:t>
      </w:r>
    </w:p>
    <w:p>
      <w:pPr>
        <w:spacing w:after="0" w:line="144" w:lineRule="exact"/>
        <w:rPr>
          <w:sz w:val="20"/>
          <w:szCs w:val="20"/>
          <w:color w:val="auto"/>
        </w:rPr>
      </w:pPr>
    </w:p>
    <w:p>
      <w:pPr>
        <w:ind w:left="1260" w:right="479" w:firstLine="360"/>
        <w:spacing w:after="0" w:line="266" w:lineRule="auto"/>
        <w:rPr>
          <w:sz w:val="20"/>
          <w:szCs w:val="20"/>
          <w:color w:val="auto"/>
        </w:rPr>
      </w:pPr>
      <w:r>
        <w:rPr>
          <w:rFonts w:ascii="Arial" w:cs="Arial" w:eastAsia="Arial" w:hAnsi="Arial"/>
          <w:sz w:val="17"/>
          <w:szCs w:val="17"/>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 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62"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from payments subject to information reporting if the recipient does not establish an exemption from backup withholding (as described below). The backup withholding rate is currently 24%.</w:t>
      </w:r>
    </w:p>
    <w:p>
      <w:pPr>
        <w:spacing w:after="0" w:line="110"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and complies with applicable certification requirements.</w:t>
      </w:r>
    </w:p>
    <w:p>
      <w:pPr>
        <w:spacing w:after="0" w:line="107"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13"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Any amounts withheld from a payment to a U.S. holder or non-U.S. holder of notes under the backup withholding rules generally can be credited against any U.S. federal income tax liability of the holder, which may entitle the holder to a refund, provided the required information is timely furnished to the IRS.</w:t>
      </w: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UNDERWRITING (CONFLICTS OF INTEREST)</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Barclays Capital Inc., Credit Agricole Securities (USA) Inc., Mizuho Securities USA LLC, Wells Fargo Securities, LLC, HSBC Securities (USA) Inc. and Morgan Stanley &amp; Co. LLC are acting as representatives, has severally agreed to purchase, and we have agreed to sell to that underwriter, the aggregate principal amount of notes set forth opposite the underwriter’s name in the following table:</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Principal</w:t>
            </w:r>
          </w:p>
        </w:tc>
        <w:tc>
          <w:tcPr>
            <w:tcW w:w="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Principal</w:t>
            </w:r>
          </w:p>
        </w:tc>
        <w:tc>
          <w:tcPr>
            <w:tcW w:w="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Principal</w:t>
            </w:r>
          </w:p>
        </w:tc>
      </w:t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Amount of</w:t>
            </w:r>
          </w:p>
        </w:tc>
        <w:tc>
          <w:tcPr>
            <w:tcW w:w="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Amount of</w:t>
            </w:r>
          </w:p>
        </w:tc>
        <w:tc>
          <w:tcPr>
            <w:tcW w:w="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Amount of</w:t>
            </w:r>
          </w:p>
        </w:tc>
      </w:tr>
      <w:tr>
        <w:trPr>
          <w:trHeight w:val="186"/>
        </w:trPr>
        <w:tc>
          <w:tcPr>
            <w:tcW w:w="522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220" w:type="dxa"/>
            <w:vAlign w:val="bottom"/>
          </w:tcPr>
          <w:p>
            <w:pPr>
              <w:spacing w:after="0"/>
              <w:rPr>
                <w:sz w:val="16"/>
                <w:szCs w:val="16"/>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Green Bonds</w:t>
            </w:r>
          </w:p>
        </w:tc>
        <w:tc>
          <w:tcPr>
            <w:tcW w:w="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20    Notes</w:t>
            </w: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    Notes</w:t>
            </w:r>
          </w:p>
        </w:tc>
      </w:tr>
      <w:tr>
        <w:trPr>
          <w:trHeight w:val="26"/>
        </w:trPr>
        <w:tc>
          <w:tcPr>
            <w:tcW w:w="5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78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center"/>
              <w:ind w:left="12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r>
      <w:tr>
        <w:trPr>
          <w:trHeight w:val="256"/>
        </w:trPr>
        <w:tc>
          <w:tcPr>
            <w:tcW w:w="5220" w:type="dxa"/>
            <w:vAlign w:val="bottom"/>
          </w:tcPr>
          <w:p>
            <w:pPr>
              <w:spacing w:after="0"/>
              <w:rPr>
                <w:sz w:val="20"/>
                <w:szCs w:val="20"/>
                <w:color w:val="auto"/>
              </w:rPr>
            </w:pPr>
            <w:r>
              <w:rPr>
                <w:rFonts w:ascii="Arial" w:cs="Arial" w:eastAsia="Arial" w:hAnsi="Arial"/>
                <w:sz w:val="18"/>
                <w:szCs w:val="18"/>
                <w:color w:val="auto"/>
              </w:rPr>
              <w:t>Credit Agricole Securities (USA) Inc.</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HSBC Securities (USA) Inc. . . . . . . . . . . . . . . . .</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r>
        <w:trPr>
          <w:trHeight w:val="256"/>
        </w:trPr>
        <w:tc>
          <w:tcPr>
            <w:tcW w:w="5220" w:type="dxa"/>
            <w:vAlign w:val="bottom"/>
          </w:tcPr>
          <w:p>
            <w:pPr>
              <w:spacing w:after="0"/>
              <w:rPr>
                <w:sz w:val="20"/>
                <w:szCs w:val="20"/>
                <w:color w:val="auto"/>
              </w:rPr>
            </w:pPr>
            <w:r>
              <w:rPr>
                <w:rFonts w:ascii="Arial" w:cs="Arial" w:eastAsia="Arial" w:hAnsi="Arial"/>
                <w:sz w:val="18"/>
                <w:szCs w:val="18"/>
                <w:color w:val="auto"/>
              </w:rPr>
              <w:t>Morgan Stanley &amp; Co. LLC. . . . . . . . . . . . . . . . .</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ANZ Securities, Inc.</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77"/>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83"/>
        </w:trPr>
        <w:tc>
          <w:tcPr>
            <w:tcW w:w="5220" w:type="dxa"/>
            <w:vAlign w:val="bottom"/>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gridSpan w:val="3"/>
          </w:tcPr>
          <w:p>
            <w:pPr>
              <w:jc w:val="center"/>
              <w:ind w:left="29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gridSpan w:val="2"/>
          </w:tcPr>
          <w:p>
            <w:pPr>
              <w:jc w:val="center"/>
              <w:ind w:left="12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-2039620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-2039620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-2039620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97"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Commissions and Discounts</w:t>
      </w:r>
    </w:p>
    <w:p>
      <w:pPr>
        <w:spacing w:after="0" w:line="162" w:lineRule="exact"/>
        <w:rPr>
          <w:sz w:val="20"/>
          <w:szCs w:val="20"/>
          <w:color w:val="auto"/>
        </w:rPr>
      </w:pPr>
    </w:p>
    <w:p>
      <w:pPr>
        <w:ind w:left="1260" w:right="459" w:firstLine="360"/>
        <w:spacing w:after="0" w:line="274" w:lineRule="auto"/>
        <w:rPr>
          <w:sz w:val="20"/>
          <w:szCs w:val="20"/>
          <w:color w:val="auto"/>
        </w:rPr>
      </w:pPr>
      <w:r>
        <w:rPr>
          <w:rFonts w:ascii="Arial" w:cs="Arial" w:eastAsia="Arial" w:hAnsi="Arial"/>
          <w:sz w:val="17"/>
          <w:szCs w:val="17"/>
          <w:color w:val="auto"/>
        </w:rPr>
        <w:t>The underwriters propose to offer the notes directly to the public at the public offering prices set forth on the cover page of this prospectus supplement and some of the notes to dealers at the public offering price</w:t>
      </w:r>
    </w:p>
    <w:tbl>
      <w:tblPr>
        <w:tblLayout w:type="fixed"/>
        <w:tblInd w:w="1260" w:type="dxa"/>
        <w:tblCellMar>
          <w:top w:w="0" w:type="dxa"/>
          <w:left w:w="0" w:type="dxa"/>
          <w:bottom w:w="0" w:type="dxa"/>
          <w:right w:w="0" w:type="dxa"/>
        </w:tblCellMar>
      </w:tblPr>
      <w:tr>
        <w:trPr>
          <w:trHeight w:val="202"/>
        </w:trPr>
        <w:tc>
          <w:tcPr>
            <w:tcW w:w="2640" w:type="dxa"/>
            <w:vAlign w:val="bottom"/>
            <w:gridSpan w:val="2"/>
          </w:tcPr>
          <w:p>
            <w:pPr>
              <w:spacing w:after="0" w:line="201" w:lineRule="exact"/>
              <w:rPr>
                <w:sz w:val="20"/>
                <w:szCs w:val="20"/>
                <w:color w:val="auto"/>
              </w:rPr>
            </w:pPr>
            <w:r>
              <w:rPr>
                <w:rFonts w:ascii="Arial" w:cs="Arial" w:eastAsia="Arial" w:hAnsi="Arial"/>
                <w:sz w:val="18"/>
                <w:szCs w:val="18"/>
                <w:color w:val="auto"/>
              </w:rPr>
              <w:t>less a concession not to exceed</w:t>
            </w:r>
          </w:p>
        </w:tc>
        <w:tc>
          <w:tcPr>
            <w:tcW w:w="354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4"/>
              </w:rPr>
              <w:t>% of the principal amount of the green bonds,</w:t>
            </w:r>
          </w:p>
        </w:tc>
        <w:tc>
          <w:tcPr>
            <w:tcW w:w="1820" w:type="dxa"/>
            <w:vAlign w:val="bottom"/>
          </w:tcPr>
          <w:p>
            <w:pPr>
              <w:ind w:left="380"/>
              <w:spacing w:after="0" w:line="201" w:lineRule="exact"/>
              <w:rPr>
                <w:sz w:val="20"/>
                <w:szCs w:val="20"/>
                <w:color w:val="auto"/>
              </w:rPr>
            </w:pPr>
            <w:r>
              <w:rPr>
                <w:rFonts w:ascii="Arial" w:cs="Arial" w:eastAsia="Arial" w:hAnsi="Arial"/>
                <w:sz w:val="18"/>
                <w:szCs w:val="18"/>
                <w:color w:val="auto"/>
              </w:rPr>
              <w:t>% of the principal</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amount of the 20</w:t>
            </w:r>
          </w:p>
        </w:tc>
        <w:tc>
          <w:tcPr>
            <w:tcW w:w="1200" w:type="dxa"/>
            <w:vAlign w:val="bottom"/>
          </w:tcPr>
          <w:p>
            <w:pPr>
              <w:ind w:left="400"/>
              <w:spacing w:after="0"/>
              <w:rPr>
                <w:sz w:val="20"/>
                <w:szCs w:val="20"/>
                <w:color w:val="auto"/>
              </w:rPr>
            </w:pPr>
            <w:r>
              <w:rPr>
                <w:rFonts w:ascii="Arial" w:cs="Arial" w:eastAsia="Arial" w:hAnsi="Arial"/>
                <w:sz w:val="18"/>
                <w:szCs w:val="18"/>
                <w:color w:val="auto"/>
                <w:w w:val="98"/>
              </w:rPr>
              <w:t>notes and</w:t>
            </w:r>
          </w:p>
        </w:tc>
        <w:tc>
          <w:tcPr>
            <w:tcW w:w="3080" w:type="dxa"/>
            <w:vAlign w:val="bottom"/>
            <w:gridSpan w:val="2"/>
          </w:tcPr>
          <w:p>
            <w:pPr>
              <w:ind w:left="300"/>
              <w:spacing w:after="0"/>
              <w:rPr>
                <w:sz w:val="20"/>
                <w:szCs w:val="20"/>
                <w:color w:val="auto"/>
              </w:rPr>
            </w:pPr>
            <w:r>
              <w:rPr>
                <w:rFonts w:ascii="Arial" w:cs="Arial" w:eastAsia="Arial" w:hAnsi="Arial"/>
                <w:sz w:val="18"/>
                <w:szCs w:val="18"/>
                <w:color w:val="auto"/>
                <w:w w:val="99"/>
              </w:rPr>
              <w:t>% of the principal amount of the 20</w:t>
            </w:r>
          </w:p>
        </w:tc>
        <w:tc>
          <w:tcPr>
            <w:tcW w:w="4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5"/>
              </w:rPr>
              <w:t>notes. The underwriters</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w w:val="98"/>
              </w:rPr>
              <w:t>may allow, and any such dealer may reallow, a concession not to exceed</w:t>
            </w: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w w:val="96"/>
              </w:rPr>
              <w:t>% of the principal amount of</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the green bonds,</w:t>
            </w:r>
          </w:p>
        </w:tc>
        <w:tc>
          <w:tcPr>
            <w:tcW w:w="3140" w:type="dxa"/>
            <w:vAlign w:val="bottom"/>
            <w:gridSpan w:val="2"/>
          </w:tcPr>
          <w:p>
            <w:pPr>
              <w:ind w:left="180"/>
              <w:spacing w:after="0"/>
              <w:rPr>
                <w:sz w:val="20"/>
                <w:szCs w:val="20"/>
                <w:color w:val="auto"/>
              </w:rPr>
            </w:pPr>
            <w:r>
              <w:rPr>
                <w:rFonts w:ascii="Arial" w:cs="Arial" w:eastAsia="Arial" w:hAnsi="Arial"/>
                <w:sz w:val="18"/>
                <w:szCs w:val="18"/>
                <w:color w:val="auto"/>
              </w:rPr>
              <w:t>% of the principal amount of the 20</w:t>
            </w:r>
          </w:p>
        </w:tc>
        <w:tc>
          <w:tcPr>
            <w:tcW w:w="1140" w:type="dxa"/>
            <w:vAlign w:val="bottom"/>
          </w:tcPr>
          <w:p>
            <w:pPr>
              <w:ind w:left="280"/>
              <w:spacing w:after="0"/>
              <w:rPr>
                <w:sz w:val="20"/>
                <w:szCs w:val="20"/>
                <w:color w:val="auto"/>
              </w:rPr>
            </w:pPr>
            <w:r>
              <w:rPr>
                <w:rFonts w:ascii="Arial" w:cs="Arial" w:eastAsia="Arial" w:hAnsi="Arial"/>
                <w:sz w:val="18"/>
                <w:szCs w:val="18"/>
                <w:color w:val="auto"/>
              </w:rPr>
              <w:t>notes and</w:t>
            </w:r>
          </w:p>
        </w:tc>
        <w:tc>
          <w:tcPr>
            <w:tcW w:w="2280" w:type="dxa"/>
            <w:vAlign w:val="bottom"/>
            <w:gridSpan w:val="2"/>
          </w:tcPr>
          <w:p>
            <w:pPr>
              <w:ind w:left="240"/>
              <w:spacing w:after="0"/>
              <w:rPr>
                <w:sz w:val="20"/>
                <w:szCs w:val="20"/>
                <w:color w:val="auto"/>
              </w:rPr>
            </w:pPr>
            <w:r>
              <w:rPr>
                <w:rFonts w:ascii="Arial" w:cs="Arial" w:eastAsia="Arial" w:hAnsi="Arial"/>
                <w:sz w:val="18"/>
                <w:szCs w:val="18"/>
                <w:color w:val="auto"/>
                <w:w w:val="99"/>
              </w:rPr>
              <w:t>% principal amount of the</w:t>
            </w:r>
          </w:p>
        </w:tc>
      </w:tr>
    </w:tbl>
    <w:p>
      <w:pPr>
        <w:ind w:left="1260" w:right="899"/>
        <w:spacing w:after="0" w:line="260" w:lineRule="auto"/>
        <w:tabs>
          <w:tab w:leader="none" w:pos="2009"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notes. After the initial offering of the notes to the public, the representatives may change the public offering price and other selling terms.</w:t>
      </w:r>
    </w:p>
    <w:p>
      <w:pPr>
        <w:spacing w:after="0" w:line="118" w:lineRule="exact"/>
        <w:rPr>
          <w:sz w:val="20"/>
          <w:szCs w:val="20"/>
          <w:color w:val="auto"/>
        </w:rPr>
      </w:pPr>
    </w:p>
    <w:p>
      <w:pPr>
        <w:ind w:left="1260" w:right="619" w:firstLine="360"/>
        <w:spacing w:after="0" w:line="308" w:lineRule="auto"/>
        <w:rPr>
          <w:sz w:val="20"/>
          <w:szCs w:val="20"/>
          <w:color w:val="auto"/>
        </w:rPr>
      </w:pPr>
      <w:r>
        <w:rPr>
          <w:rFonts w:ascii="Arial" w:cs="Arial" w:eastAsia="Arial" w:hAnsi="Arial"/>
          <w:sz w:val="17"/>
          <w:szCs w:val="17"/>
          <w:color w:val="auto"/>
        </w:rPr>
        <w:t>The following table shows the underwriting discounts that we are to pay to the underwriters in connection with this offering (expressed as a percentage of the principal amount of the notes and in total).</w:t>
      </w:r>
    </w:p>
    <w:p>
      <w:pPr>
        <w:spacing w:after="0" w:line="200" w:lineRule="exact"/>
        <w:rPr>
          <w:sz w:val="20"/>
          <w:szCs w:val="20"/>
          <w:color w:val="auto"/>
        </w:rPr>
      </w:pPr>
    </w:p>
    <w:p>
      <w:pPr>
        <w:spacing w:after="0" w:line="2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Paid</w:t>
            </w:r>
          </w:p>
        </w:tc>
      </w:tr>
      <w:tr>
        <w:trPr>
          <w:trHeight w:val="162"/>
        </w:trPr>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by Micron</w:t>
            </w:r>
          </w:p>
        </w:tc>
      </w:tr>
      <w:tr>
        <w:trPr>
          <w:trHeight w:val="162"/>
        </w:trPr>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Technology,</w:t>
            </w:r>
          </w:p>
        </w:tc>
      </w:tr>
      <w:tr>
        <w:trPr>
          <w:trHeight w:val="186"/>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Inc.</w:t>
            </w:r>
          </w:p>
        </w:tc>
      </w:tr>
      <w:tr>
        <w:trPr>
          <w:trHeight w:val="26"/>
        </w:trPr>
        <w:tc>
          <w:tcPr>
            <w:tcW w:w="7480" w:type="dxa"/>
            <w:vAlign w:val="bottom"/>
            <w:gridSpan w:val="3"/>
          </w:tcPr>
          <w:p>
            <w:pPr>
              <w:spacing w:after="0"/>
              <w:rPr>
                <w:sz w:val="2"/>
                <w:szCs w:val="2"/>
                <w:color w:val="auto"/>
              </w:rPr>
            </w:pPr>
          </w:p>
        </w:tc>
        <w:tc>
          <w:tcPr>
            <w:tcW w:w="740" w:type="dxa"/>
            <w:vAlign w:val="bottom"/>
            <w:gridSpan w:val="2"/>
          </w:tcPr>
          <w:p>
            <w:pPr>
              <w:spacing w:after="0"/>
              <w:rPr>
                <w:sz w:val="2"/>
                <w:szCs w:val="2"/>
                <w:color w:val="auto"/>
              </w:rPr>
            </w:pPr>
          </w:p>
        </w:tc>
      </w:tr>
      <w:tr>
        <w:trPr>
          <w:trHeight w:val="250"/>
        </w:trPr>
        <w:tc>
          <w:tcPr>
            <w:tcW w:w="74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 Green Bond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57"/>
        </w:trPr>
        <w:tc>
          <w:tcPr>
            <w:tcW w:w="7480" w:type="dxa"/>
            <w:vAlign w:val="bottom"/>
            <w:gridSpan w:val="3"/>
          </w:tcPr>
          <w:p>
            <w:pPr>
              <w:spacing w:after="0"/>
              <w:rPr>
                <w:sz w:val="20"/>
                <w:szCs w:val="20"/>
                <w:color w:val="auto"/>
              </w:rPr>
            </w:pPr>
            <w:r>
              <w:rPr>
                <w:rFonts w:ascii="Arial" w:cs="Arial" w:eastAsia="Arial" w:hAnsi="Arial"/>
                <w:sz w:val="18"/>
                <w:szCs w:val="18"/>
                <w:color w:val="auto"/>
              </w:rPr>
              <w:t>Green Bonds Total</w:t>
            </w:r>
          </w:p>
        </w:tc>
        <w:tc>
          <w:tcPr>
            <w:tcW w:w="72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57"/>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20</w:t>
            </w:r>
          </w:p>
        </w:tc>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56"/>
        </w:trPr>
        <w:tc>
          <w:tcPr>
            <w:tcW w:w="320" w:type="dxa"/>
            <w:vAlign w:val="bottom"/>
          </w:tcPr>
          <w:p>
            <w:pPr>
              <w:spacing w:after="0"/>
              <w:rPr>
                <w:sz w:val="20"/>
                <w:szCs w:val="20"/>
                <w:color w:val="auto"/>
              </w:rPr>
            </w:pPr>
            <w:r>
              <w:rPr>
                <w:rFonts w:ascii="Arial" w:cs="Arial" w:eastAsia="Arial" w:hAnsi="Arial"/>
                <w:sz w:val="18"/>
                <w:szCs w:val="18"/>
                <w:color w:val="auto"/>
              </w:rPr>
              <w:t>20</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Notes Total</w:t>
            </w:r>
          </w:p>
        </w:tc>
        <w:tc>
          <w:tcPr>
            <w:tcW w:w="72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70"/>
        </w:trPr>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20</w:t>
            </w:r>
          </w:p>
        </w:tc>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70"/>
        </w:trPr>
        <w:tc>
          <w:tcPr>
            <w:tcW w:w="320" w:type="dxa"/>
            <w:vAlign w:val="bottom"/>
          </w:tcPr>
          <w:p>
            <w:pPr>
              <w:spacing w:after="0"/>
              <w:rPr>
                <w:sz w:val="20"/>
                <w:szCs w:val="20"/>
                <w:color w:val="auto"/>
              </w:rPr>
            </w:pPr>
            <w:r>
              <w:rPr>
                <w:rFonts w:ascii="Arial" w:cs="Arial" w:eastAsia="Arial" w:hAnsi="Arial"/>
                <w:sz w:val="18"/>
                <w:szCs w:val="18"/>
                <w:color w:val="auto"/>
              </w:rPr>
              <w:t>20</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Notes Total</w:t>
            </w:r>
          </w:p>
        </w:tc>
        <w:tc>
          <w:tcPr>
            <w:tcW w:w="72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70"/>
        </w:trPr>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8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-1173480</wp:posOffset>
            </wp:positionV>
            <wp:extent cx="47491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estimate that our total expenses for this offering, other than underwriting discounts, will be</w:t>
      </w:r>
    </w:p>
    <w:p>
      <w:pPr>
        <w:spacing w:after="0" w:line="23" w:lineRule="exact"/>
        <w:rPr>
          <w:sz w:val="20"/>
          <w:szCs w:val="20"/>
          <w:color w:val="auto"/>
        </w:rPr>
      </w:pPr>
    </w:p>
    <w:p>
      <w:pPr>
        <w:ind w:left="1260" w:right="499"/>
        <w:spacing w:after="0" w:line="260" w:lineRule="auto"/>
        <w:rPr>
          <w:sz w:val="20"/>
          <w:szCs w:val="20"/>
          <w:color w:val="auto"/>
        </w:rPr>
      </w:pPr>
      <w:r>
        <w:rPr>
          <w:rFonts w:ascii="Arial" w:cs="Arial" w:eastAsia="Arial" w:hAnsi="Arial"/>
          <w:sz w:val="18"/>
          <w:szCs w:val="18"/>
          <w:color w:val="auto"/>
        </w:rPr>
        <w:t>approximately $ million. The underwriters have agreed to reimburse us for certain expenses incurred in connection with this offering.</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Issue of Notes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48"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10"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19"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Sales of Similar Securities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11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30"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Certain of the underwriters and/or their affiliates may hold positions in certain of our outstanding 2023 notes or 2024 notes and, consequently, may receive a portion of the offering proceeds. See “Use of Proceeds.”</w:t>
      </w:r>
    </w:p>
    <w:p>
      <w:pPr>
        <w:spacing w:after="0" w:line="103"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7"/>
          <w:szCs w:val="17"/>
          <w:color w:val="auto"/>
        </w:rPr>
        <w:t>We expect that delivery of the notes will be made to investors on or about , 2021, which will be the tenth business day following the date of this offering memorandum (such settlement being referred to as T+10).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w:t>
      </w:r>
    </w:p>
    <w:p>
      <w:pPr>
        <w:spacing w:after="0" w:line="3"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prior , 2021 will be required, by virtue of the fact that the notes initially settle in T+10, to specify an alternate settlement arrangement to prevent a failed settlement. Purchasers of the notes who wish to trade the notes prior to their date of delivery hereunder should consult their advisors.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25"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4"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Prohibition of Sales to EEA Retail Investors</w:t>
      </w:r>
    </w:p>
    <w:p>
      <w:pPr>
        <w:spacing w:after="0" w:line="148" w:lineRule="exact"/>
        <w:rPr>
          <w:sz w:val="20"/>
          <w:szCs w:val="20"/>
          <w:color w:val="auto"/>
        </w:rPr>
      </w:pPr>
    </w:p>
    <w:p>
      <w:pPr>
        <w:ind w:left="1260" w:right="459" w:firstLine="360"/>
        <w:spacing w:after="0" w:line="287"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w:t>
      </w:r>
    </w:p>
    <w:p>
      <w:pPr>
        <w:spacing w:after="0" w:line="2" w:lineRule="exact"/>
        <w:rPr>
          <w:sz w:val="20"/>
          <w:szCs w:val="20"/>
          <w:color w:val="auto"/>
        </w:rPr>
      </w:pPr>
    </w:p>
    <w:p>
      <w:pPr>
        <w:ind w:left="1480" w:hanging="220"/>
        <w:spacing w:after="0"/>
        <w:tabs>
          <w:tab w:leader="none" w:pos="14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retail client as defined in point (11) of Article 4(1) of Directive 2014/65/EU (as amended, “MiFID II”);</w:t>
      </w:r>
    </w:p>
    <w:p>
      <w:pPr>
        <w:spacing w:after="0" w:line="20" w:lineRule="exact"/>
        <w:rPr>
          <w:rFonts w:ascii="Arial" w:cs="Arial" w:eastAsia="Arial" w:hAnsi="Arial"/>
          <w:sz w:val="17"/>
          <w:szCs w:val="17"/>
          <w:color w:val="auto"/>
        </w:rPr>
      </w:pPr>
    </w:p>
    <w:p>
      <w:pPr>
        <w:ind w:left="1260" w:right="419"/>
        <w:spacing w:after="0" w:line="251" w:lineRule="auto"/>
        <w:tabs>
          <w:tab w:leader="none" w:pos="15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129"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Prohibition of Sales to UK Retail Investors</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w:t>
      </w:r>
    </w:p>
    <w:p>
      <w:pPr>
        <w:ind w:left="1260" w:right="419"/>
        <w:spacing w:after="0" w:line="267" w:lineRule="auto"/>
        <w:tabs>
          <w:tab w:leader="none" w:pos="1529" w:val="left"/>
        </w:tabs>
        <w:numPr>
          <w:ilvl w:val="0"/>
          <w:numId w:val="47"/>
        </w:numPr>
        <w:rPr>
          <w:rFonts w:ascii="Arial" w:cs="Arial" w:eastAsia="Arial" w:hAnsi="Arial"/>
          <w:sz w:val="17"/>
          <w:szCs w:val="17"/>
          <w:color w:val="auto"/>
        </w:rPr>
      </w:pPr>
      <w:r>
        <w:rPr>
          <w:rFonts w:ascii="Arial" w:cs="Arial" w:eastAsia="Arial" w:hAnsi="Arial"/>
          <w:sz w:val="17"/>
          <w:szCs w:val="17"/>
          <w:color w:val="auto"/>
        </w:rPr>
        <w:t>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48" w:lineRule="exact"/>
        <w:rPr>
          <w:sz w:val="20"/>
          <w:szCs w:val="20"/>
          <w:color w:val="auto"/>
        </w:rPr>
      </w:pPr>
    </w:p>
    <w:p>
      <w:pPr>
        <w:ind w:left="1260" w:right="579" w:firstLine="360"/>
        <w:spacing w:after="0" w:line="269" w:lineRule="auto"/>
        <w:rPr>
          <w:sz w:val="20"/>
          <w:szCs w:val="20"/>
          <w:color w:val="auto"/>
        </w:rPr>
      </w:pPr>
      <w:r>
        <w:rPr>
          <w:rFonts w:ascii="Arial" w:cs="Arial" w:eastAsia="Arial" w:hAnsi="Arial"/>
          <w:sz w:val="17"/>
          <w:szCs w:val="17"/>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w:t>
      </w:r>
    </w:p>
    <w:p>
      <w:pPr>
        <w:spacing w:after="0" w:line="2"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127"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Any investor desiring to acquire the notes must be aware that the notes may not be Transferred to any other person unless such person is a QII.</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this section:</w:t>
      </w:r>
    </w:p>
    <w:p>
      <w:pPr>
        <w:spacing w:after="0" w:line="144"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116"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116"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“Resident of Japan” means any person resident in Japan, including any corporation or other entity organized under the laws of Japan.</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48"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109" w:lineRule="exact"/>
        <w:rPr>
          <w:sz w:val="20"/>
          <w:szCs w:val="20"/>
          <w:color w:val="auto"/>
        </w:rPr>
      </w:pPr>
    </w:p>
    <w:p>
      <w:pPr>
        <w:ind w:left="1980" w:right="459" w:hanging="360"/>
        <w:spacing w:after="0" w:line="263"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16" w:lineRule="exact"/>
        <w:rPr>
          <w:rFonts w:ascii="Arial" w:cs="Arial" w:eastAsia="Arial" w:hAnsi="Arial"/>
          <w:sz w:val="18"/>
          <w:szCs w:val="18"/>
          <w:color w:val="auto"/>
        </w:rPr>
      </w:pPr>
    </w:p>
    <w:p>
      <w:pPr>
        <w:ind w:left="1980" w:right="439" w:hanging="360"/>
        <w:spacing w:after="0" w:line="263"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2" w:lineRule="exact"/>
        <w:rPr>
          <w:rFonts w:ascii="Arial" w:cs="Arial" w:eastAsia="Arial" w:hAnsi="Arial"/>
          <w:sz w:val="18"/>
          <w:szCs w:val="18"/>
          <w:color w:val="auto"/>
        </w:rPr>
      </w:pPr>
    </w:p>
    <w:p>
      <w:pPr>
        <w:ind w:left="1980" w:right="519" w:hanging="360"/>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the notes are subscribed or purchased under Section 275 of the SFA by a relevant person which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w:t>
      </w:r>
    </w:p>
    <w:p>
      <w:pPr>
        <w:spacing w:after="0" w:line="143" w:lineRule="exact"/>
        <w:rPr>
          <w:sz w:val="20"/>
          <w:szCs w:val="20"/>
          <w:color w:val="auto"/>
        </w:rPr>
      </w:pPr>
    </w:p>
    <w:p>
      <w:pPr>
        <w:jc w:val="both"/>
        <w:ind w:left="1980" w:right="579" w:hanging="360"/>
        <w:spacing w:after="0" w:line="263"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1980" w:right="579" w:hanging="36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2" w:lineRule="exact"/>
        <w:rPr>
          <w:rFonts w:ascii="Arial" w:cs="Arial" w:eastAsia="Arial" w:hAnsi="Arial"/>
          <w:sz w:val="18"/>
          <w:szCs w:val="18"/>
          <w:color w:val="auto"/>
        </w:rPr>
      </w:pPr>
    </w:p>
    <w:p>
      <w:pPr>
        <w:jc w:val="both"/>
        <w:ind w:left="1980" w:right="799" w:hanging="360"/>
        <w:spacing w:after="0" w:line="263"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79"/>
        <w:spacing w:after="0" w:line="277" w:lineRule="auto"/>
        <w:rPr>
          <w:sz w:val="20"/>
          <w:szCs w:val="20"/>
          <w:color w:val="auto"/>
        </w:rPr>
      </w:pPr>
      <w:r>
        <w:rPr>
          <w:rFonts w:ascii="Arial" w:cs="Arial" w:eastAsia="Arial" w:hAnsi="Arial"/>
          <w:sz w:val="18"/>
          <w:szCs w:val="18"/>
          <w:color w:val="auto"/>
        </w:rPr>
        <w:t>shall not be transferred within six months after that corporation or that trust has acquired the notes pursuant to an offer made under Section 275 of the SFA except:</w:t>
      </w:r>
    </w:p>
    <w:p>
      <w:pPr>
        <w:spacing w:after="0" w:line="89" w:lineRule="exact"/>
        <w:rPr>
          <w:sz w:val="20"/>
          <w:szCs w:val="20"/>
          <w:color w:val="auto"/>
        </w:rPr>
      </w:pPr>
    </w:p>
    <w:p>
      <w:pPr>
        <w:ind w:left="2340" w:right="879" w:hanging="360"/>
        <w:spacing w:after="0" w:line="277" w:lineRule="auto"/>
        <w:tabs>
          <w:tab w:leader="none" w:pos="2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2" w:lineRule="exact"/>
        <w:rPr>
          <w:rFonts w:ascii="Arial" w:cs="Arial" w:eastAsia="Arial" w:hAnsi="Arial"/>
          <w:sz w:val="18"/>
          <w:szCs w:val="18"/>
          <w:color w:val="auto"/>
        </w:rPr>
      </w:pPr>
    </w:p>
    <w:p>
      <w:pPr>
        <w:ind w:left="2340" w:hanging="360"/>
        <w:spacing w:after="0"/>
        <w:tabs>
          <w:tab w:leader="none" w:pos="2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2340" w:right="1179" w:hanging="360"/>
        <w:spacing w:after="0" w:line="308" w:lineRule="auto"/>
        <w:tabs>
          <w:tab w:leader="none" w:pos="2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 Securities and Futures Act Product Classification</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62"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VALIDITY OF SECURITIES</w:t>
      </w:r>
    </w:p>
    <w:p>
      <w:pPr>
        <w:spacing w:after="0" w:line="14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Simpson Thacher &amp; Bartlett LLP, Palo Alto, California, is acting as counsel to the underwriters.</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719"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21">
        <w:r>
          <w:rPr>
            <w:rFonts w:ascii="Arial" w:cs="Arial" w:eastAsia="Arial" w:hAnsi="Arial"/>
            <w:sz w:val="18"/>
            <w:szCs w:val="18"/>
            <w:color w:val="auto"/>
          </w:rPr>
          <w:t xml:space="preserve">Reporting) incorporated in this Prospectus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ended September 2, 2021</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 PricewaterhouseCoopers</w:t>
        </w:r>
      </w:hyperlink>
      <w:r>
        <w:rPr>
          <w:rFonts w:ascii="Arial" w:cs="Arial" w:eastAsia="Arial" w:hAnsi="Arial"/>
          <w:sz w:val="18"/>
          <w:szCs w:val="18"/>
          <w:color w:val="0000EE"/>
        </w:rPr>
        <w:t xml:space="preserve"> </w:t>
      </w:r>
      <w:r>
        <w:rPr>
          <w:rFonts w:ascii="Arial" w:cs="Arial" w:eastAsia="Arial" w:hAnsi="Arial"/>
          <w:sz w:val="18"/>
          <w:szCs w:val="18"/>
          <w:color w:val="000000"/>
        </w:rPr>
        <w:t>LLP, an independent registered public accounting firm, given on the authority of said firm as experts in auditing and accounting.</w:t>
      </w:r>
    </w:p>
    <w:p>
      <w:pPr>
        <w:spacing w:after="0" w:line="18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107"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herein shall be deemed to incorporate information furnished to, but not filed with, the SEC, including under Item 2.02 or Item 7.01 of any Current Report on Form 8-K:</w:t>
      </w:r>
    </w:p>
    <w:p>
      <w:pPr>
        <w:spacing w:after="0" w:line="84" w:lineRule="exact"/>
        <w:rPr>
          <w:sz w:val="20"/>
          <w:szCs w:val="20"/>
          <w:color w:val="auto"/>
        </w:rPr>
      </w:pPr>
    </w:p>
    <w:p>
      <w:pPr>
        <w:ind w:left="1800" w:hanging="180"/>
        <w:spacing w:after="0"/>
        <w:tabs>
          <w:tab w:leader="none" w:pos="1800" w:val="left"/>
        </w:tabs>
        <w:numPr>
          <w:ilvl w:val="0"/>
          <w:numId w:val="51"/>
        </w:numPr>
        <w:rPr>
          <w:rFonts w:ascii="Arial" w:cs="Arial" w:eastAsia="Arial" w:hAnsi="Arial"/>
          <w:sz w:val="18"/>
          <w:szCs w:val="18"/>
          <w:color w:val="0000EE"/>
        </w:rPr>
      </w:pPr>
      <w:hyperlink r:id="rId21">
        <w:r>
          <w:rPr>
            <w:rFonts w:ascii="Arial" w:cs="Arial" w:eastAsia="Arial" w:hAnsi="Arial"/>
            <w:sz w:val="18"/>
            <w:szCs w:val="18"/>
            <w:u w:val="single" w:color="auto"/>
            <w:color w:val="0000EE"/>
          </w:rPr>
          <w:t>our Annual Report on Form 10-K for the year ended September 2, 2021;</w:t>
        </w:r>
        <w:r>
          <w:rPr>
            <w:rFonts w:ascii="Arial" w:cs="Arial" w:eastAsia="Arial" w:hAnsi="Arial"/>
            <w:sz w:val="18"/>
            <w:szCs w:val="18"/>
            <w:color w:val="0000EE"/>
          </w:rPr>
          <w:t xml:space="preserve"> </w:t>
        </w:r>
      </w:hyperlink>
      <w:r>
        <w:rPr>
          <w:rFonts w:ascii="Arial" w:cs="Arial" w:eastAsia="Arial" w:hAnsi="Arial"/>
          <w:sz w:val="18"/>
          <w:szCs w:val="18"/>
          <w:color w:val="000000"/>
        </w:rPr>
        <w:t>and</w:t>
      </w:r>
    </w:p>
    <w:p>
      <w:pPr>
        <w:spacing w:after="0" w:line="117" w:lineRule="exact"/>
        <w:rPr>
          <w:rFonts w:ascii="Arial" w:cs="Arial" w:eastAsia="Arial" w:hAnsi="Arial"/>
          <w:sz w:val="18"/>
          <w:szCs w:val="18"/>
          <w:color w:val="0000EE"/>
        </w:rPr>
      </w:pPr>
    </w:p>
    <w:p>
      <w:pPr>
        <w:ind w:left="1800" w:right="679" w:hanging="180"/>
        <w:spacing w:after="0" w:line="263" w:lineRule="auto"/>
        <w:tabs>
          <w:tab w:leader="none" w:pos="1800" w:val="left"/>
        </w:tabs>
        <w:numPr>
          <w:ilvl w:val="0"/>
          <w:numId w:val="51"/>
        </w:numPr>
        <w:rPr>
          <w:rFonts w:ascii="Arial" w:cs="Arial" w:eastAsia="Arial" w:hAnsi="Arial"/>
          <w:sz w:val="18"/>
          <w:szCs w:val="18"/>
          <w:u w:val="single" w:color="auto"/>
          <w:color w:val="0000EE"/>
        </w:rPr>
      </w:pPr>
      <w:hyperlink r:id="rId78">
        <w:r>
          <w:rPr>
            <w:rFonts w:ascii="Arial" w:cs="Arial" w:eastAsia="Arial" w:hAnsi="Arial"/>
            <w:sz w:val="18"/>
            <w:szCs w:val="18"/>
            <w:color w:val="auto"/>
          </w:rPr>
          <w:t xml:space="preserve">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79">
        <w:r>
          <w:rPr>
            <w:rFonts w:ascii="Arial" w:cs="Arial" w:eastAsia="Arial" w:hAnsi="Arial"/>
            <w:sz w:val="18"/>
            <w:szCs w:val="18"/>
            <w:u w:val="single" w:color="auto"/>
            <w:color w:val="0000EE"/>
          </w:rPr>
          <w:t>fiscal year ended September 3, 2020</w:t>
        </w:r>
        <w:r>
          <w:rPr>
            <w:rFonts w:ascii="Arial" w:cs="Arial" w:eastAsia="Arial" w:hAnsi="Arial"/>
            <w:sz w:val="18"/>
            <w:szCs w:val="18"/>
            <w:color w:val="000000"/>
          </w:rPr>
          <w:t>, 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filed</w:t>
        </w:r>
      </w:hyperlink>
      <w:r>
        <w:rPr>
          <w:rFonts w:ascii="Arial" w:cs="Arial" w:eastAsia="Arial" w:hAnsi="Arial"/>
          <w:sz w:val="18"/>
          <w:szCs w:val="18"/>
          <w:color w:val="0000EE"/>
        </w:rPr>
        <w:t xml:space="preserve"> </w:t>
      </w:r>
      <w:hyperlink r:id="rId79">
        <w:r>
          <w:rPr>
            <w:rFonts w:ascii="Arial" w:cs="Arial" w:eastAsia="Arial" w:hAnsi="Arial"/>
            <w:sz w:val="18"/>
            <w:szCs w:val="18"/>
            <w:u w:val="single" w:color="auto"/>
            <w:color w:val="0000EE"/>
          </w:rPr>
          <w:t>with the SEC on December 1, 2020.</w:t>
        </w:r>
      </w:hyperlink>
    </w:p>
    <w:p>
      <w:pPr>
        <w:spacing w:after="0" w:line="116" w:lineRule="exact"/>
        <w:rPr>
          <w:rFonts w:ascii="Arial" w:cs="Arial" w:eastAsia="Arial" w:hAnsi="Arial"/>
          <w:sz w:val="18"/>
          <w:szCs w:val="18"/>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 xml:space="preserve">You may request a copy of these filings at no cost by contacting our Investor Relations department by visiting our Web site at </w:t>
      </w:r>
      <w:r>
        <w:rPr>
          <w:rFonts w:ascii="Arial" w:cs="Arial" w:eastAsia="Arial" w:hAnsi="Arial"/>
          <w:sz w:val="18"/>
          <w:szCs w:val="18"/>
          <w:i w:val="1"/>
          <w:iCs w:val="1"/>
          <w:color w:val="auto"/>
        </w:rPr>
        <w:t>www.micron.com</w:t>
      </w:r>
      <w:r>
        <w:rPr>
          <w:rFonts w:ascii="Arial" w:cs="Arial" w:eastAsia="Arial" w:hAnsi="Arial"/>
          <w:sz w:val="18"/>
          <w:szCs w:val="18"/>
          <w:color w:val="auto"/>
        </w:rPr>
        <w:t>, by calling (208) 368-4000, by writing to Investor Relations, Micron Technology, Inc., Mail Stop 407, 8000 South Federal Way, P.O. Box 6, Boise, ID 83707-0006. The information contained or incorporated in our website is not part of this prospectus supplement or the accompanying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5160"/>
        <w:spacing w:after="0"/>
        <w:rPr>
          <w:sz w:val="20"/>
          <w:szCs w:val="20"/>
          <w:color w:val="auto"/>
        </w:rPr>
      </w:pPr>
      <w:r>
        <w:rPr>
          <w:rFonts w:ascii="Arial" w:cs="Arial" w:eastAsia="Arial" w:hAnsi="Arial"/>
          <w:sz w:val="18"/>
          <w:szCs w:val="18"/>
          <w:color w:val="auto"/>
        </w:rPr>
        <w:t>S-47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5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128905</wp:posOffset>
            </wp:positionV>
            <wp:extent cx="2468880" cy="685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4688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40"/>
        <w:spacing w:after="0"/>
        <w:rPr>
          <w:sz w:val="20"/>
          <w:szCs w:val="20"/>
          <w:color w:val="auto"/>
        </w:rPr>
      </w:pPr>
      <w:r>
        <w:rPr>
          <w:rFonts w:ascii="Arial" w:cs="Arial" w:eastAsia="Arial" w:hAnsi="Arial"/>
          <w:sz w:val="40"/>
          <w:szCs w:val="40"/>
          <w:b w:val="1"/>
          <w:bCs w:val="1"/>
          <w:color w:val="auto"/>
        </w:rPr>
        <w:t>MICRON TECHNOLOGY, INC.</w:t>
      </w:r>
    </w:p>
    <w:p>
      <w:pPr>
        <w:spacing w:after="0" w:line="222"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Common Stock</w:t>
      </w:r>
    </w:p>
    <w:p>
      <w:pPr>
        <w:spacing w:after="0" w:line="34"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Debt Securities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Purchase Contracts</w:t>
      </w:r>
    </w:p>
    <w:p>
      <w:pPr>
        <w:spacing w:after="0" w:line="6" w:lineRule="exact"/>
        <w:rPr>
          <w:sz w:val="20"/>
          <w:szCs w:val="20"/>
          <w:color w:val="auto"/>
        </w:rPr>
      </w:pPr>
    </w:p>
    <w:p>
      <w:pPr>
        <w:jc w:val="center"/>
        <w:ind w:right="-840"/>
        <w:spacing w:after="0"/>
        <w:rPr>
          <w:sz w:val="20"/>
          <w:szCs w:val="20"/>
          <w:color w:val="auto"/>
        </w:rPr>
      </w:pPr>
      <w:r>
        <w:rPr>
          <w:rFonts w:ascii="Arial" w:cs="Arial" w:eastAsia="Arial" w:hAnsi="Arial"/>
          <w:sz w:val="23"/>
          <w:szCs w:val="2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223520</wp:posOffset>
            </wp:positionV>
            <wp:extent cx="1234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17" w:lineRule="exact"/>
        <w:rPr>
          <w:sz w:val="20"/>
          <w:szCs w:val="20"/>
          <w:color w:val="auto"/>
        </w:rPr>
      </w:pPr>
    </w:p>
    <w:p>
      <w:pPr>
        <w:ind w:left="1260" w:right="619"/>
        <w:spacing w:after="0" w:line="271" w:lineRule="auto"/>
        <w:rPr>
          <w:sz w:val="20"/>
          <w:szCs w:val="20"/>
          <w:color w:val="auto"/>
        </w:rPr>
      </w:pPr>
      <w:r>
        <w:rPr>
          <w:rFonts w:ascii="Arial" w:cs="Arial" w:eastAsia="Arial" w:hAnsi="Arial"/>
          <w:sz w:val="17"/>
          <w:szCs w:val="17"/>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25"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212090</wp:posOffset>
            </wp:positionV>
            <wp:extent cx="12344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60" w:right="419"/>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SEE “RISK FACTORS” ON PAGE </w:t>
      </w:r>
      <w:hyperlink w:anchor="page57">
        <w:r>
          <w:rPr>
            <w:rFonts w:ascii="Arial" w:cs="Arial" w:eastAsia="Arial" w:hAnsi="Arial"/>
            <w:sz w:val="18"/>
            <w:szCs w:val="18"/>
            <w:b w:val="1"/>
            <w:bCs w:val="1"/>
            <w:u w:val="single" w:color="auto"/>
            <w:color w:val="0000EE"/>
          </w:rPr>
          <w:t>5</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203835</wp:posOffset>
            </wp:positionV>
            <wp:extent cx="1234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left="1260" w:right="659"/>
        <w:spacing w:after="0" w:line="256" w:lineRule="auto"/>
        <w:rPr>
          <w:sz w:val="20"/>
          <w:szCs w:val="20"/>
          <w:color w:val="auto"/>
        </w:rPr>
      </w:pPr>
      <w:r>
        <w:rPr>
          <w:rFonts w:ascii="Arial" w:cs="Arial" w:eastAsia="Arial" w:hAnsi="Arial"/>
          <w:sz w:val="18"/>
          <w:szCs w:val="18"/>
          <w:color w:val="auto"/>
        </w:rPr>
        <w:t>Our common stock is listed on The Nasdaq Global Select Market (“Nasdaq”) under the symbol “MU.” On November 3, 2020, the last reported sale price of our common stock on Nasdaq was $51.08 per share.</w:t>
      </w:r>
    </w:p>
    <w:p>
      <w:pPr>
        <w:spacing w:after="0" w:line="99" w:lineRule="exact"/>
        <w:rPr>
          <w:sz w:val="20"/>
          <w:szCs w:val="20"/>
          <w:color w:val="auto"/>
        </w:rPr>
      </w:pPr>
    </w:p>
    <w:p>
      <w:pPr>
        <w:ind w:left="1260" w:right="619"/>
        <w:spacing w:after="0" w:line="26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date of this prospectus is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770255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182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About This Prospectus</w:t>
              </w:r>
            </w:hyperlink>
          </w:p>
        </w:tc>
        <w:tc>
          <w:tcPr>
            <w:tcW w:w="4900" w:type="dxa"/>
            <w:vAlign w:val="bottom"/>
            <w:tcBorders>
              <w:bottom w:val="single" w:sz="8" w:color="CCEEFF"/>
            </w:tcBorders>
            <w:gridSpan w:val="3"/>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1</w:t>
              </w:r>
            </w:hyperlink>
          </w:p>
        </w:tc>
      </w:tr>
      <w:tr>
        <w:trPr>
          <w:trHeight w:val="216"/>
        </w:trPr>
        <w:tc>
          <w:tcPr>
            <w:tcW w:w="672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Where You Can Find More Information; Incorporation by Reference</w:t>
              </w:r>
            </w:hyperlink>
          </w:p>
        </w:tc>
        <w:tc>
          <w:tcPr>
            <w:tcW w:w="1480" w:type="dxa"/>
            <w:vAlign w:val="bottom"/>
            <w:gridSpan w:val="2"/>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2</w:t>
              </w:r>
            </w:hyperlink>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50"/>
        </w:trPr>
        <w:tc>
          <w:tcPr>
            <w:tcW w:w="114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The Company</w:t>
              </w:r>
            </w:hyperlink>
          </w:p>
        </w:tc>
        <w:tc>
          <w:tcPr>
            <w:tcW w:w="5580" w:type="dxa"/>
            <w:vAlign w:val="bottom"/>
            <w:tcBorders>
              <w:bottom w:val="single" w:sz="8" w:color="CCEEFF"/>
            </w:tcBorders>
            <w:gridSpan w:val="6"/>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4</w:t>
              </w:r>
            </w:hyperlink>
          </w:p>
        </w:tc>
      </w:tr>
      <w:tr>
        <w:trPr>
          <w:trHeight w:val="229"/>
        </w:trPr>
        <w:tc>
          <w:tcPr>
            <w:tcW w:w="6720" w:type="dxa"/>
            <w:vAlign w:val="bottom"/>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1480" w:type="dxa"/>
            <w:vAlign w:val="bottom"/>
            <w:gridSpan w:val="2"/>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w:t>
              </w:r>
            </w:hyperlink>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50"/>
        </w:trPr>
        <w:tc>
          <w:tcPr>
            <w:tcW w:w="134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Use of Proceeds</w:t>
              </w:r>
            </w:hyperlink>
          </w:p>
        </w:tc>
        <w:tc>
          <w:tcPr>
            <w:tcW w:w="5380" w:type="dxa"/>
            <w:vAlign w:val="bottom"/>
            <w:tcBorders>
              <w:bottom w:val="single" w:sz="8" w:color="CCEEFF"/>
            </w:tcBorders>
            <w:gridSpan w:val="5"/>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6</w:t>
              </w:r>
            </w:hyperlink>
          </w:p>
        </w:tc>
      </w:tr>
      <w:tr>
        <w:trPr>
          <w:trHeight w:val="229"/>
        </w:trPr>
        <w:tc>
          <w:tcPr>
            <w:tcW w:w="6720" w:type="dxa"/>
            <w:vAlign w:val="bottom"/>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Description of Securities</w:t>
              </w:r>
            </w:hyperlink>
          </w:p>
        </w:tc>
        <w:tc>
          <w:tcPr>
            <w:tcW w:w="1480" w:type="dxa"/>
            <w:vAlign w:val="bottom"/>
            <w:gridSpan w:val="2"/>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7</w:t>
              </w:r>
            </w:hyperlink>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50"/>
        </w:trPr>
        <w:tc>
          <w:tcPr>
            <w:tcW w:w="152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Plan of Distribution</w:t>
              </w:r>
            </w:hyperlink>
          </w:p>
        </w:tc>
        <w:tc>
          <w:tcPr>
            <w:tcW w:w="5200" w:type="dxa"/>
            <w:vAlign w:val="bottom"/>
            <w:tcBorders>
              <w:bottom w:val="single" w:sz="8" w:color="CCEEFF"/>
            </w:tcBorders>
            <w:gridSpan w:val="4"/>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8</w:t>
              </w:r>
            </w:hyperlink>
          </w:p>
        </w:tc>
      </w:tr>
      <w:tr>
        <w:trPr>
          <w:trHeight w:val="230"/>
        </w:trPr>
        <w:tc>
          <w:tcPr>
            <w:tcW w:w="6720" w:type="dxa"/>
            <w:vAlign w:val="bottom"/>
            <w:gridSpan w:val="1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1480" w:type="dxa"/>
            <w:vAlign w:val="bottom"/>
            <w:gridSpan w:val="2"/>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9</w:t>
              </w:r>
            </w:hyperlink>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30"/>
        </w:trPr>
        <w:tc>
          <w:tcPr>
            <w:tcW w:w="6720" w:type="dxa"/>
            <w:vAlign w:val="bottom"/>
            <w:gridSpan w:val="10"/>
            <w:shd w:val="clear" w:color="auto" w:fill="CCEEFF"/>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1480" w:type="dxa"/>
            <w:vAlign w:val="bottom"/>
            <w:gridSpan w:val="2"/>
            <w:shd w:val="clear" w:color="auto" w:fill="CCEEFF"/>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9</w:t>
              </w:r>
            </w:hyperlink>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w:t>
      </w:r>
    </w:p>
    <w:p>
      <w:pPr>
        <w:spacing w:after="0" w:line="164"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42"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57" w:lineRule="exact"/>
        <w:rPr>
          <w:sz w:val="20"/>
          <w:szCs w:val="20"/>
          <w:color w:val="auto"/>
        </w:rPr>
      </w:pPr>
    </w:p>
    <w:p>
      <w:pPr>
        <w:ind w:left="1260" w:right="479"/>
        <w:spacing w:after="0" w:line="278" w:lineRule="auto"/>
        <w:rPr>
          <w:sz w:val="20"/>
          <w:szCs w:val="20"/>
          <w:color w:val="auto"/>
        </w:rPr>
      </w:pPr>
      <w:r>
        <w:rPr>
          <w:rFonts w:ascii="Arial" w:cs="Arial" w:eastAsia="Arial" w:hAnsi="Arial"/>
          <w:sz w:val="17"/>
          <w:szCs w:val="17"/>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WHERE YOU CAN FIND MORE</w:t>
      </w:r>
    </w:p>
    <w:p>
      <w:pPr>
        <w:ind w:left="1260"/>
        <w:spacing w:after="0" w:line="236" w:lineRule="auto"/>
        <w:rPr>
          <w:sz w:val="20"/>
          <w:szCs w:val="20"/>
          <w:color w:val="auto"/>
        </w:rPr>
      </w:pPr>
      <w:r>
        <w:rPr>
          <w:rFonts w:ascii="Arial" w:cs="Arial" w:eastAsia="Arial" w:hAnsi="Arial"/>
          <w:sz w:val="40"/>
          <w:szCs w:val="40"/>
          <w:b w:val="1"/>
          <w:bCs w:val="1"/>
          <w:color w:val="auto"/>
        </w:rPr>
        <w:t>INFORMATION;</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INCORPORATION BY REFERENCE</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Available Information</w:t>
      </w:r>
    </w:p>
    <w:p>
      <w:pPr>
        <w:spacing w:after="0" w:line="157"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from which interested persons can electronically access any document we file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with the SEC.</w:t>
      </w:r>
    </w:p>
    <w:p>
      <w:pPr>
        <w:spacing w:after="0" w:line="116" w:lineRule="exact"/>
        <w:rPr>
          <w:sz w:val="20"/>
          <w:szCs w:val="20"/>
          <w:color w:val="auto"/>
        </w:rPr>
      </w:pPr>
    </w:p>
    <w:p>
      <w:pPr>
        <w:ind w:left="1260" w:right="559"/>
        <w:spacing w:after="0" w:line="282"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on our website, however, is not, and should not be deemed to be, a part of this prospectus.</w:t>
      </w:r>
    </w:p>
    <w:p>
      <w:pPr>
        <w:spacing w:after="0" w:line="112"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Incorporation by Reference</w:t>
      </w:r>
    </w:p>
    <w:p>
      <w:pPr>
        <w:spacing w:after="0" w:line="157"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39"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39" w:lineRule="exact"/>
        <w:rPr>
          <w:sz w:val="20"/>
          <w:szCs w:val="20"/>
          <w:color w:val="auto"/>
        </w:rPr>
      </w:pPr>
    </w:p>
    <w:p>
      <w:pPr>
        <w:ind w:left="1260" w:right="1279"/>
        <w:spacing w:after="0" w:line="261"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90" w:lineRule="exact"/>
        <w:rPr>
          <w:sz w:val="20"/>
          <w:szCs w:val="20"/>
          <w:color w:val="auto"/>
        </w:rPr>
      </w:pPr>
    </w:p>
    <w:p>
      <w:pPr>
        <w:ind w:left="1800" w:right="819" w:hanging="180"/>
        <w:spacing w:after="0" w:line="261" w:lineRule="auto"/>
        <w:tabs>
          <w:tab w:leader="none" w:pos="1800" w:val="left"/>
        </w:tabs>
        <w:numPr>
          <w:ilvl w:val="0"/>
          <w:numId w:val="52"/>
        </w:numPr>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Our Annual Report on Form 10-K for the fiscal year ended September 3, 2020, filed with the</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SEC on October 19, 2020.</w:t>
        </w:r>
      </w:hyperlink>
    </w:p>
    <w:p>
      <w:pPr>
        <w:spacing w:after="0" w:line="89"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52"/>
        </w:numPr>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Our Current Report on Form 8-K filed with the SEC on September 21, 2020.</w:t>
        </w:r>
      </w:hyperlink>
    </w:p>
    <w:p>
      <w:pPr>
        <w:spacing w:after="0" w:line="117" w:lineRule="exact"/>
        <w:rPr>
          <w:rFonts w:ascii="Arial" w:cs="Arial" w:eastAsia="Arial" w:hAnsi="Arial"/>
          <w:sz w:val="18"/>
          <w:szCs w:val="18"/>
          <w:u w:val="single" w:color="auto"/>
          <w:color w:val="0000EE"/>
        </w:rPr>
      </w:pPr>
    </w:p>
    <w:p>
      <w:pPr>
        <w:ind w:left="1800" w:right="619" w:hanging="180"/>
        <w:spacing w:after="0" w:line="256" w:lineRule="auto"/>
        <w:tabs>
          <w:tab w:leader="none" w:pos="1800" w:val="left"/>
        </w:tabs>
        <w:numPr>
          <w:ilvl w:val="0"/>
          <w:numId w:val="52"/>
        </w:numPr>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The description of our common stock, par value $0.10 per share, contained in our registration</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statement on Form 8-A, filed with the SEC on December 21, 2009, including any subsequently</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filed amendments and reports updating such description.</w:t>
        </w:r>
      </w:hyperlink>
    </w:p>
    <w:p>
      <w:pPr>
        <w:spacing w:after="0" w:line="134" w:lineRule="exact"/>
        <w:rPr>
          <w:rFonts w:ascii="Arial" w:cs="Arial" w:eastAsia="Arial" w:hAnsi="Arial"/>
          <w:sz w:val="18"/>
          <w:szCs w:val="18"/>
          <w:u w:val="single" w:color="auto"/>
          <w:color w:val="0000EE"/>
        </w:rPr>
      </w:pPr>
    </w:p>
    <w:p>
      <w:pPr>
        <w:ind w:left="1260" w:right="539"/>
        <w:spacing w:after="0" w:line="25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ectPr>
          <w:pgSz w:w="11900" w:h="16838" w:orient="portrait"/>
          <w:cols w:equalWidth="0" w:num="1">
            <w:col w:w="9879"/>
          </w:cols>
          <w:pgMar w:left="580" w:top="132" w:right="1440" w:bottom="1440" w:gutter="0" w:footer="0" w:header="0"/>
        </w:sectPr>
      </w:pPr>
    </w:p>
    <w:p>
      <w:pPr>
        <w:spacing w:after="0" w:line="379" w:lineRule="exact"/>
        <w:rPr>
          <w:rFonts w:ascii="Arial" w:cs="Arial" w:eastAsia="Arial" w:hAnsi="Arial"/>
          <w:sz w:val="18"/>
          <w:szCs w:val="18"/>
          <w:u w:val="single" w:color="auto"/>
          <w:color w:val="0000EE"/>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(208) 368-4000</w:t>
      </w:r>
    </w:p>
    <w:p>
      <w:pPr>
        <w:spacing w:after="0" w:line="158" w:lineRule="exact"/>
        <w:rPr>
          <w:sz w:val="20"/>
          <w:szCs w:val="20"/>
          <w:color w:val="auto"/>
        </w:rPr>
      </w:pPr>
    </w:p>
    <w:p>
      <w:pPr>
        <w:jc w:val="both"/>
        <w:ind w:left="1260" w:right="1439"/>
        <w:spacing w:after="0" w:line="291"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106" w:lineRule="exact"/>
        <w:rPr>
          <w:sz w:val="20"/>
          <w:szCs w:val="20"/>
          <w:color w:val="auto"/>
        </w:rPr>
      </w:pPr>
    </w:p>
    <w:p>
      <w:pPr>
        <w:ind w:left="1260" w:right="1139"/>
        <w:spacing w:after="0" w:line="291" w:lineRule="auto"/>
        <w:rPr>
          <w:sz w:val="20"/>
          <w:szCs w:val="20"/>
          <w:color w:val="auto"/>
        </w:rPr>
      </w:pPr>
      <w:r>
        <w:rPr>
          <w:rFonts w:ascii="Arial" w:cs="Arial" w:eastAsia="Arial" w:hAnsi="Arial"/>
          <w:sz w:val="17"/>
          <w:szCs w:val="17"/>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THE COMPANY</w:t>
      </w:r>
    </w:p>
    <w:p>
      <w:pPr>
        <w:spacing w:after="0" w:line="164"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152" w:lineRule="exact"/>
        <w:rPr>
          <w:sz w:val="20"/>
          <w:szCs w:val="20"/>
          <w:color w:val="auto"/>
        </w:rPr>
      </w:pPr>
    </w:p>
    <w:p>
      <w:pPr>
        <w:jc w:val="both"/>
        <w:ind w:left="1260" w:right="719"/>
        <w:spacing w:after="0" w:line="278" w:lineRule="auto"/>
        <w:rPr>
          <w:sz w:val="20"/>
          <w:szCs w:val="20"/>
          <w:color w:val="auto"/>
        </w:rPr>
      </w:pPr>
      <w:r>
        <w:rPr>
          <w:rFonts w:ascii="Arial" w:cs="Arial" w:eastAsia="Arial" w:hAnsi="Arial"/>
          <w:sz w:val="17"/>
          <w:szCs w:val="17"/>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64"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64" w:lineRule="exact"/>
        <w:rPr>
          <w:sz w:val="20"/>
          <w:szCs w:val="20"/>
          <w:color w:val="auto"/>
        </w:rPr>
      </w:pPr>
    </w:p>
    <w:p>
      <w:pPr>
        <w:ind w:left="1260" w:right="1239"/>
        <w:spacing w:after="0" w:line="261"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SECURITIES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17" w:lineRule="exact"/>
        <w:rPr>
          <w:sz w:val="20"/>
          <w:szCs w:val="20"/>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117" w:lineRule="exact"/>
        <w:rPr>
          <w:rFonts w:ascii="Arial" w:cs="Arial" w:eastAsia="Arial" w:hAnsi="Arial"/>
          <w:sz w:val="18"/>
          <w:szCs w:val="18"/>
          <w:color w:val="auto"/>
        </w:rPr>
      </w:pPr>
    </w:p>
    <w:p>
      <w:pPr>
        <w:ind w:left="1800" w:right="799" w:hanging="180"/>
        <w:spacing w:after="0" w:line="261"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units.</w:t>
      </w:r>
    </w:p>
    <w:p>
      <w:pPr>
        <w:spacing w:after="0" w:line="158"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34"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PLAN OF DISTRIBUTION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sell the offered securities from time to time:</w:t>
      </w:r>
    </w:p>
    <w:p>
      <w:pPr>
        <w:spacing w:after="0" w:line="117" w:lineRule="exact"/>
        <w:rPr>
          <w:sz w:val="20"/>
          <w:szCs w:val="20"/>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LEGAL MATTERS</w:t>
      </w:r>
    </w:p>
    <w:p>
      <w:pPr>
        <w:spacing w:after="0" w:line="164" w:lineRule="exact"/>
        <w:rPr>
          <w:sz w:val="20"/>
          <w:szCs w:val="20"/>
          <w:color w:val="auto"/>
        </w:rPr>
      </w:pPr>
    </w:p>
    <w:p>
      <w:pPr>
        <w:ind w:left="1260" w:right="899"/>
        <w:spacing w:after="0" w:line="273" w:lineRule="auto"/>
        <w:rPr>
          <w:sz w:val="20"/>
          <w:szCs w:val="20"/>
          <w:color w:val="auto"/>
        </w:rPr>
      </w:pPr>
      <w:r>
        <w:rPr>
          <w:rFonts w:ascii="Arial" w:cs="Arial" w:eastAsia="Arial" w:hAnsi="Arial"/>
          <w:sz w:val="17"/>
          <w:szCs w:val="17"/>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77" w:lineRule="exact"/>
        <w:rPr>
          <w:sz w:val="20"/>
          <w:szCs w:val="20"/>
          <w:color w:val="auto"/>
        </w:rPr>
      </w:pPr>
    </w:p>
    <w:p>
      <w:pPr>
        <w:ind w:left="1260" w:right="519"/>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78">
        <w:r>
          <w:rPr>
            <w:rFonts w:ascii="Arial" w:cs="Arial" w:eastAsia="Arial" w:hAnsi="Arial"/>
            <w:sz w:val="18"/>
            <w:szCs w:val="18"/>
            <w:u w:val="single" w:color="auto"/>
            <w:color w:val="0000EE"/>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Micron Technology, Inc. for the year ended September 3, 2020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68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114935</wp:posOffset>
            </wp:positionV>
            <wp:extent cx="1517015" cy="419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151701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3140" w:type="dxa"/>
        <w:tblCellMar>
          <w:top w:w="0" w:type="dxa"/>
          <w:left w:w="0" w:type="dxa"/>
          <w:bottom w:w="0" w:type="dxa"/>
          <w:right w:w="0" w:type="dxa"/>
        </w:tblCellMar>
      </w:tblPr>
      <w:tr>
        <w:trPr>
          <w:trHeight w:val="421"/>
        </w:trPr>
        <w:tc>
          <w:tcPr>
            <w:tcW w:w="380" w:type="dxa"/>
            <w:vAlign w:val="bottom"/>
          </w:tcPr>
          <w:p>
            <w:pPr>
              <w:spacing w:after="0"/>
              <w:rPr>
                <w:sz w:val="24"/>
                <w:szCs w:val="24"/>
                <w:color w:val="auto"/>
              </w:rPr>
            </w:pPr>
          </w:p>
        </w:tc>
        <w:tc>
          <w:tcPr>
            <w:tcW w:w="3800" w:type="dxa"/>
            <w:vAlign w:val="bottom"/>
          </w:tcPr>
          <w:p>
            <w:pPr>
              <w:ind w:left="240"/>
              <w:spacing w:after="0"/>
              <w:rPr>
                <w:sz w:val="20"/>
                <w:szCs w:val="20"/>
                <w:color w:val="auto"/>
              </w:rPr>
            </w:pPr>
            <w:r>
              <w:rPr>
                <w:rFonts w:ascii="Arial" w:cs="Arial" w:eastAsia="Arial" w:hAnsi="Arial"/>
                <w:sz w:val="32"/>
                <w:szCs w:val="32"/>
                <w:b w:val="1"/>
                <w:bCs w:val="1"/>
                <w:color w:val="auto"/>
                <w:w w:val="96"/>
              </w:rPr>
              <w:t>Micron Technology, Inc.</w:t>
            </w:r>
          </w:p>
        </w:tc>
      </w:tr>
      <w:tr>
        <w:trPr>
          <w:trHeight w:val="813"/>
        </w:trPr>
        <w:tc>
          <w:tcPr>
            <w:tcW w:w="380" w:type="dxa"/>
            <w:vAlign w:val="bottom"/>
          </w:tcPr>
          <w:p>
            <w:pPr>
              <w:spacing w:after="0"/>
              <w:rPr>
                <w:sz w:val="20"/>
                <w:szCs w:val="20"/>
                <w:color w:val="auto"/>
              </w:rPr>
            </w:pPr>
            <w:r>
              <w:rPr>
                <w:rFonts w:ascii="Arial" w:cs="Arial" w:eastAsia="Arial" w:hAnsi="Arial"/>
                <w:sz w:val="25"/>
                <w:szCs w:val="25"/>
                <w:b w:val="1"/>
                <w:bCs w:val="1"/>
                <w:color w:val="00AC8C"/>
              </w:rPr>
              <w:t>$</w:t>
            </w:r>
          </w:p>
        </w:tc>
        <w:tc>
          <w:tcPr>
            <w:tcW w:w="3800" w:type="dxa"/>
            <w:vAlign w:val="bottom"/>
          </w:tcPr>
          <w:p>
            <w:pPr>
              <w:ind w:left="1420"/>
              <w:spacing w:after="0"/>
              <w:rPr>
                <w:sz w:val="20"/>
                <w:szCs w:val="20"/>
                <w:color w:val="auto"/>
              </w:rPr>
            </w:pPr>
            <w:r>
              <w:rPr>
                <w:rFonts w:ascii="Arial" w:cs="Arial" w:eastAsia="Arial" w:hAnsi="Arial"/>
                <w:sz w:val="25"/>
                <w:szCs w:val="25"/>
                <w:b w:val="1"/>
                <w:bCs w:val="1"/>
                <w:color w:val="00AC8C"/>
                <w:w w:val="87"/>
              </w:rPr>
              <w:t>% Senior Notes due 20</w:t>
            </w:r>
          </w:p>
        </w:tc>
      </w:tr>
      <w:tr>
        <w:trPr>
          <w:trHeight w:val="270"/>
        </w:trPr>
        <w:tc>
          <w:tcPr>
            <w:tcW w:w="380" w:type="dxa"/>
            <w:vAlign w:val="bottom"/>
          </w:tcPr>
          <w:p>
            <w:pPr>
              <w:spacing w:after="0" w:line="270" w:lineRule="exact"/>
              <w:rPr>
                <w:sz w:val="20"/>
                <w:szCs w:val="20"/>
                <w:color w:val="auto"/>
              </w:rPr>
            </w:pPr>
            <w:r>
              <w:rPr>
                <w:rFonts w:ascii="Arial" w:cs="Arial" w:eastAsia="Arial" w:hAnsi="Arial"/>
                <w:sz w:val="25"/>
                <w:szCs w:val="25"/>
                <w:b w:val="1"/>
                <w:bCs w:val="1"/>
                <w:color w:val="auto"/>
              </w:rPr>
              <w:t>$</w:t>
            </w:r>
          </w:p>
        </w:tc>
        <w:tc>
          <w:tcPr>
            <w:tcW w:w="3800" w:type="dxa"/>
            <w:vAlign w:val="bottom"/>
          </w:tcPr>
          <w:p>
            <w:pPr>
              <w:ind w:left="1420"/>
              <w:spacing w:after="0" w:line="270" w:lineRule="exact"/>
              <w:rPr>
                <w:sz w:val="20"/>
                <w:szCs w:val="20"/>
                <w:color w:val="auto"/>
              </w:rPr>
            </w:pPr>
            <w:r>
              <w:rPr>
                <w:rFonts w:ascii="Arial" w:cs="Arial" w:eastAsia="Arial" w:hAnsi="Arial"/>
                <w:sz w:val="25"/>
                <w:szCs w:val="25"/>
                <w:b w:val="1"/>
                <w:bCs w:val="1"/>
                <w:color w:val="auto"/>
                <w:w w:val="87"/>
              </w:rPr>
              <w:t>% Senior Notes due 20</w:t>
            </w:r>
          </w:p>
        </w:tc>
      </w:tr>
      <w:tr>
        <w:trPr>
          <w:trHeight w:val="328"/>
        </w:trPr>
        <w:tc>
          <w:tcPr>
            <w:tcW w:w="380" w:type="dxa"/>
            <w:vAlign w:val="bottom"/>
          </w:tcPr>
          <w:p>
            <w:pPr>
              <w:ind w:left="20"/>
              <w:spacing w:after="0"/>
              <w:rPr>
                <w:sz w:val="20"/>
                <w:szCs w:val="20"/>
                <w:color w:val="auto"/>
              </w:rPr>
            </w:pPr>
            <w:r>
              <w:rPr>
                <w:rFonts w:ascii="Arial" w:cs="Arial" w:eastAsia="Arial" w:hAnsi="Arial"/>
                <w:sz w:val="25"/>
                <w:szCs w:val="25"/>
                <w:b w:val="1"/>
                <w:bCs w:val="1"/>
                <w:color w:val="auto"/>
              </w:rPr>
              <w:t>$</w:t>
            </w:r>
          </w:p>
        </w:tc>
        <w:tc>
          <w:tcPr>
            <w:tcW w:w="3800" w:type="dxa"/>
            <w:vAlign w:val="bottom"/>
          </w:tcPr>
          <w:p>
            <w:pPr>
              <w:ind w:left="1460"/>
              <w:spacing w:after="0"/>
              <w:rPr>
                <w:sz w:val="20"/>
                <w:szCs w:val="20"/>
                <w:color w:val="auto"/>
              </w:rPr>
            </w:pPr>
            <w:r>
              <w:rPr>
                <w:rFonts w:ascii="Arial" w:cs="Arial" w:eastAsia="Arial" w:hAnsi="Arial"/>
                <w:sz w:val="25"/>
                <w:szCs w:val="25"/>
                <w:b w:val="1"/>
                <w:bCs w:val="1"/>
                <w:color w:val="auto"/>
                <w:w w:val="86"/>
              </w:rPr>
              <w:t>% Senior Notes due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1075055</wp:posOffset>
            </wp:positionV>
            <wp:extent cx="12344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 SUPPLEMENT</w:t>
      </w:r>
    </w:p>
    <w:p>
      <w:pPr>
        <w:spacing w:after="0" w:line="21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214630</wp:posOffset>
            </wp:positionV>
            <wp:extent cx="12344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0720"/>
          </w:cols>
          <w:pgMar w:left="580" w:top="132" w:right="599" w:bottom="1440" w:gutter="0" w:footer="0" w:header="0"/>
        </w:sectPr>
      </w:pPr>
    </w:p>
    <w:p>
      <w:pPr>
        <w:spacing w:after="0" w:line="149"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Barclays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Agricole CIB</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Mizuho Securities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Wells Fargo Securities</w:t>
      </w:r>
    </w:p>
    <w:p>
      <w:pPr>
        <w:spacing w:after="0" w:line="45" w:lineRule="exact"/>
        <w:rPr>
          <w:sz w:val="20"/>
          <w:szCs w:val="20"/>
          <w:color w:val="auto"/>
        </w:rPr>
      </w:pPr>
    </w:p>
    <w:p>
      <w:pPr>
        <w:sectPr>
          <w:pgSz w:w="11900" w:h="16838" w:orient="portrait"/>
          <w:cols w:equalWidth="0" w:num="4">
            <w:col w:w="2160" w:space="540"/>
            <w:col w:w="2080" w:space="260"/>
            <w:col w:w="1840" w:space="280"/>
            <w:col w:w="3560"/>
          </w:cols>
          <w:pgMar w:left="580" w:top="132" w:right="599" w:bottom="1440" w:gutter="0" w:footer="0" w:header="0"/>
          <w:type w:val="continuous"/>
        </w:sectPr>
      </w:pPr>
    </w:p>
    <w:p>
      <w:pPr>
        <w:jc w:val="center"/>
        <w:ind w:right="3280"/>
        <w:spacing w:after="0"/>
        <w:rPr>
          <w:sz w:val="20"/>
          <w:szCs w:val="20"/>
          <w:color w:val="auto"/>
        </w:rPr>
      </w:pPr>
      <w:r>
        <w:rPr>
          <w:rFonts w:ascii="Arial" w:cs="Arial" w:eastAsia="Arial" w:hAnsi="Arial"/>
          <w:sz w:val="17"/>
          <w:szCs w:val="17"/>
          <w:i w:val="1"/>
          <w:iCs w:val="1"/>
          <w:color w:val="auto"/>
        </w:rPr>
        <w:t>Green Structuring Advisor</w:t>
      </w:r>
    </w:p>
    <w:p>
      <w:pPr>
        <w:jc w:val="center"/>
        <w:ind w:right="3280"/>
        <w:spacing w:after="0"/>
        <w:rPr>
          <w:sz w:val="20"/>
          <w:szCs w:val="20"/>
          <w:color w:val="auto"/>
        </w:rPr>
      </w:pPr>
      <w:r>
        <w:rPr>
          <w:rFonts w:ascii="Arial" w:cs="Arial" w:eastAsia="Arial" w:hAnsi="Arial"/>
          <w:sz w:val="18"/>
          <w:szCs w:val="18"/>
          <w:i w:val="1"/>
          <w:iCs w:val="1"/>
          <w:color w:val="auto"/>
        </w:rPr>
        <w:t>and Joint Book-Running</w:t>
      </w:r>
    </w:p>
    <w:p>
      <w:pPr>
        <w:spacing w:after="0" w:line="9" w:lineRule="exact"/>
        <w:rPr>
          <w:sz w:val="20"/>
          <w:szCs w:val="20"/>
          <w:color w:val="auto"/>
        </w:rPr>
      </w:pPr>
    </w:p>
    <w:p>
      <w:pPr>
        <w:jc w:val="center"/>
        <w:ind w:right="3280"/>
        <w:spacing w:after="0"/>
        <w:rPr>
          <w:sz w:val="20"/>
          <w:szCs w:val="20"/>
          <w:color w:val="auto"/>
        </w:rPr>
      </w:pPr>
      <w:r>
        <w:rPr>
          <w:rFonts w:ascii="Arial" w:cs="Arial" w:eastAsia="Arial" w:hAnsi="Arial"/>
          <w:sz w:val="18"/>
          <w:szCs w:val="18"/>
          <w:i w:val="1"/>
          <w:iCs w:val="1"/>
          <w:color w:val="auto"/>
        </w:rPr>
        <w:t>Manager solely with</w:t>
      </w:r>
    </w:p>
    <w:p>
      <w:pPr>
        <w:spacing w:after="0" w:line="22" w:lineRule="exact"/>
        <w:rPr>
          <w:sz w:val="20"/>
          <w:szCs w:val="20"/>
          <w:color w:val="auto"/>
        </w:rPr>
      </w:pPr>
    </w:p>
    <w:p>
      <w:pPr>
        <w:ind w:left="2740"/>
        <w:spacing w:after="0"/>
        <w:rPr>
          <w:sz w:val="20"/>
          <w:szCs w:val="20"/>
          <w:color w:val="auto"/>
        </w:rPr>
      </w:pPr>
      <w:r>
        <w:rPr>
          <w:rFonts w:ascii="Arial" w:cs="Arial" w:eastAsia="Arial" w:hAnsi="Arial"/>
          <w:sz w:val="16"/>
          <w:szCs w:val="16"/>
          <w:i w:val="1"/>
          <w:iCs w:val="1"/>
          <w:color w:val="auto"/>
        </w:rPr>
        <w:t>respect to the green bonds</w:t>
      </w:r>
    </w:p>
    <w:p>
      <w:pPr>
        <w:sectPr>
          <w:pgSz w:w="11900" w:h="16838" w:orient="portrait"/>
          <w:cols w:equalWidth="0" w:num="1">
            <w:col w:w="10720"/>
          </w:cols>
          <w:pgMar w:left="580" w:top="132" w:right="599" w:bottom="1440" w:gutter="0" w:footer="0" w:header="0"/>
          <w:type w:val="continuous"/>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1260" w:type="dxa"/>
            <w:vAlign w:val="bottom"/>
          </w:tcPr>
          <w:p>
            <w:pPr>
              <w:spacing w:after="0"/>
              <w:rPr>
                <w:sz w:val="24"/>
                <w:szCs w:val="24"/>
                <w:color w:val="auto"/>
              </w:rPr>
            </w:pPr>
          </w:p>
        </w:tc>
        <w:tc>
          <w:tcPr>
            <w:tcW w:w="5000" w:type="dxa"/>
            <w:vAlign w:val="bottom"/>
          </w:tcPr>
          <w:p>
            <w:pPr>
              <w:ind w:left="1440"/>
              <w:spacing w:after="0"/>
              <w:rPr>
                <w:sz w:val="20"/>
                <w:szCs w:val="20"/>
                <w:color w:val="auto"/>
              </w:rPr>
            </w:pPr>
            <w:r>
              <w:rPr>
                <w:rFonts w:ascii="Arial" w:cs="Arial" w:eastAsia="Arial" w:hAnsi="Arial"/>
                <w:sz w:val="25"/>
                <w:szCs w:val="25"/>
                <w:b w:val="1"/>
                <w:bCs w:val="1"/>
                <w:color w:val="auto"/>
              </w:rPr>
              <w:t>HSBC</w:t>
            </w:r>
          </w:p>
        </w:tc>
        <w:tc>
          <w:tcPr>
            <w:tcW w:w="4460" w:type="dxa"/>
            <w:vAlign w:val="bottom"/>
            <w:gridSpan w:val="3"/>
          </w:tcPr>
          <w:p>
            <w:pPr>
              <w:ind w:left="160"/>
              <w:spacing w:after="0"/>
              <w:rPr>
                <w:sz w:val="20"/>
                <w:szCs w:val="20"/>
                <w:color w:val="auto"/>
              </w:rPr>
            </w:pPr>
            <w:r>
              <w:rPr>
                <w:rFonts w:ascii="Arial" w:cs="Arial" w:eastAsia="Arial" w:hAnsi="Arial"/>
                <w:sz w:val="25"/>
                <w:szCs w:val="25"/>
                <w:b w:val="1"/>
                <w:bCs w:val="1"/>
                <w:color w:val="auto"/>
              </w:rPr>
              <w:t>Morgan Stanley</w:t>
            </w:r>
          </w:p>
        </w:tc>
      </w:tr>
      <w:tr>
        <w:trPr>
          <w:trHeight w:val="315"/>
        </w:trPr>
        <w:tc>
          <w:tcPr>
            <w:tcW w:w="126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Arial" w:cs="Arial" w:eastAsia="Arial" w:hAnsi="Arial"/>
                <w:sz w:val="18"/>
                <w:szCs w:val="18"/>
                <w:b w:val="1"/>
                <w:bCs w:val="1"/>
                <w:color w:val="auto"/>
                <w:w w:val="94"/>
              </w:rPr>
              <w:t>ANZ Securities  BNP PARIBAS   BofA Securities   Goldman Sachs &amp; Co. LLC</w:t>
            </w:r>
          </w:p>
        </w:tc>
        <w:tc>
          <w:tcPr>
            <w:tcW w:w="3260" w:type="dxa"/>
            <w:vAlign w:val="bottom"/>
            <w:gridSpan w:val="2"/>
          </w:tcPr>
          <w:p>
            <w:pPr>
              <w:ind w:left="380"/>
              <w:spacing w:after="0"/>
              <w:rPr>
                <w:sz w:val="20"/>
                <w:szCs w:val="20"/>
                <w:color w:val="auto"/>
              </w:rPr>
            </w:pPr>
            <w:r>
              <w:rPr>
                <w:rFonts w:ascii="Arial" w:cs="Arial" w:eastAsia="Arial" w:hAnsi="Arial"/>
                <w:sz w:val="18"/>
                <w:szCs w:val="18"/>
                <w:b w:val="1"/>
                <w:bCs w:val="1"/>
                <w:color w:val="auto"/>
              </w:rPr>
              <w:t>RBC Capital Markets</w:t>
            </w:r>
          </w:p>
        </w:tc>
      </w:tr>
      <w:tr>
        <w:trPr>
          <w:trHeight w:val="378"/>
        </w:trPr>
        <w:tc>
          <w:tcPr>
            <w:tcW w:w="1260" w:type="dxa"/>
            <w:vAlign w:val="bottom"/>
          </w:tcPr>
          <w:p>
            <w:pPr>
              <w:spacing w:after="0"/>
              <w:rPr>
                <w:sz w:val="24"/>
                <w:szCs w:val="24"/>
                <w:color w:val="auto"/>
              </w:rPr>
            </w:pPr>
          </w:p>
        </w:tc>
        <w:tc>
          <w:tcPr>
            <w:tcW w:w="5000" w:type="dxa"/>
            <w:vAlign w:val="bottom"/>
          </w:tcPr>
          <w:p>
            <w:pPr>
              <w:ind w:left="1620"/>
              <w:spacing w:after="0"/>
              <w:rPr>
                <w:sz w:val="20"/>
                <w:szCs w:val="20"/>
                <w:color w:val="auto"/>
              </w:rPr>
            </w:pPr>
            <w:r>
              <w:rPr>
                <w:rFonts w:ascii="Arial" w:cs="Arial" w:eastAsia="Arial" w:hAnsi="Arial"/>
                <w:sz w:val="18"/>
                <w:szCs w:val="18"/>
                <w:i w:val="1"/>
                <w:iCs w:val="1"/>
                <w:color w:val="auto"/>
              </w:rPr>
              <w:t>Co-Manager solely with respect to the 20</w:t>
            </w:r>
          </w:p>
        </w:tc>
        <w:tc>
          <w:tcPr>
            <w:tcW w:w="1200" w:type="dxa"/>
            <w:vAlign w:val="bottom"/>
          </w:tcPr>
          <w:p>
            <w:pPr>
              <w:ind w:left="220"/>
              <w:spacing w:after="0"/>
              <w:rPr>
                <w:sz w:val="20"/>
                <w:szCs w:val="20"/>
                <w:color w:val="auto"/>
              </w:rPr>
            </w:pPr>
            <w:r>
              <w:rPr>
                <w:rFonts w:ascii="Arial" w:cs="Arial" w:eastAsia="Arial" w:hAnsi="Arial"/>
                <w:sz w:val="18"/>
                <w:szCs w:val="18"/>
                <w:i w:val="1"/>
                <w:iCs w:val="1"/>
                <w:color w:val="auto"/>
              </w:rPr>
              <w:t>and 20</w:t>
            </w:r>
          </w:p>
        </w:tc>
        <w:tc>
          <w:tcPr>
            <w:tcW w:w="3260" w:type="dxa"/>
            <w:vAlign w:val="bottom"/>
            <w:gridSpan w:val="2"/>
          </w:tcPr>
          <w:p>
            <w:pPr>
              <w:spacing w:after="0"/>
              <w:rPr>
                <w:sz w:val="20"/>
                <w:szCs w:val="20"/>
                <w:color w:val="auto"/>
              </w:rPr>
            </w:pPr>
            <w:r>
              <w:rPr>
                <w:rFonts w:ascii="Arial" w:cs="Arial" w:eastAsia="Arial" w:hAnsi="Arial"/>
                <w:sz w:val="18"/>
                <w:szCs w:val="18"/>
                <w:i w:val="1"/>
                <w:iCs w:val="1"/>
                <w:color w:val="auto"/>
              </w:rPr>
              <w:t>notes</w:t>
            </w:r>
          </w:p>
        </w:tc>
      </w:tr>
      <w:tr>
        <w:trPr>
          <w:trHeight w:val="365"/>
        </w:trPr>
        <w:tc>
          <w:tcPr>
            <w:tcW w:w="1260" w:type="dxa"/>
            <w:vAlign w:val="bottom"/>
          </w:tcPr>
          <w:p>
            <w:pPr>
              <w:spacing w:after="0"/>
              <w:rPr>
                <w:sz w:val="24"/>
                <w:szCs w:val="24"/>
                <w:color w:val="auto"/>
              </w:rPr>
            </w:pPr>
          </w:p>
        </w:tc>
        <w:tc>
          <w:tcPr>
            <w:tcW w:w="5000" w:type="dxa"/>
            <w:vAlign w:val="bottom"/>
          </w:tcPr>
          <w:p>
            <w:pPr>
              <w:ind w:left="3360"/>
              <w:spacing w:after="0"/>
              <w:rPr>
                <w:sz w:val="20"/>
                <w:szCs w:val="20"/>
                <w:color w:val="auto"/>
              </w:rPr>
            </w:pPr>
            <w:r>
              <w:rPr>
                <w:rFonts w:ascii="Arial" w:cs="Arial" w:eastAsia="Arial" w:hAnsi="Arial"/>
                <w:sz w:val="18"/>
                <w:szCs w:val="18"/>
                <w:b w:val="1"/>
                <w:bCs w:val="1"/>
                <w:color w:val="auto"/>
                <w:w w:val="98"/>
              </w:rPr>
              <w:t>Credit Agricole CIB</w:t>
            </w:r>
          </w:p>
        </w:tc>
        <w:tc>
          <w:tcPr>
            <w:tcW w:w="1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69"/>
        </w:trPr>
        <w:tc>
          <w:tcPr>
            <w:tcW w:w="1260" w:type="dxa"/>
            <w:vAlign w:val="bottom"/>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54"/>
        </w:trPr>
        <w:tc>
          <w:tcPr>
            <w:tcW w:w="1260" w:type="dxa"/>
            <w:vAlign w:val="bottom"/>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r>
      <w:tr>
        <w:trPr>
          <w:trHeight w:val="392"/>
        </w:trPr>
        <w:tc>
          <w:tcPr>
            <w:tcW w:w="12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0720"/>
      </w:cols>
      <w:pgMar w:left="580" w:top="132"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2"/>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20"/>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lvl w:ilvl="1">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lvl w:ilvl="1">
      <w:lvlJc w:val="left"/>
      <w:lvlText w:val="•"/>
      <w:numFmt w:val="bullet"/>
      <w:start w:val="1"/>
    </w:lvl>
  </w:abstractNum>
  <w:abstractNum w:abstractNumId="10">
    <w:nsid w:val="22221A70"/>
    <w:multiLevelType w:val="hybridMultilevel"/>
    <w:lvl w:ilvl="0">
      <w:lvlJc w:val="left"/>
      <w:lvlText w:val="(%1)"/>
      <w:numFmt w:val="lowerRoman"/>
      <w:start w:val="1"/>
    </w:lvl>
  </w:abstractNum>
  <w:abstractNum w:abstractNumId="11">
    <w:nsid w:val="4516DDE9"/>
    <w:multiLevelType w:val="hybridMultilevel"/>
    <w:lvl w:ilvl="0">
      <w:lvlJc w:val="left"/>
      <w:lvlText w:val="(%1)"/>
      <w:numFmt w:val="lowerRoman"/>
      <w:start w:val="4"/>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lowerRoman"/>
      <w:start w:val="10"/>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
      <w:numFmt w:val="bullet"/>
      <w:start w:val="1"/>
    </w:lvl>
    <w:lvl w:ilvl="1">
      <w:lvlJc w:val="left"/>
      <w:lvlText w:val="(%2)"/>
      <w:numFmt w:val="lowerRoman"/>
      <w:start w:val="2"/>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2"/>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decimal"/>
      <w:start w:val="2"/>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emdash "/>
      <w:numFmt w:val="bullet"/>
      <w:start w:val="1"/>
    </w:lvl>
    <w:lvl w:ilvl="1">
      <w:lvlJc w:val="left"/>
      <w:lvlText w:val="•"/>
      <w:numFmt w:val="bullet"/>
      <w:start w:val="1"/>
    </w:lvl>
  </w:abstractNum>
  <w:abstractNum w:abstractNumId="44">
    <w:nsid w:val="579478FE"/>
    <w:multiLevelType w:val="hybridMultilevel"/>
    <w:lvl w:ilvl="0">
      <w:lvlJc w:val="left"/>
      <w:lvlText w:val="%1"/>
      <w:numFmt w:val="decimal"/>
      <w:start w:val="20"/>
    </w:lvl>
  </w:abstractNum>
  <w:abstractNum w:abstractNumId="45">
    <w:nsid w:val="749ABB43"/>
    <w:multiLevelType w:val="hybridMultilevel"/>
    <w:lvl w:ilvl="0">
      <w:lvlJc w:val="left"/>
      <w:lvlText w:val="(%1)"/>
      <w:numFmt w:val="lowerRoman"/>
      <w:start w:val="1"/>
    </w:lvl>
  </w:abstractNum>
  <w:abstractNum w:abstractNumId="46">
    <w:nsid w:val="3DC240FB"/>
    <w:multiLevelType w:val="hybridMultilevel"/>
    <w:lvl w:ilvl="0">
      <w:lvlJc w:val="left"/>
      <w:lvlText w:val="(%1)"/>
      <w:numFmt w:val="decimal"/>
      <w:start w:val="8"/>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Roman"/>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jpe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jpe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21" Type="http://schemas.openxmlformats.org/officeDocument/2006/relationships/hyperlink" Target="http://www.sec.gov/ix?doc=/Archives/edgar/data/723125/000072312521000065/mu-20210902.htm" TargetMode="External"/><Relationship Id="rId78" Type="http://schemas.openxmlformats.org/officeDocument/2006/relationships/hyperlink" Target="http://www.sec.gov/ix?doc=/Archives/edgar/data/723125/000072312520000082/mu-20200903.htm" TargetMode="External"/><Relationship Id="rId79" Type="http://schemas.openxmlformats.org/officeDocument/2006/relationships/hyperlink" Target="http://www.sec.gov/Archives/edgar/data/723125/000072312520000091/a2020definitiveproxy.htm" TargetMode="External"/><Relationship Id="rId88" Type="http://schemas.openxmlformats.org/officeDocument/2006/relationships/hyperlink" Target="http://www.sec.gov/ix?doc=/Archives/edgar/data/723125/000072312520000074/mu-20200921.htm" TargetMode="External"/><Relationship Id="rId89" Type="http://schemas.openxmlformats.org/officeDocument/2006/relationships/hyperlink" Target="http://www.sec.gov/Archives/edgar/data/723125/000072312509000145/form8a12b-nasda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2021-10-18T08:27:25Z</dcterms:created>
  <dcterms:modified xsi:type="dcterms:W3CDTF">2021-10-18T08:27:25Z</dcterms:modified>
</cp:coreProperties>
</file>