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NO.5)*</w:t>
      </w:r>
    </w:p>
    <w:p>
      <w:pPr>
        <w:spacing w:after="0" w:line="201" w:lineRule="exact"/>
        <w:rPr>
          <w:sz w:val="24"/>
          <w:szCs w:val="24"/>
          <w:color w:val="auto"/>
        </w:rPr>
      </w:pPr>
    </w:p>
    <w:p>
      <w:pPr>
        <w:ind w:left="252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ind w:left="520"/>
              <w:spacing w:after="0"/>
              <w:rPr>
                <w:sz w:val="20"/>
                <w:szCs w:val="20"/>
                <w:color w:val="auto"/>
              </w:rPr>
            </w:pPr>
            <w:r>
              <w:rPr>
                <w:rFonts w:ascii="Courier New" w:cs="Courier New" w:eastAsia="Courier New" w:hAnsi="Courier New"/>
                <w:sz w:val="18"/>
                <w:szCs w:val="18"/>
                <w:color w:val="auto"/>
              </w:rPr>
              <w:t>8,823,781</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11,791,956</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2003</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23,450,045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12,736</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23,462,781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8,823,781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11,791,956</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23,450,045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12,736</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23,462,781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8,823,781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11,791,956</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23,450,045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12,736</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23,462,781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8,823,781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11,791,956</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23,450,045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12,736</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23,462,781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8,548,219</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11,791,956</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23,174,483</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12,736</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23,187,219</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w:t>
      </w:r>
    </w:p>
    <w:p>
      <w:pPr>
        <w:spacing w:after="0"/>
        <w:rPr>
          <w:sz w:val="20"/>
          <w:szCs w:val="20"/>
          <w:color w:val="auto"/>
        </w:rPr>
      </w:pPr>
      <w:r>
        <w:rPr>
          <w:rFonts w:ascii="Courier New" w:cs="Courier New" w:eastAsia="Courier New" w:hAnsi="Courier New"/>
          <w:sz w:val="18"/>
          <w:szCs w:val="18"/>
          <w:color w:val="auto"/>
        </w:rPr>
        <w:t>Business Office: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370, rue Saint Honore</w:t>
      </w:r>
    </w:p>
    <w:p>
      <w:pPr>
        <w:ind w:left="1060"/>
        <w:spacing w:after="0" w:line="237"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3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13G</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Item 4. Ownership as of</w:t>
            </w:r>
          </w:p>
        </w:tc>
        <w:tc>
          <w:tcPr>
            <w:tcW w:w="2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December 31, 2003</w:t>
            </w:r>
          </w:p>
        </w:tc>
        <w:tc>
          <w:tcPr>
            <w:tcW w:w="3220" w:type="dxa"/>
            <w:vAlign w:val="bottom"/>
          </w:tcPr>
          <w:p>
            <w:pPr>
              <w:spacing w:after="0"/>
              <w:rPr>
                <w:sz w:val="24"/>
                <w:szCs w:val="24"/>
                <w:color w:val="auto"/>
              </w:rPr>
            </w:pPr>
          </w:p>
        </w:tc>
      </w:tr>
      <w:tr>
        <w:trPr>
          <w:trHeight w:val="203"/>
        </w:trPr>
        <w:tc>
          <w:tcPr>
            <w:tcW w:w="4900" w:type="dxa"/>
            <w:vAlign w:val="bottom"/>
            <w:gridSpan w:val="2"/>
          </w:tcPr>
          <w:p>
            <w:pPr>
              <w:jc w:val="right"/>
              <w:ind w:right="792"/>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3220" w:type="dxa"/>
            <w:vAlign w:val="bottom"/>
          </w:tcPr>
          <w:p>
            <w:pPr>
              <w:spacing w:after="0"/>
              <w:rPr>
                <w:sz w:val="17"/>
                <w:szCs w:val="17"/>
                <w:color w:val="auto"/>
              </w:rPr>
            </w:pP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23,462,781   shares of common stock beneficially owned including:</w:t>
            </w:r>
          </w:p>
        </w:tc>
      </w:tr>
      <w:tr>
        <w:trPr>
          <w:trHeight w:val="608"/>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8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r>
      <w:tr>
        <w:trPr>
          <w:trHeight w:val="203"/>
        </w:trPr>
        <w:tc>
          <w:tcPr>
            <w:tcW w:w="4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70,000</w:t>
            </w:r>
          </w:p>
        </w:tc>
      </w:tr>
      <w:tr>
        <w:trPr>
          <w:trHeight w:val="203"/>
        </w:trPr>
        <w:tc>
          <w:tcPr>
            <w:tcW w:w="4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205,562</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3220" w:type="dxa"/>
            <w:vAlign w:val="bottom"/>
          </w:tcPr>
          <w:p>
            <w:pPr>
              <w:spacing w:after="0"/>
              <w:rPr>
                <w:sz w:val="24"/>
                <w:szCs w:val="24"/>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220" w:type="dxa"/>
            <w:vAlign w:val="bottom"/>
          </w:tcPr>
          <w:p>
            <w:pPr>
              <w:spacing w:after="0"/>
              <w:rPr>
                <w:sz w:val="17"/>
                <w:szCs w:val="17"/>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2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810"/>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22,832,279</w:t>
            </w:r>
          </w:p>
        </w:tc>
      </w:tr>
      <w:tr>
        <w:trPr>
          <w:trHeight w:val="405"/>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22,832,279</w:t>
            </w: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220" w:type="dxa"/>
            <w:vAlign w:val="bottom"/>
          </w:tcPr>
          <w:p>
            <w:pPr>
              <w:spacing w:after="0"/>
              <w:rPr>
                <w:sz w:val="24"/>
                <w:szCs w:val="24"/>
                <w:color w:val="auto"/>
              </w:rPr>
            </w:pPr>
          </w:p>
        </w:tc>
      </w:tr>
      <w:tr>
        <w:trPr>
          <w:trHeight w:val="608"/>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354,940</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354,940</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23,462,781</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14"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810"/>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2003</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220" w:type="dxa"/>
            <w:vAlign w:val="bottom"/>
          </w:tcPr>
          <w:p>
            <w:pPr>
              <w:spacing w:after="0"/>
              <w:rPr>
                <w:sz w:val="17"/>
                <w:szCs w:val="17"/>
                <w:color w:val="auto"/>
              </w:rPr>
            </w:pP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Paris</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205,562</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205,562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8,212,179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11,791,956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22,819,543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12,736</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336,040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354,940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United</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8,823,781</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11,791,956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23,450,045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12,736</w:t>
            </w:r>
          </w:p>
        </w:tc>
      </w:tr>
      <w:tr>
        <w:trPr>
          <w:trHeight w:val="203"/>
        </w:trPr>
        <w:tc>
          <w:tcPr>
            <w:tcW w:w="22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p>
      <w:pPr>
        <w:ind w:left="6220"/>
        <w:spacing w:after="0" w:line="238"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AXA Investment Managers Paris (France)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AXA Investment Managers Den Haag</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13, 2004</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2019-12-13T13:16:27Z</dcterms:created>
  <dcterms:modified xsi:type="dcterms:W3CDTF">2019-12-13T13:16:27Z</dcterms:modified>
</cp:coreProperties>
</file>