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6, 2013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4"/>
        </w:trPr>
        <w:tc>
          <w:tcPr>
            <w:tcW w:w="38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(Commission File Number)</w:t>
            </w:r>
          </w:p>
        </w:tc>
        <w:tc>
          <w:tcPr>
            <w:tcW w:w="3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9"/>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tc>
        <w:tc>
          <w:tcPr>
            <w:tcW w:w="3520" w:type="dxa"/>
            <w:vAlign w:val="bottom"/>
          </w:tcPr>
          <w:p>
            <w:pPr>
              <w:spacing w:after="0"/>
              <w:rPr>
                <w:sz w:val="24"/>
                <w:szCs w:val="24"/>
                <w:color w:val="auto"/>
              </w:rPr>
            </w:pPr>
          </w:p>
        </w:tc>
      </w:tr>
      <w:tr>
        <w:trPr>
          <w:trHeight w:val="245"/>
        </w:trPr>
        <w:tc>
          <w:tcPr>
            <w:tcW w:w="3800" w:type="dxa"/>
            <w:vAlign w:val="bottom"/>
          </w:tcPr>
          <w:p>
            <w:pPr>
              <w:spacing w:after="0"/>
              <w:rPr>
                <w:sz w:val="21"/>
                <w:szCs w:val="21"/>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520" w:type="dxa"/>
            <w:vAlign w:val="bottom"/>
          </w:tcPr>
          <w:p>
            <w:pPr>
              <w:spacing w:after="0"/>
              <w:rPr>
                <w:sz w:val="21"/>
                <w:szCs w:val="21"/>
                <w:color w:val="auto"/>
              </w:rPr>
            </w:pPr>
          </w:p>
        </w:tc>
      </w:tr>
      <w:tr>
        <w:trPr>
          <w:trHeight w:val="234"/>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19685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6, 2013, Patrick T. Otte, the Company’s Vice President of Human Resources, entered into a prearranged trading plan under Rule 10b5-1 of the Securities and Exchange Act of 1934. Mr. Otte’s trading plan has an effective date of May 15, 2013. Rule 10b5-1 permits officers and directors of public companies to adopt predetermined plans for selling specified amounts of stock. Mr. Otte’s trading plan provides for the sale of up to 196,750 shares of the Company’s stock over a 12-month period beginning in October 2013.</w:t>
      </w:r>
    </w:p>
    <w:p>
      <w:pPr>
        <w:spacing w:after="0" w:line="3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752"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82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5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2013</w:t>
            </w:r>
          </w:p>
        </w:tc>
        <w:tc>
          <w:tcPr>
            <w:tcW w:w="412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Ronald C. Foster</w:t>
            </w:r>
          </w:p>
        </w:tc>
      </w:tr>
      <w:tr>
        <w:trPr>
          <w:trHeight w:val="198"/>
        </w:trPr>
        <w:tc>
          <w:tcPr>
            <w:tcW w:w="3600" w:type="dxa"/>
            <w:vAlign w:val="bottom"/>
          </w:tcPr>
          <w:p>
            <w:pPr>
              <w:spacing w:after="0"/>
              <w:rPr>
                <w:sz w:val="17"/>
                <w:szCs w:val="17"/>
                <w:color w:val="auto"/>
              </w:rPr>
            </w:pPr>
          </w:p>
        </w:tc>
        <w:tc>
          <w:tcPr>
            <w:tcW w:w="4120" w:type="dxa"/>
            <w:vAlign w:val="bottom"/>
          </w:tcPr>
          <w:p>
            <w:pPr>
              <w:ind w:left="33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Ronald C. Foster</w:t>
            </w:r>
          </w:p>
        </w:tc>
      </w:tr>
      <w:tr>
        <w:trPr>
          <w:trHeight w:val="216"/>
        </w:trPr>
        <w:tc>
          <w:tcPr>
            <w:tcW w:w="3600" w:type="dxa"/>
            <w:vAlign w:val="bottom"/>
          </w:tcPr>
          <w:p>
            <w:pPr>
              <w:spacing w:after="0"/>
              <w:rPr>
                <w:sz w:val="18"/>
                <w:szCs w:val="18"/>
                <w:color w:val="auto"/>
              </w:rPr>
            </w:pPr>
          </w:p>
        </w:tc>
        <w:tc>
          <w:tcPr>
            <w:tcW w:w="412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36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459"/>
        </w:trPr>
        <w:tc>
          <w:tcPr>
            <w:tcW w:w="3600" w:type="dxa"/>
            <w:vAlign w:val="bottom"/>
          </w:tcPr>
          <w:p>
            <w:pPr>
              <w:spacing w:after="0"/>
              <w:rPr>
                <w:sz w:val="24"/>
                <w:szCs w:val="24"/>
                <w:color w:val="auto"/>
              </w:rPr>
            </w:pPr>
          </w:p>
        </w:tc>
        <w:tc>
          <w:tcPr>
            <w:tcW w:w="41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Pr>
          <w:p>
            <w:pPr>
              <w:spacing w:after="0"/>
              <w:rPr>
                <w:sz w:val="24"/>
                <w:szCs w:val="24"/>
                <w:color w:val="auto"/>
              </w:rPr>
            </w:pPr>
          </w:p>
        </w:tc>
      </w:tr>
      <w:tr>
        <w:trPr>
          <w:trHeight w:val="361"/>
        </w:trPr>
        <w:tc>
          <w:tcPr>
            <w:tcW w:w="36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412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2019-12-05T21:00:48Z</dcterms:created>
  <dcterms:modified xsi:type="dcterms:W3CDTF">2019-12-05T21:00:48Z</dcterms:modified>
</cp:coreProperties>
</file>