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102"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(Mark One)</w:t>
      </w:r>
    </w:p>
    <w:p>
      <w:pPr>
        <w:spacing w:after="0" w:line="39" w:lineRule="exact"/>
        <w:rPr>
          <w:sz w:val="24"/>
          <w:szCs w:val="24"/>
          <w:color w:val="auto"/>
        </w:rPr>
      </w:pPr>
    </w:p>
    <w:p>
      <w:pPr>
        <w:ind w:left="1700" w:hanging="929"/>
        <w:spacing w:after="0"/>
        <w:tabs>
          <w:tab w:leader="none" w:pos="1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November 30, 2023</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31" w:lineRule="exact"/>
        <w:rPr>
          <w:sz w:val="24"/>
          <w:szCs w:val="24"/>
          <w:color w:val="auto"/>
        </w:rPr>
      </w:pPr>
    </w:p>
    <w:p>
      <w:pPr>
        <w:ind w:left="1700" w:hanging="929"/>
        <w:spacing w:after="0"/>
        <w:tabs>
          <w:tab w:leader="none" w:pos="1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980"/>
        <w:spacing w:after="0"/>
        <w:tabs>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1-10658</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21"/>
        </w:trPr>
        <w:tc>
          <w:tcPr>
            <w:tcW w:w="4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Delaware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40" w:type="dxa"/>
            <w:vAlign w:val="bottom"/>
          </w:tcPr>
          <w:p>
            <w:pPr>
              <w:jc w:val="right"/>
              <w:ind w:right="1801"/>
              <w:spacing w:after="0"/>
              <w:rPr>
                <w:sz w:val="20"/>
                <w:szCs w:val="20"/>
                <w:color w:val="auto"/>
              </w:rPr>
            </w:pPr>
            <w:r>
              <w:rPr>
                <w:rFonts w:ascii="Arial" w:cs="Arial" w:eastAsia="Arial" w:hAnsi="Arial"/>
                <w:sz w:val="16"/>
                <w:szCs w:val="16"/>
                <w:b w:val="1"/>
                <w:bCs w:val="1"/>
                <w:color w:val="auto"/>
              </w:rPr>
              <w:t>75-1618004</w:t>
            </w:r>
          </w:p>
        </w:tc>
      </w:tr>
      <w:tr>
        <w:trPr>
          <w:trHeight w:val="190"/>
        </w:trPr>
        <w:tc>
          <w:tcPr>
            <w:tcW w:w="4920" w:type="dxa"/>
            <w:vAlign w:val="bottom"/>
            <w:gridSpan w:val="2"/>
          </w:tcPr>
          <w:p>
            <w:pPr>
              <w:jc w:val="center"/>
              <w:ind w:right="120"/>
              <w:spacing w:after="0"/>
              <w:rPr>
                <w:sz w:val="20"/>
                <w:szCs w:val="20"/>
                <w:color w:val="auto"/>
              </w:rPr>
            </w:pPr>
            <w:r>
              <w:rPr>
                <w:rFonts w:ascii="Arial" w:cs="Arial" w:eastAsia="Arial" w:hAnsi="Arial"/>
                <w:sz w:val="14"/>
                <w:szCs w:val="14"/>
                <w:color w:val="auto"/>
              </w:rPr>
              <w:t>(State or other jurisdiction of incorporation or organization)</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40" w:type="dxa"/>
            <w:vAlign w:val="bottom"/>
          </w:tcPr>
          <w:p>
            <w:pPr>
              <w:jc w:val="center"/>
              <w:spacing w:after="0"/>
              <w:rPr>
                <w:sz w:val="20"/>
                <w:szCs w:val="20"/>
                <w:color w:val="auto"/>
              </w:rPr>
            </w:pPr>
            <w:r>
              <w:rPr>
                <w:rFonts w:ascii="Arial" w:cs="Arial" w:eastAsia="Arial" w:hAnsi="Arial"/>
                <w:sz w:val="14"/>
                <w:szCs w:val="14"/>
                <w:color w:val="auto"/>
              </w:rPr>
              <w:t>(IRS Employer Identification No.)</w:t>
            </w:r>
          </w:p>
        </w:tc>
      </w:tr>
      <w:tr>
        <w:trPr>
          <w:trHeight w:val="223"/>
        </w:trPr>
        <w:tc>
          <w:tcPr>
            <w:tcW w:w="4920" w:type="dxa"/>
            <w:vAlign w:val="bottom"/>
            <w:gridSpan w:val="2"/>
          </w:tcPr>
          <w:p>
            <w:pPr>
              <w:spacing w:after="0"/>
              <w:rPr>
                <w:sz w:val="20"/>
                <w:szCs w:val="20"/>
                <w:color w:val="auto"/>
              </w:rPr>
            </w:pPr>
            <w:r>
              <w:rPr>
                <w:rFonts w:ascii="Arial" w:cs="Arial" w:eastAsia="Arial" w:hAnsi="Arial"/>
                <w:sz w:val="16"/>
                <w:szCs w:val="16"/>
                <w:color w:val="auto"/>
              </w:rPr>
              <w:t>Address of principal executive offices, including zip code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40" w:type="dxa"/>
            <w:vAlign w:val="bottom"/>
          </w:tcPr>
          <w:p>
            <w:pPr>
              <w:jc w:val="center"/>
              <w:spacing w:after="0"/>
              <w:rPr>
                <w:sz w:val="20"/>
                <w:szCs w:val="20"/>
                <w:color w:val="auto"/>
              </w:rPr>
            </w:pPr>
            <w:r>
              <w:rPr>
                <w:rFonts w:ascii="Arial" w:cs="Arial" w:eastAsia="Arial" w:hAnsi="Arial"/>
                <w:sz w:val="16"/>
                <w:szCs w:val="16"/>
                <w:b w:val="1"/>
                <w:bCs w:val="1"/>
                <w:color w:val="auto"/>
              </w:rPr>
              <w:t>8000 S. Federal Way, Boise, Idaho 83716-9632</w:t>
            </w:r>
          </w:p>
        </w:tc>
      </w:tr>
      <w:tr>
        <w:trPr>
          <w:trHeight w:val="223"/>
        </w:trPr>
        <w:tc>
          <w:tcPr>
            <w:tcW w:w="4920" w:type="dxa"/>
            <w:vAlign w:val="bottom"/>
            <w:gridSpan w:val="2"/>
          </w:tcPr>
          <w:p>
            <w:pPr>
              <w:spacing w:after="0"/>
              <w:rPr>
                <w:sz w:val="20"/>
                <w:szCs w:val="20"/>
                <w:color w:val="auto"/>
              </w:rPr>
            </w:pPr>
            <w:r>
              <w:rPr>
                <w:rFonts w:ascii="Arial" w:cs="Arial" w:eastAsia="Arial" w:hAnsi="Arial"/>
                <w:sz w:val="16"/>
                <w:szCs w:val="16"/>
                <w:color w:val="auto"/>
              </w:rPr>
              <w:t>Registrant’s telephone number, including area code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40" w:type="dxa"/>
            <w:vAlign w:val="bottom"/>
          </w:tcPr>
          <w:p>
            <w:pPr>
              <w:jc w:val="right"/>
              <w:ind w:right="1681"/>
              <w:spacing w:after="0"/>
              <w:rPr>
                <w:sz w:val="20"/>
                <w:szCs w:val="20"/>
                <w:color w:val="auto"/>
              </w:rPr>
            </w:pPr>
            <w:r>
              <w:rPr>
                <w:rFonts w:ascii="Arial" w:cs="Arial" w:eastAsia="Arial" w:hAnsi="Arial"/>
                <w:sz w:val="16"/>
                <w:szCs w:val="16"/>
                <w:b w:val="1"/>
                <w:bCs w:val="1"/>
                <w:color w:val="auto"/>
              </w:rPr>
              <w:t>(208) 368-4000</w:t>
            </w:r>
          </w:p>
        </w:tc>
      </w:tr>
      <w:tr>
        <w:trPr>
          <w:trHeight w:val="303"/>
        </w:trPr>
        <w:tc>
          <w:tcPr>
            <w:tcW w:w="49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18"/>
        </w:trPr>
        <w:tc>
          <w:tcPr>
            <w:tcW w:w="4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Title of each class</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Trading Symbol</w:t>
            </w:r>
          </w:p>
        </w:tc>
        <w:tc>
          <w:tcPr>
            <w:tcW w:w="464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48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par value $0.10 per share</w:t>
            </w:r>
          </w:p>
        </w:tc>
        <w:tc>
          <w:tcPr>
            <w:tcW w:w="10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MU</w:t>
            </w:r>
          </w:p>
        </w:tc>
        <w:tc>
          <w:tcPr>
            <w:tcW w:w="100" w:type="dxa"/>
            <w:vAlign w:val="bottom"/>
          </w:tcPr>
          <w:p>
            <w:pPr>
              <w:spacing w:after="0"/>
              <w:rPr>
                <w:sz w:val="18"/>
                <w:szCs w:val="18"/>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63" w:lineRule="exact"/>
        <w:rPr>
          <w:sz w:val="24"/>
          <w:szCs w:val="24"/>
          <w:color w:val="auto"/>
        </w:rPr>
      </w:pPr>
    </w:p>
    <w:p>
      <w:pPr>
        <w:sectPr>
          <w:pgSz w:w="11900" w:h="16838" w:orient="portrait"/>
          <w:cols w:equalWidth="0" w:num="1">
            <w:col w:w="11220"/>
          </w:cols>
          <w:pgMar w:left="320" w:top="1033" w:right="359" w:bottom="1440" w:gutter="0" w:footer="0" w:header="0"/>
        </w:sectPr>
      </w:pPr>
    </w:p>
    <w:p>
      <w:pPr>
        <w:ind w:left="20"/>
        <w:spacing w:after="0" w:line="23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31" w:lineRule="exact"/>
        <w:rPr>
          <w:sz w:val="24"/>
          <w:szCs w:val="24"/>
          <w:color w:val="auto"/>
        </w:rPr>
      </w:pPr>
    </w:p>
    <w:p>
      <w:pPr>
        <w:ind w:left="20"/>
        <w:spacing w:after="0" w:line="27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580" w:space="200"/>
            <w:col w:w="1440"/>
          </w:cols>
          <w:pgMar w:left="320" w:top="1033" w:right="359" w:bottom="1440" w:gutter="0" w:footer="0" w:header="0"/>
          <w:type w:val="continuous"/>
        </w:sectPr>
      </w:pPr>
    </w:p>
    <w:p>
      <w:pPr>
        <w:spacing w:after="0" w:line="97" w:lineRule="exact"/>
        <w:rPr>
          <w:sz w:val="24"/>
          <w:szCs w:val="24"/>
          <w:color w:val="auto"/>
        </w:rPr>
      </w:pPr>
    </w:p>
    <w:p>
      <w:pPr>
        <w:ind w:left="20" w:right="16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2360" w:type="dxa"/>
            <w:vAlign w:val="bottom"/>
          </w:tcPr>
          <w:p>
            <w:pPr>
              <w:jc w:val="center"/>
              <w:ind w:right="37"/>
              <w:spacing w:after="0"/>
              <w:rPr>
                <w:sz w:val="20"/>
                <w:szCs w:val="20"/>
                <w:color w:val="auto"/>
              </w:rPr>
            </w:pPr>
            <w:r>
              <w:rPr>
                <w:rFonts w:ascii="Arial" w:cs="Arial" w:eastAsia="Arial" w:hAnsi="Arial"/>
                <w:sz w:val="16"/>
                <w:szCs w:val="16"/>
                <w:color w:val="auto"/>
              </w:rPr>
              <w:t>Large Accelerated Filer</w:t>
            </w:r>
          </w:p>
        </w:tc>
        <w:tc>
          <w:tcPr>
            <w:tcW w:w="206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2240" w:type="dxa"/>
            <w:vAlign w:val="bottom"/>
          </w:tcPr>
          <w:p>
            <w:pPr>
              <w:jc w:val="center"/>
              <w:ind w:left="135"/>
              <w:spacing w:after="0"/>
              <w:rPr>
                <w:sz w:val="20"/>
                <w:szCs w:val="20"/>
                <w:color w:val="auto"/>
              </w:rPr>
            </w:pPr>
            <w:r>
              <w:rPr>
                <w:rFonts w:ascii="Arial" w:cs="Arial" w:eastAsia="Arial" w:hAnsi="Arial"/>
                <w:sz w:val="16"/>
                <w:szCs w:val="16"/>
                <w:color w:val="auto"/>
              </w:rPr>
              <w:t>Non-Accelerated Filer</w:t>
            </w:r>
          </w:p>
        </w:tc>
        <w:tc>
          <w:tcPr>
            <w:tcW w:w="2380" w:type="dxa"/>
            <w:vAlign w:val="bottom"/>
          </w:tcPr>
          <w:p>
            <w:pPr>
              <w:jc w:val="center"/>
              <w:ind w:left="55"/>
              <w:spacing w:after="0"/>
              <w:rPr>
                <w:sz w:val="20"/>
                <w:szCs w:val="20"/>
                <w:color w:val="auto"/>
              </w:rPr>
            </w:pPr>
            <w:r>
              <w:rPr>
                <w:rFonts w:ascii="Arial" w:cs="Arial" w:eastAsia="Arial" w:hAnsi="Arial"/>
                <w:sz w:val="16"/>
                <w:szCs w:val="16"/>
                <w:color w:val="auto"/>
              </w:rPr>
              <w:t>Smaller Reporting Company</w:t>
            </w:r>
          </w:p>
        </w:tc>
        <w:tc>
          <w:tcPr>
            <w:tcW w:w="2100" w:type="dxa"/>
            <w:vAlign w:val="bottom"/>
            <w:gridSpan w:val="2"/>
          </w:tcPr>
          <w:p>
            <w:pPr>
              <w:jc w:val="center"/>
              <w:ind w:left="13"/>
              <w:spacing w:after="0"/>
              <w:rPr>
                <w:sz w:val="20"/>
                <w:szCs w:val="20"/>
                <w:color w:val="auto"/>
              </w:rPr>
            </w:pPr>
            <w:r>
              <w:rPr>
                <w:rFonts w:ascii="Arial" w:cs="Arial" w:eastAsia="Arial" w:hAnsi="Arial"/>
                <w:sz w:val="16"/>
                <w:szCs w:val="16"/>
                <w:color w:val="auto"/>
              </w:rPr>
              <w:t>Emerging Growth Company</w:t>
            </w:r>
          </w:p>
        </w:tc>
        <w:tc>
          <w:tcPr>
            <w:tcW w:w="0" w:type="dxa"/>
            <w:vAlign w:val="bottom"/>
          </w:tcPr>
          <w:p>
            <w:pPr>
              <w:spacing w:after="0"/>
              <w:rPr>
                <w:sz w:val="1"/>
                <w:szCs w:val="1"/>
                <w:color w:val="auto"/>
              </w:rPr>
            </w:pPr>
          </w:p>
        </w:tc>
      </w:tr>
      <w:tr>
        <w:trPr>
          <w:trHeight w:val="303"/>
        </w:trPr>
        <w:tc>
          <w:tcPr>
            <w:tcW w:w="2360" w:type="dxa"/>
            <w:vAlign w:val="bottom"/>
          </w:tcPr>
          <w:p>
            <w:pPr>
              <w:jc w:val="center"/>
              <w:ind w:right="37"/>
              <w:spacing w:after="0" w:line="181" w:lineRule="exact"/>
              <w:rPr>
                <w:sz w:val="20"/>
                <w:szCs w:val="20"/>
                <w:color w:val="auto"/>
              </w:rPr>
            </w:pPr>
            <w:r>
              <w:rPr>
                <w:rFonts w:ascii="MS PGothic" w:cs="MS PGothic" w:eastAsia="MS PGothic" w:hAnsi="MS PGothic"/>
                <w:sz w:val="18"/>
                <w:szCs w:val="18"/>
                <w:color w:val="auto"/>
                <w:w w:val="88"/>
              </w:rPr>
              <w:t>☒</w:t>
            </w:r>
          </w:p>
        </w:tc>
        <w:tc>
          <w:tcPr>
            <w:tcW w:w="20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40" w:type="dxa"/>
            <w:vAlign w:val="bottom"/>
          </w:tcPr>
          <w:p>
            <w:pPr>
              <w:jc w:val="center"/>
              <w:ind w:left="155"/>
              <w:spacing w:after="0" w:line="181" w:lineRule="exact"/>
              <w:rPr>
                <w:sz w:val="20"/>
                <w:szCs w:val="20"/>
                <w:color w:val="auto"/>
              </w:rPr>
            </w:pPr>
            <w:r>
              <w:rPr>
                <w:rFonts w:ascii="MS PGothic" w:cs="MS PGothic" w:eastAsia="MS PGothic" w:hAnsi="MS PGothic"/>
                <w:sz w:val="18"/>
                <w:szCs w:val="18"/>
                <w:color w:val="auto"/>
                <w:w w:val="88"/>
              </w:rPr>
              <w:t>☐</w:t>
            </w:r>
          </w:p>
        </w:tc>
        <w:tc>
          <w:tcPr>
            <w:tcW w:w="2380" w:type="dxa"/>
            <w:vAlign w:val="bottom"/>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c>
          <w:tcPr>
            <w:tcW w:w="1560" w:type="dxa"/>
            <w:vAlign w:val="bottom"/>
          </w:tcPr>
          <w:p>
            <w:pPr>
              <w:jc w:val="center"/>
              <w:ind w:left="553"/>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0600" w:type="dxa"/>
            <w:vAlign w:val="bottom"/>
            <w:gridSpan w:val="5"/>
          </w:tcPr>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040" w:type="dxa"/>
            <w:vAlign w:val="bottom"/>
            <w:gridSpan w:val="4"/>
          </w:tcPr>
          <w:p>
            <w:pPr>
              <w:spacing w:after="0"/>
              <w:rPr>
                <w:sz w:val="20"/>
                <w:szCs w:val="20"/>
                <w:color w:val="auto"/>
              </w:rPr>
            </w:pPr>
            <w:r>
              <w:rPr>
                <w:rFonts w:ascii="Arial" w:cs="Arial" w:eastAsia="Arial" w:hAnsi="Arial"/>
                <w:sz w:val="16"/>
                <w:szCs w:val="16"/>
                <w:color w:val="auto"/>
              </w:rPr>
              <w:t>new or revised financial accounting standards provided pursuant to Section 13(a) of the Exchange Act.</w:t>
            </w:r>
          </w:p>
        </w:tc>
        <w:tc>
          <w:tcPr>
            <w:tcW w:w="1560" w:type="dxa"/>
            <w:vAlign w:val="bottom"/>
          </w:tcPr>
          <w:p>
            <w:pPr>
              <w:spacing w:after="0"/>
              <w:rPr>
                <w:sz w:val="18"/>
                <w:szCs w:val="18"/>
                <w:color w:val="auto"/>
              </w:rPr>
            </w:pPr>
          </w:p>
        </w:tc>
        <w:tc>
          <w:tcPr>
            <w:tcW w:w="540" w:type="dxa"/>
            <w:vAlign w:val="bottom"/>
            <w:vMerge w:val="restart"/>
          </w:tcPr>
          <w:p>
            <w:pPr>
              <w:jc w:val="right"/>
              <w:ind w:right="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1"/>
        </w:trPr>
        <w:tc>
          <w:tcPr>
            <w:tcW w:w="23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5"/>
        </w:trPr>
        <w:tc>
          <w:tcPr>
            <w:tcW w:w="9040" w:type="dxa"/>
            <w:vAlign w:val="bottom"/>
            <w:gridSpan w:val="4"/>
          </w:tcPr>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tc>
        <w:tc>
          <w:tcPr>
            <w:tcW w:w="1560" w:type="dxa"/>
            <w:vAlign w:val="bottom"/>
            <w:vMerge w:val="restart"/>
          </w:tcPr>
          <w:p>
            <w:pPr>
              <w:ind w:left="7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40" w:type="dxa"/>
            <w:vAlign w:val="bottom"/>
            <w:vMerge w:val="restart"/>
          </w:tcPr>
          <w:p>
            <w:pPr>
              <w:jc w:val="right"/>
              <w:ind w:right="10"/>
              <w:spacing w:after="0" w:line="207" w:lineRule="exact"/>
              <w:rPr>
                <w:sz w:val="20"/>
                <w:szCs w:val="20"/>
                <w:color w:val="auto"/>
              </w:rPr>
            </w:pPr>
            <w:r>
              <w:rPr>
                <w:rFonts w:ascii="Arial" w:cs="Arial" w:eastAsia="Arial" w:hAnsi="Arial"/>
                <w:sz w:val="18"/>
                <w:szCs w:val="18"/>
                <w:color w:val="auto"/>
                <w:w w:val="91"/>
              </w:rPr>
              <w:t xml:space="preserve">No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152"/>
        </w:trPr>
        <w:tc>
          <w:tcPr>
            <w:tcW w:w="23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outstanding shares of the registrant’s common stock as of December 14, 2023 was 1,103,908,880.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814070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Introduction</w:t>
            </w:r>
          </w:p>
        </w:tc>
        <w:tc>
          <w:tcPr>
            <w:tcW w:w="8560" w:type="dxa"/>
            <w:vAlign w:val="bottom"/>
            <w:shd w:val="clear" w:color="auto" w:fill="D1D2D4"/>
          </w:tcPr>
          <w:p>
            <w:pPr>
              <w:spacing w:after="0"/>
              <w:rPr>
                <w:sz w:val="19"/>
                <w:szCs w:val="19"/>
                <w:color w:val="auto"/>
              </w:rPr>
            </w:pP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1440" w:type="dxa"/>
            <w:vAlign w:val="bottom"/>
          </w:tcPr>
          <w:p>
            <w:pPr>
              <w:spacing w:after="0"/>
              <w:rPr>
                <w:sz w:val="19"/>
                <w:szCs w:val="19"/>
                <w:color w:val="auto"/>
              </w:rPr>
            </w:pPr>
          </w:p>
        </w:tc>
      </w:tr>
      <w:tr>
        <w:trPr>
          <w:trHeight w:val="230"/>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w:t>
            </w:r>
          </w:p>
        </w:tc>
        <w:tc>
          <w:tcPr>
            <w:tcW w:w="8560" w:type="dxa"/>
            <w:vAlign w:val="bottom"/>
            <w:shd w:val="clear" w:color="auto" w:fill="D1D2D4"/>
          </w:tcPr>
          <w:p>
            <w:pPr>
              <w:ind w:left="280"/>
              <w:spacing w:after="0"/>
              <w:rPr>
                <w:sz w:val="20"/>
                <w:szCs w:val="20"/>
                <w:color w:val="auto"/>
              </w:rPr>
            </w:pPr>
            <w:r>
              <w:rPr>
                <w:rFonts w:ascii="Arial" w:cs="Arial" w:eastAsia="Arial" w:hAnsi="Arial"/>
                <w:sz w:val="18"/>
                <w:szCs w:val="18"/>
                <w:color w:val="auto"/>
              </w:rPr>
              <w:t>Financial Statements: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24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Consolidated Statements of Operations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240" w:type="dxa"/>
            <w:vAlign w:val="bottom"/>
            <w:shd w:val="clear" w:color="auto" w:fill="D1D2D4"/>
          </w:tcPr>
          <w:p>
            <w:pPr>
              <w:spacing w:after="0"/>
              <w:rPr>
                <w:sz w:val="19"/>
                <w:szCs w:val="19"/>
                <w:color w:val="auto"/>
              </w:rPr>
            </w:pPr>
          </w:p>
        </w:tc>
        <w:tc>
          <w:tcPr>
            <w:tcW w:w="85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Consolidated Statements of Comprehensive Income (Loss)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24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Consolidated Balance Sheets</w:t>
            </w: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1240" w:type="dxa"/>
            <w:vAlign w:val="bottom"/>
            <w:shd w:val="clear" w:color="auto" w:fill="D1D2D4"/>
          </w:tcPr>
          <w:p>
            <w:pPr>
              <w:spacing w:after="0"/>
              <w:rPr>
                <w:sz w:val="19"/>
                <w:szCs w:val="19"/>
                <w:color w:val="auto"/>
              </w:rPr>
            </w:pPr>
          </w:p>
        </w:tc>
        <w:tc>
          <w:tcPr>
            <w:tcW w:w="85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Consolidated Statements of Changes in Equity</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124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Consolidated Statements of Cash Flows</w:t>
            </w: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240" w:type="dxa"/>
            <w:vAlign w:val="bottom"/>
            <w:shd w:val="clear" w:color="auto" w:fill="D1D2D4"/>
          </w:tcPr>
          <w:p>
            <w:pPr>
              <w:spacing w:after="0"/>
              <w:rPr>
                <w:sz w:val="19"/>
                <w:szCs w:val="19"/>
                <w:color w:val="auto"/>
              </w:rPr>
            </w:pPr>
          </w:p>
        </w:tc>
        <w:tc>
          <w:tcPr>
            <w:tcW w:w="85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Notes to Consolidated Financial Statements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2.</w:t>
            </w:r>
          </w:p>
        </w:tc>
        <w:tc>
          <w:tcPr>
            <w:tcW w:w="8560" w:type="dxa"/>
            <w:vAlign w:val="bottom"/>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240" w:type="dxa"/>
            <w:vAlign w:val="bottom"/>
            <w:shd w:val="clear" w:color="auto" w:fill="D1D2D4"/>
          </w:tcPr>
          <w:p>
            <w:pPr>
              <w:spacing w:after="0"/>
              <w:rPr>
                <w:sz w:val="19"/>
                <w:szCs w:val="19"/>
                <w:color w:val="auto"/>
              </w:rPr>
            </w:pPr>
          </w:p>
        </w:tc>
        <w:tc>
          <w:tcPr>
            <w:tcW w:w="85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Results of Operations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124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Liquidity and Capital Resources</w:t>
            </w: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3.</w:t>
            </w:r>
          </w:p>
        </w:tc>
        <w:tc>
          <w:tcPr>
            <w:tcW w:w="8560" w:type="dxa"/>
            <w:vAlign w:val="bottom"/>
            <w:shd w:val="clear" w:color="auto" w:fill="D1D2D4"/>
          </w:tcPr>
          <w:p>
            <w:pPr>
              <w:ind w:left="280"/>
              <w:spacing w:after="0"/>
              <w:rPr>
                <w:sz w:val="20"/>
                <w:szCs w:val="20"/>
                <w:color w:val="auto"/>
              </w:rPr>
            </w:pPr>
            <w:r>
              <w:rPr>
                <w:rFonts w:ascii="Arial" w:cs="Arial" w:eastAsia="Arial" w:hAnsi="Arial"/>
                <w:sz w:val="18"/>
                <w:szCs w:val="18"/>
                <w:color w:val="auto"/>
              </w:rPr>
              <w:t>Quantitative and Qualitative Disclosures about Market Risk</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4.</w:t>
            </w:r>
          </w:p>
        </w:tc>
        <w:tc>
          <w:tcPr>
            <w:tcW w:w="8560" w:type="dxa"/>
            <w:vAlign w:val="bottom"/>
          </w:tcPr>
          <w:p>
            <w:pPr>
              <w:ind w:left="280"/>
              <w:spacing w:after="0"/>
              <w:rPr>
                <w:sz w:val="20"/>
                <w:szCs w:val="20"/>
                <w:color w:val="auto"/>
              </w:rPr>
            </w:pPr>
            <w:r>
              <w:rPr>
                <w:rFonts w:ascii="Arial" w:cs="Arial" w:eastAsia="Arial" w:hAnsi="Arial"/>
                <w:sz w:val="18"/>
                <w:szCs w:val="18"/>
                <w:color w:val="auto"/>
              </w:rPr>
              <w:t>Controls and Procedures</w:t>
            </w: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9800" w:type="dxa"/>
            <w:vAlign w:val="bottom"/>
            <w:gridSpan w:val="2"/>
            <w:shd w:val="clear" w:color="auto" w:fill="D1D2D4"/>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1440" w:type="dxa"/>
            <w:vAlign w:val="bottom"/>
            <w:shd w:val="clear" w:color="auto" w:fill="D1D2D4"/>
          </w:tcPr>
          <w:p>
            <w:pPr>
              <w:spacing w:after="0"/>
              <w:rPr>
                <w:sz w:val="19"/>
                <w:szCs w:val="19"/>
                <w:color w:val="auto"/>
              </w:rPr>
            </w:pP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1.</w:t>
            </w:r>
          </w:p>
        </w:tc>
        <w:tc>
          <w:tcPr>
            <w:tcW w:w="8560" w:type="dxa"/>
            <w:vAlign w:val="bottom"/>
          </w:tcPr>
          <w:p>
            <w:pPr>
              <w:ind w:left="280"/>
              <w:spacing w:after="0"/>
              <w:rPr>
                <w:sz w:val="20"/>
                <w:szCs w:val="20"/>
                <w:color w:val="auto"/>
              </w:rPr>
            </w:pPr>
            <w:r>
              <w:rPr>
                <w:rFonts w:ascii="Arial" w:cs="Arial" w:eastAsia="Arial" w:hAnsi="Arial"/>
                <w:sz w:val="18"/>
                <w:szCs w:val="18"/>
                <w:color w:val="auto"/>
              </w:rPr>
              <w:t>Legal Proceedings</w:t>
            </w: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1A.</w:t>
            </w:r>
          </w:p>
        </w:tc>
        <w:tc>
          <w:tcPr>
            <w:tcW w:w="8560" w:type="dxa"/>
            <w:vAlign w:val="bottom"/>
            <w:shd w:val="clear" w:color="auto" w:fill="D1D2D4"/>
          </w:tcPr>
          <w:p>
            <w:pPr>
              <w:ind w:left="280"/>
              <w:spacing w:after="0"/>
              <w:rPr>
                <w:sz w:val="20"/>
                <w:szCs w:val="20"/>
                <w:color w:val="auto"/>
              </w:rPr>
            </w:pPr>
            <w:r>
              <w:rPr>
                <w:rFonts w:ascii="Arial" w:cs="Arial" w:eastAsia="Arial" w:hAnsi="Arial"/>
                <w:sz w:val="18"/>
                <w:szCs w:val="18"/>
                <w:color w:val="auto"/>
              </w:rPr>
              <w:t>Risk Factors</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2.</w:t>
            </w:r>
          </w:p>
        </w:tc>
        <w:tc>
          <w:tcPr>
            <w:tcW w:w="8560" w:type="dxa"/>
            <w:vAlign w:val="bottom"/>
          </w:tcPr>
          <w:p>
            <w:pPr>
              <w:ind w:left="280"/>
              <w:spacing w:after="0"/>
              <w:rPr>
                <w:sz w:val="20"/>
                <w:szCs w:val="20"/>
                <w:color w:val="auto"/>
              </w:rPr>
            </w:pPr>
            <w:r>
              <w:rPr>
                <w:rFonts w:ascii="Arial" w:cs="Arial" w:eastAsia="Arial" w:hAnsi="Arial"/>
                <w:sz w:val="18"/>
                <w:szCs w:val="18"/>
                <w:color w:val="auto"/>
              </w:rPr>
              <w:t>Unregistered Sales of Equity Securities and Use of Proceeds</w:t>
            </w:r>
          </w:p>
        </w:tc>
        <w:tc>
          <w:tcPr>
            <w:tcW w:w="1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5.</w:t>
            </w:r>
          </w:p>
        </w:tc>
        <w:tc>
          <w:tcPr>
            <w:tcW w:w="8560" w:type="dxa"/>
            <w:vAlign w:val="bottom"/>
            <w:shd w:val="clear" w:color="auto" w:fill="D1D2D4"/>
          </w:tcPr>
          <w:p>
            <w:pPr>
              <w:ind w:left="280"/>
              <w:spacing w:after="0"/>
              <w:rPr>
                <w:sz w:val="20"/>
                <w:szCs w:val="20"/>
                <w:color w:val="auto"/>
              </w:rPr>
            </w:pPr>
            <w:r>
              <w:rPr>
                <w:rFonts w:ascii="Arial" w:cs="Arial" w:eastAsia="Arial" w:hAnsi="Arial"/>
                <w:sz w:val="18"/>
                <w:szCs w:val="18"/>
                <w:color w:val="auto"/>
              </w:rPr>
              <w:t>Other Information</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6.</w:t>
            </w:r>
          </w:p>
        </w:tc>
        <w:tc>
          <w:tcPr>
            <w:tcW w:w="8560" w:type="dxa"/>
            <w:vAlign w:val="bottom"/>
          </w:tcPr>
          <w:p>
            <w:pPr>
              <w:ind w:left="280"/>
              <w:spacing w:after="0"/>
              <w:rPr>
                <w:sz w:val="20"/>
                <w:szCs w:val="20"/>
                <w:color w:val="auto"/>
              </w:rPr>
            </w:pPr>
            <w:r>
              <w:rPr>
                <w:rFonts w:ascii="Arial" w:cs="Arial" w:eastAsia="Arial" w:hAnsi="Arial"/>
                <w:sz w:val="18"/>
                <w:szCs w:val="18"/>
                <w:color w:val="auto"/>
              </w:rPr>
              <w:t>Exhibits</w:t>
            </w: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Signatures</w:t>
            </w:r>
          </w:p>
        </w:tc>
        <w:tc>
          <w:tcPr>
            <w:tcW w:w="8560" w:type="dxa"/>
            <w:vAlign w:val="bottom"/>
            <w:shd w:val="clear" w:color="auto" w:fill="D1D2D4"/>
          </w:tcPr>
          <w:p>
            <w:pPr>
              <w:spacing w:after="0"/>
              <w:rPr>
                <w:sz w:val="19"/>
                <w:szCs w:val="19"/>
                <w:color w:val="auto"/>
              </w:rPr>
            </w:pP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659765" cy="1803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5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As used herein, “we,” “our,” “us,” and similar terms include Micron Technology, Inc. and its consolidated subsidiaries, unless the context indicates otherwise. Abbreviations, terms, or acronyms are commonly used or found in multiple locations throughout this report and include the following:</w:t>
      </w:r>
    </w:p>
    <w:tbl>
      <w:tblPr>
        <w:tblLayout w:type="fixed"/>
        <w:tblInd w:w="0" w:type="dxa"/>
        <w:tblCellMar>
          <w:top w:w="0" w:type="dxa"/>
          <w:left w:w="0" w:type="dxa"/>
          <w:bottom w:w="0" w:type="dxa"/>
          <w:right w:w="0" w:type="dxa"/>
        </w:tblCellMar>
      </w:tblPr>
      <w:tr>
        <w:trPr>
          <w:trHeight w:val="235"/>
        </w:trPr>
        <w:tc>
          <w:tcPr>
            <w:tcW w:w="460" w:type="dxa"/>
            <w:vAlign w:val="bottom"/>
          </w:tcPr>
          <w:p>
            <w:pPr>
              <w:spacing w:after="0"/>
              <w:rPr>
                <w:sz w:val="20"/>
                <w:szCs w:val="20"/>
                <w:color w:val="auto"/>
              </w:rPr>
            </w:pP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rPr>
              <w:t>Term</w:t>
            </w:r>
          </w:p>
        </w:tc>
        <w:tc>
          <w:tcPr>
            <w:tcW w:w="760" w:type="dxa"/>
            <w:vAlign w:val="bottom"/>
          </w:tcPr>
          <w:p>
            <w:pPr>
              <w:spacing w:after="0"/>
              <w:rPr>
                <w:sz w:val="20"/>
                <w:szCs w:val="20"/>
                <w:color w:val="auto"/>
              </w:rPr>
            </w:pPr>
          </w:p>
        </w:tc>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Definition</w:t>
            </w:r>
          </w:p>
        </w:tc>
        <w:tc>
          <w:tcPr>
            <w:tcW w:w="1560" w:type="dxa"/>
            <w:vAlign w:val="bottom"/>
          </w:tcPr>
          <w:p>
            <w:pPr>
              <w:ind w:left="680"/>
              <w:spacing w:after="0"/>
              <w:rPr>
                <w:sz w:val="20"/>
                <w:szCs w:val="20"/>
                <w:color w:val="auto"/>
              </w:rPr>
            </w:pPr>
            <w:r>
              <w:rPr>
                <w:rFonts w:ascii="Arial" w:cs="Arial" w:eastAsia="Arial" w:hAnsi="Arial"/>
                <w:sz w:val="18"/>
                <w:szCs w:val="18"/>
                <w:b w:val="1"/>
                <w:bCs w:val="1"/>
                <w:color w:val="auto"/>
              </w:rPr>
              <w:t>Term</w:t>
            </w:r>
          </w:p>
        </w:tc>
        <w:tc>
          <w:tcPr>
            <w:tcW w:w="4060" w:type="dxa"/>
            <w:vAlign w:val="bottom"/>
          </w:tcPr>
          <w:p>
            <w:pPr>
              <w:ind w:left="1720"/>
              <w:spacing w:after="0"/>
              <w:rPr>
                <w:sz w:val="20"/>
                <w:szCs w:val="20"/>
                <w:color w:val="auto"/>
              </w:rPr>
            </w:pPr>
            <w:r>
              <w:rPr>
                <w:rFonts w:ascii="Arial" w:cs="Arial" w:eastAsia="Arial" w:hAnsi="Arial"/>
                <w:sz w:val="18"/>
                <w:szCs w:val="18"/>
                <w:b w:val="1"/>
                <w:bCs w:val="1"/>
                <w:color w:val="auto"/>
              </w:rPr>
              <w:t>Definition</w:t>
            </w:r>
          </w:p>
        </w:tc>
      </w:tr>
      <w:tr>
        <w:trPr>
          <w:trHeight w:val="34"/>
        </w:trPr>
        <w:tc>
          <w:tcPr>
            <w:tcW w:w="46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4060" w:type="dxa"/>
            <w:vAlign w:val="bottom"/>
            <w:tcBorders>
              <w:top w:val="single" w:sz="8" w:color="auto"/>
            </w:tcBorders>
          </w:tcPr>
          <w:p>
            <w:pPr>
              <w:spacing w:after="0"/>
              <w:rPr>
                <w:sz w:val="2"/>
                <w:szCs w:val="2"/>
                <w:color w:val="auto"/>
              </w:rPr>
            </w:pP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Senior Term Loan A due October 2024</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2051 Notes</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3.477% Senior Notes due November 2051</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2025</w:t>
            </w:r>
          </w:p>
        </w:tc>
        <w:tc>
          <w:tcPr>
            <w:tcW w:w="1200" w:type="dxa"/>
            <w:vAlign w:val="bottom"/>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Senior Term Loan A due November 2025</w:t>
            </w:r>
          </w:p>
        </w:tc>
        <w:tc>
          <w:tcPr>
            <w:tcW w:w="1560" w:type="dxa"/>
            <w:vAlign w:val="bottom"/>
          </w:tcPr>
          <w:p>
            <w:pPr>
              <w:spacing w:after="0"/>
              <w:rPr>
                <w:sz w:val="20"/>
                <w:szCs w:val="20"/>
                <w:color w:val="auto"/>
              </w:rPr>
            </w:pPr>
            <w:r>
              <w:rPr>
                <w:rFonts w:ascii="Arial" w:cs="Arial" w:eastAsia="Arial" w:hAnsi="Arial"/>
                <w:sz w:val="18"/>
                <w:szCs w:val="18"/>
                <w:color w:val="auto"/>
              </w:rPr>
              <w:t>CAC</w:t>
            </w:r>
          </w:p>
        </w:tc>
        <w:tc>
          <w:tcPr>
            <w:tcW w:w="4060" w:type="dxa"/>
            <w:vAlign w:val="bottom"/>
          </w:tcPr>
          <w:p>
            <w:pPr>
              <w:ind w:left="240"/>
              <w:spacing w:after="0"/>
              <w:rPr>
                <w:sz w:val="20"/>
                <w:szCs w:val="20"/>
                <w:color w:val="auto"/>
              </w:rPr>
            </w:pPr>
            <w:r>
              <w:rPr>
                <w:rFonts w:ascii="Arial" w:cs="Arial" w:eastAsia="Arial" w:hAnsi="Arial"/>
                <w:sz w:val="18"/>
                <w:szCs w:val="18"/>
                <w:color w:val="auto"/>
              </w:rPr>
              <w:t>China’s Cyberspace Administration</w:t>
            </w:r>
          </w:p>
        </w:tc>
      </w:tr>
      <w:tr>
        <w:trPr>
          <w:trHeight w:val="229"/>
        </w:trPr>
        <w:tc>
          <w:tcPr>
            <w:tcW w:w="16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2026 Term Loan A</w:t>
            </w: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Senior Term Loan A due November 2026</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DDR</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Double data rate DRAM</w:t>
            </w:r>
          </w:p>
        </w:tc>
      </w:tr>
      <w:tr>
        <w:trPr>
          <w:trHeight w:val="176"/>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2027</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Term Loan A</w:t>
            </w:r>
          </w:p>
        </w:tc>
        <w:tc>
          <w:tcPr>
            <w:tcW w:w="39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Senior Term Loan A due November 2027</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EBITDA</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Earnings before interest, taxes, depreciation,</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and amortization</w:t>
            </w:r>
          </w:p>
        </w:tc>
      </w:tr>
      <w:tr>
        <w:trPr>
          <w:trHeight w:val="232"/>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2026</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4.975%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February 2026</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EUV</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Extreme ultraviolet lithography</w:t>
            </w:r>
          </w:p>
        </w:tc>
      </w:tr>
      <w:tr>
        <w:trPr>
          <w:trHeight w:val="176"/>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2027</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4.185%</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February 2027</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HBM</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High-bandwidth memory, a stacked DRAM</w:t>
            </w:r>
          </w:p>
        </w:tc>
      </w:tr>
      <w:tr>
        <w:trPr>
          <w:trHeight w:val="176"/>
        </w:trPr>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technology optimized for memory-bandwidth</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intensive applications</w:t>
            </w:r>
          </w:p>
        </w:tc>
      </w:tr>
      <w:tr>
        <w:trPr>
          <w:trHeight w:val="232"/>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2028</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5.375%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April 2028</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LPDRAM</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Low-power DRAM</w:t>
            </w:r>
          </w:p>
        </w:tc>
      </w:tr>
      <w:tr>
        <w:trPr>
          <w:trHeight w:val="175"/>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2029</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A 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5.327%</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February 2029</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MCP</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Multichip packaged solutions with managed</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NAND and LPDRAM</w:t>
            </w:r>
          </w:p>
        </w:tc>
      </w:tr>
      <w:tr>
        <w:trPr>
          <w:trHeight w:val="232"/>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2029</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 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6.750%</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November 2029</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Micron</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Micron Technology, Inc. (Parent Company)</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2030</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4.663%</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February 2030</w:t>
            </w:r>
          </w:p>
        </w:tc>
        <w:tc>
          <w:tcPr>
            <w:tcW w:w="1560" w:type="dxa"/>
            <w:vAlign w:val="bottom"/>
          </w:tcPr>
          <w:p>
            <w:pPr>
              <w:spacing w:after="0"/>
              <w:rPr>
                <w:sz w:val="20"/>
                <w:szCs w:val="20"/>
                <w:color w:val="auto"/>
              </w:rPr>
            </w:pPr>
            <w:r>
              <w:rPr>
                <w:rFonts w:ascii="Arial" w:cs="Arial" w:eastAsia="Arial" w:hAnsi="Arial"/>
                <w:sz w:val="18"/>
                <w:szCs w:val="18"/>
                <w:color w:val="auto"/>
              </w:rPr>
              <w:t>NRV</w:t>
            </w:r>
          </w:p>
        </w:tc>
        <w:tc>
          <w:tcPr>
            <w:tcW w:w="4060" w:type="dxa"/>
            <w:vAlign w:val="bottom"/>
          </w:tcPr>
          <w:p>
            <w:pPr>
              <w:ind w:left="240"/>
              <w:spacing w:after="0"/>
              <w:rPr>
                <w:sz w:val="20"/>
                <w:szCs w:val="20"/>
                <w:color w:val="auto"/>
              </w:rPr>
            </w:pPr>
            <w:r>
              <w:rPr>
                <w:rFonts w:ascii="Arial" w:cs="Arial" w:eastAsia="Arial" w:hAnsi="Arial"/>
                <w:sz w:val="18"/>
                <w:szCs w:val="18"/>
                <w:color w:val="auto"/>
              </w:rPr>
              <w:t>Net realizable value</w:t>
            </w:r>
          </w:p>
        </w:tc>
      </w:tr>
      <w:tr>
        <w:trPr>
          <w:trHeight w:val="175"/>
        </w:trPr>
        <w:tc>
          <w:tcPr>
            <w:tcW w:w="4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2032</w:t>
            </w:r>
          </w:p>
        </w:tc>
        <w:tc>
          <w:tcPr>
            <w:tcW w:w="1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Green Bonds</w:t>
            </w:r>
          </w:p>
        </w:tc>
        <w:tc>
          <w:tcPr>
            <w:tcW w:w="7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w w:val="98"/>
              </w:rPr>
              <w:t>2.703%</w:t>
            </w:r>
          </w:p>
        </w:tc>
        <w:tc>
          <w:tcPr>
            <w:tcW w:w="3200" w:type="dxa"/>
            <w:vAlign w:val="bottom"/>
            <w:gridSpan w:val="2"/>
            <w:shd w:val="clear" w:color="auto" w:fill="DBDBDB"/>
          </w:tcPr>
          <w:p>
            <w:pPr>
              <w:ind w:left="40"/>
              <w:spacing w:after="0" w:line="176" w:lineRule="exact"/>
              <w:rPr>
                <w:sz w:val="20"/>
                <w:szCs w:val="20"/>
                <w:color w:val="auto"/>
              </w:rPr>
            </w:pPr>
            <w:r>
              <w:rPr>
                <w:rFonts w:ascii="Arial" w:cs="Arial" w:eastAsia="Arial" w:hAnsi="Arial"/>
                <w:sz w:val="18"/>
                <w:szCs w:val="18"/>
                <w:color w:val="auto"/>
              </w:rPr>
              <w:t>Senior Notes due April 2032</w:t>
            </w:r>
          </w:p>
        </w:tc>
        <w:tc>
          <w:tcPr>
            <w:tcW w:w="1560" w:type="dxa"/>
            <w:vAlign w:val="bottom"/>
            <w:shd w:val="clear" w:color="auto" w:fill="DBDBDB"/>
          </w:tcPr>
          <w:p>
            <w:pPr>
              <w:spacing w:after="0" w:line="176" w:lineRule="exact"/>
              <w:rPr>
                <w:sz w:val="20"/>
                <w:szCs w:val="20"/>
                <w:color w:val="auto"/>
              </w:rPr>
            </w:pPr>
            <w:r>
              <w:rPr>
                <w:rFonts w:ascii="Arial" w:cs="Arial" w:eastAsia="Arial" w:hAnsi="Arial"/>
                <w:sz w:val="18"/>
                <w:szCs w:val="18"/>
                <w:color w:val="auto"/>
              </w:rPr>
              <w:t>Revolving Credit</w:t>
            </w:r>
          </w:p>
        </w:tc>
        <w:tc>
          <w:tcPr>
            <w:tcW w:w="4060" w:type="dxa"/>
            <w:vAlign w:val="bottom"/>
            <w:shd w:val="clear" w:color="auto" w:fill="DBDBDB"/>
          </w:tcPr>
          <w:p>
            <w:pPr>
              <w:ind w:left="240"/>
              <w:spacing w:after="0" w:line="176" w:lineRule="exact"/>
              <w:rPr>
                <w:sz w:val="20"/>
                <w:szCs w:val="20"/>
                <w:color w:val="auto"/>
              </w:rPr>
            </w:pPr>
            <w:r>
              <w:rPr>
                <w:rFonts w:ascii="Arial" w:cs="Arial" w:eastAsia="Arial" w:hAnsi="Arial"/>
                <w:sz w:val="18"/>
                <w:szCs w:val="18"/>
                <w:color w:val="auto"/>
              </w:rPr>
              <w:t>$2.5 billion Revolving Credit Facility due May</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30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Facility</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2026</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2033</w:t>
            </w:r>
          </w:p>
        </w:tc>
        <w:tc>
          <w:tcPr>
            <w:tcW w:w="1200" w:type="dxa"/>
            <w:vAlign w:val="bottom"/>
          </w:tcPr>
          <w:p>
            <w:pPr>
              <w:ind w:left="20"/>
              <w:spacing w:after="0"/>
              <w:rPr>
                <w:sz w:val="20"/>
                <w:szCs w:val="20"/>
                <w:color w:val="auto"/>
              </w:rPr>
            </w:pPr>
            <w:r>
              <w:rPr>
                <w:rFonts w:ascii="Arial" w:cs="Arial" w:eastAsia="Arial" w:hAnsi="Arial"/>
                <w:sz w:val="18"/>
                <w:szCs w:val="18"/>
                <w:color w:val="auto"/>
              </w:rPr>
              <w:t>A 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5.875%</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February 2033</w:t>
            </w:r>
          </w:p>
        </w:tc>
        <w:tc>
          <w:tcPr>
            <w:tcW w:w="1560" w:type="dxa"/>
            <w:vAlign w:val="bottom"/>
          </w:tcPr>
          <w:p>
            <w:pPr>
              <w:spacing w:after="0"/>
              <w:rPr>
                <w:sz w:val="20"/>
                <w:szCs w:val="20"/>
                <w:color w:val="auto"/>
              </w:rPr>
            </w:pPr>
            <w:r>
              <w:rPr>
                <w:rFonts w:ascii="Arial" w:cs="Arial" w:eastAsia="Arial" w:hAnsi="Arial"/>
                <w:sz w:val="18"/>
                <w:szCs w:val="18"/>
                <w:color w:val="auto"/>
              </w:rPr>
              <w:t>SOFR</w:t>
            </w:r>
          </w:p>
        </w:tc>
        <w:tc>
          <w:tcPr>
            <w:tcW w:w="4060" w:type="dxa"/>
            <w:vAlign w:val="bottom"/>
          </w:tcPr>
          <w:p>
            <w:pPr>
              <w:ind w:left="240"/>
              <w:spacing w:after="0"/>
              <w:rPr>
                <w:sz w:val="20"/>
                <w:szCs w:val="20"/>
                <w:color w:val="auto"/>
              </w:rPr>
            </w:pPr>
            <w:r>
              <w:rPr>
                <w:rFonts w:ascii="Arial" w:cs="Arial" w:eastAsia="Arial" w:hAnsi="Arial"/>
                <w:sz w:val="18"/>
                <w:szCs w:val="18"/>
                <w:color w:val="auto"/>
              </w:rPr>
              <w:t>Secured Overnight Financing Rate</w:t>
            </w: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2033</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 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5.875%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September 2033</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SSD</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Solid state drive</w:t>
            </w:r>
          </w:p>
        </w:tc>
      </w:tr>
      <w:tr>
        <w:trPr>
          <w:trHeight w:val="239"/>
        </w:trPr>
        <w:tc>
          <w:tcPr>
            <w:tcW w:w="460" w:type="dxa"/>
            <w:vAlign w:val="bottom"/>
          </w:tcPr>
          <w:p>
            <w:pPr>
              <w:ind w:left="20"/>
              <w:spacing w:after="0"/>
              <w:rPr>
                <w:sz w:val="20"/>
                <w:szCs w:val="20"/>
                <w:color w:val="auto"/>
              </w:rPr>
            </w:pPr>
            <w:r>
              <w:rPr>
                <w:rFonts w:ascii="Arial" w:cs="Arial" w:eastAsia="Arial" w:hAnsi="Arial"/>
                <w:sz w:val="18"/>
                <w:szCs w:val="18"/>
                <w:color w:val="auto"/>
              </w:rPr>
              <w:t>2041</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3.366%</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November 2041</w:t>
            </w: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31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Micron, Crucial, any associated logos, and all other Micron trademarks are the property of Micron. Other product names or trademarks that are not owned by Micron are for identification purposes only and may be the trademarks of their respective owners.</w:t>
      </w:r>
    </w:p>
    <w:p>
      <w:pPr>
        <w:spacing w:after="0" w:line="23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Available Information</w:t>
      </w:r>
    </w:p>
    <w:p>
      <w:pPr>
        <w:spacing w:after="0" w:line="2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filings with the U.S. Securities and Exchange Commission (“SEC”), press releases, public conference calls, blog posts (micron.com/about/blog),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2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Form 10-Q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potential change in our effective tax rate; the timing for construction and ramping of production for new memory manufacturing fabs in the United States; intent to make investments at our backend facility in Xi’an, China and build a new assembly and test facility in Gujarat, India; expected wafer starts and underutilization charges for the second quarter of 2024, the payment of future cash dividends; market conditions and profitability in our industry; the impact of the Cyberspace Administration of China decision; capital spending in 2024; and the sufficiency of our cash and investments.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344" w:lineRule="exact"/>
        <w:rPr>
          <w:sz w:val="20"/>
          <w:szCs w:val="20"/>
          <w:color w:val="auto"/>
        </w:rPr>
      </w:pPr>
    </w:p>
    <w:p>
      <w:pPr>
        <w:ind w:left="10060"/>
        <w:spacing w:after="0"/>
        <w:rPr>
          <w:sz w:val="20"/>
          <w:szCs w:val="20"/>
          <w:color w:val="auto"/>
        </w:rPr>
      </w:pPr>
      <w:r>
        <w:rPr>
          <w:sz w:val="1"/>
          <w:szCs w:val="1"/>
          <w:color w:val="auto"/>
        </w:rPr>
        <w:drawing>
          <wp:inline distT="0" distB="0" distL="0" distR="0">
            <wp:extent cx="659765" cy="1803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1"/>
          <w:szCs w:val="11"/>
          <w:b w:val="1"/>
          <w:bCs w:val="1"/>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 FINANCIAL INFORMATION</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Operations</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30,</w:t>
            </w:r>
          </w:p>
        </w:tc>
        <w:tc>
          <w:tcPr>
            <w:tcW w:w="14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1,</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4,726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56"/>
        </w:trPr>
        <w:tc>
          <w:tcPr>
            <w:tcW w:w="836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836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57"/>
        </w:trPr>
        <w:tc>
          <w:tcPr>
            <w:tcW w:w="836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39"/>
        </w:trPr>
        <w:tc>
          <w:tcPr>
            <w:tcW w:w="8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 (Loss)</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November 30,</w:t>
            </w:r>
          </w:p>
        </w:tc>
        <w:tc>
          <w:tcPr>
            <w:tcW w:w="16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1,</w:t>
            </w:r>
          </w:p>
        </w:tc>
        <w:tc>
          <w:tcPr>
            <w:tcW w:w="0" w:type="dxa"/>
            <w:vAlign w:val="bottom"/>
          </w:tcPr>
          <w:p>
            <w:pPr>
              <w:spacing w:after="0"/>
              <w:rPr>
                <w:sz w:val="1"/>
                <w:szCs w:val="1"/>
                <w:color w:val="auto"/>
              </w:rPr>
            </w:pPr>
          </w:p>
        </w:tc>
      </w:tr>
      <w:tr>
        <w:trPr>
          <w:trHeight w:val="235"/>
        </w:trPr>
        <w:tc>
          <w:tcPr>
            <w:tcW w:w="82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(1,234)</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57"/>
        </w:trPr>
        <w:tc>
          <w:tcPr>
            <w:tcW w:w="8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Gains (losses) on derivative instruments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82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Unrealized gains (losses) on investments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Pension liability adjustments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2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(1,182)</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82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58" w:lineRule="exact"/>
        <w:rPr>
          <w:sz w:val="20"/>
          <w:szCs w:val="20"/>
          <w:color w:val="auto"/>
        </w:rPr>
      </w:pPr>
    </w:p>
    <w:p>
      <w:pPr>
        <w:ind w:left="10060"/>
        <w:spacing w:after="0"/>
        <w:rPr>
          <w:sz w:val="20"/>
          <w:szCs w:val="20"/>
          <w:color w:val="auto"/>
        </w:rPr>
      </w:pPr>
      <w:r>
        <w:rPr>
          <w:sz w:val="1"/>
          <w:szCs w:val="1"/>
          <w:color w:val="auto"/>
        </w:rPr>
        <w:drawing>
          <wp:inline distT="0" distB="0" distL="0" distR="0">
            <wp:extent cx="659765" cy="1797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1"/>
          <w:szCs w:val="11"/>
          <w:b w:val="1"/>
          <w:bCs w:val="1"/>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08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BD03F7"/>
            </w:tcBorders>
          </w:tcPr>
          <w:p>
            <w:pPr>
              <w:spacing w:after="0"/>
              <w:rPr>
                <w:sz w:val="24"/>
                <w:szCs w:val="24"/>
                <w:color w:val="auto"/>
              </w:rPr>
            </w:pPr>
          </w:p>
        </w:tc>
        <w:tc>
          <w:tcPr>
            <w:tcW w:w="126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Balance Sheets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 except par value amounts)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8,075</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8,577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973</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8,276</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21,058</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21,244</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37,677</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37,928</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63,776</w:t>
            </w:r>
          </w:p>
        </w:tc>
        <w:tc>
          <w:tcPr>
            <w:tcW w:w="18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64,254</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3,946</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908</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5,962</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13,052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601</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1,026</w:t>
            </w:r>
          </w:p>
        </w:tc>
        <w:tc>
          <w:tcPr>
            <w:tcW w:w="8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4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320" w:type="dxa"/>
            <w:vAlign w:val="bottom"/>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10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6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8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360" w:type="dxa"/>
            <w:vAlign w:val="bottom"/>
            <w:shd w:val="clear" w:color="auto" w:fill="D1D2D4"/>
          </w:tcPr>
          <w:p>
            <w:pPr>
              <w:ind w:left="220"/>
              <w:spacing w:after="0" w:line="183" w:lineRule="exact"/>
              <w:rPr>
                <w:sz w:val="20"/>
                <w:szCs w:val="20"/>
                <w:color w:val="auto"/>
              </w:rPr>
            </w:pPr>
            <w:r>
              <w:rPr>
                <w:rFonts w:ascii="Arial" w:cs="Arial" w:eastAsia="Arial" w:hAnsi="Arial"/>
                <w:sz w:val="18"/>
                <w:szCs w:val="18"/>
                <w:color w:val="auto"/>
              </w:rPr>
              <w:t>Common stock, $0.10 par value, 3,000 shares authorized, 1,245 shares issued and 1,104</w:t>
            </w:r>
          </w:p>
        </w:tc>
        <w:tc>
          <w:tcPr>
            <w:tcW w:w="120" w:type="dxa"/>
            <w:vAlign w:val="bottom"/>
            <w:shd w:val="clear" w:color="auto" w:fill="D1D2D4"/>
          </w:tcPr>
          <w:p>
            <w:pPr>
              <w:spacing w:after="0"/>
              <w:rPr>
                <w:sz w:val="15"/>
                <w:szCs w:val="15"/>
                <w:color w:val="auto"/>
              </w:rPr>
            </w:pPr>
          </w:p>
        </w:tc>
        <w:tc>
          <w:tcPr>
            <w:tcW w:w="13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12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5"/>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outstanding (1,239 shares issued and 1,098 outstanding as of August 31, 2023)</w:t>
            </w:r>
          </w:p>
        </w:tc>
        <w:tc>
          <w:tcPr>
            <w:tcW w:w="120" w:type="dxa"/>
            <w:vAlign w:val="bottom"/>
            <w:shd w:val="clear" w:color="auto" w:fill="D1D2D4"/>
          </w:tcPr>
          <w:p>
            <w:pPr>
              <w:spacing w:after="0"/>
              <w:rPr>
                <w:sz w:val="20"/>
                <w:szCs w:val="20"/>
                <w:color w:val="auto"/>
              </w:rPr>
            </w:pPr>
          </w:p>
        </w:tc>
        <w:tc>
          <w:tcPr>
            <w:tcW w:w="1320" w:type="dxa"/>
            <w:vAlign w:val="bottom"/>
            <w:vMerge w:val="continue"/>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100" w:type="dxa"/>
            <w:vAlign w:val="bottom"/>
            <w:shd w:val="clear" w:color="auto" w:fill="D1D2D4"/>
          </w:tcPr>
          <w:p>
            <w:pPr>
              <w:spacing w:after="0"/>
              <w:rPr>
                <w:sz w:val="20"/>
                <w:szCs w:val="20"/>
                <w:color w:val="auto"/>
              </w:rPr>
            </w:pPr>
          </w:p>
        </w:tc>
        <w:tc>
          <w:tcPr>
            <w:tcW w:w="126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Additional capital</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39,356</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40,824</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Treasury stock, 141 shares held (141 shares as of August 31, 2023)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(260)</w:t>
            </w:r>
          </w:p>
        </w:tc>
        <w:tc>
          <w:tcPr>
            <w:tcW w:w="8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42,885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44,120</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63,776</w:t>
            </w:r>
          </w:p>
        </w:tc>
        <w:tc>
          <w:tcPr>
            <w:tcW w:w="18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64,254</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Accumulated</w:t>
            </w:r>
          </w:p>
        </w:tc>
        <w:tc>
          <w:tcPr>
            <w:tcW w:w="220" w:type="dxa"/>
            <w:vAlign w:val="bottom"/>
          </w:tcPr>
          <w:p>
            <w:pPr>
              <w:spacing w:after="0"/>
              <w:rPr>
                <w:sz w:val="20"/>
                <w:szCs w:val="20"/>
                <w:color w:val="auto"/>
              </w:rPr>
            </w:pPr>
          </w:p>
        </w:tc>
        <w:tc>
          <w:tcPr>
            <w:tcW w:w="10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Number</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9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Retained</w:t>
            </w:r>
          </w:p>
        </w:tc>
        <w:tc>
          <w:tcPr>
            <w:tcW w:w="9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Treasury</w:t>
            </w:r>
          </w:p>
        </w:tc>
        <w:tc>
          <w:tcPr>
            <w:tcW w:w="120" w:type="dxa"/>
            <w:vAlign w:val="bottom"/>
          </w:tcPr>
          <w:p>
            <w:pPr>
              <w:spacing w:after="0"/>
              <w:rPr>
                <w:sz w:val="13"/>
                <w:szCs w:val="13"/>
                <w:color w:val="auto"/>
              </w:rPr>
            </w:pPr>
          </w:p>
        </w:tc>
        <w:tc>
          <w:tcPr>
            <w:tcW w:w="1360" w:type="dxa"/>
            <w:vAlign w:val="bottom"/>
          </w:tcPr>
          <w:p>
            <w:pPr>
              <w:jc w:val="center"/>
              <w:ind w:right="30"/>
              <w:spacing w:after="0" w:line="156" w:lineRule="exact"/>
              <w:rPr>
                <w:sz w:val="20"/>
                <w:szCs w:val="20"/>
                <w:color w:val="auto"/>
              </w:rPr>
            </w:pPr>
            <w:r>
              <w:rPr>
                <w:rFonts w:ascii="Arial" w:cs="Arial" w:eastAsia="Arial" w:hAnsi="Arial"/>
                <w:sz w:val="18"/>
                <w:szCs w:val="18"/>
                <w:b w:val="1"/>
                <w:bCs w:val="1"/>
                <w:color w:val="auto"/>
                <w:w w:val="99"/>
              </w:rPr>
              <w:t>Other</w:t>
            </w: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Amount</w:t>
            </w:r>
          </w:p>
        </w:tc>
        <w:tc>
          <w:tcPr>
            <w:tcW w:w="98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740" w:type="dxa"/>
            <w:vAlign w:val="bottom"/>
            <w:gridSpan w:val="4"/>
          </w:tcPr>
          <w:p>
            <w:pPr>
              <w:jc w:val="right"/>
              <w:spacing w:after="0" w:line="176"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of Shares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Capital</w:t>
            </w: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Earnings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7"/>
              </w:rPr>
              <w:t>Stock</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Income (Loss)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20" w:type="dxa"/>
            <w:vAlign w:val="bottom"/>
            <w:gridSpan w:val="2"/>
            <w:shd w:val="clear" w:color="auto" w:fill="D1D2D4"/>
          </w:tcPr>
          <w:p>
            <w:pPr>
              <w:ind w:left="20"/>
              <w:spacing w:after="0"/>
              <w:rPr>
                <w:sz w:val="20"/>
                <w:szCs w:val="20"/>
                <w:color w:val="auto"/>
              </w:rPr>
            </w:pPr>
            <w:r>
              <w:rPr>
                <w:rFonts w:ascii="Arial" w:cs="Arial" w:eastAsia="Arial" w:hAnsi="Arial"/>
                <w:sz w:val="18"/>
                <w:szCs w:val="18"/>
                <w:b w:val="1"/>
                <w:bCs w:val="1"/>
                <w:color w:val="auto"/>
              </w:rPr>
              <w:t>Balance at August 31, 2023</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11,036</w:t>
            </w:r>
          </w:p>
        </w:tc>
        <w:tc>
          <w:tcPr>
            <w:tcW w:w="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40,824</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D1D2D4"/>
          </w:tcPr>
          <w:p>
            <w:pPr>
              <w:ind w:left="200"/>
              <w:spacing w:after="0"/>
              <w:rPr>
                <w:sz w:val="20"/>
                <w:szCs w:val="20"/>
                <w:color w:val="auto"/>
              </w:rPr>
            </w:pPr>
            <w:r>
              <w:rPr>
                <w:rFonts w:ascii="Arial" w:cs="Arial" w:eastAsia="Arial" w:hAnsi="Arial"/>
                <w:sz w:val="18"/>
                <w:szCs w:val="18"/>
                <w:color w:val="auto"/>
              </w:rPr>
              <w:t>(7,552)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44,120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(1,234)</w:t>
            </w:r>
          </w:p>
        </w:tc>
        <w:tc>
          <w:tcPr>
            <w:tcW w:w="18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800" w:type="dxa"/>
            <w:vAlign w:val="bottom"/>
            <w:shd w:val="clear" w:color="auto" w:fill="D1D2D4"/>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Stock issued under stock plans</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800" w:type="dxa"/>
            <w:vAlign w:val="bottom"/>
            <w:shd w:val="clear" w:color="auto" w:fill="D1D2D4"/>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2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Repurchase of stock - withholdings on</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5"/>
                <w:szCs w:val="15"/>
                <w:color w:val="auto"/>
              </w:rPr>
            </w:pPr>
          </w:p>
        </w:tc>
        <w:tc>
          <w:tcPr>
            <w:tcW w:w="80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employee equity awards</w:t>
            </w: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20" w:type="dxa"/>
            <w:vAlign w:val="bottom"/>
            <w:gridSpan w:val="2"/>
            <w:shd w:val="clear" w:color="auto" w:fill="D1D2D4"/>
          </w:tcPr>
          <w:p>
            <w:pPr>
              <w:ind w:left="20"/>
              <w:spacing w:after="0" w:line="183" w:lineRule="exact"/>
              <w:rPr>
                <w:sz w:val="20"/>
                <w:szCs w:val="20"/>
                <w:color w:val="auto"/>
              </w:rPr>
            </w:pPr>
            <w:r>
              <w:rPr>
                <w:rFonts w:ascii="Arial" w:cs="Arial" w:eastAsia="Arial" w:hAnsi="Arial"/>
                <w:sz w:val="18"/>
                <w:szCs w:val="18"/>
                <w:color w:val="auto"/>
              </w:rPr>
              <w:t>Dividends and dividend equivalents declared</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5"/>
                <w:szCs w:val="15"/>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D1D2D4"/>
          </w:tcPr>
          <w:p>
            <w:pPr>
              <w:spacing w:after="0"/>
              <w:rPr>
                <w:sz w:val="15"/>
                <w:szCs w:val="15"/>
                <w:color w:val="auto"/>
              </w:rPr>
            </w:pPr>
          </w:p>
        </w:tc>
        <w:tc>
          <w:tcPr>
            <w:tcW w:w="800" w:type="dxa"/>
            <w:vAlign w:val="bottom"/>
            <w:vMerge w:val="restart"/>
            <w:shd w:val="clear" w:color="auto" w:fill="D1D2D4"/>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3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6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($0.115 per share)</w:t>
            </w:r>
          </w:p>
        </w:tc>
        <w:tc>
          <w:tcPr>
            <w:tcW w:w="960" w:type="dxa"/>
            <w:vAlign w:val="bottom"/>
            <w:tcBorders>
              <w:bottom w:val="single" w:sz="8" w:color="auto"/>
            </w:tcBorders>
            <w:vMerge w:val="continue"/>
            <w:shd w:val="clear" w:color="auto" w:fill="D1D2D4"/>
          </w:tcPr>
          <w:p>
            <w:pPr>
              <w:spacing w:after="0"/>
              <w:rPr>
                <w:sz w:val="20"/>
                <w:szCs w:val="20"/>
                <w:color w:val="auto"/>
              </w:rPr>
            </w:pPr>
          </w:p>
        </w:tc>
        <w:tc>
          <w:tcPr>
            <w:tcW w:w="120" w:type="dxa"/>
            <w:vAlign w:val="bottom"/>
            <w:tcBorders>
              <w:bottom w:val="single" w:sz="8" w:color="auto"/>
            </w:tcBorders>
            <w:shd w:val="clear" w:color="auto" w:fill="D1D2D4"/>
          </w:tcPr>
          <w:p>
            <w:pPr>
              <w:spacing w:after="0"/>
              <w:rPr>
                <w:sz w:val="20"/>
                <w:szCs w:val="20"/>
                <w:color w:val="auto"/>
              </w:rPr>
            </w:pPr>
          </w:p>
        </w:tc>
        <w:tc>
          <w:tcPr>
            <w:tcW w:w="840" w:type="dxa"/>
            <w:vAlign w:val="bottom"/>
            <w:tcBorders>
              <w:bottom w:val="single" w:sz="8" w:color="auto"/>
            </w:tcBorders>
            <w:vMerge w:val="continue"/>
            <w:shd w:val="clear" w:color="auto" w:fill="D1D2D4"/>
          </w:tcPr>
          <w:p>
            <w:pPr>
              <w:spacing w:after="0"/>
              <w:rPr>
                <w:sz w:val="20"/>
                <w:szCs w:val="20"/>
                <w:color w:val="auto"/>
              </w:rPr>
            </w:pPr>
          </w:p>
        </w:tc>
        <w:tc>
          <w:tcPr>
            <w:tcW w:w="160" w:type="dxa"/>
            <w:vAlign w:val="bottom"/>
            <w:tcBorders>
              <w:bottom w:val="single" w:sz="8" w:color="auto"/>
            </w:tcBorders>
            <w:shd w:val="clear" w:color="auto" w:fill="D1D2D4"/>
          </w:tcPr>
          <w:p>
            <w:pPr>
              <w:spacing w:after="0"/>
              <w:rPr>
                <w:sz w:val="20"/>
                <w:szCs w:val="20"/>
                <w:color w:val="auto"/>
              </w:rPr>
            </w:pPr>
          </w:p>
        </w:tc>
        <w:tc>
          <w:tcPr>
            <w:tcW w:w="820" w:type="dxa"/>
            <w:vAlign w:val="bottom"/>
            <w:tcBorders>
              <w:bottom w:val="single" w:sz="8" w:color="auto"/>
            </w:tcBorders>
            <w:vMerge w:val="continue"/>
            <w:shd w:val="clear" w:color="auto" w:fill="D1D2D4"/>
          </w:tcPr>
          <w:p>
            <w:pPr>
              <w:spacing w:after="0"/>
              <w:rPr>
                <w:sz w:val="20"/>
                <w:szCs w:val="20"/>
                <w:color w:val="auto"/>
              </w:rPr>
            </w:pPr>
          </w:p>
        </w:tc>
        <w:tc>
          <w:tcPr>
            <w:tcW w:w="240" w:type="dxa"/>
            <w:vAlign w:val="bottom"/>
            <w:tcBorders>
              <w:bottom w:val="single" w:sz="8" w:color="auto"/>
            </w:tcBorders>
            <w:shd w:val="clear" w:color="auto" w:fill="D1D2D4"/>
          </w:tcPr>
          <w:p>
            <w:pPr>
              <w:spacing w:after="0"/>
              <w:rPr>
                <w:sz w:val="20"/>
                <w:szCs w:val="20"/>
                <w:color w:val="auto"/>
              </w:rPr>
            </w:pPr>
          </w:p>
        </w:tc>
        <w:tc>
          <w:tcPr>
            <w:tcW w:w="720" w:type="dxa"/>
            <w:vAlign w:val="bottom"/>
            <w:tcBorders>
              <w:bottom w:val="single" w:sz="8" w:color="auto"/>
            </w:tcBorders>
            <w:vMerge w:val="continue"/>
            <w:shd w:val="clear" w:color="auto" w:fill="D1D2D4"/>
          </w:tcPr>
          <w:p>
            <w:pPr>
              <w:spacing w:after="0"/>
              <w:rPr>
                <w:sz w:val="20"/>
                <w:szCs w:val="20"/>
                <w:color w:val="auto"/>
              </w:rPr>
            </w:pPr>
          </w:p>
        </w:tc>
        <w:tc>
          <w:tcPr>
            <w:tcW w:w="180" w:type="dxa"/>
            <w:vAlign w:val="bottom"/>
            <w:tcBorders>
              <w:bottom w:val="single" w:sz="8" w:color="auto"/>
            </w:tcBorders>
            <w:shd w:val="clear" w:color="auto" w:fill="D1D2D4"/>
          </w:tcPr>
          <w:p>
            <w:pPr>
              <w:spacing w:after="0"/>
              <w:rPr>
                <w:sz w:val="20"/>
                <w:szCs w:val="20"/>
                <w:color w:val="auto"/>
              </w:rPr>
            </w:pPr>
          </w:p>
        </w:tc>
        <w:tc>
          <w:tcPr>
            <w:tcW w:w="800" w:type="dxa"/>
            <w:vAlign w:val="bottom"/>
            <w:tcBorders>
              <w:bottom w:val="single" w:sz="8" w:color="auto"/>
            </w:tcBorders>
            <w:vMerge w:val="continue"/>
            <w:shd w:val="clear" w:color="auto" w:fill="D1D2D4"/>
          </w:tcPr>
          <w:p>
            <w:pPr>
              <w:spacing w:after="0"/>
              <w:rPr>
                <w:sz w:val="20"/>
                <w:szCs w:val="20"/>
                <w:color w:val="auto"/>
              </w:rPr>
            </w:pPr>
          </w:p>
        </w:tc>
        <w:tc>
          <w:tcPr>
            <w:tcW w:w="120" w:type="dxa"/>
            <w:vAlign w:val="bottom"/>
            <w:tcBorders>
              <w:bottom w:val="single" w:sz="8" w:color="auto"/>
            </w:tcBorders>
            <w:shd w:val="clear" w:color="auto" w:fill="D1D2D4"/>
          </w:tcPr>
          <w:p>
            <w:pPr>
              <w:spacing w:after="0"/>
              <w:rPr>
                <w:sz w:val="20"/>
                <w:szCs w:val="20"/>
                <w:color w:val="auto"/>
              </w:rPr>
            </w:pPr>
          </w:p>
        </w:tc>
        <w:tc>
          <w:tcPr>
            <w:tcW w:w="1360" w:type="dxa"/>
            <w:vAlign w:val="bottom"/>
            <w:tcBorders>
              <w:bottom w:val="single" w:sz="8" w:color="auto"/>
            </w:tcBorders>
            <w:vMerge w:val="continue"/>
            <w:shd w:val="clear" w:color="auto" w:fill="D1D2D4"/>
          </w:tcPr>
          <w:p>
            <w:pPr>
              <w:spacing w:after="0"/>
              <w:rPr>
                <w:sz w:val="20"/>
                <w:szCs w:val="20"/>
                <w:color w:val="auto"/>
              </w:rPr>
            </w:pPr>
          </w:p>
        </w:tc>
        <w:tc>
          <w:tcPr>
            <w:tcW w:w="220" w:type="dxa"/>
            <w:vAlign w:val="bottom"/>
            <w:tcBorders>
              <w:bottom w:val="single" w:sz="8" w:color="auto"/>
            </w:tcBorders>
            <w:shd w:val="clear" w:color="auto" w:fill="D1D2D4"/>
          </w:tcPr>
          <w:p>
            <w:pPr>
              <w:spacing w:after="0"/>
              <w:rPr>
                <w:sz w:val="20"/>
                <w:szCs w:val="20"/>
                <w:color w:val="auto"/>
              </w:rPr>
            </w:pPr>
          </w:p>
        </w:tc>
        <w:tc>
          <w:tcPr>
            <w:tcW w:w="1040" w:type="dxa"/>
            <w:vAlign w:val="bottom"/>
            <w:tcBorders>
              <w:bottom w:val="single" w:sz="8" w:color="auto"/>
            </w:tcBorders>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November 30, 2023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11,217</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(7,552)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Number</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9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Retained</w:t>
            </w:r>
          </w:p>
        </w:tc>
        <w:tc>
          <w:tcPr>
            <w:tcW w:w="9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7"/>
              </w:rPr>
              <w:t>Treasury</w:t>
            </w:r>
          </w:p>
        </w:tc>
        <w:tc>
          <w:tcPr>
            <w:tcW w:w="120" w:type="dxa"/>
            <w:vAlign w:val="bottom"/>
          </w:tcPr>
          <w:p>
            <w:pPr>
              <w:spacing w:after="0"/>
              <w:rPr>
                <w:sz w:val="12"/>
                <w:szCs w:val="12"/>
                <w:color w:val="auto"/>
              </w:rPr>
            </w:pPr>
          </w:p>
        </w:tc>
        <w:tc>
          <w:tcPr>
            <w:tcW w:w="1360" w:type="dxa"/>
            <w:vAlign w:val="bottom"/>
          </w:tcPr>
          <w:p>
            <w:pPr>
              <w:jc w:val="center"/>
              <w:ind w:right="70"/>
              <w:spacing w:after="0" w:line="149" w:lineRule="exact"/>
              <w:rPr>
                <w:sz w:val="20"/>
                <w:szCs w:val="20"/>
                <w:color w:val="auto"/>
              </w:rPr>
            </w:pPr>
            <w:r>
              <w:rPr>
                <w:rFonts w:ascii="Arial" w:cs="Arial" w:eastAsia="Arial" w:hAnsi="Arial"/>
                <w:sz w:val="17"/>
                <w:szCs w:val="17"/>
                <w:b w:val="1"/>
                <w:bCs w:val="1"/>
                <w:color w:val="auto"/>
              </w:rPr>
              <w:t>Other</w:t>
            </w:r>
          </w:p>
        </w:tc>
        <w:tc>
          <w:tcPr>
            <w:tcW w:w="220" w:type="dxa"/>
            <w:vAlign w:val="bottom"/>
          </w:tcPr>
          <w:p>
            <w:pPr>
              <w:spacing w:after="0"/>
              <w:rPr>
                <w:sz w:val="12"/>
                <w:szCs w:val="12"/>
                <w:color w:val="auto"/>
              </w:rPr>
            </w:pPr>
          </w:p>
        </w:tc>
        <w:tc>
          <w:tcPr>
            <w:tcW w:w="1040" w:type="dxa"/>
            <w:vAlign w:val="bottom"/>
          </w:tcPr>
          <w:p>
            <w:pPr>
              <w:jc w:val="center"/>
              <w:ind w:right="150"/>
              <w:spacing w:after="0" w:line="149" w:lineRule="exact"/>
              <w:rPr>
                <w:sz w:val="20"/>
                <w:szCs w:val="20"/>
                <w:color w:val="auto"/>
              </w:rPr>
            </w:pPr>
            <w:r>
              <w:rPr>
                <w:rFonts w:ascii="Arial" w:cs="Arial" w:eastAsia="Arial" w:hAnsi="Arial"/>
                <w:sz w:val="17"/>
                <w:szCs w:val="17"/>
                <w:b w:val="1"/>
                <w:bCs w:val="1"/>
                <w:color w:val="auto"/>
                <w:w w:val="98"/>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Amount</w:t>
            </w:r>
          </w:p>
        </w:tc>
        <w:tc>
          <w:tcPr>
            <w:tcW w:w="98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740" w:type="dxa"/>
            <w:vAlign w:val="bottom"/>
            <w:gridSpan w:val="4"/>
          </w:tcPr>
          <w:p>
            <w:pPr>
              <w:jc w:val="right"/>
              <w:spacing w:after="0" w:line="189"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of Shares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Capital</w:t>
            </w: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Earnings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Stock</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Income (Loss)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right="1020"/>
        <w:spacing w:after="0" w:line="271" w:lineRule="auto"/>
        <w:rPr>
          <w:sz w:val="20"/>
          <w:szCs w:val="20"/>
          <w:color w:val="auto"/>
        </w:rPr>
      </w:pPr>
      <w:r>
        <w:rPr>
          <w:rFonts w:ascii="Arial" w:cs="Arial" w:eastAsia="Arial" w:hAnsi="Arial"/>
          <w:sz w:val="18"/>
          <w:szCs w:val="18"/>
          <w:b w:val="1"/>
          <w:bCs w:val="1"/>
          <w:color w:val="auto"/>
        </w:rPr>
        <w:t xml:space="preserve">Balance at September 1, 2022 </w:t>
      </w:r>
      <w:r>
        <w:rPr>
          <w:rFonts w:ascii="Arial" w:cs="Arial" w:eastAsia="Arial" w:hAnsi="Arial"/>
          <w:sz w:val="18"/>
          <w:szCs w:val="18"/>
          <w:color w:val="auto"/>
        </w:rPr>
        <w:t>Net income (loss)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Repurchase of stock - repurchase program</w:t>
      </w:r>
    </w:p>
    <w:p>
      <w:pPr>
        <w:spacing w:after="0" w:line="23" w:lineRule="exact"/>
        <w:rPr>
          <w:sz w:val="20"/>
          <w:szCs w:val="20"/>
          <w:color w:val="auto"/>
        </w:rPr>
      </w:pPr>
    </w:p>
    <w:p>
      <w:pPr>
        <w:ind w:left="20" w:right="520"/>
        <w:spacing w:after="0" w:line="234" w:lineRule="auto"/>
        <w:rPr>
          <w:sz w:val="20"/>
          <w:szCs w:val="20"/>
          <w:color w:val="auto"/>
        </w:rPr>
      </w:pPr>
      <w:r>
        <w:rPr>
          <w:rFonts w:ascii="Arial" w:cs="Arial" w:eastAsia="Arial" w:hAnsi="Arial"/>
          <w:sz w:val="18"/>
          <w:szCs w:val="18"/>
          <w:color w:val="auto"/>
        </w:rPr>
        <w:t>Repurchase of stock - withholdings on employee equity awards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Dividends and dividend equivalents declared ($0.115 per share)</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December 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1,226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10,197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47,274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(7,127)</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49,907</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418"/>
        </w:trPr>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15"/>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w:t>
            </w: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49,306</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-1593850</wp:posOffset>
            </wp:positionV>
            <wp:extent cx="711517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-1302385</wp:posOffset>
            </wp:positionV>
            <wp:extent cx="711517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-1010920</wp:posOffset>
            </wp:positionV>
            <wp:extent cx="711517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-719455</wp:posOffset>
            </wp:positionV>
            <wp:extent cx="7115175"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-187960</wp:posOffset>
            </wp:positionV>
            <wp:extent cx="71151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40"/>
            <w:col w:w="7620"/>
          </w:cols>
          <w:pgMar w:left="320" w:top="125" w:right="339" w:bottom="1440" w:gutter="0" w:footer="0" w:header="0"/>
          <w:type w:val="continuous"/>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sz w:val="1"/>
          <w:szCs w:val="1"/>
          <w:color w:val="auto"/>
        </w:rPr>
        <w:drawing>
          <wp:inline distT="0" distB="0" distL="0" distR="0">
            <wp:extent cx="659765" cy="1803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080"/>
        </w:trPr>
        <w:tc>
          <w:tcPr>
            <w:tcW w:w="840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BD03F7"/>
            </w:tcBorders>
          </w:tcPr>
          <w:p>
            <w:pPr>
              <w:spacing w:after="0"/>
              <w:rPr>
                <w:sz w:val="24"/>
                <w:szCs w:val="24"/>
                <w:color w:val="auto"/>
              </w:rPr>
            </w:pPr>
          </w:p>
        </w:tc>
        <w:tc>
          <w:tcPr>
            <w:tcW w:w="128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400" w:type="dxa"/>
            <w:vAlign w:val="bottom"/>
          </w:tcPr>
          <w:p>
            <w:pPr>
              <w:spacing w:after="0"/>
              <w:rPr>
                <w:sz w:val="20"/>
                <w:szCs w:val="20"/>
                <w:color w:val="auto"/>
              </w:rPr>
            </w:pPr>
            <w:r>
              <w:rPr>
                <w:rFonts w:ascii="Arial" w:cs="Arial" w:eastAsia="Arial" w:hAnsi="Arial"/>
                <w:sz w:val="40"/>
                <w:szCs w:val="40"/>
                <w:b w:val="1"/>
                <w:bCs w:val="1"/>
                <w:color w:val="auto"/>
              </w:rPr>
              <w:t>Consolidated Statements of Cash Flows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40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November 30,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1,</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(1,234)</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8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29"/>
        </w:trPr>
        <w:tc>
          <w:tcPr>
            <w:tcW w:w="84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8400" w:type="dxa"/>
            <w:vAlign w:val="bottom"/>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(501)</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30"/>
        </w:trPr>
        <w:tc>
          <w:tcPr>
            <w:tcW w:w="84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271</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9"/>
        </w:trPr>
        <w:tc>
          <w:tcPr>
            <w:tcW w:w="8400" w:type="dxa"/>
            <w:vAlign w:val="bottom"/>
            <w:shd w:val="clear" w:color="auto" w:fill="D1D2D4"/>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6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196"/>
        </w:trPr>
        <w:tc>
          <w:tcPr>
            <w:tcW w:w="840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300" w:type="dxa"/>
            <w:vAlign w:val="bottom"/>
            <w:shd w:val="clear" w:color="auto" w:fill="D1D2D4"/>
          </w:tcPr>
          <w:p>
            <w:pPr>
              <w:spacing w:after="0"/>
              <w:rPr>
                <w:sz w:val="17"/>
                <w:szCs w:val="17"/>
                <w:color w:val="auto"/>
              </w:rPr>
            </w:pPr>
          </w:p>
        </w:tc>
        <w:tc>
          <w:tcPr>
            <w:tcW w:w="60" w:type="dxa"/>
            <w:vAlign w:val="bottom"/>
            <w:shd w:val="clear" w:color="auto" w:fill="D1D2D4"/>
          </w:tcPr>
          <w:p>
            <w:pPr>
              <w:spacing w:after="0"/>
              <w:rPr>
                <w:sz w:val="17"/>
                <w:szCs w:val="17"/>
                <w:color w:val="auto"/>
              </w:rPr>
            </w:pPr>
          </w:p>
        </w:tc>
        <w:tc>
          <w:tcPr>
            <w:tcW w:w="80" w:type="dxa"/>
            <w:vAlign w:val="bottom"/>
            <w:shd w:val="clear" w:color="auto" w:fill="D1D2D4"/>
          </w:tcPr>
          <w:p>
            <w:pPr>
              <w:spacing w:after="0"/>
              <w:rPr>
                <w:sz w:val="17"/>
                <w:szCs w:val="17"/>
                <w:color w:val="auto"/>
              </w:rPr>
            </w:pPr>
          </w:p>
        </w:tc>
        <w:tc>
          <w:tcPr>
            <w:tcW w:w="12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(1,796)</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8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374</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196"/>
        </w:trPr>
        <w:tc>
          <w:tcPr>
            <w:tcW w:w="840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300" w:type="dxa"/>
            <w:vAlign w:val="bottom"/>
            <w:shd w:val="clear" w:color="auto" w:fill="D1D2D4"/>
          </w:tcPr>
          <w:p>
            <w:pPr>
              <w:spacing w:after="0"/>
              <w:rPr>
                <w:sz w:val="17"/>
                <w:szCs w:val="17"/>
                <w:color w:val="auto"/>
              </w:rPr>
            </w:pPr>
          </w:p>
        </w:tc>
        <w:tc>
          <w:tcPr>
            <w:tcW w:w="60" w:type="dxa"/>
            <w:vAlign w:val="bottom"/>
            <w:shd w:val="clear" w:color="auto" w:fill="D1D2D4"/>
          </w:tcPr>
          <w:p>
            <w:pPr>
              <w:spacing w:after="0"/>
              <w:rPr>
                <w:sz w:val="17"/>
                <w:szCs w:val="17"/>
                <w:color w:val="auto"/>
              </w:rPr>
            </w:pPr>
          </w:p>
        </w:tc>
        <w:tc>
          <w:tcPr>
            <w:tcW w:w="80" w:type="dxa"/>
            <w:vAlign w:val="bottom"/>
            <w:shd w:val="clear" w:color="auto" w:fill="D1D2D4"/>
          </w:tcPr>
          <w:p>
            <w:pPr>
              <w:spacing w:after="0"/>
              <w:rPr>
                <w:sz w:val="17"/>
                <w:szCs w:val="17"/>
                <w:color w:val="auto"/>
              </w:rPr>
            </w:pPr>
          </w:p>
        </w:tc>
        <w:tc>
          <w:tcPr>
            <w:tcW w:w="12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of dividends to shareholders</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8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8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8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2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(352)</w:t>
            </w:r>
          </w:p>
        </w:tc>
        <w:tc>
          <w:tcPr>
            <w:tcW w:w="6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196"/>
        </w:trPr>
        <w:tc>
          <w:tcPr>
            <w:tcW w:w="8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(510)</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8,146</w:t>
            </w:r>
          </w:p>
        </w:tc>
        <w:tc>
          <w:tcPr>
            <w:tcW w:w="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9,642</w:t>
            </w:r>
          </w:p>
        </w:tc>
        <w:tc>
          <w:tcPr>
            <w:tcW w:w="0" w:type="dxa"/>
            <w:vAlign w:val="bottom"/>
          </w:tcPr>
          <w:p>
            <w:pPr>
              <w:spacing w:after="0"/>
              <w:rPr>
                <w:sz w:val="1"/>
                <w:szCs w:val="1"/>
                <w:color w:val="auto"/>
              </w:rPr>
            </w:pPr>
          </w:p>
        </w:tc>
      </w:tr>
      <w:tr>
        <w:trPr>
          <w:trHeight w:val="20"/>
        </w:trPr>
        <w:tc>
          <w:tcPr>
            <w:tcW w:w="840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6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5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For a discussion of our significant accounting policies, see “Part II – Item 8. Financial Statements and Supplementary Data – Notes to Consolidated Financial Statements – Significant Accounting Policies” of our Annual Report on Form 10-K for the year ended August 31, 2023. There have been no changes to our significant accounting policies since our Annual Report on Form 10-K for the year ended August 31, 2023.</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Micron Technology, Inc. and our consolidated subsidiaries and have been prepared in accordance with accounting principles generally accepted in the United States of America (“U.S. GAAP”) consistent in all material respects with those applied in our Annual Report on Form 10-K for the year ended August 31, 2023.</w:t>
      </w:r>
    </w:p>
    <w:p>
      <w:pPr>
        <w:spacing w:after="0" w:line="1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fiscal year is the 52 or 53-week period ending on the Thursday closest to August 31. Fiscal years 2024 and 2023 each contain 52 weeks. All period references are to our fiscal periods unless otherwise indicated. These interim financial statements should be read in conjunction with the consolidated financial statements and accompanying notes included in our Annual Report on Form 10-K for the year ended August 31, 2023.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Variable Interest Entities</w:t>
      </w:r>
    </w:p>
    <w:p>
      <w:pPr>
        <w:spacing w:after="0" w:line="2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number of special purpose entities (the "Lease SPEs") were created by a third-party to facilitate equipment lease financing transactions between us and financial institutions that fund the lease financing transactions ("Financing Entities"). Neither we nor the Financing Entities have an equity interest in the Lease SPEs. The Lease SPEs are variable interest entities because their equity is not sufficient to permit them to finance their activities without additional support from the Financing Entities and because the third-party equity holder lacks characteristics of a controlling financial interest. By design, the arrangements with the Lease SPEs are merely financing vehicles and we do not bear any significant risks from variable interests with the Lease SPEs. We have determined that we do not have the power to direct the activities of the Lease SPEs that most significantly impact their economic performance and we do not consolidate the Lease SPEs. As of November 30, 2023, we had approximately $250 million of financial lease liabilities and right-of-use assets under these arrangements.</w:t>
      </w:r>
    </w:p>
    <w:p>
      <w:pPr>
        <w:spacing w:after="0" w:line="200" w:lineRule="exact"/>
        <w:rPr>
          <w:sz w:val="20"/>
          <w:szCs w:val="20"/>
          <w:color w:val="auto"/>
        </w:rPr>
      </w:pPr>
    </w:p>
    <w:p>
      <w:pPr>
        <w:spacing w:after="0" w:line="219"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Cash and Investments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All of our short-term investments and long-term marketable investments were classified as available-for-sale as of the dates noted below.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and equivalents and the fair values of our available-for-sale investments, which approximated amortized costs, were as follows:</w:t>
      </w:r>
    </w:p>
    <w:p>
      <w:pPr>
        <w:sectPr>
          <w:pgSz w:w="11900" w:h="16838" w:orient="portrait"/>
          <w:cols w:equalWidth="0" w:num="1">
            <w:col w:w="11240"/>
          </w:cols>
          <w:pgMar w:left="320" w:top="125" w:right="339" w:bottom="1440" w:gutter="0" w:footer="0" w:header="0"/>
        </w:sectPr>
      </w:pPr>
    </w:p>
    <w:p>
      <w:pPr>
        <w:spacing w:after="0" w:line="32"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As of November 30,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20" w:type="dxa"/>
            <w:vAlign w:val="bottom"/>
          </w:tcPr>
          <w:p>
            <w:pPr>
              <w:spacing w:after="0"/>
              <w:rPr>
                <w:sz w:val="15"/>
                <w:szCs w:val="15"/>
                <w:color w:val="auto"/>
              </w:rPr>
            </w:pPr>
          </w:p>
        </w:tc>
        <w:tc>
          <w:tcPr>
            <w:tcW w:w="11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Cash and</w:t>
            </w:r>
          </w:p>
        </w:tc>
        <w:tc>
          <w:tcPr>
            <w:tcW w:w="1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Short-term</w:t>
            </w:r>
          </w:p>
        </w:tc>
        <w:tc>
          <w:tcPr>
            <w:tcW w:w="13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8"/>
              </w:rPr>
              <w:t>Long-term</w:t>
            </w: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Total Fair</w:t>
            </w:r>
          </w:p>
        </w:tc>
        <w:tc>
          <w:tcPr>
            <w:tcW w:w="0" w:type="dxa"/>
            <w:vAlign w:val="bottom"/>
          </w:tcPr>
          <w:p>
            <w:pPr>
              <w:spacing w:after="0"/>
              <w:rPr>
                <w:sz w:val="1"/>
                <w:szCs w:val="1"/>
                <w:color w:val="auto"/>
              </w:rPr>
            </w:pPr>
          </w:p>
        </w:tc>
      </w:tr>
      <w:tr>
        <w:trPr>
          <w:trHeight w:val="181"/>
        </w:trPr>
        <w:tc>
          <w:tcPr>
            <w:tcW w:w="20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Marketable</w:t>
            </w: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Equivalents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Investments</w:t>
            </w:r>
          </w:p>
        </w:tc>
        <w:tc>
          <w:tcPr>
            <w:tcW w:w="13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As of August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28975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3"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Long-term</w:t>
      </w:r>
    </w:p>
    <w:p>
      <w:pPr>
        <w:ind w:right="40" w:firstLine="100"/>
        <w:spacing w:after="0" w:line="234" w:lineRule="auto"/>
        <w:rPr>
          <w:sz w:val="20"/>
          <w:szCs w:val="20"/>
          <w:color w:val="auto"/>
        </w:rPr>
      </w:pPr>
      <w:r>
        <w:rPr>
          <w:rFonts w:ascii="Arial" w:cs="Arial" w:eastAsia="Arial" w:hAnsi="Arial"/>
          <w:sz w:val="18"/>
          <w:szCs w:val="18"/>
          <w:b w:val="1"/>
          <w:bCs w:val="1"/>
          <w:color w:val="auto"/>
        </w:rPr>
        <w:t>Cash and Short-term Marketable Total Fair Equivalents Investments Investments</w:t>
      </w:r>
      <w:r>
        <w:rPr>
          <w:rFonts w:ascii="Arial" w:cs="Arial" w:eastAsia="Arial" w:hAnsi="Arial"/>
          <w:sz w:val="23"/>
          <w:szCs w:val="23"/>
          <w:color w:val="auto"/>
          <w:vertAlign w:val="superscript"/>
        </w:rPr>
        <w:t>(1)</w:t>
      </w:r>
      <w:r>
        <w:rPr>
          <w:rFonts w:ascii="Arial" w:cs="Arial" w:eastAsia="Arial" w:hAnsi="Arial"/>
          <w:sz w:val="18"/>
          <w:szCs w:val="18"/>
          <w:b w:val="1"/>
          <w:bCs w:val="1"/>
          <w:color w:val="auto"/>
        </w:rPr>
        <w:t xml:space="preserv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2897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560" w:space="180"/>
            <w:col w:w="45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5,400</w:t>
            </w:r>
          </w:p>
        </w:tc>
        <w:tc>
          <w:tcPr>
            <w:tcW w:w="46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D1D2D4"/>
          </w:tcPr>
          <w:p>
            <w:pPr>
              <w:jc w:val="right"/>
              <w:ind w:right="35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D1D2D4"/>
          </w:tcPr>
          <w:p>
            <w:pPr>
              <w:jc w:val="right"/>
              <w:ind w:right="30"/>
              <w:spacing w:after="0"/>
              <w:rPr>
                <w:sz w:val="20"/>
                <w:szCs w:val="20"/>
                <w:color w:val="auto"/>
              </w:rPr>
            </w:pPr>
            <w:r>
              <w:rPr>
                <w:rFonts w:ascii="Arial" w:cs="Arial" w:eastAsia="Arial" w:hAnsi="Arial"/>
                <w:sz w:val="18"/>
                <w:szCs w:val="18"/>
                <w:color w:val="auto"/>
              </w:rPr>
              <w:t>— $</w:t>
            </w: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5,400</w:t>
            </w:r>
          </w:p>
        </w:tc>
        <w:tc>
          <w:tcPr>
            <w:tcW w:w="120" w:type="dxa"/>
            <w:vAlign w:val="bottom"/>
            <w:shd w:val="clear" w:color="auto" w:fill="D1D2D4"/>
          </w:tcPr>
          <w:p>
            <w:pPr>
              <w:spacing w:after="0"/>
              <w:rPr>
                <w:sz w:val="18"/>
                <w:szCs w:val="18"/>
                <w:color w:val="auto"/>
              </w:rPr>
            </w:pPr>
          </w:p>
        </w:tc>
        <w:tc>
          <w:tcPr>
            <w:tcW w:w="3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5,771</w:t>
            </w:r>
          </w:p>
        </w:tc>
        <w:tc>
          <w:tcPr>
            <w:tcW w:w="38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D1D2D4"/>
          </w:tcPr>
          <w:p>
            <w:pPr>
              <w:jc w:val="right"/>
              <w:ind w:right="35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1,570</w:t>
            </w:r>
          </w:p>
        </w:tc>
        <w:tc>
          <w:tcPr>
            <w:tcW w:w="4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1,629</w:t>
            </w:r>
          </w:p>
        </w:tc>
        <w:tc>
          <w:tcPr>
            <w:tcW w:w="3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Certificates of deposit</w:t>
            </w:r>
          </w:p>
        </w:tc>
        <w:tc>
          <w:tcPr>
            <w:tcW w:w="36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1,090</w:t>
            </w:r>
          </w:p>
        </w:tc>
        <w:tc>
          <w:tcPr>
            <w:tcW w:w="4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w:t>
            </w:r>
          </w:p>
        </w:tc>
        <w:tc>
          <w:tcPr>
            <w:tcW w:w="58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1,172</w:t>
            </w:r>
          </w:p>
        </w:tc>
        <w:tc>
          <w:tcPr>
            <w:tcW w:w="3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58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681</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737</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184"/>
        </w:trPr>
        <w:tc>
          <w:tcPr>
            <w:tcW w:w="2020" w:type="dxa"/>
            <w:vAlign w:val="bottom"/>
            <w:shd w:val="clear" w:color="auto" w:fill="D1D2D4"/>
          </w:tcPr>
          <w:p>
            <w:pPr>
              <w:ind w:left="140"/>
              <w:spacing w:after="0" w:line="183" w:lineRule="exact"/>
              <w:rPr>
                <w:sz w:val="20"/>
                <w:szCs w:val="20"/>
                <w:color w:val="auto"/>
              </w:rPr>
            </w:pPr>
            <w:r>
              <w:rPr>
                <w:rFonts w:ascii="Arial" w:cs="Arial" w:eastAsia="Arial" w:hAnsi="Arial"/>
                <w:sz w:val="18"/>
                <w:szCs w:val="18"/>
                <w:color w:val="auto"/>
              </w:rPr>
              <w:t>Asset-backed</w:t>
            </w:r>
          </w:p>
        </w:tc>
        <w:tc>
          <w:tcPr>
            <w:tcW w:w="360" w:type="dxa"/>
            <w:vAlign w:val="bottom"/>
            <w:shd w:val="clear" w:color="auto" w:fill="D1D2D4"/>
          </w:tcPr>
          <w:p>
            <w:pPr>
              <w:spacing w:after="0"/>
              <w:rPr>
                <w:sz w:val="15"/>
                <w:szCs w:val="15"/>
                <w:color w:val="auto"/>
              </w:rPr>
            </w:pP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580" w:type="dxa"/>
            <w:vAlign w:val="bottom"/>
            <w:shd w:val="clear" w:color="auto" w:fill="D1D2D4"/>
          </w:tcPr>
          <w:p>
            <w:pPr>
              <w:spacing w:after="0"/>
              <w:rPr>
                <w:sz w:val="15"/>
                <w:szCs w:val="15"/>
                <w:color w:val="auto"/>
              </w:rPr>
            </w:pP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D1D2D4"/>
          </w:tcPr>
          <w:p>
            <w:pPr>
              <w:spacing w:after="0"/>
              <w:rPr>
                <w:sz w:val="15"/>
                <w:szCs w:val="15"/>
                <w:color w:val="auto"/>
              </w:rPr>
            </w:pPr>
          </w:p>
        </w:tc>
        <w:tc>
          <w:tcPr>
            <w:tcW w:w="6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D1D2D4"/>
          </w:tcPr>
          <w:p>
            <w:pPr>
              <w:spacing w:after="0"/>
              <w:rPr>
                <w:sz w:val="15"/>
                <w:szCs w:val="15"/>
                <w:color w:val="auto"/>
              </w:rPr>
            </w:pPr>
          </w:p>
        </w:tc>
        <w:tc>
          <w:tcPr>
            <w:tcW w:w="360" w:type="dxa"/>
            <w:vAlign w:val="bottom"/>
            <w:shd w:val="clear" w:color="auto" w:fill="D1D2D4"/>
          </w:tcPr>
          <w:p>
            <w:pPr>
              <w:spacing w:after="0"/>
              <w:rPr>
                <w:sz w:val="15"/>
                <w:szCs w:val="15"/>
                <w:color w:val="auto"/>
              </w:rPr>
            </w:pP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2D4"/>
          </w:tcPr>
          <w:p>
            <w:pPr>
              <w:spacing w:after="0"/>
              <w:rPr>
                <w:sz w:val="15"/>
                <w:szCs w:val="15"/>
                <w:color w:val="auto"/>
              </w:rPr>
            </w:pP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580" w:type="dxa"/>
            <w:vAlign w:val="bottom"/>
            <w:shd w:val="clear" w:color="auto" w:fill="D1D2D4"/>
          </w:tcPr>
          <w:p>
            <w:pPr>
              <w:spacing w:after="0"/>
              <w:rPr>
                <w:sz w:val="15"/>
                <w:szCs w:val="15"/>
                <w:color w:val="auto"/>
              </w:rPr>
            </w:pP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5"/>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securities</w:t>
            </w:r>
          </w:p>
        </w:tc>
        <w:tc>
          <w:tcPr>
            <w:tcW w:w="360" w:type="dxa"/>
            <w:vAlign w:val="bottom"/>
            <w:shd w:val="clear" w:color="auto" w:fill="D1D2D4"/>
          </w:tcPr>
          <w:p>
            <w:pPr>
              <w:spacing w:after="0"/>
              <w:rPr>
                <w:sz w:val="20"/>
                <w:szCs w:val="20"/>
                <w:color w:val="auto"/>
              </w:rPr>
            </w:pPr>
          </w:p>
        </w:tc>
        <w:tc>
          <w:tcPr>
            <w:tcW w:w="760" w:type="dxa"/>
            <w:vAlign w:val="bottom"/>
            <w:vMerge w:val="continue"/>
            <w:shd w:val="clear" w:color="auto" w:fill="D1D2D4"/>
          </w:tcPr>
          <w:p>
            <w:pPr>
              <w:spacing w:after="0"/>
              <w:rPr>
                <w:sz w:val="20"/>
                <w:szCs w:val="20"/>
                <w:color w:val="auto"/>
              </w:rPr>
            </w:pPr>
          </w:p>
        </w:tc>
        <w:tc>
          <w:tcPr>
            <w:tcW w:w="460" w:type="dxa"/>
            <w:vAlign w:val="bottom"/>
            <w:shd w:val="clear" w:color="auto" w:fill="D1D2D4"/>
          </w:tcPr>
          <w:p>
            <w:pPr>
              <w:spacing w:after="0"/>
              <w:rPr>
                <w:sz w:val="20"/>
                <w:szCs w:val="20"/>
                <w:color w:val="auto"/>
              </w:rPr>
            </w:pPr>
          </w:p>
        </w:tc>
        <w:tc>
          <w:tcPr>
            <w:tcW w:w="700" w:type="dxa"/>
            <w:vAlign w:val="bottom"/>
            <w:vMerge w:val="continue"/>
            <w:shd w:val="clear" w:color="auto" w:fill="D1D2D4"/>
          </w:tcPr>
          <w:p>
            <w:pPr>
              <w:spacing w:after="0"/>
              <w:rPr>
                <w:sz w:val="20"/>
                <w:szCs w:val="20"/>
                <w:color w:val="auto"/>
              </w:rPr>
            </w:pPr>
          </w:p>
        </w:tc>
        <w:tc>
          <w:tcPr>
            <w:tcW w:w="580" w:type="dxa"/>
            <w:vAlign w:val="bottom"/>
            <w:shd w:val="clear" w:color="auto" w:fill="D1D2D4"/>
          </w:tcPr>
          <w:p>
            <w:pPr>
              <w:spacing w:after="0"/>
              <w:rPr>
                <w:sz w:val="20"/>
                <w:szCs w:val="20"/>
                <w:color w:val="auto"/>
              </w:rPr>
            </w:pPr>
          </w:p>
        </w:tc>
        <w:tc>
          <w:tcPr>
            <w:tcW w:w="800" w:type="dxa"/>
            <w:vAlign w:val="bottom"/>
            <w:vMerge w:val="continue"/>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62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360" w:type="dxa"/>
            <w:vAlign w:val="bottom"/>
            <w:shd w:val="clear" w:color="auto" w:fill="D1D2D4"/>
          </w:tcPr>
          <w:p>
            <w:pPr>
              <w:spacing w:after="0"/>
              <w:rPr>
                <w:sz w:val="20"/>
                <w:szCs w:val="20"/>
                <w:color w:val="auto"/>
              </w:rPr>
            </w:pPr>
          </w:p>
        </w:tc>
        <w:tc>
          <w:tcPr>
            <w:tcW w:w="760" w:type="dxa"/>
            <w:vAlign w:val="bottom"/>
            <w:vMerge w:val="continue"/>
            <w:shd w:val="clear" w:color="auto" w:fill="D1D2D4"/>
          </w:tcPr>
          <w:p>
            <w:pPr>
              <w:spacing w:after="0"/>
              <w:rPr>
                <w:sz w:val="20"/>
                <w:szCs w:val="20"/>
                <w:color w:val="auto"/>
              </w:rPr>
            </w:pPr>
          </w:p>
        </w:tc>
        <w:tc>
          <w:tcPr>
            <w:tcW w:w="380" w:type="dxa"/>
            <w:vAlign w:val="bottom"/>
            <w:shd w:val="clear" w:color="auto" w:fill="D1D2D4"/>
          </w:tcPr>
          <w:p>
            <w:pPr>
              <w:spacing w:after="0"/>
              <w:rPr>
                <w:sz w:val="20"/>
                <w:szCs w:val="20"/>
                <w:color w:val="auto"/>
              </w:rPr>
            </w:pPr>
          </w:p>
        </w:tc>
        <w:tc>
          <w:tcPr>
            <w:tcW w:w="780" w:type="dxa"/>
            <w:vAlign w:val="bottom"/>
            <w:vMerge w:val="continue"/>
            <w:shd w:val="clear" w:color="auto" w:fill="D1D2D4"/>
          </w:tcPr>
          <w:p>
            <w:pPr>
              <w:spacing w:after="0"/>
              <w:rPr>
                <w:sz w:val="20"/>
                <w:szCs w:val="20"/>
                <w:color w:val="auto"/>
              </w:rPr>
            </w:pPr>
          </w:p>
        </w:tc>
        <w:tc>
          <w:tcPr>
            <w:tcW w:w="580" w:type="dxa"/>
            <w:vAlign w:val="bottom"/>
            <w:shd w:val="clear" w:color="auto" w:fill="D1D2D4"/>
          </w:tcPr>
          <w:p>
            <w:pPr>
              <w:spacing w:after="0"/>
              <w:rPr>
                <w:sz w:val="20"/>
                <w:szCs w:val="20"/>
                <w:color w:val="auto"/>
              </w:rPr>
            </w:pPr>
          </w:p>
        </w:tc>
        <w:tc>
          <w:tcPr>
            <w:tcW w:w="80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70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8"/>
                <w:szCs w:val="18"/>
                <w:color w:val="auto"/>
              </w:rPr>
              <w:t>Government securities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Commercial paper</w:t>
            </w:r>
          </w:p>
        </w:tc>
        <w:tc>
          <w:tcPr>
            <w:tcW w:w="360" w:type="dxa"/>
            <w:vAlign w:val="bottom"/>
            <w:tcBorders>
              <w:bottom w:val="single" w:sz="8" w:color="auto"/>
            </w:tcBorders>
            <w:shd w:val="clear" w:color="auto" w:fill="D1D2D4"/>
          </w:tcPr>
          <w:p>
            <w:pPr>
              <w:spacing w:after="0"/>
              <w:rPr>
                <w:sz w:val="19"/>
                <w:szCs w:val="19"/>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580" w:type="dxa"/>
            <w:vAlign w:val="bottom"/>
            <w:tcBorders>
              <w:bottom w:val="single" w:sz="8" w:color="auto"/>
            </w:tcBorders>
            <w:shd w:val="clear" w:color="auto" w:fill="D1D2D4"/>
          </w:tcPr>
          <w:p>
            <w:pPr>
              <w:spacing w:after="0"/>
              <w:rPr>
                <w:sz w:val="19"/>
                <w:szCs w:val="19"/>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1D2D4"/>
          </w:tcPr>
          <w:p>
            <w:pPr>
              <w:spacing w:after="0"/>
              <w:rPr>
                <w:sz w:val="19"/>
                <w:szCs w:val="19"/>
                <w:color w:val="auto"/>
              </w:rPr>
            </w:pPr>
          </w:p>
        </w:tc>
        <w:tc>
          <w:tcPr>
            <w:tcW w:w="6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D1D2D4"/>
          </w:tcPr>
          <w:p>
            <w:pPr>
              <w:spacing w:after="0"/>
              <w:rPr>
                <w:sz w:val="19"/>
                <w:szCs w:val="19"/>
                <w:color w:val="auto"/>
              </w:rPr>
            </w:pPr>
          </w:p>
        </w:tc>
        <w:tc>
          <w:tcPr>
            <w:tcW w:w="360" w:type="dxa"/>
            <w:vAlign w:val="bottom"/>
            <w:tcBorders>
              <w:bottom w:val="single" w:sz="8" w:color="auto"/>
            </w:tcBorders>
            <w:shd w:val="clear" w:color="auto" w:fill="D1D2D4"/>
          </w:tcPr>
          <w:p>
            <w:pPr>
              <w:spacing w:after="0"/>
              <w:rPr>
                <w:sz w:val="19"/>
                <w:szCs w:val="19"/>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D1D2D4"/>
          </w:tcPr>
          <w:p>
            <w:pPr>
              <w:spacing w:after="0"/>
              <w:rPr>
                <w:sz w:val="19"/>
                <w:szCs w:val="19"/>
                <w:color w:val="auto"/>
              </w:rPr>
            </w:pP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w:t>
            </w:r>
          </w:p>
        </w:tc>
        <w:tc>
          <w:tcPr>
            <w:tcW w:w="580" w:type="dxa"/>
            <w:vAlign w:val="bottom"/>
            <w:tcBorders>
              <w:bottom w:val="single" w:sz="8" w:color="auto"/>
            </w:tcBorders>
            <w:shd w:val="clear" w:color="auto" w:fill="D1D2D4"/>
          </w:tcPr>
          <w:p>
            <w:pPr>
              <w:spacing w:after="0"/>
              <w:rPr>
                <w:sz w:val="19"/>
                <w:szCs w:val="19"/>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8,075</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8,577</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10,438</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1D2D4"/>
            </w:tcBorders>
          </w:tcPr>
          <w:p>
            <w:pPr>
              <w:spacing w:after="0" w:line="20" w:lineRule="exact"/>
              <w:rPr>
                <w:sz w:val="1"/>
                <w:szCs w:val="1"/>
                <w:color w:val="auto"/>
              </w:rPr>
            </w:pPr>
          </w:p>
        </w:tc>
        <w:tc>
          <w:tcPr>
            <w:tcW w:w="360" w:type="dxa"/>
            <w:vAlign w:val="bottom"/>
            <w:tcBorders>
              <w:bottom w:val="single" w:sz="8" w:color="D1D2D4"/>
            </w:tcBorders>
          </w:tcPr>
          <w:p>
            <w:pPr>
              <w:spacing w:after="0" w:line="20" w:lineRule="exact"/>
              <w:rPr>
                <w:sz w:val="1"/>
                <w:szCs w:val="1"/>
                <w:color w:val="auto"/>
              </w:rPr>
            </w:pPr>
          </w:p>
        </w:tc>
        <w:tc>
          <w:tcPr>
            <w:tcW w:w="760" w:type="dxa"/>
            <w:vAlign w:val="bottom"/>
            <w:tcBorders>
              <w:bottom w:val="single" w:sz="8" w:color="D1D2D4"/>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360" w:type="dxa"/>
            <w:vAlign w:val="bottom"/>
            <w:tcBorders>
              <w:bottom w:val="single" w:sz="8" w:color="D1D2D4"/>
            </w:tcBorders>
          </w:tcPr>
          <w:p>
            <w:pPr>
              <w:spacing w:after="0" w:line="20" w:lineRule="exact"/>
              <w:rPr>
                <w:sz w:val="1"/>
                <w:szCs w:val="1"/>
                <w:color w:val="auto"/>
              </w:rPr>
            </w:pPr>
          </w:p>
        </w:tc>
        <w:tc>
          <w:tcPr>
            <w:tcW w:w="760" w:type="dxa"/>
            <w:vAlign w:val="bottom"/>
            <w:tcBorders>
              <w:bottom w:val="single" w:sz="8" w:color="D1D2D4"/>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20" w:type="dxa"/>
            <w:vAlign w:val="bottom"/>
            <w:shd w:val="clear" w:color="auto" w:fill="D1D2D4"/>
          </w:tcPr>
          <w:p>
            <w:pPr>
              <w:ind w:left="20"/>
              <w:spacing w:after="0" w:line="197"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(4)</w:t>
            </w:r>
          </w:p>
        </w:tc>
        <w:tc>
          <w:tcPr>
            <w:tcW w:w="360" w:type="dxa"/>
            <w:vAlign w:val="bottom"/>
            <w:tcBorders>
              <w:bottom w:val="single" w:sz="8" w:color="auto"/>
            </w:tcBorders>
            <w:shd w:val="clear" w:color="auto" w:fill="D1D2D4"/>
          </w:tcPr>
          <w:p>
            <w:pPr>
              <w:spacing w:after="0"/>
              <w:rPr>
                <w:sz w:val="17"/>
                <w:szCs w:val="17"/>
                <w:color w:val="auto"/>
              </w:rPr>
            </w:pPr>
          </w:p>
        </w:tc>
        <w:tc>
          <w:tcPr>
            <w:tcW w:w="76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71</w:t>
            </w:r>
          </w:p>
        </w:tc>
        <w:tc>
          <w:tcPr>
            <w:tcW w:w="460" w:type="dxa"/>
            <w:vAlign w:val="bottom"/>
            <w:shd w:val="clear" w:color="auto" w:fill="D1D2D4"/>
          </w:tcPr>
          <w:p>
            <w:pPr>
              <w:spacing w:after="0"/>
              <w:rPr>
                <w:sz w:val="17"/>
                <w:szCs w:val="17"/>
                <w:color w:val="auto"/>
              </w:rPr>
            </w:pPr>
          </w:p>
        </w:tc>
        <w:tc>
          <w:tcPr>
            <w:tcW w:w="700" w:type="dxa"/>
            <w:vAlign w:val="bottom"/>
            <w:shd w:val="clear" w:color="auto" w:fill="D1D2D4"/>
          </w:tcPr>
          <w:p>
            <w:pPr>
              <w:spacing w:after="0"/>
              <w:rPr>
                <w:sz w:val="17"/>
                <w:szCs w:val="17"/>
                <w:color w:val="auto"/>
              </w:rPr>
            </w:pPr>
          </w:p>
        </w:tc>
        <w:tc>
          <w:tcPr>
            <w:tcW w:w="580" w:type="dxa"/>
            <w:vAlign w:val="bottom"/>
            <w:shd w:val="clear" w:color="auto" w:fill="D1D2D4"/>
          </w:tcPr>
          <w:p>
            <w:pPr>
              <w:spacing w:after="0"/>
              <w:rPr>
                <w:sz w:val="17"/>
                <w:szCs w:val="17"/>
                <w:color w:val="auto"/>
              </w:rPr>
            </w:pPr>
          </w:p>
        </w:tc>
        <w:tc>
          <w:tcPr>
            <w:tcW w:w="800" w:type="dxa"/>
            <w:vAlign w:val="bottom"/>
            <w:shd w:val="clear" w:color="auto" w:fill="D1D2D4"/>
          </w:tcPr>
          <w:p>
            <w:pPr>
              <w:spacing w:after="0"/>
              <w:rPr>
                <w:sz w:val="17"/>
                <w:szCs w:val="17"/>
                <w:color w:val="auto"/>
              </w:rPr>
            </w:pPr>
          </w:p>
        </w:tc>
        <w:tc>
          <w:tcPr>
            <w:tcW w:w="260" w:type="dxa"/>
            <w:vAlign w:val="bottom"/>
            <w:shd w:val="clear" w:color="auto" w:fill="D1D2D4"/>
          </w:tcPr>
          <w:p>
            <w:pPr>
              <w:spacing w:after="0"/>
              <w:rPr>
                <w:sz w:val="17"/>
                <w:szCs w:val="17"/>
                <w:color w:val="auto"/>
              </w:rPr>
            </w:pPr>
          </w:p>
        </w:tc>
        <w:tc>
          <w:tcPr>
            <w:tcW w:w="62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360" w:type="dxa"/>
            <w:vAlign w:val="bottom"/>
            <w:tcBorders>
              <w:bottom w:val="single" w:sz="8" w:color="auto"/>
            </w:tcBorders>
            <w:shd w:val="clear" w:color="auto" w:fill="D1D2D4"/>
          </w:tcPr>
          <w:p>
            <w:pPr>
              <w:spacing w:after="0"/>
              <w:rPr>
                <w:sz w:val="17"/>
                <w:szCs w:val="17"/>
                <w:color w:val="auto"/>
              </w:rPr>
            </w:pPr>
          </w:p>
        </w:tc>
        <w:tc>
          <w:tcPr>
            <w:tcW w:w="76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79</w:t>
            </w:r>
          </w:p>
        </w:tc>
        <w:tc>
          <w:tcPr>
            <w:tcW w:w="380" w:type="dxa"/>
            <w:vAlign w:val="bottom"/>
            <w:shd w:val="clear" w:color="auto" w:fill="D1D2D4"/>
          </w:tcPr>
          <w:p>
            <w:pPr>
              <w:spacing w:after="0"/>
              <w:rPr>
                <w:sz w:val="17"/>
                <w:szCs w:val="17"/>
                <w:color w:val="auto"/>
              </w:rPr>
            </w:pPr>
          </w:p>
        </w:tc>
        <w:tc>
          <w:tcPr>
            <w:tcW w:w="780" w:type="dxa"/>
            <w:vAlign w:val="bottom"/>
            <w:shd w:val="clear" w:color="auto" w:fill="D1D2D4"/>
          </w:tcPr>
          <w:p>
            <w:pPr>
              <w:spacing w:after="0"/>
              <w:rPr>
                <w:sz w:val="17"/>
                <w:szCs w:val="17"/>
                <w:color w:val="auto"/>
              </w:rPr>
            </w:pPr>
          </w:p>
        </w:tc>
        <w:tc>
          <w:tcPr>
            <w:tcW w:w="580" w:type="dxa"/>
            <w:vAlign w:val="bottom"/>
            <w:shd w:val="clear" w:color="auto" w:fill="D1D2D4"/>
          </w:tcPr>
          <w:p>
            <w:pPr>
              <w:spacing w:after="0"/>
              <w:rPr>
                <w:sz w:val="17"/>
                <w:szCs w:val="17"/>
                <w:color w:val="auto"/>
              </w:rPr>
            </w:pPr>
          </w:p>
        </w:tc>
        <w:tc>
          <w:tcPr>
            <w:tcW w:w="80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70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20" w:type="dxa"/>
            <w:vAlign w:val="bottom"/>
          </w:tcPr>
          <w:p>
            <w:pPr>
              <w:ind w:left="20"/>
              <w:spacing w:after="0" w:line="164" w:lineRule="exact"/>
              <w:rPr>
                <w:sz w:val="20"/>
                <w:szCs w:val="20"/>
                <w:color w:val="auto"/>
              </w:rPr>
            </w:pPr>
            <w:r>
              <w:rPr>
                <w:rFonts w:ascii="Arial" w:cs="Arial" w:eastAsia="Arial" w:hAnsi="Arial"/>
                <w:sz w:val="18"/>
                <w:szCs w:val="18"/>
                <w:color w:val="auto"/>
              </w:rPr>
              <w:t>Cash, cash equivalents,</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8,146</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8,656</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Arial" w:cs="Arial" w:eastAsia="Arial" w:hAnsi="Arial"/>
                <w:sz w:val="18"/>
                <w:szCs w:val="18"/>
                <w:color w:val="auto"/>
              </w:rPr>
              <w:t>and restricted cash</w:t>
            </w:r>
          </w:p>
        </w:tc>
        <w:tc>
          <w:tcPr>
            <w:tcW w:w="3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60" w:right="240" w:hanging="252"/>
        <w:spacing w:after="0" w:line="228" w:lineRule="auto"/>
        <w:tabs>
          <w:tab w:leader="none" w:pos="254"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investments primarily range from one to five years, except for asset-backed securities which are not due at a single maturity date.</w:t>
      </w:r>
    </w:p>
    <w:p>
      <w:pPr>
        <w:ind w:left="240" w:hanging="232"/>
        <w:spacing w:after="0" w:line="196" w:lineRule="auto"/>
        <w:tabs>
          <w:tab w:leader="none" w:pos="24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260" w:hanging="252"/>
        <w:spacing w:after="0" w:line="237" w:lineRule="auto"/>
        <w:tabs>
          <w:tab w:leader="none" w:pos="254"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November 30, 2023 or August 31, 2023.</w:t>
      </w:r>
    </w:p>
    <w:p>
      <w:pPr>
        <w:spacing w:after="0" w:line="1" w:lineRule="exact"/>
        <w:rPr>
          <w:rFonts w:ascii="Arial" w:cs="Arial" w:eastAsia="Arial" w:hAnsi="Arial"/>
          <w:sz w:val="23"/>
          <w:szCs w:val="23"/>
          <w:i w:val="1"/>
          <w:iCs w:val="1"/>
          <w:color w:val="auto"/>
          <w:vertAlign w:val="superscript"/>
        </w:rPr>
      </w:pPr>
    </w:p>
    <w:p>
      <w:pPr>
        <w:ind w:left="260" w:right="180" w:hanging="252"/>
        <w:spacing w:after="0" w:line="230" w:lineRule="auto"/>
        <w:tabs>
          <w:tab w:leader="none" w:pos="254"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current assets and other noncurrent assets and primarily relates to certain government incentives received prior to being earned and for which restrictions lapse upon achieving certain performance conditions or which will be returned if performance conditions are not met.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Non-marketable Equity Investments</w:t>
      </w:r>
    </w:p>
    <w:p>
      <w:pPr>
        <w:spacing w:after="0" w:line="22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addition to the amounts included in the table above, we had $188 million and $218 million of non-marketable equity investments without a readily determinable fair value that were included in other noncurrent assets as of November 30, 2023 and August 31, 2023, respectively. We recognized losses in other non-operating income (expense) on our non-marketable investments of $31 million for the first quarter of 2024 and net losses of $7 million for the first quarter of 2023. Our non-marketable equity investments are recorded at fair value on a non-recurring basis and classified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154"/>
        </w:trPr>
        <w:tc>
          <w:tcPr>
            <w:tcW w:w="8360" w:type="dxa"/>
            <w:vAlign w:val="bottom"/>
          </w:tcPr>
          <w:p>
            <w:pPr>
              <w:spacing w:after="0"/>
              <w:rPr>
                <w:sz w:val="20"/>
                <w:szCs w:val="20"/>
                <w:color w:val="auto"/>
              </w:rPr>
            </w:pPr>
            <w:r>
              <w:rPr>
                <w:rFonts w:ascii="Arial" w:cs="Arial" w:eastAsia="Arial" w:hAnsi="Arial"/>
                <w:sz w:val="40"/>
                <w:szCs w:val="40"/>
                <w:b w:val="1"/>
                <w:bCs w:val="1"/>
                <w:color w:val="auto"/>
              </w:rPr>
              <w:t>Receivables</w:t>
            </w:r>
          </w:p>
        </w:tc>
        <w:tc>
          <w:tcPr>
            <w:tcW w:w="120" w:type="dxa"/>
            <w:vAlign w:val="bottom"/>
          </w:tcPr>
          <w:p>
            <w:pPr>
              <w:spacing w:after="0"/>
              <w:rPr>
                <w:sz w:val="24"/>
                <w:szCs w:val="24"/>
                <w:color w:val="auto"/>
              </w:rPr>
            </w:pPr>
          </w:p>
        </w:tc>
        <w:tc>
          <w:tcPr>
            <w:tcW w:w="13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November 30,</w:t>
            </w:r>
          </w:p>
        </w:tc>
        <w:tc>
          <w:tcPr>
            <w:tcW w:w="80" w:type="dxa"/>
            <w:vAlign w:val="bottom"/>
          </w:tcPr>
          <w:p>
            <w:pPr>
              <w:spacing w:after="0"/>
              <w:rPr>
                <w:sz w:val="24"/>
                <w:szCs w:val="24"/>
                <w:color w:val="auto"/>
              </w:rPr>
            </w:pPr>
          </w:p>
        </w:tc>
        <w:tc>
          <w:tcPr>
            <w:tcW w:w="100" w:type="dxa"/>
            <w:vAlign w:val="bottom"/>
            <w:tcBorders>
              <w:top w:val="single" w:sz="8" w:color="BD03F7"/>
            </w:tcBorders>
          </w:tcPr>
          <w:p>
            <w:pPr>
              <w:spacing w:after="0"/>
              <w:rPr>
                <w:sz w:val="24"/>
                <w:szCs w:val="24"/>
                <w:color w:val="auto"/>
              </w:rPr>
            </w:pPr>
          </w:p>
        </w:tc>
        <w:tc>
          <w:tcPr>
            <w:tcW w:w="1260" w:type="dxa"/>
            <w:vAlign w:val="bottom"/>
            <w:tcBorders>
              <w:top w:val="single" w:sz="8" w:color="BD03F7"/>
            </w:tcBorders>
            <w:vMerge w:val="restart"/>
          </w:tcPr>
          <w:p>
            <w:pPr>
              <w:jc w:val="center"/>
              <w:ind w:right="90"/>
              <w:spacing w:after="0"/>
              <w:rPr>
                <w:sz w:val="20"/>
                <w:szCs w:val="20"/>
                <w:color w:val="auto"/>
              </w:rPr>
            </w:pPr>
            <w:r>
              <w:rPr>
                <w:rFonts w:ascii="Arial" w:cs="Arial" w:eastAsia="Arial" w:hAnsi="Arial"/>
                <w:sz w:val="18"/>
                <w:szCs w:val="18"/>
                <w:b w:val="1"/>
                <w:bCs w:val="1"/>
                <w:color w:val="auto"/>
                <w:w w:val="99"/>
              </w:rPr>
              <w:t>August 31,</w:t>
            </w:r>
          </w:p>
        </w:tc>
        <w:tc>
          <w:tcPr>
            <w:tcW w:w="0" w:type="dxa"/>
            <w:vAlign w:val="bottom"/>
          </w:tcPr>
          <w:p>
            <w:pPr>
              <w:spacing w:after="0"/>
              <w:rPr>
                <w:sz w:val="1"/>
                <w:szCs w:val="1"/>
                <w:color w:val="auto"/>
              </w:rPr>
            </w:pPr>
          </w:p>
        </w:tc>
      </w:tr>
      <w:tr>
        <w:trPr>
          <w:trHeight w:val="15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2023</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2,478</w:t>
            </w:r>
          </w:p>
        </w:tc>
        <w:tc>
          <w:tcPr>
            <w:tcW w:w="18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248</w:t>
            </w:r>
          </w:p>
        </w:tc>
        <w:tc>
          <w:tcPr>
            <w:tcW w:w="8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1"/>
        </w:trPr>
        <w:tc>
          <w:tcPr>
            <w:tcW w:w="8360" w:type="dxa"/>
            <w:vAlign w:val="bottom"/>
            <w:vMerge w:val="restart"/>
          </w:tcPr>
          <w:p>
            <w:pPr>
              <w:spacing w:after="0"/>
              <w:rPr>
                <w:sz w:val="20"/>
                <w:szCs w:val="20"/>
                <w:color w:val="auto"/>
              </w:rPr>
            </w:pPr>
            <w:r>
              <w:rPr>
                <w:rFonts w:ascii="Arial" w:cs="Arial" w:eastAsia="Arial" w:hAnsi="Arial"/>
                <w:sz w:val="40"/>
                <w:szCs w:val="40"/>
                <w:b w:val="1"/>
                <w:bCs w:val="1"/>
                <w:color w:val="auto"/>
              </w:rPr>
              <w:t>Inventories</w:t>
            </w: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0"/>
        </w:trPr>
        <w:tc>
          <w:tcPr>
            <w:tcW w:w="8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November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August 31,</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2023</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1,282</w:t>
            </w:r>
          </w:p>
        </w:tc>
        <w:tc>
          <w:tcPr>
            <w:tcW w:w="18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6,111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660</w:t>
            </w:r>
          </w:p>
        </w:tc>
        <w:tc>
          <w:tcPr>
            <w:tcW w:w="8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8,276</w:t>
            </w: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40"/>
                <w:szCs w:val="40"/>
                <w:b w:val="1"/>
                <w:bCs w:val="1"/>
                <w:color w:val="auto"/>
              </w:rPr>
              <w:t>Property, Plant, and Equipment</w:t>
            </w: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0"/>
        </w:trPr>
        <w:tc>
          <w:tcPr>
            <w:tcW w:w="8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November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August 31,</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2023</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283</w:t>
            </w:r>
          </w:p>
        </w:tc>
        <w:tc>
          <w:tcPr>
            <w:tcW w:w="18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17,967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66,392</w:t>
            </w:r>
          </w:p>
        </w:tc>
        <w:tc>
          <w:tcPr>
            <w:tcW w:w="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65,555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1,377</w:t>
            </w:r>
          </w:p>
        </w:tc>
        <w:tc>
          <w:tcPr>
            <w:tcW w:w="8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88,919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87,585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(51,242)</w:t>
            </w:r>
          </w:p>
        </w:tc>
        <w:tc>
          <w:tcPr>
            <w:tcW w:w="8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(49,657)</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37,677</w:t>
            </w: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60" w:right="340" w:hanging="252"/>
        <w:spacing w:after="0" w:line="228" w:lineRule="auto"/>
        <w:tabs>
          <w:tab w:leader="none" w:pos="25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costs related to equipment not placed into service of $2.88 billion as of November 30, 2023 and $2.91 billion as of August 31, 2023.</w:t>
      </w:r>
    </w:p>
    <w:p>
      <w:pPr>
        <w:ind w:left="240" w:hanging="232"/>
        <w:spacing w:after="0" w:line="200" w:lineRule="auto"/>
        <w:tabs>
          <w:tab w:leader="none" w:pos="24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building-related construction, tool installation, and software costs for assets not placed into service.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Intangible Assets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9"/>
              </w:rPr>
              <w:t>As of November 30, 2023</w:t>
            </w:r>
          </w:p>
        </w:tc>
        <w:tc>
          <w:tcPr>
            <w:tcW w:w="240" w:type="dxa"/>
            <w:vAlign w:val="bottom"/>
          </w:tcPr>
          <w:p>
            <w:pPr>
              <w:spacing w:after="0"/>
              <w:rPr>
                <w:sz w:val="18"/>
                <w:szCs w:val="18"/>
                <w:color w:val="auto"/>
              </w:rPr>
            </w:pPr>
          </w:p>
        </w:tc>
        <w:tc>
          <w:tcPr>
            <w:tcW w:w="398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9"/>
              </w:rPr>
              <w:t>As of August 31, 2023</w:t>
            </w:r>
          </w:p>
        </w:tc>
      </w:tr>
      <w:tr>
        <w:trPr>
          <w:trHeight w:val="169"/>
        </w:trPr>
        <w:tc>
          <w:tcPr>
            <w:tcW w:w="27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rPr>
              <w:t>Accumulated</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Net Carrying</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Gross</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b w:val="1"/>
                <w:bCs w:val="1"/>
                <w:color w:val="auto"/>
              </w:rPr>
              <w:t>Accumulated</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70"/>
              <w:spacing w:after="0" w:line="169" w:lineRule="exact"/>
              <w:rPr>
                <w:sz w:val="20"/>
                <w:szCs w:val="20"/>
                <w:color w:val="auto"/>
              </w:rPr>
            </w:pPr>
            <w:r>
              <w:rPr>
                <w:rFonts w:ascii="Arial" w:cs="Arial" w:eastAsia="Arial" w:hAnsi="Arial"/>
                <w:sz w:val="18"/>
                <w:szCs w:val="18"/>
                <w:b w:val="1"/>
                <w:bCs w:val="1"/>
                <w:color w:val="auto"/>
                <w:w w:val="99"/>
              </w:rPr>
              <w:t>Net Carrying</w:t>
            </w:r>
          </w:p>
        </w:tc>
      </w:tr>
      <w:tr>
        <w:trPr>
          <w:trHeight w:val="243"/>
        </w:trPr>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1"/>
                <w:szCs w:val="21"/>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Amortization</w:t>
            </w:r>
          </w:p>
        </w:tc>
        <w:tc>
          <w:tcPr>
            <w:tcW w:w="14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1"/>
                <w:szCs w:val="21"/>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Amortization</w:t>
            </w:r>
          </w:p>
        </w:tc>
        <w:tc>
          <w:tcPr>
            <w:tcW w:w="140" w:type="dxa"/>
            <w:vAlign w:val="bottom"/>
          </w:tcPr>
          <w:p>
            <w:pPr>
              <w:spacing w:after="0"/>
              <w:rPr>
                <w:sz w:val="21"/>
                <w:szCs w:val="21"/>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34"/>
        </w:trPr>
        <w:tc>
          <w:tcPr>
            <w:tcW w:w="27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r>
      <w:tr>
        <w:trPr>
          <w:trHeight w:val="230"/>
        </w:trPr>
        <w:tc>
          <w:tcPr>
            <w:tcW w:w="29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Product and process technology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631</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700" w:type="dxa"/>
            <w:vAlign w:val="bottom"/>
            <w:tcBorders>
              <w:top w:val="single" w:sz="8" w:color="D1D2D4"/>
              <w:bottom w:val="single" w:sz="8" w:color="D1D2D4"/>
            </w:tcBorders>
            <w:shd w:val="clear" w:color="auto" w:fill="D1D2D4"/>
          </w:tcPr>
          <w:p>
            <w:pPr>
              <w:spacing w:after="0"/>
              <w:rPr>
                <w:sz w:val="21"/>
                <w:szCs w:val="21"/>
                <w:color w:val="auto"/>
              </w:rPr>
            </w:pPr>
          </w:p>
        </w:tc>
        <w:tc>
          <w:tcPr>
            <w:tcW w:w="24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w:t>
            </w:r>
          </w:p>
        </w:tc>
        <w:tc>
          <w:tcPr>
            <w:tcW w:w="1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top w:val="single" w:sz="8" w:color="D1D2D4"/>
              <w:bottom w:val="single" w:sz="8" w:color="D1D2D4"/>
            </w:tcBorders>
            <w:shd w:val="clear" w:color="auto" w:fill="D1D2D4"/>
          </w:tcPr>
          <w:p>
            <w:pPr>
              <w:spacing w:after="0"/>
              <w:rPr>
                <w:sz w:val="21"/>
                <w:szCs w:val="21"/>
                <w:color w:val="auto"/>
              </w:rPr>
            </w:pPr>
          </w:p>
        </w:tc>
        <w:tc>
          <w:tcPr>
            <w:tcW w:w="24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404</w:t>
            </w:r>
          </w:p>
        </w:tc>
      </w:tr>
      <w:tr>
        <w:trPr>
          <w:trHeight w:val="20"/>
        </w:trPr>
        <w:tc>
          <w:tcPr>
            <w:tcW w:w="27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the first quarters of 2024 and 2023, we capitalized $22 million and $30 million, respectively, for product and process technology with weighted-average useful lives of 9 years and 10 years, respectively. Amortization expense was $20 million and $ 23 million for the first three months of 2024 and 2023, respectively. Expected amortization expense is $59 million for the remainder of 2024, $54 million for 2025, $50 million for 2026, $46 million for 2027, and $44 million for 2028.</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Leases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The components of lease cost are presented below:</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November 30,</w:t>
            </w:r>
          </w:p>
        </w:tc>
        <w:tc>
          <w:tcPr>
            <w:tcW w:w="180" w:type="dxa"/>
            <w:vAlign w:val="bottom"/>
          </w:tcPr>
          <w:p>
            <w:pPr>
              <w:spacing w:after="0"/>
              <w:rPr>
                <w:sz w:val="17"/>
                <w:szCs w:val="17"/>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1,</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cost</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Amortization of right-of-use asset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Interest on lease liability</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line="230"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Operating lease cost includes short-term and variable lease expenses, which were not material for the periods presented.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4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w:t>
            </w:r>
          </w:p>
        </w:tc>
        <w:tc>
          <w:tcPr>
            <w:tcW w:w="940" w:type="dxa"/>
            <w:vAlign w:val="bottom"/>
          </w:tcPr>
          <w:p>
            <w:pPr>
              <w:spacing w:after="0"/>
              <w:rPr>
                <w:sz w:val="17"/>
                <w:szCs w:val="17"/>
                <w:color w:val="auto"/>
              </w:rPr>
            </w:pPr>
          </w:p>
        </w:tc>
        <w:tc>
          <w:tcPr>
            <w:tcW w:w="1300" w:type="dxa"/>
            <w:vAlign w:val="bottom"/>
            <w:gridSpan w:val="2"/>
          </w:tcPr>
          <w:p>
            <w:pPr>
              <w:jc w:val="right"/>
              <w:ind w:right="30"/>
              <w:spacing w:after="0" w:line="199" w:lineRule="exact"/>
              <w:rPr>
                <w:sz w:val="20"/>
                <w:szCs w:val="20"/>
                <w:color w:val="auto"/>
              </w:rPr>
            </w:pPr>
            <w:r>
              <w:rPr>
                <w:rFonts w:ascii="Arial" w:cs="Arial" w:eastAsia="Arial" w:hAnsi="Arial"/>
                <w:sz w:val="18"/>
                <w:szCs w:val="18"/>
                <w:b w:val="1"/>
                <w:bCs w:val="1"/>
                <w:color w:val="auto"/>
                <w:w w:val="98"/>
              </w:rPr>
              <w:t>November 30,</w:t>
            </w:r>
          </w:p>
        </w:tc>
        <w:tc>
          <w:tcPr>
            <w:tcW w:w="160" w:type="dxa"/>
            <w:vAlign w:val="bottom"/>
          </w:tcPr>
          <w:p>
            <w:pPr>
              <w:spacing w:after="0"/>
              <w:rPr>
                <w:sz w:val="17"/>
                <w:szCs w:val="17"/>
                <w:color w:val="auto"/>
              </w:rPr>
            </w:pPr>
          </w:p>
        </w:tc>
        <w:tc>
          <w:tcPr>
            <w:tcW w:w="1300" w:type="dxa"/>
            <w:vAlign w:val="bottom"/>
            <w:gridSpan w:val="2"/>
          </w:tcPr>
          <w:p>
            <w:pPr>
              <w:ind w:left="40"/>
              <w:spacing w:after="0" w:line="199" w:lineRule="exact"/>
              <w:rPr>
                <w:sz w:val="20"/>
                <w:szCs w:val="20"/>
                <w:color w:val="auto"/>
              </w:rPr>
            </w:pPr>
            <w:r>
              <w:rPr>
                <w:rFonts w:ascii="Arial" w:cs="Arial" w:eastAsia="Arial" w:hAnsi="Arial"/>
                <w:sz w:val="18"/>
                <w:szCs w:val="18"/>
                <w:b w:val="1"/>
                <w:bCs w:val="1"/>
                <w:color w:val="auto"/>
              </w:rPr>
              <w:t>December 1,</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75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D1D2D4"/>
          </w:tcPr>
          <w:p>
            <w:pPr>
              <w:spacing w:after="0"/>
              <w:rPr>
                <w:sz w:val="19"/>
                <w:szCs w:val="19"/>
                <w:color w:val="auto"/>
              </w:rPr>
            </w:pPr>
          </w:p>
        </w:tc>
        <w:tc>
          <w:tcPr>
            <w:tcW w:w="7520" w:type="dxa"/>
            <w:vAlign w:val="bottom"/>
            <w:shd w:val="clear" w:color="auto" w:fill="D1D2D4"/>
          </w:tcPr>
          <w:p>
            <w:pPr>
              <w:spacing w:after="0"/>
              <w:rPr>
                <w:sz w:val="20"/>
                <w:szCs w:val="20"/>
                <w:color w:val="auto"/>
              </w:rPr>
            </w:pPr>
            <w:r>
              <w:rPr>
                <w:rFonts w:ascii="Arial" w:cs="Arial" w:eastAsia="Arial" w:hAnsi="Arial"/>
                <w:sz w:val="18"/>
                <w:szCs w:val="18"/>
                <w:color w:val="auto"/>
              </w:rPr>
              <w:t>Cash flows used for operating activities</w:t>
            </w:r>
          </w:p>
        </w:tc>
        <w:tc>
          <w:tcPr>
            <w:tcW w:w="94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1D2D4"/>
          </w:tcPr>
          <w:p>
            <w:pPr>
              <w:spacing w:after="0"/>
              <w:rPr>
                <w:sz w:val="19"/>
                <w:szCs w:val="19"/>
                <w:color w:val="auto"/>
              </w:rPr>
            </w:pPr>
          </w:p>
        </w:tc>
        <w:tc>
          <w:tcPr>
            <w:tcW w:w="752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Operating leases</w:t>
            </w:r>
          </w:p>
        </w:tc>
        <w:tc>
          <w:tcPr>
            <w:tcW w:w="94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flows used for financing activities – Finance leases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1D2D4"/>
          </w:tcPr>
          <w:p>
            <w:pPr>
              <w:spacing w:after="0"/>
              <w:rPr>
                <w:sz w:val="19"/>
                <w:szCs w:val="19"/>
                <w:color w:val="auto"/>
              </w:rPr>
            </w:pPr>
          </w:p>
        </w:tc>
        <w:tc>
          <w:tcPr>
            <w:tcW w:w="7520" w:type="dxa"/>
            <w:vAlign w:val="bottom"/>
            <w:shd w:val="clear" w:color="auto" w:fill="D1D2D4"/>
          </w:tcPr>
          <w:p>
            <w:pPr>
              <w:spacing w:after="0"/>
              <w:rPr>
                <w:sz w:val="20"/>
                <w:szCs w:val="20"/>
                <w:color w:val="auto"/>
              </w:rPr>
            </w:pPr>
            <w:r>
              <w:rPr>
                <w:rFonts w:ascii="Arial" w:cs="Arial" w:eastAsia="Arial" w:hAnsi="Arial"/>
                <w:sz w:val="18"/>
                <w:szCs w:val="18"/>
                <w:color w:val="auto"/>
              </w:rPr>
              <w:t>Noncash acquisitions of right-of-use assets</w:t>
            </w:r>
          </w:p>
        </w:tc>
        <w:tc>
          <w:tcPr>
            <w:tcW w:w="94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217</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1D2D4"/>
          </w:tcPr>
          <w:p>
            <w:pPr>
              <w:spacing w:after="0"/>
              <w:rPr>
                <w:sz w:val="19"/>
                <w:szCs w:val="19"/>
                <w:color w:val="auto"/>
              </w:rPr>
            </w:pPr>
          </w:p>
        </w:tc>
        <w:tc>
          <w:tcPr>
            <w:tcW w:w="752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Operating leases</w:t>
            </w:r>
          </w:p>
        </w:tc>
        <w:tc>
          <w:tcPr>
            <w:tcW w:w="94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557"/>
        </w:trPr>
        <w:tc>
          <w:tcPr>
            <w:tcW w:w="754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40" w:type="dxa"/>
            <w:vAlign w:val="bottom"/>
            <w:gridSpan w:val="3"/>
          </w:tcPr>
          <w:p>
            <w:pPr>
              <w:jc w:val="right"/>
              <w:ind w:right="250"/>
              <w:spacing w:after="0" w:line="199" w:lineRule="exact"/>
              <w:rPr>
                <w:sz w:val="20"/>
                <w:szCs w:val="20"/>
                <w:color w:val="auto"/>
              </w:rPr>
            </w:pPr>
            <w:r>
              <w:rPr>
                <w:rFonts w:ascii="Arial" w:cs="Arial" w:eastAsia="Arial" w:hAnsi="Arial"/>
                <w:sz w:val="18"/>
                <w:szCs w:val="18"/>
                <w:b w:val="1"/>
                <w:bCs w:val="1"/>
                <w:color w:val="auto"/>
              </w:rPr>
              <w:t>November 30,</w:t>
            </w:r>
          </w:p>
        </w:tc>
        <w:tc>
          <w:tcPr>
            <w:tcW w:w="160" w:type="dxa"/>
            <w:vAlign w:val="bottom"/>
          </w:tcPr>
          <w:p>
            <w:pPr>
              <w:spacing w:after="0"/>
              <w:rPr>
                <w:sz w:val="17"/>
                <w:szCs w:val="17"/>
                <w:color w:val="auto"/>
              </w:rPr>
            </w:pPr>
          </w:p>
        </w:tc>
        <w:tc>
          <w:tcPr>
            <w:tcW w:w="1300" w:type="dxa"/>
            <w:vAlign w:val="bottom"/>
            <w:gridSpan w:val="2"/>
          </w:tcPr>
          <w:p>
            <w:pPr>
              <w:ind w:left="40"/>
              <w:spacing w:after="0" w:line="199" w:lineRule="exact"/>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right-of-use assets (included in property, plant, and equipment)</w:t>
            </w:r>
          </w:p>
        </w:tc>
        <w:tc>
          <w:tcPr>
            <w:tcW w:w="94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1,497</w:t>
            </w:r>
          </w:p>
        </w:tc>
        <w:tc>
          <w:tcPr>
            <w:tcW w:w="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Current operating lease liabilities (included in accounts payable and accrued expenses)</w:t>
            </w:r>
          </w:p>
        </w:tc>
        <w:tc>
          <w:tcPr>
            <w:tcW w:w="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shd w:val="clear" w:color="auto" w:fill="D1D2D4"/>
          </w:tcPr>
          <w:p>
            <w:pPr>
              <w:spacing w:after="0"/>
              <w:rPr>
                <w:sz w:val="23"/>
                <w:szCs w:val="23"/>
                <w:color w:val="auto"/>
              </w:rPr>
            </w:pPr>
          </w:p>
        </w:tc>
        <w:tc>
          <w:tcPr>
            <w:tcW w:w="940" w:type="dxa"/>
            <w:vAlign w:val="bottom"/>
            <w:shd w:val="clear" w:color="auto" w:fill="D1D2D4"/>
          </w:tcPr>
          <w:p>
            <w:pPr>
              <w:spacing w:after="0"/>
              <w:rPr>
                <w:sz w:val="23"/>
                <w:szCs w:val="23"/>
                <w:color w:val="auto"/>
              </w:rPr>
            </w:pPr>
          </w:p>
        </w:tc>
        <w:tc>
          <w:tcPr>
            <w:tcW w:w="940" w:type="dxa"/>
            <w:vAlign w:val="bottom"/>
            <w:shd w:val="clear" w:color="auto" w:fill="D1D2D4"/>
          </w:tcPr>
          <w:p>
            <w:pPr>
              <w:spacing w:after="0"/>
              <w:rPr>
                <w:sz w:val="23"/>
                <w:szCs w:val="23"/>
                <w:color w:val="auto"/>
              </w:rPr>
            </w:pPr>
          </w:p>
        </w:tc>
        <w:tc>
          <w:tcPr>
            <w:tcW w:w="360" w:type="dxa"/>
            <w:vAlign w:val="bottom"/>
            <w:shd w:val="clear" w:color="auto" w:fill="D1D2D4"/>
          </w:tcPr>
          <w:p>
            <w:pPr>
              <w:spacing w:after="0"/>
              <w:rPr>
                <w:sz w:val="23"/>
                <w:szCs w:val="23"/>
                <w:color w:val="auto"/>
              </w:rPr>
            </w:pPr>
          </w:p>
        </w:tc>
        <w:tc>
          <w:tcPr>
            <w:tcW w:w="160" w:type="dxa"/>
            <w:vAlign w:val="bottom"/>
            <w:shd w:val="clear" w:color="auto" w:fill="D1D2D4"/>
          </w:tcPr>
          <w:p>
            <w:pPr>
              <w:spacing w:after="0"/>
              <w:rPr>
                <w:sz w:val="23"/>
                <w:szCs w:val="23"/>
                <w:color w:val="auto"/>
              </w:rPr>
            </w:pPr>
          </w:p>
        </w:tc>
        <w:tc>
          <w:tcPr>
            <w:tcW w:w="1280" w:type="dxa"/>
            <w:vAlign w:val="bottom"/>
            <w:shd w:val="clear" w:color="auto" w:fill="D1D2D4"/>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D1D2D4"/>
          </w:tcPr>
          <w:p>
            <w:pPr>
              <w:ind w:left="120"/>
              <w:spacing w:after="0"/>
              <w:rPr>
                <w:sz w:val="20"/>
                <w:szCs w:val="20"/>
                <w:color w:val="auto"/>
              </w:rPr>
            </w:pPr>
            <w:r>
              <w:rPr>
                <w:rFonts w:ascii="Arial" w:cs="Arial" w:eastAsia="Arial" w:hAnsi="Arial"/>
                <w:sz w:val="18"/>
                <w:szCs w:val="18"/>
                <w:color w:val="auto"/>
              </w:rPr>
              <w:t>Finance leases</w:t>
            </w:r>
          </w:p>
        </w:tc>
        <w:tc>
          <w:tcPr>
            <w:tcW w:w="940" w:type="dxa"/>
            <w:vAlign w:val="bottom"/>
            <w:shd w:val="clear" w:color="auto" w:fill="D1D2D4"/>
          </w:tcPr>
          <w:p>
            <w:pPr>
              <w:spacing w:after="0"/>
              <w:rPr>
                <w:sz w:val="19"/>
                <w:szCs w:val="19"/>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discount rate</w:t>
            </w:r>
          </w:p>
        </w:tc>
        <w:tc>
          <w:tcPr>
            <w:tcW w:w="94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940" w:type="dxa"/>
            <w:vAlign w:val="bottom"/>
          </w:tcPr>
          <w:p>
            <w:pPr>
              <w:spacing w:after="0"/>
              <w:rPr>
                <w:sz w:val="19"/>
                <w:szCs w:val="19"/>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4.25 %</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Operating leases</w:t>
            </w:r>
          </w:p>
        </w:tc>
        <w:tc>
          <w:tcPr>
            <w:tcW w:w="940" w:type="dxa"/>
            <w:vAlign w:val="bottom"/>
            <w:shd w:val="clear" w:color="auto" w:fill="D1D2D4"/>
          </w:tcPr>
          <w:p>
            <w:pPr>
              <w:spacing w:after="0"/>
              <w:rPr>
                <w:sz w:val="19"/>
                <w:szCs w:val="19"/>
                <w:color w:val="auto"/>
              </w:rPr>
            </w:pPr>
          </w:p>
        </w:tc>
        <w:tc>
          <w:tcPr>
            <w:tcW w:w="130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3.23 %</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As of November 30, 2023, maturities of lease liabilities by fiscal year were as follows:</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Finance Leases</w:t>
            </w:r>
          </w:p>
        </w:tc>
        <w:tc>
          <w:tcPr>
            <w:tcW w:w="200" w:type="dxa"/>
            <w:vAlign w:val="bottom"/>
          </w:tcPr>
          <w:p>
            <w:pPr>
              <w:spacing w:after="0"/>
              <w:rPr>
                <w:sz w:val="17"/>
                <w:szCs w:val="17"/>
                <w:color w:val="auto"/>
              </w:rPr>
            </w:pPr>
          </w:p>
        </w:tc>
        <w:tc>
          <w:tcPr>
            <w:tcW w:w="1240" w:type="dxa"/>
            <w:vAlign w:val="bottom"/>
          </w:tcPr>
          <w:p>
            <w:pPr>
              <w:jc w:val="right"/>
              <w:ind w:right="210"/>
              <w:spacing w:after="0" w:line="199" w:lineRule="exact"/>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440" w:type="dxa"/>
            <w:vAlign w:val="bottom"/>
            <w:tcBorders>
              <w:bottom w:val="single" w:sz="8" w:color="auto"/>
            </w:tcBorders>
            <w:gridSpan w:val="2"/>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Leases</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2024</w:t>
            </w:r>
          </w:p>
        </w:tc>
        <w:tc>
          <w:tcPr>
            <w:tcW w:w="50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w:t>
            </w:r>
          </w:p>
        </w:tc>
        <w:tc>
          <w:tcPr>
            <w:tcW w:w="500" w:type="dxa"/>
            <w:vAlign w:val="bottom"/>
            <w:shd w:val="clear" w:color="auto" w:fill="D1D2D4"/>
          </w:tcPr>
          <w:p>
            <w:pPr>
              <w:spacing w:after="0"/>
              <w:rPr>
                <w:sz w:val="19"/>
                <w:szCs w:val="19"/>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2027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D1D2D4"/>
          </w:tcPr>
          <w:p>
            <w:pPr>
              <w:spacing w:after="0"/>
              <w:rPr>
                <w:sz w:val="19"/>
                <w:szCs w:val="19"/>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2029 and thereafter</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Less imputed interest</w:t>
            </w:r>
          </w:p>
        </w:tc>
        <w:tc>
          <w:tcPr>
            <w:tcW w:w="500" w:type="dxa"/>
            <w:vAlign w:val="bottom"/>
            <w:tcBorders>
              <w:bottom w:val="single" w:sz="8" w:color="auto"/>
            </w:tcBorders>
            <w:shd w:val="clear" w:color="auto" w:fill="D1D2D4"/>
          </w:tcPr>
          <w:p>
            <w:pPr>
              <w:spacing w:after="0"/>
              <w:rPr>
                <w:sz w:val="19"/>
                <w:szCs w:val="19"/>
                <w:color w:val="auto"/>
              </w:rPr>
            </w:pP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table above excludes obligations for leases that have been executed but have not yet commenced. As of November 30, 2023, excluded obligations consisted of $122 million of finance lease obligations over a weighted-average period of 8 years for gas supply arrangements deemed to contain embedded leases and equipment leases. We will recognize right-of-use assets and associated lease liabilities at the time such assets become available for our use.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Accounts Payable and Accrued Expenses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7"/>
                <w:szCs w:val="17"/>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November 30,</w:t>
            </w:r>
          </w:p>
        </w:tc>
        <w:tc>
          <w:tcPr>
            <w:tcW w:w="22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1,721</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1,197</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12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Debt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As of November 30, 2023</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rPr>
              <w:t>As of August 31, 2023</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0" w:type="dxa"/>
            <w:vAlign w:val="bottom"/>
          </w:tcPr>
          <w:p>
            <w:pPr>
              <w:spacing w:after="0"/>
              <w:rPr>
                <w:sz w:val="1"/>
                <w:szCs w:val="1"/>
                <w:color w:val="auto"/>
              </w:rPr>
            </w:pPr>
          </w:p>
        </w:tc>
      </w:tr>
      <w:tr>
        <w:trPr>
          <w:trHeight w:val="177"/>
        </w:trPr>
        <w:tc>
          <w:tcPr>
            <w:tcW w:w="3700" w:type="dxa"/>
            <w:vAlign w:val="bottom"/>
          </w:tcPr>
          <w:p>
            <w:pPr>
              <w:spacing w:after="0"/>
              <w:rPr>
                <w:sz w:val="15"/>
                <w:szCs w:val="15"/>
                <w:color w:val="auto"/>
              </w:rPr>
            </w:pPr>
          </w:p>
        </w:tc>
        <w:tc>
          <w:tcPr>
            <w:tcW w:w="1020" w:type="dxa"/>
            <w:vAlign w:val="bottom"/>
          </w:tcPr>
          <w:p>
            <w:pPr>
              <w:jc w:val="right"/>
              <w:ind w:right="170"/>
              <w:spacing w:after="0" w:line="177" w:lineRule="exact"/>
              <w:rPr>
                <w:sz w:val="20"/>
                <w:szCs w:val="20"/>
                <w:color w:val="auto"/>
              </w:rPr>
            </w:pPr>
            <w:r>
              <w:rPr>
                <w:rFonts w:ascii="Arial" w:cs="Arial" w:eastAsia="Arial" w:hAnsi="Arial"/>
                <w:sz w:val="18"/>
                <w:szCs w:val="18"/>
                <w:b w:val="1"/>
                <w:bCs w:val="1"/>
                <w:color w:val="auto"/>
              </w:rPr>
              <w:t>Stated</w:t>
            </w:r>
          </w:p>
        </w:tc>
        <w:tc>
          <w:tcPr>
            <w:tcW w:w="98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rPr>
              <w:t>Effective</w:t>
            </w:r>
          </w:p>
        </w:tc>
        <w:tc>
          <w:tcPr>
            <w:tcW w:w="12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180" w:type="dxa"/>
            <w:vAlign w:val="bottom"/>
          </w:tcPr>
          <w:p>
            <w:pPr>
              <w:spacing w:after="0"/>
              <w:rPr>
                <w:sz w:val="15"/>
                <w:szCs w:val="15"/>
                <w:color w:val="auto"/>
              </w:rPr>
            </w:pPr>
          </w:p>
        </w:tc>
        <w:tc>
          <w:tcPr>
            <w:tcW w:w="720" w:type="dxa"/>
            <w:vAlign w:val="bottom"/>
          </w:tcPr>
          <w:p>
            <w:pPr>
              <w:jc w:val="center"/>
              <w:ind w:right="10"/>
              <w:spacing w:after="0" w:line="177"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5"/>
                <w:szCs w:val="1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200" w:type="dxa"/>
            <w:vAlign w:val="bottom"/>
          </w:tcPr>
          <w:p>
            <w:pPr>
              <w:spacing w:after="0"/>
              <w:rPr>
                <w:sz w:val="15"/>
                <w:szCs w:val="15"/>
                <w:color w:val="auto"/>
              </w:rPr>
            </w:pPr>
          </w:p>
        </w:tc>
        <w:tc>
          <w:tcPr>
            <w:tcW w:w="700" w:type="dxa"/>
            <w:vAlign w:val="bottom"/>
          </w:tcPr>
          <w:p>
            <w:pPr>
              <w:jc w:val="center"/>
              <w:ind w:right="30"/>
              <w:spacing w:after="0" w:line="177"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5"/>
                <w:szCs w:val="15"/>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370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Rate</w:t>
            </w:r>
          </w:p>
        </w:tc>
        <w:tc>
          <w:tcPr>
            <w:tcW w:w="1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Rate</w:t>
            </w:r>
          </w:p>
        </w:tc>
        <w:tc>
          <w:tcPr>
            <w:tcW w:w="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Term</w:t>
            </w:r>
          </w:p>
        </w:tc>
        <w:tc>
          <w:tcPr>
            <w:tcW w:w="22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7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Term Loan A</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6.163 %</w:t>
            </w:r>
          </w:p>
        </w:tc>
        <w:tc>
          <w:tcPr>
            <w:tcW w:w="11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6.20 % $</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2025 Term Loan A</w:t>
            </w:r>
          </w:p>
        </w:tc>
        <w:tc>
          <w:tcPr>
            <w:tcW w:w="1020" w:type="dxa"/>
            <w:vAlign w:val="bottom"/>
          </w:tcPr>
          <w:p>
            <w:pPr>
              <w:jc w:val="right"/>
              <w:spacing w:after="0"/>
              <w:rPr>
                <w:sz w:val="20"/>
                <w:szCs w:val="20"/>
                <w:color w:val="auto"/>
              </w:rPr>
            </w:pPr>
            <w:r>
              <w:rPr>
                <w:rFonts w:ascii="Arial" w:cs="Arial" w:eastAsia="Arial" w:hAnsi="Arial"/>
                <w:sz w:val="18"/>
                <w:szCs w:val="18"/>
                <w:color w:val="auto"/>
              </w:rPr>
              <w:t>6.698 %</w:t>
            </w:r>
          </w:p>
        </w:tc>
        <w:tc>
          <w:tcPr>
            <w:tcW w:w="980" w:type="dxa"/>
            <w:vAlign w:val="bottom"/>
          </w:tcPr>
          <w:p>
            <w:pPr>
              <w:jc w:val="right"/>
              <w:spacing w:after="0"/>
              <w:rPr>
                <w:sz w:val="20"/>
                <w:szCs w:val="20"/>
                <w:color w:val="auto"/>
              </w:rPr>
            </w:pPr>
            <w:r>
              <w:rPr>
                <w:rFonts w:ascii="Arial" w:cs="Arial" w:eastAsia="Arial" w:hAnsi="Arial"/>
                <w:sz w:val="18"/>
                <w:szCs w:val="18"/>
                <w:color w:val="auto"/>
              </w:rPr>
              <w:t>6.83 %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Term Loan A</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6.823 %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909</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921</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2027 Term Loan A</w:t>
            </w:r>
          </w:p>
        </w:tc>
        <w:tc>
          <w:tcPr>
            <w:tcW w:w="1020" w:type="dxa"/>
            <w:vAlign w:val="bottom"/>
          </w:tcPr>
          <w:p>
            <w:pPr>
              <w:jc w:val="right"/>
              <w:spacing w:after="0"/>
              <w:rPr>
                <w:sz w:val="20"/>
                <w:szCs w:val="20"/>
                <w:color w:val="auto"/>
              </w:rPr>
            </w:pPr>
            <w:r>
              <w:rPr>
                <w:rFonts w:ascii="Arial" w:cs="Arial" w:eastAsia="Arial" w:hAnsi="Arial"/>
                <w:sz w:val="18"/>
                <w:szCs w:val="18"/>
                <w:color w:val="auto"/>
              </w:rPr>
              <w:t>6.948 %</w:t>
            </w:r>
          </w:p>
        </w:tc>
        <w:tc>
          <w:tcPr>
            <w:tcW w:w="980" w:type="dxa"/>
            <w:vAlign w:val="bottom"/>
          </w:tcPr>
          <w:p>
            <w:pPr>
              <w:jc w:val="right"/>
              <w:spacing w:after="0"/>
              <w:rPr>
                <w:sz w:val="20"/>
                <w:szCs w:val="20"/>
                <w:color w:val="auto"/>
              </w:rPr>
            </w:pPr>
            <w:r>
              <w:rPr>
                <w:rFonts w:ascii="Arial" w:cs="Arial" w:eastAsia="Arial" w:hAnsi="Arial"/>
                <w:sz w:val="18"/>
                <w:szCs w:val="18"/>
                <w:color w:val="auto"/>
              </w:rPr>
              <w:t>7.09 %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1,049</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1,063</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5.07 %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line="230" w:lineRule="exact"/>
              <w:rPr>
                <w:sz w:val="20"/>
                <w:szCs w:val="20"/>
                <w:color w:val="auto"/>
              </w:rPr>
            </w:pPr>
            <w:r>
              <w:rPr>
                <w:rFonts w:ascii="Arial" w:cs="Arial" w:eastAsia="Arial" w:hAnsi="Arial"/>
                <w:sz w:val="18"/>
                <w:szCs w:val="18"/>
                <w:color w:val="auto"/>
              </w:rPr>
              <w:t>2027 Notes</w:t>
            </w:r>
            <w:r>
              <w:rPr>
                <w:rFonts w:ascii="Arial" w:cs="Arial" w:eastAsia="Arial" w:hAnsi="Arial"/>
                <w:sz w:val="23"/>
                <w:szCs w:val="23"/>
                <w:color w:val="auto"/>
                <w:vertAlign w:val="superscript"/>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4.185 %</w:t>
            </w:r>
          </w:p>
        </w:tc>
        <w:tc>
          <w:tcPr>
            <w:tcW w:w="980" w:type="dxa"/>
            <w:vAlign w:val="bottom"/>
          </w:tcPr>
          <w:p>
            <w:pPr>
              <w:jc w:val="right"/>
              <w:spacing w:after="0"/>
              <w:rPr>
                <w:sz w:val="20"/>
                <w:szCs w:val="20"/>
                <w:color w:val="auto"/>
              </w:rPr>
            </w:pPr>
            <w:r>
              <w:rPr>
                <w:rFonts w:ascii="Arial" w:cs="Arial" w:eastAsia="Arial" w:hAnsi="Arial"/>
                <w:sz w:val="18"/>
                <w:szCs w:val="18"/>
                <w:color w:val="auto"/>
              </w:rPr>
              <w:t>4.27 %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2028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5.52 %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2029 A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5.327 %</w:t>
            </w:r>
          </w:p>
        </w:tc>
        <w:tc>
          <w:tcPr>
            <w:tcW w:w="980" w:type="dxa"/>
            <w:vAlign w:val="bottom"/>
          </w:tcPr>
          <w:p>
            <w:pPr>
              <w:jc w:val="right"/>
              <w:spacing w:after="0"/>
              <w:rPr>
                <w:sz w:val="20"/>
                <w:szCs w:val="20"/>
                <w:color w:val="auto"/>
              </w:rPr>
            </w:pPr>
            <w:r>
              <w:rPr>
                <w:rFonts w:ascii="Arial" w:cs="Arial" w:eastAsia="Arial" w:hAnsi="Arial"/>
                <w:sz w:val="18"/>
                <w:szCs w:val="18"/>
                <w:color w:val="auto"/>
              </w:rPr>
              <w:t>5.40 %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 B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6.750 %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6.54 %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1,263</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1,263</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2030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4.663 %</w:t>
            </w:r>
          </w:p>
        </w:tc>
        <w:tc>
          <w:tcPr>
            <w:tcW w:w="980" w:type="dxa"/>
            <w:vAlign w:val="bottom"/>
          </w:tcPr>
          <w:p>
            <w:pPr>
              <w:jc w:val="right"/>
              <w:spacing w:after="0"/>
              <w:rPr>
                <w:sz w:val="20"/>
                <w:szCs w:val="20"/>
                <w:color w:val="auto"/>
              </w:rPr>
            </w:pPr>
            <w:r>
              <w:rPr>
                <w:rFonts w:ascii="Arial" w:cs="Arial" w:eastAsia="Arial" w:hAnsi="Arial"/>
                <w:sz w:val="18"/>
                <w:szCs w:val="18"/>
                <w:color w:val="auto"/>
              </w:rPr>
              <w:t>4.73 %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2032 Green Bonds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2.703 %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995</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995</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2033 A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5.875 %</w:t>
            </w:r>
          </w:p>
        </w:tc>
        <w:tc>
          <w:tcPr>
            <w:tcW w:w="980" w:type="dxa"/>
            <w:vAlign w:val="bottom"/>
          </w:tcPr>
          <w:p>
            <w:pPr>
              <w:jc w:val="right"/>
              <w:spacing w:after="0"/>
              <w:rPr>
                <w:sz w:val="20"/>
                <w:szCs w:val="20"/>
                <w:color w:val="auto"/>
              </w:rPr>
            </w:pPr>
            <w:r>
              <w:rPr>
                <w:rFonts w:ascii="Arial" w:cs="Arial" w:eastAsia="Arial" w:hAnsi="Arial"/>
                <w:sz w:val="18"/>
                <w:szCs w:val="18"/>
                <w:color w:val="auto"/>
              </w:rPr>
              <w:t>5.96 %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2033 B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6.01 %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890</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890</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2041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3.366 %</w:t>
            </w:r>
          </w:p>
        </w:tc>
        <w:tc>
          <w:tcPr>
            <w:tcW w:w="980" w:type="dxa"/>
            <w:vAlign w:val="bottom"/>
          </w:tcPr>
          <w:p>
            <w:pPr>
              <w:jc w:val="right"/>
              <w:spacing w:after="0"/>
              <w:rPr>
                <w:sz w:val="20"/>
                <w:szCs w:val="20"/>
                <w:color w:val="auto"/>
              </w:rPr>
            </w:pPr>
            <w:r>
              <w:rPr>
                <w:rFonts w:ascii="Arial" w:cs="Arial" w:eastAsia="Arial" w:hAnsi="Arial"/>
                <w:sz w:val="18"/>
                <w:szCs w:val="18"/>
                <w:color w:val="auto"/>
              </w:rPr>
              <w:t>3.41 %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2051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3.477 %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3.52 %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Finance lease obligations</w:t>
            </w:r>
          </w:p>
        </w:tc>
        <w:tc>
          <w:tcPr>
            <w:tcW w:w="10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N/A</w:t>
            </w:r>
          </w:p>
        </w:tc>
        <w:tc>
          <w:tcPr>
            <w:tcW w:w="9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4.25 %</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D1D2D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D1D2D4"/>
            </w:tcBorders>
            <w:shd w:val="clear" w:color="auto" w:fill="D1D2D4"/>
          </w:tcPr>
          <w:p>
            <w:pPr>
              <w:spacing w:after="0"/>
              <w:rPr>
                <w:sz w:val="21"/>
                <w:szCs w:val="21"/>
                <w:color w:val="auto"/>
              </w:rPr>
            </w:pPr>
          </w:p>
        </w:tc>
        <w:tc>
          <w:tcPr>
            <w:tcW w:w="1020" w:type="dxa"/>
            <w:vAlign w:val="bottom"/>
            <w:tcBorders>
              <w:bottom w:val="single" w:sz="8" w:color="D1D2D4"/>
            </w:tcBorders>
            <w:shd w:val="clear" w:color="auto" w:fill="D1D2D4"/>
          </w:tcPr>
          <w:p>
            <w:pPr>
              <w:spacing w:after="0"/>
              <w:rPr>
                <w:sz w:val="21"/>
                <w:szCs w:val="21"/>
                <w:color w:val="auto"/>
              </w:rPr>
            </w:pPr>
          </w:p>
        </w:tc>
        <w:tc>
          <w:tcPr>
            <w:tcW w:w="98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908</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12,597</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13,505</w:t>
            </w:r>
          </w:p>
        </w:tc>
        <w:tc>
          <w:tcPr>
            <w:tcW w:w="10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13,052</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13,330</w:t>
            </w:r>
          </w:p>
        </w:tc>
        <w:tc>
          <w:tcPr>
            <w:tcW w:w="0" w:type="dxa"/>
            <w:vAlign w:val="bottom"/>
          </w:tcPr>
          <w:p>
            <w:pPr>
              <w:spacing w:after="0"/>
              <w:rPr>
                <w:sz w:val="1"/>
                <w:szCs w:val="1"/>
                <w:color w:val="auto"/>
              </w:rPr>
            </w:pPr>
          </w:p>
        </w:tc>
      </w:tr>
      <w:tr>
        <w:trPr>
          <w:trHeight w:val="20"/>
        </w:trPr>
        <w:tc>
          <w:tcPr>
            <w:tcW w:w="3700" w:type="dxa"/>
            <w:vAlign w:val="bottom"/>
            <w:tcBorders>
              <w:top w:val="single" w:sz="8" w:color="D1D2D4"/>
            </w:tcBorders>
          </w:tcPr>
          <w:p>
            <w:pPr>
              <w:spacing w:after="0" w:line="20" w:lineRule="exact"/>
              <w:rPr>
                <w:sz w:val="1"/>
                <w:szCs w:val="1"/>
                <w:color w:val="auto"/>
              </w:rPr>
            </w:pPr>
          </w:p>
        </w:tc>
        <w:tc>
          <w:tcPr>
            <w:tcW w:w="1020" w:type="dxa"/>
            <w:vAlign w:val="bottom"/>
            <w:tcBorders>
              <w:top w:val="single" w:sz="8" w:color="D1D2D4"/>
            </w:tcBorders>
          </w:tcPr>
          <w:p>
            <w:pPr>
              <w:spacing w:after="0" w:line="20" w:lineRule="exact"/>
              <w:rPr>
                <w:sz w:val="1"/>
                <w:szCs w:val="1"/>
                <w:color w:val="auto"/>
              </w:rPr>
            </w:pPr>
          </w:p>
        </w:tc>
        <w:tc>
          <w:tcPr>
            <w:tcW w:w="98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7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76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180" w:right="240" w:hanging="172"/>
        <w:spacing w:after="0" w:line="239" w:lineRule="auto"/>
        <w:tabs>
          <w:tab w:leader="none" w:pos="211"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 2021, we entered into fixed-to-floating interest rate swaps on the 2027 Notes with an aggregate $900 million notional amount equal to the principal amount of the 2027 Notes. The resulting variable interest paid is at a rate equal to SOFR plus approximately 3.33%. The fixed-to-floating interest rate swaps are accounted for as fair value hedges, and as a result, the carrying values of our 2027 Notes reflect adjustments in fair value.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Revolving Credit Facility</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November 30, 2023, no amounts were outstanding under the Revolving Credit Facility and $ 2.50 billion was available to us. Under the Revolving Credit Facility, borrowings would generally bear interest at a rate equal to adjusted term SOFR plus 1.00% to 1.75%, depending on our corporate credit ratings. Adjusted term SOFR for the Revolving Credit Facility agreement is the SOFR benchmark plus a credit spread adjustment ranging from approximately 0.11% to 0.43% depending on the applicable interest period selected. Any amounts outstanding under the Revolving Credit Facility would mature in May 2026 and amounts borrowed may be prepaid without penalty.</w:t>
      </w:r>
    </w:p>
    <w:p>
      <w:pPr>
        <w:spacing w:after="0" w:line="20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Revolving Credit Facility requires us to maintain, on a consolidated basis, a leverage ratio of total indebtedness to adjusted EBITDA, as defined in the Revolving Credit Facility and calculated as of the last day of each fiscal quarter, not to exceed 3.25 to 1.00. On March 27, 2023, we amended the Revolving Credit Facility to provide that in lieu of the foregoing leverage ratio, during the fourth quarter of 2023 and each quarter of 2024, we will be required to maintain, on a consolidated basis, a net leverage ratio of total net indebtedness to adjusted EBITDA, as defined in the Revolving Credit Facility and calculated as of the last day of each fiscal quarter, not to exceed 3.25 to 1.00. Alternatively, for up to three of such five quarters, we may elect to comply with a requirement of minimum liquidity, as defined in the Revolving Credit Facility, of not less than $5.0 billion. In the fourth quarter of 2023 and first quarter of 2024, we complied with the net leverage ratio requirement. Each of the leverage ratio and net leverage ratio maximums, as applicable, is subject to a temporary four quarter increase in such ratio to 3.75 to 1.00 following certain material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r>
      <w:tr>
        <w:trPr>
          <w:trHeight w:val="910"/>
        </w:trPr>
        <w:tc>
          <w:tcPr>
            <w:tcW w:w="9800" w:type="dxa"/>
            <w:vAlign w:val="bottom"/>
          </w:tcPr>
          <w:p>
            <w:pPr>
              <w:spacing w:after="0"/>
              <w:rPr>
                <w:sz w:val="20"/>
                <w:szCs w:val="20"/>
                <w:color w:val="auto"/>
              </w:rPr>
            </w:pPr>
            <w:r>
              <w:rPr>
                <w:rFonts w:ascii="Arial" w:cs="Arial" w:eastAsia="Arial" w:hAnsi="Arial"/>
                <w:sz w:val="22"/>
                <w:szCs w:val="22"/>
                <w:b w:val="1"/>
                <w:bCs w:val="1"/>
                <w:color w:val="auto"/>
              </w:rPr>
              <w:t>Maturities of Notes Payable</w:t>
            </w:r>
          </w:p>
        </w:tc>
        <w:tc>
          <w:tcPr>
            <w:tcW w:w="80" w:type="dxa"/>
            <w:vAlign w:val="bottom"/>
          </w:tcPr>
          <w:p>
            <w:pPr>
              <w:spacing w:after="0"/>
              <w:rPr>
                <w:sz w:val="24"/>
                <w:szCs w:val="24"/>
                <w:color w:val="auto"/>
              </w:rPr>
            </w:pPr>
          </w:p>
        </w:tc>
        <w:tc>
          <w:tcPr>
            <w:tcW w:w="380" w:type="dxa"/>
            <w:vAlign w:val="bottom"/>
            <w:tcBorders>
              <w:top w:val="single" w:sz="8" w:color="BD03F7"/>
            </w:tcBorders>
          </w:tcPr>
          <w:p>
            <w:pPr>
              <w:spacing w:after="0"/>
              <w:rPr>
                <w:sz w:val="24"/>
                <w:szCs w:val="24"/>
                <w:color w:val="auto"/>
              </w:rPr>
            </w:pPr>
          </w:p>
        </w:tc>
        <w:tc>
          <w:tcPr>
            <w:tcW w:w="980" w:type="dxa"/>
            <w:vAlign w:val="bottom"/>
            <w:tcBorders>
              <w:top w:val="single" w:sz="8" w:color="BD03F7"/>
            </w:tcBorders>
          </w:tcPr>
          <w:p>
            <w:pPr>
              <w:spacing w:after="0"/>
              <w:rPr>
                <w:sz w:val="24"/>
                <w:szCs w:val="24"/>
                <w:color w:val="auto"/>
              </w:rPr>
            </w:pPr>
          </w:p>
        </w:tc>
      </w:tr>
      <w:tr>
        <w:trPr>
          <w:trHeight w:val="437"/>
        </w:trPr>
        <w:tc>
          <w:tcPr>
            <w:tcW w:w="9800" w:type="dxa"/>
            <w:vAlign w:val="bottom"/>
          </w:tcPr>
          <w:p>
            <w:pPr>
              <w:spacing w:after="0"/>
              <w:rPr>
                <w:sz w:val="20"/>
                <w:szCs w:val="20"/>
                <w:color w:val="auto"/>
              </w:rPr>
            </w:pPr>
            <w:r>
              <w:rPr>
                <w:rFonts w:ascii="Arial" w:cs="Arial" w:eastAsia="Arial" w:hAnsi="Arial"/>
                <w:sz w:val="18"/>
                <w:szCs w:val="18"/>
                <w:color w:val="auto"/>
              </w:rPr>
              <w:t>As of November 30, 2023, maturities of notes payable by fiscal year were as follows: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
        </w:trPr>
        <w:tc>
          <w:tcPr>
            <w:tcW w:w="98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2024</w:t>
            </w:r>
          </w:p>
        </w:tc>
        <w:tc>
          <w:tcPr>
            <w:tcW w:w="460" w:type="dxa"/>
            <w:vAlign w:val="bottom"/>
            <w:gridSpan w:val="2"/>
            <w:shd w:val="clear" w:color="auto" w:fill="D1D2D4"/>
          </w:tcPr>
          <w:p>
            <w:pPr>
              <w:jc w:val="right"/>
              <w:ind w:right="3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1,659</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1,780</w:t>
            </w: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2028</w:t>
            </w:r>
          </w:p>
        </w:tc>
        <w:tc>
          <w:tcPr>
            <w:tcW w:w="8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1,492</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2029 and thereafter</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6,450</w:t>
            </w: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Unamortized issuance costs, discounts, and premium, net</w:t>
            </w:r>
          </w:p>
        </w:tc>
        <w:tc>
          <w:tcPr>
            <w:tcW w:w="8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98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Hedge accounting fair value adjustment</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48"/>
        </w:trPr>
        <w:tc>
          <w:tcPr>
            <w:tcW w:w="9800" w:type="dxa"/>
            <w:vAlign w:val="bottom"/>
            <w:tcBorders>
              <w:bottom w:val="single" w:sz="8" w:color="D1D2D4"/>
            </w:tcBorders>
            <w:shd w:val="clear" w:color="auto" w:fill="D1D2D4"/>
          </w:tcPr>
          <w:p>
            <w:pPr>
              <w:spacing w:after="0"/>
              <w:rPr>
                <w:sz w:val="21"/>
                <w:szCs w:val="21"/>
                <w:color w:val="auto"/>
              </w:rPr>
            </w:pPr>
          </w:p>
        </w:tc>
        <w:tc>
          <w:tcPr>
            <w:tcW w:w="460" w:type="dxa"/>
            <w:vAlign w:val="bottom"/>
            <w:tcBorders>
              <w:bottom w:val="single" w:sz="8" w:color="auto"/>
            </w:tcBorders>
            <w:gridSpan w:val="2"/>
            <w:shd w:val="clear" w:color="auto" w:fill="D1D2D4"/>
          </w:tcPr>
          <w:p>
            <w:pPr>
              <w:jc w:val="right"/>
              <w:ind w:right="3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12,024</w:t>
            </w:r>
          </w:p>
        </w:tc>
      </w:tr>
      <w:tr>
        <w:trPr>
          <w:trHeight w:val="20"/>
        </w:trPr>
        <w:tc>
          <w:tcPr>
            <w:tcW w:w="9800" w:type="dxa"/>
            <w:vAlign w:val="bottom"/>
            <w:tcBorders>
              <w:top w:val="single" w:sz="8" w:color="D1D2D4"/>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38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5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 Matters</w:t>
      </w:r>
    </w:p>
    <w:p>
      <w:pPr>
        <w:spacing w:after="0" w:line="24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1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alleged that MXA and MSS infringed one Chinese patent by manufacturing and selling certain Crucial DDR4 DRAM modules. The complaint sought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 On December 4, 2023, Micron and Jinhua entered a settlement agreement under which Jinhua will file an application to the Fuzhou Court to withdraw its complaints against MXA and MSS.</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infringed one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 On November 26, 2021, pursuant to a settlement agreement between UMC and Micron, UMC filed an application to the Fuzhou Court to withdraw its complaints against MXA and MSS.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3, 2018, MSS was served with another patent infringement complaint filed by Jinhua and an additional complaint filed by UMC in the Fuzhou Court. The additional complaints alleged that MSS infringed two Chinese patents by manufacturing and selling certain Crucial MX300 SSDs. The complaint filed by UMC sought an order requiring MSS to destroy inventory of the accused products and equipment for manufacturing the accused products in China; to stop manufacturing, using, selling, and offering for sale the accused products in China; and to pay damages of 90 million Chinese yuan plus court fees incurred. The complaint filed by Jinhua sought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November 26, 2021, pursuant to a settlement agreement between UMC and Micron, UMC filed an application to the Fuzhou Court to withdraw its complaint against MSS. On December 4, 2023, Micron and Jinhua entered a settlement agreement under which Jinhua will file an application to the Fuzhou Court to withdraw its complaint against MSS.</w:t>
      </w:r>
    </w:p>
    <w:p>
      <w:pPr>
        <w:spacing w:after="0" w:line="21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July 5, 2018, MXA and MSS were notified that the Fuzhou Court granted a preliminary injunction against those entities that enjoins them from manufacturing, selling, or importing certain Crucial and Ballistix-branded DRAM modules and solid-state drives in China. On December 4, 2023, Micron and Jinhua entered a settlement agreement under which Jinhua will file an application to the Fuzhou Court to withdraw the injunction.</w:t>
      </w:r>
    </w:p>
    <w:p>
      <w:pPr>
        <w:spacing w:after="0" w:line="20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April 28, 2021, Netlist, Inc. (“Netlist”) filed two patent infringement actions against Micron, Micron Semiconductor Products, Inc. (“MSP”), and Micron Technology Texas, LLC (“MTEC”) in the U.S. District Court for the Western District of Texas.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Germany, GmbH in Dusseldorf Regional Court alleging that two German patents are infringed by certain of our LRDIMMs. The complaint seeks damages, costs, and injunctive relief. On June 10, 2022, Netlist filed a patent infringement complaint against Micron, MSP, and MTEC in the U.S. District Court for the Eastern District of Texas (“E.D. Tex.”) alleging that six U.S. patents are infringed by certain of our memory modules and HBM products. On August 1, 2022, Netlist filed a second patent infringement complaint against the same defendants in E.D. Tex. alleging that one U.S. patent is infringed by certain of our LRDIMMs. On August 15, 2022, Netlist amended the second complaint to assert that two additional U.S. patents are infringed by certain of our LRDIMMs. The complaints in E.D. Tex. seek injunctive relief, damages, and attorneys’ fees.</w:t>
      </w:r>
    </w:p>
    <w:p>
      <w:pPr>
        <w:spacing w:after="0" w:line="21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August 16, 2022, Sonrai Memory Ltd. filed a patent infringement complaint against Micron in the U.S. District Court for the Western District of Texas. The complaint alleges that two U.S. patents are infringed by certain SSD and NAND flash products. The complaint seeks damages, attorneys’ fees, and costs.</w:t>
      </w:r>
    </w:p>
    <w:p>
      <w:pPr>
        <w:spacing w:after="0" w:line="19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On January 23, 2023, Besang Inc. filed a patent infringement complaint against Micron in the U.S. District Court for the Eastern District of Texas. The complaint alleges that one U.S. patent is infringed by certain of our 3D NAND and SSD products. The complaint seeks an injunction, damages, attorneys’ fees, and costs.</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November 9, 2023, Yangtze Memory Technologies Company, Ltd. (“YMTC”) filed a patent infringement complaint against Micron and one of its subsidiaries in the U.S. District Court for the Northern District of California. The complaint alleges that eight U.S. patents are infringed by certain of our 3D NAND products. The complaint seeks an injunction, damages, attorneys’ fees, and costs.</w:t>
      </w:r>
    </w:p>
    <w:p>
      <w:pPr>
        <w:spacing w:after="0" w:line="198"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substantially all of our revenue.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Antitrust Matters</w:t>
      </w:r>
    </w:p>
    <w:p>
      <w:pPr>
        <w:spacing w:after="0" w:line="24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Six cases have been filed against Micron alleging price fixing of DRAM products in the following Canadian courts on the dates indicated: Superior Court of Quebec (April 30, 2018 and May 3, 2018), the Federal Court of Canada (May 2, 2018), the Ontario Superior Court of Justice (May 15, 2018), and the Supreme Court of British Columbia (May 10, 2018). The plaintiffs in these cases are individuals seeking certification of class actions on behalf of direct and indirect purchasers of DRAM in Canada (or regions of Canada) between June 1, 2016 and February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Matters</w:t>
      </w:r>
    </w:p>
    <w:p>
      <w:pPr>
        <w:spacing w:after="0" w:line="24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February 9, 2021, a derivative complaint was filed by a shareholder against Sanjay Mehrotra and other current and former directors of Micron, allegedly on behalf of and for the benefit of Micron, in the U.S. District Court for the District of Delaware alleging violations of securities laws, breaches of fiduciary duties, and other violations of law involving allegedly false and misleading statements about Micron’s commitment to diversity and progress in diversifying its workforce, executive leadership, and Board of Directors. The complaint sought damages, fees, interest, costs, and an order requiring Micron to take various actions to allegedly improve its corporate governance and internal procedures. On November 2, 2023, the District Court granted the defendants’ motion to dismiss the complaint.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43"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Contingency Assessment</w:t>
      </w:r>
    </w:p>
    <w:p>
      <w:pPr>
        <w:spacing w:after="0" w:line="25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 Repurchases</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No shares were repurchased in the first quarter of 2024. Through November 30, 2023, we had repurchased an aggregate of $6.89 billion under the authorization. Amounts repurchased are included in treasury stock.</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first quarter of 2024, we declared and paid dividends of $129 million ($0.115 per share). On December 20, 2023, our Board of Directors declared a quarterly dividend of $0.115 per share, payable in cash on January 18, 2024, to shareholders of record as of the close of business on January 2, 2024.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ind w:left="9880"/>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Accumulated Other Comprehensive Income (Loss)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by component for the three months ended November 30, 2023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rPr>
              <w:t>Cumulative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9"/>
              </w:rPr>
              <w:t>Pension</w:t>
            </w:r>
          </w:p>
        </w:tc>
        <w:tc>
          <w:tcPr>
            <w:tcW w:w="160" w:type="dxa"/>
            <w:vAlign w:val="bottom"/>
          </w:tcPr>
          <w:p>
            <w:pPr>
              <w:spacing w:after="0"/>
              <w:rPr>
                <w:sz w:val="15"/>
                <w:szCs w:val="15"/>
                <w:color w:val="auto"/>
              </w:rPr>
            </w:pPr>
          </w:p>
        </w:tc>
        <w:tc>
          <w:tcPr>
            <w:tcW w:w="120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Foreign</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2660" w:type="dxa"/>
            <w:vAlign w:val="bottom"/>
            <w:gridSpan w:val="4"/>
          </w:tcPr>
          <w:p>
            <w:pPr>
              <w:jc w:val="right"/>
              <w:spacing w:after="0" w:line="189" w:lineRule="exact"/>
              <w:rPr>
                <w:sz w:val="20"/>
                <w:szCs w:val="20"/>
                <w:color w:val="auto"/>
              </w:rPr>
            </w:pPr>
            <w:r>
              <w:rPr>
                <w:rFonts w:ascii="Arial" w:cs="Arial" w:eastAsia="Arial" w:hAnsi="Arial"/>
                <w:sz w:val="18"/>
                <w:szCs w:val="18"/>
                <w:b w:val="1"/>
                <w:bCs w:val="1"/>
                <w:color w:val="auto"/>
                <w:w w:val="99"/>
              </w:rPr>
              <w:t>Gains (Losses) Gains (Losses)</w:t>
            </w: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8"/>
              </w:rPr>
              <w:t>Currency</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320" w:type="dxa"/>
            <w:vAlign w:val="bottom"/>
            <w:gridSpan w:val="2"/>
          </w:tcPr>
          <w:p>
            <w:pPr>
              <w:jc w:val="right"/>
              <w:ind w:right="10"/>
              <w:spacing w:after="0" w:line="176" w:lineRule="exact"/>
              <w:rPr>
                <w:sz w:val="20"/>
                <w:szCs w:val="20"/>
                <w:color w:val="auto"/>
              </w:rPr>
            </w:pPr>
            <w:r>
              <w:rPr>
                <w:rFonts w:ascii="Arial" w:cs="Arial" w:eastAsia="Arial" w:hAnsi="Arial"/>
                <w:sz w:val="18"/>
                <w:szCs w:val="18"/>
                <w:b w:val="1"/>
                <w:bCs w:val="1"/>
                <w:color w:val="auto"/>
              </w:rPr>
              <w:t>on Derivative</w:t>
            </w: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on</w:t>
            </w:r>
          </w:p>
        </w:tc>
        <w:tc>
          <w:tcPr>
            <w:tcW w:w="12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Liability</w:t>
            </w:r>
          </w:p>
        </w:tc>
        <w:tc>
          <w:tcPr>
            <w:tcW w:w="16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Investments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Adjustments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Adjustment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August 31, 2023</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ind w:left="960"/>
              <w:spacing w:after="0"/>
              <w:rPr>
                <w:sz w:val="20"/>
                <w:szCs w:val="20"/>
                <w:color w:val="auto"/>
              </w:rPr>
            </w:pPr>
            <w:r>
              <w:rPr>
                <w:rFonts w:ascii="Arial" w:cs="Arial" w:eastAsia="Arial" w:hAnsi="Arial"/>
                <w:sz w:val="18"/>
                <w:szCs w:val="18"/>
                <w:color w:val="auto"/>
                <w:w w:val="99"/>
              </w:rPr>
              <w:t>(3)</w:t>
            </w: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164"/>
        </w:trPr>
        <w:tc>
          <w:tcPr>
            <w:tcW w:w="4580" w:type="dxa"/>
            <w:vAlign w:val="bottom"/>
          </w:tcPr>
          <w:p>
            <w:pPr>
              <w:ind w:left="240"/>
              <w:spacing w:after="0" w:line="164"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200" w:type="dxa"/>
            <w:vAlign w:val="bottom"/>
            <w:vMerge w:val="restart"/>
          </w:tcPr>
          <w:p>
            <w:pPr>
              <w:ind w:left="960"/>
              <w:spacing w:after="0"/>
              <w:rPr>
                <w:sz w:val="20"/>
                <w:szCs w:val="20"/>
                <w:color w:val="auto"/>
              </w:rPr>
            </w:pPr>
            <w:r>
              <w:rPr>
                <w:rFonts w:ascii="Arial" w:cs="Arial" w:eastAsia="Arial" w:hAnsi="Arial"/>
                <w:sz w:val="18"/>
                <w:szCs w:val="18"/>
                <w:color w:val="auto"/>
                <w:w w:val="99"/>
              </w:rPr>
              <w:t>(1)</w:t>
            </w: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5"/>
        </w:trPr>
        <w:tc>
          <w:tcPr>
            <w:tcW w:w="458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580" w:type="dxa"/>
            <w:vAlign w:val="bottom"/>
            <w:shd w:val="clear" w:color="auto" w:fill="D1D2D4"/>
          </w:tcPr>
          <w:p>
            <w:pPr>
              <w:ind w:left="240"/>
              <w:spacing w:after="0" w:line="183" w:lineRule="exact"/>
              <w:rPr>
                <w:sz w:val="20"/>
                <w:szCs w:val="20"/>
                <w:color w:val="auto"/>
              </w:rPr>
            </w:pPr>
            <w:r>
              <w:rPr>
                <w:rFonts w:ascii="Arial" w:cs="Arial" w:eastAsia="Arial" w:hAnsi="Arial"/>
                <w:sz w:val="18"/>
                <w:szCs w:val="18"/>
                <w:color w:val="auto"/>
              </w:rPr>
              <w:t>Amount reclassified out of accumulated other</w:t>
            </w:r>
          </w:p>
        </w:tc>
        <w:tc>
          <w:tcPr>
            <w:tcW w:w="12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5"/>
        </w:trPr>
        <w:tc>
          <w:tcPr>
            <w:tcW w:w="45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D1D2D4"/>
          </w:tcPr>
          <w:p>
            <w:pPr>
              <w:spacing w:after="0"/>
              <w:rPr>
                <w:sz w:val="20"/>
                <w:szCs w:val="20"/>
                <w:color w:val="auto"/>
              </w:rPr>
            </w:pPr>
          </w:p>
        </w:tc>
        <w:tc>
          <w:tcPr>
            <w:tcW w:w="1200" w:type="dxa"/>
            <w:vAlign w:val="bottom"/>
            <w:vMerge w:val="continue"/>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20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200" w:type="dxa"/>
            <w:vAlign w:val="bottom"/>
            <w:vMerge w:val="continue"/>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120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104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ind w:left="960"/>
              <w:spacing w:after="0"/>
              <w:rPr>
                <w:sz w:val="20"/>
                <w:szCs w:val="20"/>
                <w:color w:val="auto"/>
              </w:rPr>
            </w:pPr>
            <w:r>
              <w:rPr>
                <w:rFonts w:ascii="Arial" w:cs="Arial" w:eastAsia="Arial" w:hAnsi="Arial"/>
                <w:sz w:val="18"/>
                <w:szCs w:val="18"/>
                <w:color w:val="auto"/>
                <w:w w:val="99"/>
              </w:rPr>
              <w:t>(1)</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As of November 30, 2023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9"/>
              </w:rPr>
              <w:t>(4)</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and carrying values of our outstanding debt instruments were as follows:</w:t>
      </w:r>
    </w:p>
    <w:p>
      <w:pPr>
        <w:sectPr>
          <w:pgSz w:w="11900" w:h="16838" w:orient="portrait"/>
          <w:cols w:equalWidth="0" w:num="1">
            <w:col w:w="11240"/>
          </w:cols>
          <w:pgMar w:left="320" w:top="125" w:right="339" w:bottom="1440" w:gutter="0" w:footer="0" w:header="0"/>
        </w:sectPr>
      </w:pPr>
    </w:p>
    <w:p>
      <w:pPr>
        <w:spacing w:after="0" w:line="5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As of November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17780</wp:posOffset>
            </wp:positionV>
            <wp:extent cx="18345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4" w:lineRule="exact"/>
        <w:rPr>
          <w:sz w:val="20"/>
          <w:szCs w:val="20"/>
          <w:color w:val="auto"/>
        </w:rPr>
      </w:pPr>
    </w:p>
    <w:p>
      <w:pPr>
        <w:ind w:left="5920"/>
        <w:spacing w:after="0"/>
        <w:tabs>
          <w:tab w:leader="none" w:pos="7140" w:val="left"/>
        </w:tabs>
        <w:rPr>
          <w:sz w:val="20"/>
          <w:szCs w:val="20"/>
          <w:color w:val="auto"/>
        </w:rPr>
      </w:pPr>
      <w:r>
        <w:rPr>
          <w:rFonts w:ascii="Arial" w:cs="Arial" w:eastAsia="Arial" w:hAnsi="Arial"/>
          <w:sz w:val="17"/>
          <w:szCs w:val="17"/>
          <w:b w:val="1"/>
          <w:bCs w:val="1"/>
          <w:color w:val="auto"/>
        </w:rPr>
        <w:t>Fair</w:t>
      </w:r>
      <w:r>
        <w:rPr>
          <w:sz w:val="20"/>
          <w:szCs w:val="20"/>
          <w:color w:val="auto"/>
        </w:rPr>
        <w:tab/>
      </w:r>
      <w:r>
        <w:rPr>
          <w:rFonts w:ascii="Arial" w:cs="Arial" w:eastAsia="Arial" w:hAnsi="Arial"/>
          <w:sz w:val="17"/>
          <w:szCs w:val="17"/>
          <w:b w:val="1"/>
          <w:bCs w:val="1"/>
          <w:color w:val="auto"/>
        </w:rPr>
        <w:t>Carrying</w:t>
      </w:r>
    </w:p>
    <w:p>
      <w:pPr>
        <w:ind w:left="5840"/>
        <w:spacing w:after="0"/>
        <w:tabs>
          <w:tab w:leader="none" w:pos="7260" w:val="left"/>
        </w:tabs>
        <w:rPr>
          <w:sz w:val="20"/>
          <w:szCs w:val="20"/>
          <w:color w:val="auto"/>
        </w:rPr>
      </w:pPr>
      <w:r>
        <w:rPr>
          <w:rFonts w:ascii="Arial" w:cs="Arial" w:eastAsia="Arial" w:hAnsi="Arial"/>
          <w:sz w:val="18"/>
          <w:szCs w:val="18"/>
          <w:b w:val="1"/>
          <w:bCs w:val="1"/>
          <w:color w:val="auto"/>
        </w:rPr>
        <w:t>Value</w:t>
      </w:r>
      <w:r>
        <w:rPr>
          <w:sz w:val="20"/>
          <w:szCs w:val="20"/>
          <w:color w:val="auto"/>
        </w:rPr>
        <w:tab/>
      </w: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229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29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 August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17780</wp:posOffset>
            </wp:positionV>
            <wp:extent cx="18345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4" w:lineRule="exact"/>
        <w:rPr>
          <w:sz w:val="20"/>
          <w:szCs w:val="20"/>
          <w:color w:val="auto"/>
        </w:rPr>
      </w:pPr>
    </w:p>
    <w:p>
      <w:pPr>
        <w:ind w:left="60"/>
        <w:spacing w:after="0"/>
        <w:tabs>
          <w:tab w:leader="none" w:pos="1280" w:val="left"/>
        </w:tabs>
        <w:rPr>
          <w:sz w:val="20"/>
          <w:szCs w:val="20"/>
          <w:color w:val="auto"/>
        </w:rPr>
      </w:pPr>
      <w:r>
        <w:rPr>
          <w:rFonts w:ascii="Arial" w:cs="Arial" w:eastAsia="Arial" w:hAnsi="Arial"/>
          <w:sz w:val="17"/>
          <w:szCs w:val="17"/>
          <w:b w:val="1"/>
          <w:bCs w:val="1"/>
          <w:color w:val="auto"/>
        </w:rPr>
        <w:t>Fair</w:t>
      </w:r>
      <w:r>
        <w:rPr>
          <w:sz w:val="20"/>
          <w:szCs w:val="20"/>
          <w:color w:val="auto"/>
        </w:rPr>
        <w:tab/>
      </w:r>
      <w:r>
        <w:rPr>
          <w:rFonts w:ascii="Arial" w:cs="Arial" w:eastAsia="Arial" w:hAnsi="Arial"/>
          <w:sz w:val="17"/>
          <w:szCs w:val="17"/>
          <w:b w:val="1"/>
          <w:bCs w:val="1"/>
          <w:color w:val="auto"/>
        </w:rPr>
        <w:t>Carrying</w:t>
      </w:r>
    </w:p>
    <w:p>
      <w:pPr>
        <w:spacing w:after="0"/>
        <w:tabs>
          <w:tab w:leader="none" w:pos="1420" w:val="left"/>
        </w:tabs>
        <w:rPr>
          <w:sz w:val="20"/>
          <w:szCs w:val="20"/>
          <w:color w:val="auto"/>
        </w:rPr>
      </w:pPr>
      <w:r>
        <w:rPr>
          <w:rFonts w:ascii="Arial" w:cs="Arial" w:eastAsia="Arial" w:hAnsi="Arial"/>
          <w:sz w:val="18"/>
          <w:szCs w:val="18"/>
          <w:b w:val="1"/>
          <w:bCs w:val="1"/>
          <w:color w:val="auto"/>
        </w:rPr>
        <w:t>Value</w:t>
      </w:r>
      <w:r>
        <w:rPr>
          <w:sz w:val="20"/>
          <w:szCs w:val="20"/>
          <w:color w:val="auto"/>
        </w:rPr>
        <w:tab/>
      </w: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14605</wp:posOffset>
            </wp:positionV>
            <wp:extent cx="1834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8120" w:space="720"/>
            <w:col w:w="2400"/>
          </w:cols>
          <w:pgMar w:left="320" w:top="125" w:right="339" w:bottom="1440" w:gutter="0" w:footer="0" w:header="0"/>
          <w:type w:val="continuous"/>
        </w:sectPr>
      </w:pPr>
    </w:p>
    <w:p>
      <w:pPr>
        <w:ind w:left="20"/>
        <w:spacing w:after="0"/>
        <w:tabs>
          <w:tab w:leader="none" w:pos="5360" w:val="left"/>
          <w:tab w:leader="none" w:pos="6160" w:val="left"/>
          <w:tab w:leader="none" w:pos="7600" w:val="left"/>
          <w:tab w:leader="none" w:pos="8340" w:val="left"/>
          <w:tab w:leader="none" w:pos="9160" w:val="left"/>
          <w:tab w:leader="none" w:pos="10600" w:val="left"/>
        </w:tabs>
        <w:rPr>
          <w:sz w:val="20"/>
          <w:szCs w:val="20"/>
          <w:color w:val="auto"/>
        </w:rPr>
      </w:pPr>
      <w:r>
        <w:rPr>
          <w:rFonts w:ascii="Arial" w:cs="Arial" w:eastAsia="Arial" w:hAnsi="Arial"/>
          <w:sz w:val="18"/>
          <w:szCs w:val="18"/>
          <w:color w:val="auto"/>
        </w:rPr>
        <w:t>Notes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11,651 $</w:t>
      </w:r>
      <w:r>
        <w:rPr>
          <w:sz w:val="20"/>
          <w:szCs w:val="20"/>
          <w:color w:val="auto"/>
        </w:rPr>
        <w:tab/>
      </w:r>
      <w:r>
        <w:rPr>
          <w:rFonts w:ascii="Arial" w:cs="Arial" w:eastAsia="Arial" w:hAnsi="Arial"/>
          <w:sz w:val="18"/>
          <w:szCs w:val="18"/>
          <w:color w:val="auto"/>
        </w:rPr>
        <w:t>12,024</w:t>
        <w:tab/>
        <w:t>$</w:t>
      </w:r>
      <w:r>
        <w:rPr>
          <w:sz w:val="20"/>
          <w:szCs w:val="20"/>
          <w:color w:val="auto"/>
        </w:rPr>
        <w:tab/>
      </w:r>
      <w:r>
        <w:rPr>
          <w:rFonts w:ascii="Arial" w:cs="Arial" w:eastAsia="Arial" w:hAnsi="Arial"/>
          <w:sz w:val="18"/>
          <w:szCs w:val="18"/>
          <w:color w:val="auto"/>
        </w:rPr>
        <w:t>11,549 $</w:t>
      </w:r>
      <w:r>
        <w:rPr>
          <w:sz w:val="20"/>
          <w:szCs w:val="20"/>
          <w:color w:val="auto"/>
        </w:rPr>
        <w:tab/>
      </w:r>
      <w:r>
        <w:rPr>
          <w:rFonts w:ascii="Arial" w:cs="Arial" w:eastAsia="Arial" w:hAnsi="Arial"/>
          <w:sz w:val="17"/>
          <w:szCs w:val="17"/>
          <w:color w:val="auto"/>
        </w:rPr>
        <w:t>12,049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154"/>
        </w:trPr>
        <w:tc>
          <w:tcPr>
            <w:tcW w:w="5900" w:type="dxa"/>
            <w:vAlign w:val="bottom"/>
          </w:tcPr>
          <w:p>
            <w:pPr>
              <w:spacing w:after="0"/>
              <w:rPr>
                <w:sz w:val="20"/>
                <w:szCs w:val="20"/>
                <w:color w:val="auto"/>
              </w:rPr>
            </w:pPr>
            <w:r>
              <w:rPr>
                <w:rFonts w:ascii="Arial" w:cs="Arial" w:eastAsia="Arial" w:hAnsi="Arial"/>
                <w:sz w:val="40"/>
                <w:szCs w:val="40"/>
                <w:b w:val="1"/>
                <w:bCs w:val="1"/>
                <w:color w:val="auto"/>
              </w:rPr>
              <w:t>Derivative Instruments</w:t>
            </w:r>
          </w:p>
        </w:tc>
        <w:tc>
          <w:tcPr>
            <w:tcW w:w="1180" w:type="dxa"/>
            <w:vAlign w:val="bottom"/>
          </w:tcPr>
          <w:p>
            <w:pPr>
              <w:spacing w:after="0"/>
              <w:rPr>
                <w:sz w:val="24"/>
                <w:szCs w:val="24"/>
                <w:color w:val="auto"/>
              </w:rPr>
            </w:pPr>
          </w:p>
        </w:tc>
        <w:tc>
          <w:tcPr>
            <w:tcW w:w="128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8"/>
              </w:rPr>
              <w:t>Notional or</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BD03F7"/>
            </w:tcBorders>
          </w:tcPr>
          <w:p>
            <w:pPr>
              <w:spacing w:after="0"/>
              <w:rPr>
                <w:sz w:val="24"/>
                <w:szCs w:val="24"/>
                <w:color w:val="auto"/>
              </w:rPr>
            </w:pPr>
          </w:p>
        </w:tc>
        <w:tc>
          <w:tcPr>
            <w:tcW w:w="126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vMerge w:val="restart"/>
          </w:tcPr>
          <w:p>
            <w:pPr>
              <w:jc w:val="center"/>
              <w:ind w:right="112"/>
              <w:spacing w:after="0" w:line="135" w:lineRule="exact"/>
              <w:rPr>
                <w:sz w:val="20"/>
                <w:szCs w:val="20"/>
                <w:color w:val="auto"/>
              </w:rPr>
            </w:pPr>
            <w:r>
              <w:rPr>
                <w:rFonts w:ascii="Arial" w:cs="Arial" w:eastAsia="Arial" w:hAnsi="Arial"/>
                <w:sz w:val="15"/>
                <w:szCs w:val="15"/>
                <w:b w:val="1"/>
                <w:bCs w:val="1"/>
                <w:color w:val="auto"/>
              </w:rPr>
              <w:t>Contractual</w:t>
            </w:r>
          </w:p>
        </w:tc>
        <w:tc>
          <w:tcPr>
            <w:tcW w:w="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9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(1)</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8"/>
              </w:rPr>
              <w:t>Liabilities</w:t>
            </w:r>
            <w:r>
              <w:rPr>
                <w:rFonts w:ascii="Arial" w:cs="Arial" w:eastAsia="Arial" w:hAnsi="Arial"/>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November 30, 2023</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4,057</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w:t>
            </w:r>
          </w:p>
        </w:tc>
        <w:tc>
          <w:tcPr>
            <w:tcW w:w="22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1,860</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August 31, 2023</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3,873</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22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1,839</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240" w:hanging="232"/>
        <w:spacing w:after="0"/>
        <w:tabs>
          <w:tab w:leader="none" w:pos="240"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and other noncurrent assets.</w:t>
      </w:r>
    </w:p>
    <w:p>
      <w:pPr>
        <w:ind w:left="240" w:hanging="232"/>
        <w:spacing w:after="0" w:line="200" w:lineRule="auto"/>
        <w:tabs>
          <w:tab w:leader="none" w:pos="240"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and other noncurrent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Instruments with Hedge Accounting Designation</w:t>
      </w:r>
    </w:p>
    <w:p>
      <w:pPr>
        <w:spacing w:after="0" w:line="2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forward and swap contracts that generally mature within two years designated as cash flow hedges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our exposure to changes in currency exchange rates or commodity prices for certain capital expenditures and manufacturing costs. Forward and swap contracts are measured at fair value based on market-based observable inputs including market spot and forward rates, interest rates, and credit-risk spreads (Level 2). We recognized gains from cash flow hedges of $53 million for the first quarter of 2023 in accumulated other comprehensive income (loss). The amounts recognized in the first quarter of 2024 were not significant. As of November 30, 2023, we expect to reclassify $ 153 million of pre-tax losses related to cash flow hedges from accumulated other comprehensive income (loss) into earnings in the next 12 months.</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fixed-to-floating interest rate swaps designated as fair value hedges to minimize certain exposures to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fair value of fixed-rate debt that result from fluctuations in benchmark interest rates. Interest rate swaps are measured at fair value based on market-based observable inputs including interest rates and credit-risk spreads (Level 2). The changes in the fair values of derivatives designated as fair value hedges and the offsetting changes in the underlying fair values of the hedged items are both recognized in earnings. When a derivative is no longer designated as a fair value hedge for any reason, including termination and maturity, the remaining unamortized difference between the carrying value of the hedged item at that time and the face value of the hedged item is amortized to earnings over the remaining life of the hedged item, or immediately if the hedged item has matured or been extinguished. The effects of fair value hedges on our consolidated statements of operations, recognized in interest expense, were not significant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Instruments without Hedge Accounting Designation</w:t>
      </w: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The amounts recognized for derivative instruments without hedge accounting designation were not significant for the periods presented. We do not use derivative instruments for speculative purposes.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Plans</w:t>
      </w:r>
    </w:p>
    <w:p>
      <w:pPr>
        <w:spacing w:after="0" w:line="25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As of November 30, 2023, 74 million shares of our common stock were available for future awards under our equity plans, including 14 million shares approved for issuance under our employee stock purchase plan (“ESPP”).</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and Restricted Stock Units (“Restricted Stock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activity is summarized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320" w:type="dxa"/>
            <w:vAlign w:val="bottom"/>
          </w:tcPr>
          <w:p>
            <w:pPr>
              <w:spacing w:after="0"/>
              <w:rPr>
                <w:sz w:val="17"/>
                <w:szCs w:val="17"/>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November 30,</w:t>
            </w:r>
          </w:p>
        </w:tc>
        <w:tc>
          <w:tcPr>
            <w:tcW w:w="140" w:type="dxa"/>
            <w:vAlign w:val="bottom"/>
          </w:tcPr>
          <w:p>
            <w:pPr>
              <w:spacing w:after="0"/>
              <w:rPr>
                <w:sz w:val="17"/>
                <w:szCs w:val="17"/>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rPr>
              <w:t>December 1,</w:t>
            </w:r>
          </w:p>
        </w:tc>
        <w:tc>
          <w:tcPr>
            <w:tcW w:w="0" w:type="dxa"/>
            <w:vAlign w:val="bottom"/>
          </w:tcPr>
          <w:p>
            <w:pPr>
              <w:spacing w:after="0"/>
              <w:rPr>
                <w:sz w:val="1"/>
                <w:szCs w:val="1"/>
                <w:color w:val="auto"/>
              </w:rPr>
            </w:pPr>
          </w:p>
        </w:tc>
      </w:tr>
      <w:tr>
        <w:trPr>
          <w:trHeight w:val="243"/>
        </w:trPr>
        <w:tc>
          <w:tcPr>
            <w:tcW w:w="6160" w:type="dxa"/>
            <w:vAlign w:val="bottom"/>
            <w:tcBorders>
              <w:bottom w:val="single" w:sz="8" w:color="auto"/>
            </w:tcBorders>
            <w:vMerge w:val="continue"/>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1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23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9"/>
        </w:trPr>
        <w:tc>
          <w:tcPr>
            <w:tcW w:w="616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67.36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Stock-based Compensation Expense</w:t>
      </w:r>
    </w:p>
    <w:p>
      <w:pPr>
        <w:spacing w:after="0" w:line="24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Stock-based compensation expense recognized in our statements of operations is presented below. Stock-based compensation expense of $94 million and $88 million was capitalized and remained in inventory as of November 30, 2023 and August 31, 2023,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November 30,</w:t>
            </w:r>
          </w:p>
        </w:tc>
        <w:tc>
          <w:tcPr>
            <w:tcW w:w="18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1,</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12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12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Restricted stock awards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ESPP</w:t>
            </w:r>
          </w:p>
        </w:tc>
        <w:tc>
          <w:tcPr>
            <w:tcW w:w="12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60"/>
        <w:spacing w:after="0" w:line="318" w:lineRule="auto"/>
        <w:rPr>
          <w:sz w:val="20"/>
          <w:szCs w:val="20"/>
          <w:color w:val="auto"/>
        </w:rPr>
      </w:pPr>
      <w:r>
        <w:rPr>
          <w:rFonts w:ascii="Arial" w:cs="Arial" w:eastAsia="Arial" w:hAnsi="Arial"/>
          <w:sz w:val="17"/>
          <w:szCs w:val="17"/>
          <w:color w:val="auto"/>
        </w:rPr>
        <w:t>As of November 30, 2023, $ 1.84 billion of total unrecognized compensation costs for unvested awards, before the effect of any future forfeitures, was expected to be recognized through the first quarter of 2028, resulting in a weighted-average period of 1.4 years.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Revenue and Customer Contract Liabilities</w:t>
      </w:r>
    </w:p>
    <w:p>
      <w:pPr>
        <w:spacing w:after="0" w:line="2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November 30, 2023, our future performance obligations beyond one year were not significant.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by Technology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November 30,</w:t>
            </w:r>
          </w:p>
        </w:tc>
        <w:tc>
          <w:tcPr>
            <w:tcW w:w="18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1,</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3,427</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NAND</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1,230</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NOR)</w:t>
            </w:r>
          </w:p>
        </w:tc>
        <w:tc>
          <w:tcPr>
            <w:tcW w:w="12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“Segment and Other Information” for disclosure of disaggregated revenue by market segment.</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Customer Contract Liabilities</w:t>
      </w:r>
    </w:p>
    <w:p>
      <w:pPr>
        <w:spacing w:after="0" w:line="243"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Contract liabilities from customer prepayments made to secure product supply in future periods were approximately $600 million as of November 30, 2023 and were reported within other current liabilities.</w:t>
      </w:r>
    </w:p>
    <w:p>
      <w:pPr>
        <w:spacing w:after="0" w:line="180"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As of November 30, 2023 and August 31, 2023, other current liabilities also included $455 million and $453 million, respectively, for estimates of consideration payable to customers including estimates for pricing adjustments and returns.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Income Taxes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4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1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780" w:type="dxa"/>
            <w:vAlign w:val="bottom"/>
          </w:tcPr>
          <w:p>
            <w:pPr>
              <w:spacing w:after="0"/>
              <w:rPr>
                <w:sz w:val="17"/>
                <w:szCs w:val="17"/>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November 30,</w:t>
            </w:r>
          </w:p>
        </w:tc>
        <w:tc>
          <w:tcPr>
            <w:tcW w:w="16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December 1, 2022</w:t>
            </w:r>
          </w:p>
        </w:tc>
        <w:tc>
          <w:tcPr>
            <w:tcW w:w="0" w:type="dxa"/>
            <w:vAlign w:val="bottom"/>
          </w:tcPr>
          <w:p>
            <w:pPr>
              <w:spacing w:after="0"/>
              <w:rPr>
                <w:sz w:val="1"/>
                <w:szCs w:val="1"/>
                <w:color w:val="auto"/>
              </w:rPr>
            </w:pPr>
          </w:p>
        </w:tc>
      </w:tr>
      <w:tr>
        <w:trPr>
          <w:trHeight w:val="235"/>
        </w:trPr>
        <w:tc>
          <w:tcPr>
            <w:tcW w:w="6440" w:type="dxa"/>
            <w:vAlign w:val="bottom"/>
            <w:tcBorders>
              <w:bottom w:val="single" w:sz="8" w:color="auto"/>
            </w:tcBorders>
            <w:vMerge w:val="continue"/>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before taxes</w:t>
            </w:r>
          </w:p>
        </w:tc>
        <w:tc>
          <w:tcPr>
            <w:tcW w:w="1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(1,155)</w:t>
            </w:r>
          </w:p>
        </w:tc>
        <w:tc>
          <w:tcPr>
            <w:tcW w:w="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78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56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1780" w:type="dxa"/>
            <w:vAlign w:val="bottom"/>
            <w:shd w:val="clear" w:color="auto" w:fill="D1D2D4"/>
          </w:tcPr>
          <w:p>
            <w:pPr>
              <w:spacing w:after="0"/>
              <w:rPr>
                <w:sz w:val="19"/>
                <w:szCs w:val="19"/>
                <w:color w:val="auto"/>
              </w:rPr>
            </w:pPr>
          </w:p>
        </w:tc>
        <w:tc>
          <w:tcPr>
            <w:tcW w:w="1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w:t>
            </w:r>
          </w:p>
        </w:tc>
        <w:tc>
          <w:tcPr>
            <w:tcW w:w="56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For the first quarter of 2024, we recorded tax expense based on actual first quarter results for jurisdictions where small changes in our projected pre-tax income may cause significant changes in the estimated annual effective tax rate.</w:t>
      </w:r>
    </w:p>
    <w:p>
      <w:pPr>
        <w:spacing w:after="0" w:line="18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change in our effective tax rate for the first quarter of 2024 as compared to the first quarter of 2023 was primarily due to changes in levels of profitability, interim tax expense methodology, and our geographic mix of earnings. Despite a consolidated pre-tax loss on a worldwide basis, we have taxes payable in certain geographies due to minimum taxable income reportable in those geographies.</w:t>
      </w:r>
    </w:p>
    <w:p>
      <w:pPr>
        <w:spacing w:after="0" w:line="198"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a loss before taxes and geographic mix of income, the benefit from tax incentive arrangements was not material for the first quarters of 2024 and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Earnings Per Share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60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30,</w:t>
            </w:r>
          </w:p>
        </w:tc>
        <w:tc>
          <w:tcPr>
            <w:tcW w:w="14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1,</w:t>
            </w:r>
          </w:p>
        </w:tc>
        <w:tc>
          <w:tcPr>
            <w:tcW w:w="0" w:type="dxa"/>
            <w:vAlign w:val="bottom"/>
          </w:tcPr>
          <w:p>
            <w:pPr>
              <w:spacing w:after="0"/>
              <w:rPr>
                <w:sz w:val="1"/>
                <w:szCs w:val="1"/>
                <w:color w:val="auto"/>
              </w:rPr>
            </w:pPr>
          </w:p>
        </w:tc>
      </w:tr>
      <w:tr>
        <w:trPr>
          <w:trHeight w:val="235"/>
        </w:trPr>
        <w:tc>
          <w:tcPr>
            <w:tcW w:w="6880" w:type="dxa"/>
            <w:vAlign w:val="bottom"/>
            <w:tcBorders>
              <w:bottom w:val="single" w:sz="8" w:color="auto"/>
            </w:tcBorders>
            <w:vMerge w:val="continue"/>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6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8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 – Basic and Diluted</w:t>
            </w:r>
          </w:p>
        </w:tc>
        <w:tc>
          <w:tcPr>
            <w:tcW w:w="1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(1,234)</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56"/>
        </w:trPr>
        <w:tc>
          <w:tcPr>
            <w:tcW w:w="6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 and Diluted</w:t>
            </w:r>
          </w:p>
        </w:tc>
        <w:tc>
          <w:tcPr>
            <w:tcW w:w="160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56"/>
        </w:trPr>
        <w:tc>
          <w:tcPr>
            <w:tcW w:w="6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(loss) per share</w:t>
            </w:r>
          </w:p>
        </w:tc>
        <w:tc>
          <w:tcPr>
            <w:tcW w:w="160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300"/>
              <w:spacing w:after="0"/>
              <w:rPr>
                <w:sz w:val="20"/>
                <w:szCs w:val="20"/>
                <w:color w:val="auto"/>
              </w:rPr>
            </w:pPr>
            <w:r>
              <w:rPr>
                <w:rFonts w:ascii="Arial" w:cs="Arial" w:eastAsia="Arial" w:hAnsi="Arial"/>
                <w:sz w:val="18"/>
                <w:szCs w:val="18"/>
                <w:color w:val="auto"/>
              </w:rPr>
              <w:t>Basic</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688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160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Antidilutive potential common shares excluded from the computation of diluted earnings per share, that could dilute basic earnings per share in the future, were 35 million for the first quarter of 2024 and 2023.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5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80" w:lineRule="exact"/>
        <w:rPr>
          <w:sz w:val="20"/>
          <w:szCs w:val="20"/>
          <w:color w:val="auto"/>
        </w:rPr>
      </w:pPr>
    </w:p>
    <w:p>
      <w:pPr>
        <w:ind w:left="340" w:right="400" w:hanging="323"/>
        <w:spacing w:after="0" w:line="260"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and solutions sold into client, cloud server,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graphics, and networking markets.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smartphone and other mobile-device markets.</w:t>
      </w:r>
    </w:p>
    <w:p>
      <w:pPr>
        <w:spacing w:after="0" w:line="9" w:lineRule="exact"/>
        <w:rPr>
          <w:sz w:val="20"/>
          <w:szCs w:val="20"/>
          <w:color w:val="auto"/>
        </w:rPr>
      </w:pPr>
    </w:p>
    <w:p>
      <w:pPr>
        <w:ind w:left="340" w:right="300" w:hanging="323"/>
        <w:spacing w:after="0" w:line="250" w:lineRule="auto"/>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and solutions sold into automotive, industrial, and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w:t>
      </w:r>
    </w:p>
    <w:p>
      <w:pPr>
        <w:spacing w:after="0" w:line="1" w:lineRule="exact"/>
        <w:rPr>
          <w:sz w:val="20"/>
          <w:szCs w:val="20"/>
          <w:color w:val="auto"/>
        </w:rPr>
      </w:pPr>
    </w:p>
    <w:p>
      <w:pPr>
        <w:ind w:left="340" w:hanging="323"/>
        <w:spacing w:after="0" w:line="266"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solutions sold into enterprise and cloud, client, and consumer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w:t>
      </w:r>
    </w:p>
    <w:p>
      <w:pPr>
        <w:spacing w:after="0" w:line="198"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831"/>
        </w:trPr>
        <w:tc>
          <w:tcPr>
            <w:tcW w:w="8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8"/>
              </w:rPr>
              <w:t>November 30,</w:t>
            </w:r>
          </w:p>
        </w:tc>
        <w:tc>
          <w:tcPr>
            <w:tcW w:w="80" w:type="dxa"/>
            <w:vAlign w:val="bottom"/>
          </w:tcPr>
          <w:p>
            <w:pPr>
              <w:spacing w:after="0"/>
              <w:rPr>
                <w:sz w:val="24"/>
                <w:szCs w:val="24"/>
                <w:color w:val="auto"/>
              </w:rPr>
            </w:pPr>
          </w:p>
        </w:tc>
        <w:tc>
          <w:tcPr>
            <w:tcW w:w="60" w:type="dxa"/>
            <w:vAlign w:val="bottom"/>
            <w:tcBorders>
              <w:top w:val="single" w:sz="8" w:color="BD03F7"/>
            </w:tcBorders>
          </w:tcPr>
          <w:p>
            <w:pPr>
              <w:spacing w:after="0"/>
              <w:rPr>
                <w:sz w:val="24"/>
                <w:szCs w:val="24"/>
                <w:color w:val="auto"/>
              </w:rPr>
            </w:pPr>
          </w:p>
        </w:tc>
        <w:tc>
          <w:tcPr>
            <w:tcW w:w="1300" w:type="dxa"/>
            <w:vAlign w:val="bottom"/>
            <w:tcBorders>
              <w:top w:val="single" w:sz="8" w:color="BD03F7"/>
            </w:tcBorders>
          </w:tcPr>
          <w:p>
            <w:pPr>
              <w:jc w:val="right"/>
              <w:ind w:right="90"/>
              <w:spacing w:after="0"/>
              <w:rPr>
                <w:sz w:val="20"/>
                <w:szCs w:val="20"/>
                <w:color w:val="auto"/>
              </w:rPr>
            </w:pPr>
            <w:r>
              <w:rPr>
                <w:rFonts w:ascii="Arial" w:cs="Arial" w:eastAsia="Arial" w:hAnsi="Arial"/>
                <w:sz w:val="18"/>
                <w:szCs w:val="18"/>
                <w:b w:val="1"/>
                <w:bCs w:val="1"/>
                <w:color w:val="auto"/>
              </w:rPr>
              <w:t>December 1,</w:t>
            </w:r>
          </w:p>
        </w:tc>
        <w:tc>
          <w:tcPr>
            <w:tcW w:w="0" w:type="dxa"/>
            <w:vAlign w:val="bottom"/>
          </w:tcPr>
          <w:p>
            <w:pPr>
              <w:spacing w:after="0"/>
              <w:rPr>
                <w:sz w:val="1"/>
                <w:szCs w:val="1"/>
                <w:color w:val="auto"/>
              </w:rPr>
            </w:pPr>
          </w:p>
        </w:tc>
      </w:tr>
      <w:tr>
        <w:trPr>
          <w:trHeight w:val="243"/>
        </w:trPr>
        <w:tc>
          <w:tcPr>
            <w:tcW w:w="81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CNBU</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1,737</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29"/>
        </w:trPr>
        <w:tc>
          <w:tcPr>
            <w:tcW w:w="81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1,293</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EBU</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81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653</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D1D2D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D1D2D4"/>
            </w:tcBorders>
            <w:shd w:val="clear" w:color="auto" w:fill="D1D2D4"/>
          </w:tcPr>
          <w:p>
            <w:pPr>
              <w:spacing w:after="0"/>
              <w:rPr>
                <w:sz w:val="21"/>
                <w:szCs w:val="21"/>
                <w:color w:val="auto"/>
              </w:rPr>
            </w:pPr>
          </w:p>
        </w:tc>
        <w:tc>
          <w:tcPr>
            <w:tcW w:w="26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D1D2D4"/>
          </w:tcPr>
          <w:p>
            <w:pPr>
              <w:spacing w:after="0"/>
              <w:rPr>
                <w:sz w:val="21"/>
                <w:szCs w:val="21"/>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4,726</w:t>
            </w:r>
          </w:p>
        </w:tc>
        <w:tc>
          <w:tcPr>
            <w:tcW w:w="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0"/>
        </w:trPr>
        <w:tc>
          <w:tcPr>
            <w:tcW w:w="81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660" w:type="dxa"/>
            <w:vAlign w:val="bottom"/>
            <w:tcBorders>
              <w:top w:val="single" w:sz="8" w:color="D1D2D4"/>
              <w:bottom w:val="single" w:sz="8" w:color="auto"/>
            </w:tcBorders>
          </w:tcPr>
          <w:p>
            <w:pPr>
              <w:spacing w:after="0" w:line="20" w:lineRule="exact"/>
              <w:rPr>
                <w:sz w:val="1"/>
                <w:szCs w:val="1"/>
                <w:color w:val="auto"/>
              </w:rPr>
            </w:pPr>
          </w:p>
        </w:tc>
        <w:tc>
          <w:tcPr>
            <w:tcW w:w="66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CNBU</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(397)</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81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(687)</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EBU</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81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D1D2D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660" w:type="dxa"/>
            <w:vAlign w:val="bottom"/>
            <w:tcBorders>
              <w:bottom w:val="single" w:sz="8" w:color="auto"/>
            </w:tcBorders>
            <w:shd w:val="clear" w:color="auto" w:fill="D1D2D4"/>
          </w:tcPr>
          <w:p>
            <w:pPr>
              <w:spacing w:after="0"/>
              <w:rPr>
                <w:sz w:val="19"/>
                <w:szCs w:val="19"/>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(1,560)</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Lower costs from sale of inventory written down in prior periods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1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660" w:type="dxa"/>
            <w:vAlign w:val="bottom"/>
            <w:tcBorders>
              <w:bottom w:val="single" w:sz="8" w:color="auto"/>
            </w:tcBorders>
            <w:shd w:val="clear" w:color="auto" w:fill="D1D2D4"/>
          </w:tcPr>
          <w:p>
            <w:pPr>
              <w:spacing w:after="0"/>
              <w:rPr>
                <w:sz w:val="19"/>
                <w:szCs w:val="19"/>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D1D2D4"/>
            </w:tcBorders>
          </w:tcPr>
          <w:p>
            <w:pPr>
              <w:spacing w:after="0"/>
              <w:rPr>
                <w:sz w:val="19"/>
                <w:szCs w:val="19"/>
                <w:color w:val="auto"/>
              </w:rPr>
            </w:pPr>
          </w:p>
        </w:tc>
        <w:tc>
          <w:tcPr>
            <w:tcW w:w="260" w:type="dxa"/>
            <w:vAlign w:val="bottom"/>
            <w:tcBorders>
              <w:bottom w:val="single" w:sz="8" w:color="D1D2D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7"/>
        </w:trPr>
        <w:tc>
          <w:tcPr>
            <w:tcW w:w="810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20" w:type="dxa"/>
            <w:vAlign w:val="bottom"/>
            <w:tcBorders>
              <w:bottom w:val="single" w:sz="8" w:color="auto"/>
            </w:tcBorders>
            <w:shd w:val="clear" w:color="auto" w:fill="D1D2D4"/>
          </w:tcPr>
          <w:p>
            <w:pPr>
              <w:spacing w:after="0"/>
              <w:rPr>
                <w:sz w:val="20"/>
                <w:szCs w:val="20"/>
                <w:color w:val="auto"/>
              </w:rPr>
            </w:pPr>
          </w:p>
        </w:tc>
        <w:tc>
          <w:tcPr>
            <w:tcW w:w="660" w:type="dxa"/>
            <w:vAlign w:val="bottom"/>
            <w:tcBorders>
              <w:bottom w:val="single" w:sz="8" w:color="auto"/>
            </w:tcBorders>
            <w:shd w:val="clear" w:color="auto" w:fill="D1D2D4"/>
          </w:tcPr>
          <w:p>
            <w:pPr>
              <w:spacing w:after="0"/>
              <w:rPr>
                <w:sz w:val="20"/>
                <w:szCs w:val="20"/>
                <w:color w:val="auto"/>
              </w:rPr>
            </w:pPr>
          </w:p>
        </w:tc>
        <w:tc>
          <w:tcPr>
            <w:tcW w:w="660" w:type="dxa"/>
            <w:vAlign w:val="bottom"/>
            <w:tcBorders>
              <w:bottom w:val="single" w:sz="8" w:color="auto"/>
            </w:tcBorders>
            <w:shd w:val="clear" w:color="auto" w:fill="D1D2D4"/>
          </w:tcPr>
          <w:p>
            <w:pPr>
              <w:spacing w:after="0"/>
              <w:rPr>
                <w:sz w:val="20"/>
                <w:szCs w:val="20"/>
                <w:color w:val="auto"/>
              </w:rPr>
            </w:pPr>
          </w:p>
        </w:tc>
        <w:tc>
          <w:tcPr>
            <w:tcW w:w="80" w:type="dxa"/>
            <w:vAlign w:val="bottom"/>
            <w:tcBorders>
              <w:bottom w:val="single" w:sz="8" w:color="auto"/>
            </w:tcBorders>
            <w:shd w:val="clear" w:color="auto" w:fill="D1D2D4"/>
          </w:tcPr>
          <w:p>
            <w:pPr>
              <w:spacing w:after="0"/>
              <w:rPr>
                <w:sz w:val="20"/>
                <w:szCs w:val="20"/>
                <w:color w:val="auto"/>
              </w:rPr>
            </w:pPr>
          </w:p>
        </w:tc>
        <w:tc>
          <w:tcPr>
            <w:tcW w:w="60" w:type="dxa"/>
            <w:vAlign w:val="bottom"/>
            <w:tcBorders>
              <w:bottom w:val="single" w:sz="8" w:color="auto"/>
            </w:tcBorders>
            <w:shd w:val="clear" w:color="auto" w:fill="D1D2D4"/>
          </w:tcPr>
          <w:p>
            <w:pPr>
              <w:spacing w:after="0"/>
              <w:rPr>
                <w:sz w:val="20"/>
                <w:szCs w:val="20"/>
                <w:color w:val="auto"/>
              </w:rPr>
            </w:pPr>
          </w:p>
        </w:tc>
        <w:tc>
          <w:tcPr>
            <w:tcW w:w="1300" w:type="dxa"/>
            <w:vAlign w:val="bottom"/>
            <w:tcBorders>
              <w:bottom w:val="single" w:sz="8" w:color="auto"/>
            </w:tcBorders>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40"/>
                <w:szCs w:val="40"/>
                <w:b w:val="1"/>
                <w:bCs w:val="1"/>
                <w:color w:val="auto"/>
              </w:rPr>
              <w:t>Certain Concentrations</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0"/>
        </w:trPr>
        <w:tc>
          <w:tcPr>
            <w:tcW w:w="8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100" w:type="dxa"/>
            <w:vAlign w:val="bottom"/>
          </w:tcPr>
          <w:p>
            <w:pPr>
              <w:spacing w:after="0"/>
              <w:rPr>
                <w:sz w:val="20"/>
                <w:szCs w:val="20"/>
                <w:color w:val="auto"/>
              </w:rPr>
            </w:pPr>
            <w:r>
              <w:rPr>
                <w:rFonts w:ascii="Arial" w:cs="Arial" w:eastAsia="Arial" w:hAnsi="Arial"/>
                <w:sz w:val="18"/>
                <w:szCs w:val="18"/>
                <w:color w:val="auto"/>
              </w:rPr>
              <w:t>Revenue by end market as an approximate percent of total revenue is presented in the table below:</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700" w:type="dxa"/>
            <w:vAlign w:val="bottom"/>
            <w:gridSpan w:val="4"/>
          </w:tcPr>
          <w:p>
            <w:pPr>
              <w:jc w:val="center"/>
              <w:ind w:right="70"/>
              <w:spacing w:after="0" w:line="199" w:lineRule="exact"/>
              <w:rPr>
                <w:sz w:val="20"/>
                <w:szCs w:val="20"/>
                <w:color w:val="auto"/>
              </w:rPr>
            </w:pPr>
            <w:r>
              <w:rPr>
                <w:rFonts w:ascii="Arial" w:cs="Arial" w:eastAsia="Arial" w:hAnsi="Arial"/>
                <w:sz w:val="18"/>
                <w:szCs w:val="18"/>
                <w:b w:val="1"/>
                <w:bCs w:val="1"/>
                <w:color w:val="auto"/>
                <w:w w:val="99"/>
              </w:rPr>
              <w:t>November 30,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1, 2022</w:t>
            </w:r>
          </w:p>
        </w:tc>
        <w:tc>
          <w:tcPr>
            <w:tcW w:w="0" w:type="dxa"/>
            <w:vAlign w:val="bottom"/>
          </w:tcPr>
          <w:p>
            <w:pPr>
              <w:spacing w:after="0"/>
              <w:rPr>
                <w:sz w:val="1"/>
                <w:szCs w:val="1"/>
                <w:color w:val="auto"/>
              </w:rPr>
            </w:pPr>
          </w:p>
        </w:tc>
      </w:tr>
      <w:tr>
        <w:trPr>
          <w:trHeight w:val="34"/>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00" w:type="dxa"/>
            <w:vAlign w:val="bottom"/>
            <w:shd w:val="clear" w:color="auto" w:fill="D1D2D4"/>
          </w:tcPr>
          <w:p>
            <w:pPr>
              <w:ind w:left="20"/>
              <w:spacing w:after="0"/>
              <w:rPr>
                <w:sz w:val="20"/>
                <w:szCs w:val="20"/>
                <w:color w:val="auto"/>
              </w:rPr>
            </w:pPr>
            <w:r>
              <w:rPr>
                <w:rFonts w:ascii="Arial" w:cs="Arial" w:eastAsia="Arial" w:hAnsi="Arial"/>
                <w:sz w:val="18"/>
                <w:szCs w:val="18"/>
                <w:color w:val="auto"/>
              </w:rPr>
              <w:t>Mobile</w:t>
            </w:r>
          </w:p>
        </w:tc>
        <w:tc>
          <w:tcPr>
            <w:tcW w:w="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6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25 %</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Automotive, industrial, and consumer</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81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Client and graphics</w:t>
            </w:r>
          </w:p>
        </w:tc>
        <w:tc>
          <w:tcPr>
            <w:tcW w:w="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6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20 %</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Enterprise and cloud server</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81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SSDs and other storage</w:t>
            </w:r>
          </w:p>
        </w:tc>
        <w:tc>
          <w:tcPr>
            <w:tcW w:w="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6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15 %</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700"/>
        <w:spacing w:after="0" w:line="298"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4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i w:val="1"/>
          <w:iCs w:val="1"/>
          <w:color w:val="auto"/>
        </w:rPr>
        <w:t xml:space="preserve">This discussion should be read in conjunction with the consolidated financial statements and accompanying notes included in our Annual Report on Form 10-K for the year ended August 31, 2023. All period references are to our fiscal periods unless otherwise indicated. Our fiscal year is the 52 or 53-week period ending on the Thursday closest to August 31. Fiscal </w:t>
      </w:r>
      <w:r>
        <w:rPr>
          <w:rFonts w:ascii="Arial" w:cs="Arial" w:eastAsia="Arial" w:hAnsi="Arial"/>
          <w:sz w:val="18"/>
          <w:szCs w:val="18"/>
          <w:color w:val="auto"/>
        </w:rPr>
        <w:t>2024 and 2023</w:t>
      </w:r>
      <w:r>
        <w:rPr>
          <w:rFonts w:ascii="Arial" w:cs="Arial" w:eastAsia="Arial" w:hAnsi="Arial"/>
          <w:sz w:val="18"/>
          <w:szCs w:val="18"/>
          <w:i w:val="1"/>
          <w:iCs w:val="1"/>
          <w:color w:val="auto"/>
        </w:rPr>
        <w:t xml:space="preserve"> each contain 52 weeks. All tabular dollar amounts are in millions, except per share amounts.</w:t>
      </w:r>
    </w:p>
    <w:p>
      <w:pPr>
        <w:spacing w:after="0" w:line="20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0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in spite of ongoing inflationary cost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Technologies</w:t>
      </w:r>
    </w:p>
    <w:p>
      <w:pPr>
        <w:spacing w:after="0" w:line="24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DRAM, NAND, and NOR. We sell our products into various markets through our business units in numerous forms, including components, modules, SSDs, managed NAND, MCPs, and wafers. Our system-level solutions, including SSDs and managed NAND, combine NAND, a controller, firmware, and in some cases DRAM.</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DRAM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client, cloud server, enterprise, networking, graphics, industrial, and automotive markets. LPDRAM products, which are engineered to meet standards for performance and power consumption, are sold into smartphone and other mobile-device markets (including client markets for Chromebooks and notebook PCs), as well as into the automotive, industrial, consumer, and datacenter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NAND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NAND products are non-volatile, re-writeable semiconductor storage devices that provide high-capacity, low-cost storage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variety of performance characteristics. NAND is used in SSDs for the enterprise and cloud, client, consumer, and automotive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20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NOR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products are non-volatile, re-writable semiconductor memory devices that provide fast read speeds. NOR is most commonly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for reliable code storage (e.g., boot, application, operating system, and execute-in-place code in an embedded system) and for frequently changing small data storage and is ideal for automotive, industrial, and consumer applications.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Industry Conditions</w:t>
      </w:r>
    </w:p>
    <w:p>
      <w:pPr>
        <w:spacing w:after="0" w:line="2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memory and storage industry environment deteriorated sharply in the fourth quarter of 2022 and throughout 2023 due to weak demand in many end markets combined with global and macroeconomic challenges and lower demand resulting from customer actions to reduce inventory levels. This led to significant reductions in average selling prices for both DRAM and NAND and reductions in bit shipments for DRAM, resulting in declines in revenue across all our business segments and nearly all our end markets. For the first quarter of 2024, improving demand growth driven in part by deployment of artificial intelligence, customer inventory normalization, and industry-wide supply discipline, resulted in an improved industry supply and demand balance. As a result, we have experienced improvements in pricing and margins.</w:t>
      </w: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result of challenging market conditions that have persisted since the fourth quarter of 2022 and increased levels of our inventories, in recent quarters we have reduced capital expenditures and wafer starts for both DRAM and NAND. We expect wafer starts will remain below peak capacity levels for the second quarter of 2024 as we remain focused on managing down our inventories and controlling our supply. We recognized period costs from fabrication facility underutilization of $165 million in first quarter of 2024 and $222 million in the fourth quarter of 2023 due to wafer start reductions. We expect reduced underutilization charges in the second quarter of 2024. In addition, we have strategically diverted underutilized equipment toward ramping new technology nodes, which will help us increase leading edge production in a capital efficient manner. Since the number of wafer processing steps is higher for leading-edge nodes, this approach of diverting underutilized tools to the leading edge meaningfully reduces our overall wafer capacity.</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China Cyberspace Administration Decision</w:t>
      </w: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31, 2023, China’s Cyberspace Administration (the “CAC”) notified us that it was conducting a cybersecurity review of our products sold in China. On May 21, 2023, we received notice that the CAC had concluded its review and decided that our products presented a cybersecurity risk. As such, the CAC determined that critical information infrastructure operators in China may not purchase Micron products. The CAC decision has impacted our business, particularly in the domestic data center and networking markets in China, and we have been working to mitigate that impact. Our long-term goal is to retain our worldwide DRAM and NAND market share.</w:t>
      </w:r>
    </w:p>
    <w:p>
      <w:pPr>
        <w:spacing w:after="0" w:line="200" w:lineRule="exact"/>
        <w:rPr>
          <w:sz w:val="20"/>
          <w:szCs w:val="20"/>
          <w:color w:val="auto"/>
        </w:rPr>
      </w:pPr>
    </w:p>
    <w:p>
      <w:pPr>
        <w:spacing w:after="0" w:line="214"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rPr>
              <w:t>First Quarter</w:t>
            </w:r>
          </w:p>
        </w:tc>
        <w:tc>
          <w:tcPr>
            <w:tcW w:w="184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9"/>
              </w:rPr>
              <w:t>Fourth Quarter</w:t>
            </w:r>
          </w:p>
        </w:tc>
        <w:tc>
          <w:tcPr>
            <w:tcW w:w="156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9"/>
              </w:rPr>
              <w:t>First Quarter</w:t>
            </w:r>
          </w:p>
        </w:tc>
      </w:tr>
      <w:tr>
        <w:trPr>
          <w:trHeight w:val="235"/>
        </w:trPr>
        <w:tc>
          <w:tcPr>
            <w:tcW w:w="5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r>
      <w:tr>
        <w:trPr>
          <w:trHeight w:val="34"/>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4,726</w:t>
            </w:r>
          </w:p>
        </w:tc>
        <w:tc>
          <w:tcPr>
            <w:tcW w:w="30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4,010</w:t>
            </w:r>
          </w:p>
        </w:tc>
        <w:tc>
          <w:tcPr>
            <w:tcW w:w="300" w:type="dxa"/>
            <w:vAlign w:val="bottom"/>
            <w:shd w:val="clear" w:color="auto" w:fill="D1D2D4"/>
          </w:tcPr>
          <w:p>
            <w:pPr>
              <w:spacing w:after="0"/>
              <w:rPr>
                <w:sz w:val="19"/>
                <w:szCs w:val="19"/>
                <w:color w:val="auto"/>
              </w:rPr>
            </w:pPr>
          </w:p>
        </w:tc>
        <w:tc>
          <w:tcPr>
            <w:tcW w:w="860" w:type="dxa"/>
            <w:vAlign w:val="bottom"/>
            <w:gridSpan w:val="2"/>
            <w:shd w:val="clear" w:color="auto" w:fill="D1D2D4"/>
          </w:tcPr>
          <w:p>
            <w:pPr>
              <w:jc w:val="right"/>
              <w:ind w:right="30"/>
              <w:spacing w:after="0"/>
              <w:rPr>
                <w:sz w:val="20"/>
                <w:szCs w:val="20"/>
                <w:color w:val="auto"/>
              </w:rPr>
            </w:pPr>
            <w:r>
              <w:rPr>
                <w:rFonts w:ascii="Arial" w:cs="Arial" w:eastAsia="Arial" w:hAnsi="Arial"/>
                <w:sz w:val="18"/>
                <w:szCs w:val="18"/>
                <w:color w:val="auto"/>
              </w:rPr>
              <w:t>100 %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4,085</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58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w:t>
            </w:r>
          </w:p>
        </w:tc>
        <w:tc>
          <w:tcPr>
            <w:tcW w:w="30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101 %</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111 %</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78 %</w:t>
            </w:r>
          </w:p>
        </w:tc>
      </w:tr>
      <w:tr>
        <w:trPr>
          <w:trHeight w:val="223"/>
        </w:trPr>
        <w:tc>
          <w:tcPr>
            <w:tcW w:w="58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(435)</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893</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22 %</w:t>
            </w:r>
          </w:p>
        </w:tc>
      </w:tr>
      <w:tr>
        <w:trPr>
          <w:trHeight w:val="257"/>
        </w:trPr>
        <w:tc>
          <w:tcPr>
            <w:tcW w:w="5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845</w:t>
            </w:r>
          </w:p>
        </w:tc>
        <w:tc>
          <w:tcPr>
            <w:tcW w:w="30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18 %</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719</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18 %</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849</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6 %</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00" w:type="dxa"/>
            <w:vAlign w:val="bottom"/>
            <w:shd w:val="clear" w:color="auto" w:fill="D1D2D4"/>
          </w:tcPr>
          <w:p>
            <w:pPr>
              <w:spacing w:after="0"/>
              <w:rPr>
                <w:sz w:val="19"/>
                <w:szCs w:val="19"/>
                <w:color w:val="auto"/>
              </w:rPr>
            </w:pPr>
          </w:p>
        </w:tc>
        <w:tc>
          <w:tcPr>
            <w:tcW w:w="980" w:type="dxa"/>
            <w:vAlign w:val="bottom"/>
            <w:gridSpan w:val="2"/>
            <w:shd w:val="clear" w:color="auto" w:fill="D1D2D4"/>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D1D2D4"/>
          </w:tcPr>
          <w:p>
            <w:pPr>
              <w:spacing w:after="0"/>
              <w:rPr>
                <w:sz w:val="19"/>
                <w:szCs w:val="19"/>
                <w:color w:val="auto"/>
              </w:rPr>
            </w:pPr>
          </w:p>
        </w:tc>
        <w:tc>
          <w:tcPr>
            <w:tcW w:w="860" w:type="dxa"/>
            <w:vAlign w:val="bottom"/>
            <w:gridSpan w:val="2"/>
            <w:shd w:val="clear" w:color="auto" w:fill="D1D2D4"/>
          </w:tcPr>
          <w:p>
            <w:pPr>
              <w:jc w:val="right"/>
              <w:ind w:right="170"/>
              <w:spacing w:after="0"/>
              <w:rPr>
                <w:sz w:val="20"/>
                <w:szCs w:val="20"/>
                <w:color w:val="auto"/>
              </w:rPr>
            </w:pPr>
            <w:r>
              <w:rPr>
                <w:rFonts w:ascii="Arial" w:cs="Arial" w:eastAsia="Arial" w:hAnsi="Arial"/>
                <w:sz w:val="18"/>
                <w:szCs w:val="18"/>
                <w:color w:val="auto"/>
              </w:rPr>
              <w:t>—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Other operating (income) expense, net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860" w:type="dxa"/>
            <w:vAlign w:val="bottom"/>
            <w:tcBorders>
              <w:top w:val="single" w:sz="8" w:color="D1D2D4"/>
            </w:tcBorders>
            <w:shd w:val="clear" w:color="auto" w:fill="D1D2D4"/>
          </w:tcPr>
          <w:p>
            <w:pPr>
              <w:ind w:left="36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shd w:val="clear" w:color="auto" w:fill="D1D2D4"/>
          </w:tcPr>
          <w:p>
            <w:pPr>
              <w:spacing w:after="0"/>
              <w:rPr>
                <w:sz w:val="19"/>
                <w:szCs w:val="19"/>
                <w:color w:val="auto"/>
              </w:rPr>
            </w:pPr>
          </w:p>
        </w:tc>
        <w:tc>
          <w:tcPr>
            <w:tcW w:w="68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(1,128)</w:t>
            </w:r>
          </w:p>
        </w:tc>
        <w:tc>
          <w:tcPr>
            <w:tcW w:w="300" w:type="dxa"/>
            <w:vAlign w:val="bottom"/>
            <w:tcBorders>
              <w:top w:val="single" w:sz="8" w:color="D1D2D4"/>
            </w:tcBorders>
            <w:shd w:val="clear" w:color="auto" w:fill="D1D2D4"/>
          </w:tcPr>
          <w:p>
            <w:pPr>
              <w:spacing w:after="0"/>
              <w:rPr>
                <w:sz w:val="19"/>
                <w:szCs w:val="19"/>
                <w:color w:val="auto"/>
              </w:rPr>
            </w:pPr>
          </w:p>
        </w:tc>
        <w:tc>
          <w:tcPr>
            <w:tcW w:w="60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auto"/>
            </w:tcBorders>
            <w:shd w:val="clear" w:color="auto" w:fill="D1D2D4"/>
          </w:tcPr>
          <w:p>
            <w:pPr>
              <w:spacing w:after="0"/>
              <w:rPr>
                <w:sz w:val="19"/>
                <w:szCs w:val="19"/>
                <w:color w:val="auto"/>
              </w:rPr>
            </w:pPr>
          </w:p>
        </w:tc>
        <w:tc>
          <w:tcPr>
            <w:tcW w:w="68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(1,472)</w:t>
            </w:r>
          </w:p>
        </w:tc>
        <w:tc>
          <w:tcPr>
            <w:tcW w:w="300" w:type="dxa"/>
            <w:vAlign w:val="bottom"/>
            <w:tcBorders>
              <w:top w:val="single" w:sz="8" w:color="D1D2D4"/>
            </w:tcBorders>
            <w:shd w:val="clear" w:color="auto" w:fill="D1D2D4"/>
          </w:tcPr>
          <w:p>
            <w:pPr>
              <w:spacing w:after="0"/>
              <w:rPr>
                <w:sz w:val="19"/>
                <w:szCs w:val="19"/>
                <w:color w:val="auto"/>
              </w:rPr>
            </w:pPr>
          </w:p>
        </w:tc>
        <w:tc>
          <w:tcPr>
            <w:tcW w:w="62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top w:val="single" w:sz="8" w:color="auto"/>
            </w:tcBorders>
            <w:shd w:val="clear" w:color="auto" w:fill="D1D2D4"/>
          </w:tcPr>
          <w:p>
            <w:pPr>
              <w:spacing w:after="0"/>
              <w:rPr>
                <w:sz w:val="19"/>
                <w:szCs w:val="19"/>
                <w:color w:val="auto"/>
              </w:rPr>
            </w:pPr>
          </w:p>
        </w:tc>
        <w:tc>
          <w:tcPr>
            <w:tcW w:w="64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Borders>
              <w:top w:val="single" w:sz="8" w:color="D1D2D4"/>
            </w:tcBorders>
            <w:shd w:val="clear" w:color="auto" w:fill="D1D2D4"/>
          </w:tcPr>
          <w:p>
            <w:pPr>
              <w:spacing w:after="0"/>
              <w:rPr>
                <w:sz w:val="19"/>
                <w:szCs w:val="19"/>
                <w:color w:val="auto"/>
              </w:rPr>
            </w:pPr>
          </w:p>
        </w:tc>
        <w:tc>
          <w:tcPr>
            <w:tcW w:w="62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5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 (expense), net</w:t>
            </w:r>
          </w:p>
        </w:tc>
        <w:tc>
          <w:tcPr>
            <w:tcW w:w="200" w:type="dxa"/>
            <w:vAlign w:val="bottom"/>
            <w:shd w:val="clear" w:color="auto" w:fill="D1D2D4"/>
          </w:tcPr>
          <w:p>
            <w:pPr>
              <w:spacing w:after="0"/>
              <w:rPr>
                <w:sz w:val="19"/>
                <w:szCs w:val="19"/>
                <w:color w:val="auto"/>
              </w:rPr>
            </w:pPr>
          </w:p>
        </w:tc>
        <w:tc>
          <w:tcPr>
            <w:tcW w:w="980" w:type="dxa"/>
            <w:vAlign w:val="bottom"/>
            <w:gridSpan w:val="2"/>
            <w:shd w:val="clear" w:color="auto" w:fill="D1D2D4"/>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D1D2D4"/>
          </w:tcPr>
          <w:p>
            <w:pPr>
              <w:spacing w:after="0"/>
              <w:rPr>
                <w:sz w:val="19"/>
                <w:szCs w:val="19"/>
                <w:color w:val="auto"/>
              </w:rPr>
            </w:pPr>
          </w:p>
        </w:tc>
        <w:tc>
          <w:tcPr>
            <w:tcW w:w="860" w:type="dxa"/>
            <w:vAlign w:val="bottom"/>
            <w:gridSpan w:val="2"/>
            <w:shd w:val="clear" w:color="auto" w:fill="D1D2D4"/>
          </w:tcPr>
          <w:p>
            <w:pPr>
              <w:jc w:val="right"/>
              <w:ind w:right="170"/>
              <w:spacing w:after="0"/>
              <w:rPr>
                <w:sz w:val="20"/>
                <w:szCs w:val="20"/>
                <w:color w:val="auto"/>
              </w:rPr>
            </w:pPr>
            <w:r>
              <w:rPr>
                <w:rFonts w:ascii="Arial" w:cs="Arial" w:eastAsia="Arial" w:hAnsi="Arial"/>
                <w:sz w:val="18"/>
                <w:szCs w:val="18"/>
                <w:color w:val="auto"/>
              </w:rPr>
              <w:t>—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5860" w:type="dxa"/>
            <w:vAlign w:val="bottom"/>
            <w:tcBorders>
              <w:top w:val="single" w:sz="8" w:color="D1D2D4"/>
              <w:bottom w:val="single" w:sz="8" w:color="D1D2D4"/>
            </w:tcBorders>
            <w:shd w:val="clear" w:color="auto" w:fill="D1D2D4"/>
          </w:tcPr>
          <w:p>
            <w:pPr>
              <w:ind w:left="40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(1,234)</w:t>
            </w:r>
          </w:p>
        </w:tc>
        <w:tc>
          <w:tcPr>
            <w:tcW w:w="300" w:type="dxa"/>
            <w:vAlign w:val="bottom"/>
            <w:tcBorders>
              <w:top w:val="single" w:sz="8" w:color="D1D2D4"/>
              <w:bottom w:val="single" w:sz="8" w:color="D1D2D4"/>
            </w:tcBorders>
            <w:shd w:val="clear" w:color="auto" w:fill="D1D2D4"/>
          </w:tcPr>
          <w:p>
            <w:pPr>
              <w:spacing w:after="0"/>
              <w:rPr>
                <w:sz w:val="21"/>
                <w:szCs w:val="21"/>
                <w:color w:val="auto"/>
              </w:rPr>
            </w:pPr>
          </w:p>
        </w:tc>
        <w:tc>
          <w:tcPr>
            <w:tcW w:w="60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(1,430)</w:t>
            </w:r>
          </w:p>
        </w:tc>
        <w:tc>
          <w:tcPr>
            <w:tcW w:w="300" w:type="dxa"/>
            <w:vAlign w:val="bottom"/>
            <w:tcBorders>
              <w:top w:val="single" w:sz="8" w:color="D1D2D4"/>
              <w:bottom w:val="single" w:sz="8" w:color="D1D2D4"/>
            </w:tcBorders>
            <w:shd w:val="clear" w:color="auto" w:fill="D1D2D4"/>
          </w:tcPr>
          <w:p>
            <w:pPr>
              <w:spacing w:after="0"/>
              <w:rPr>
                <w:sz w:val="21"/>
                <w:szCs w:val="21"/>
                <w:color w:val="auto"/>
              </w:rPr>
            </w:pPr>
          </w:p>
        </w:tc>
        <w:tc>
          <w:tcPr>
            <w:tcW w:w="62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(195)</w:t>
            </w:r>
          </w:p>
        </w:tc>
        <w:tc>
          <w:tcPr>
            <w:tcW w:w="300" w:type="dxa"/>
            <w:vAlign w:val="bottom"/>
            <w:tcBorders>
              <w:top w:val="single" w:sz="8" w:color="D1D2D4"/>
              <w:bottom w:val="single" w:sz="8" w:color="D1D2D4"/>
            </w:tcBorders>
            <w:shd w:val="clear" w:color="auto" w:fill="D1D2D4"/>
          </w:tcPr>
          <w:p>
            <w:pPr>
              <w:spacing w:after="0"/>
              <w:rPr>
                <w:sz w:val="21"/>
                <w:szCs w:val="21"/>
                <w:color w:val="auto"/>
              </w:rPr>
            </w:pPr>
          </w:p>
        </w:tc>
        <w:tc>
          <w:tcPr>
            <w:tcW w:w="62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86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68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tcBorders>
          </w:tcPr>
          <w:p>
            <w:pPr>
              <w:spacing w:after="0" w:line="20" w:lineRule="exact"/>
              <w:rPr>
                <w:sz w:val="1"/>
                <w:szCs w:val="1"/>
                <w:color w:val="auto"/>
              </w:rPr>
            </w:pPr>
          </w:p>
        </w:tc>
        <w:tc>
          <w:tcPr>
            <w:tcW w:w="60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68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6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Total revenue for the first quarter of 2024 was impacted by the factors described in the section titled “Industry Conditions”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 Total revenue for the first quarter of 2024 increased 18% as compared to the fourth quarter of 2023 primarily due to increases in sales of both DRAM and NAND products.</w:t>
      </w:r>
    </w:p>
    <w:p>
      <w:pPr>
        <w:spacing w:after="0" w:line="198" w:lineRule="exact"/>
        <w:rPr>
          <w:sz w:val="20"/>
          <w:szCs w:val="20"/>
          <w:color w:val="auto"/>
        </w:rPr>
      </w:pPr>
    </w:p>
    <w:p>
      <w:pPr>
        <w:ind w:left="660" w:right="100" w:hanging="328"/>
        <w:spacing w:after="0" w:line="260" w:lineRule="auto"/>
        <w:tabs>
          <w:tab w:leader="none" w:pos="65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Sales of DRAM products in the first quarter of 2024 increased 24% as compared to the fourth quarter of 2023 primarily due to a low-20s percent range increase in bit shipments and increases in average selling prices in the low single-digit-percent range.</w:t>
      </w:r>
    </w:p>
    <w:p>
      <w:pPr>
        <w:spacing w:after="0" w:line="1" w:lineRule="exact"/>
        <w:rPr>
          <w:rFonts w:ascii="Arial" w:cs="Arial" w:eastAsia="Arial" w:hAnsi="Arial"/>
          <w:sz w:val="18"/>
          <w:szCs w:val="18"/>
          <w:b w:val="1"/>
          <w:bCs w:val="1"/>
          <w:i w:val="1"/>
          <w:iCs w:val="1"/>
          <w:color w:val="auto"/>
        </w:rPr>
      </w:pPr>
    </w:p>
    <w:p>
      <w:pPr>
        <w:ind w:left="660" w:right="400" w:hanging="328"/>
        <w:spacing w:after="0" w:line="25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NAND products in the first quarter of 2024 increased 2% as compared to the fourth quarter of 2023 primarily due to an approximate 20% increase in average selling prices partially offset by decreases in bit shipments in the mid-teens percent range after record NAND bit shipments in the fourth quarter of 2023.</w:t>
      </w:r>
    </w:p>
    <w:p>
      <w:pPr>
        <w:spacing w:after="0" w:line="20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Total revenue for the first quarter of 2024 increased 16% as compared to the first quarter of 2023 primarily due to increases in sales of both DRAM and NAND products.</w:t>
      </w:r>
    </w:p>
    <w:p>
      <w:pPr>
        <w:spacing w:after="0" w:line="180" w:lineRule="exact"/>
        <w:rPr>
          <w:sz w:val="20"/>
          <w:szCs w:val="20"/>
          <w:color w:val="auto"/>
        </w:rPr>
      </w:pPr>
    </w:p>
    <w:p>
      <w:pPr>
        <w:ind w:left="660" w:right="260" w:hanging="328"/>
        <w:spacing w:after="0" w:line="276" w:lineRule="auto"/>
        <w:tabs>
          <w:tab w:leader="none" w:pos="655"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color w:val="auto"/>
        </w:rPr>
        <w:t>Sales of DRAM products in the first quarter of 2024 increased 21% as compared to the first quarter of 2023 primarily due to a low-80s percent range increase in bit shipments partially offset by a decrease in average selling prices in the low-30s percent range.</w:t>
      </w:r>
    </w:p>
    <w:p>
      <w:pPr>
        <w:ind w:left="660" w:right="220" w:hanging="328"/>
        <w:spacing w:after="0" w:line="296" w:lineRule="auto"/>
        <w:tabs>
          <w:tab w:leader="none" w:pos="655"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color w:val="auto"/>
        </w:rPr>
        <w:t>Sales of NAND products in the first quarter of 2024 increased 12% as compared to the first quarter of 2023 primarily due to a high-70s percent range increase in bit shipments partially offset by a decrease in average selling prices in the high-30s percent range.</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Consolidated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consolidated gross margin has been impacted by the factors described in the section titled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above. Our consolidated gross margin percentage improved to negative 1% for the first quarter of 2024 from negative 11% for the fourth quarter of 2023, as a result of improvements in margins for both DRAM and NAND products, primarily due to increases in average selling prices, and a higher mix of revenue from DRAM. Our consolidated gross margin percentage declined to negative 1% for the first quarter of 2024 from 22% for the first quarter of 2023 primarily due to declines in average selling prices for both DRAM and NAND and $165 million of facility underutilization costs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u w:val="single" w:color="auto"/>
          <w:color w:val="auto"/>
        </w:rPr>
        <w:t>Inventory NRV write-downs:</w:t>
      </w:r>
      <w:r>
        <w:rPr>
          <w:rFonts w:ascii="Arial" w:cs="Arial" w:eastAsia="Arial" w:hAnsi="Arial"/>
          <w:sz w:val="18"/>
          <w:szCs w:val="18"/>
          <w:i w:val="1"/>
          <w:iCs w:val="1"/>
          <w:color w:val="auto"/>
        </w:rPr>
        <w:t xml:space="preserve"> </w:t>
      </w:r>
      <w:r>
        <w:rPr>
          <w:rFonts w:ascii="Arial" w:cs="Arial" w:eastAsia="Arial" w:hAnsi="Arial"/>
          <w:sz w:val="18"/>
          <w:szCs w:val="18"/>
          <w:color w:val="auto"/>
        </w:rPr>
        <w:t>Our consolidated gross margin was impacted by charges in the third and second quarters of 2023 to write down</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inventories to their estimated net realizable value as a result of declines in average selling prices for both DRAM and NAND. As charges to write down inventories are recorded in advance of when inventories are sold, costs of goods sold in subsequent periods are lower than they otherwise would be. The impact of inventory NRV write-downs for each period reflects (1) inventory write-downs in that period, offset by (2) lower costs in that period on the sale of inventory written down in prior periods. The impacts of inventory NRV write-downs are summarized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19"/>
                <w:szCs w:val="19"/>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First Quarter</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Fourth Quarter</w:t>
            </w:r>
          </w:p>
        </w:tc>
        <w:tc>
          <w:tcPr>
            <w:tcW w:w="180" w:type="dxa"/>
            <w:vAlign w:val="bottom"/>
          </w:tcPr>
          <w:p>
            <w:pPr>
              <w:spacing w:after="0"/>
              <w:rPr>
                <w:sz w:val="19"/>
                <w:szCs w:val="19"/>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First Quarter</w:t>
            </w:r>
          </w:p>
        </w:tc>
      </w:tr>
      <w:tr>
        <w:trPr>
          <w:trHeight w:val="235"/>
        </w:trPr>
        <w:tc>
          <w:tcPr>
            <w:tcW w:w="69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34"/>
        </w:trPr>
        <w:tc>
          <w:tcPr>
            <w:tcW w:w="6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6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to write down inventory to NRV</w:t>
            </w:r>
          </w:p>
        </w:tc>
        <w:tc>
          <w:tcPr>
            <w:tcW w:w="1000" w:type="dxa"/>
            <w:vAlign w:val="bottom"/>
            <w:shd w:val="clear" w:color="auto" w:fill="DBDBDB"/>
          </w:tcPr>
          <w:p>
            <w:pPr>
              <w:jc w:val="right"/>
              <w:ind w:right="79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DBDBDB"/>
          </w:tcPr>
          <w:p>
            <w:pPr>
              <w:jc w:val="right"/>
              <w:ind w:right="130"/>
              <w:spacing w:after="0"/>
              <w:rPr>
                <w:sz w:val="20"/>
                <w:szCs w:val="20"/>
                <w:color w:val="auto"/>
              </w:rPr>
            </w:pPr>
            <w:r>
              <w:rPr>
                <w:rFonts w:ascii="Arial" w:cs="Arial" w:eastAsia="Arial" w:hAnsi="Arial"/>
                <w:sz w:val="18"/>
                <w:szCs w:val="18"/>
                <w:color w:val="auto"/>
              </w:rPr>
              <w:t>— $</w:t>
            </w:r>
          </w:p>
        </w:tc>
        <w:tc>
          <w:tcPr>
            <w:tcW w:w="12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 $</w:t>
            </w:r>
          </w:p>
        </w:tc>
        <w:tc>
          <w:tcPr>
            <w:tcW w:w="1300" w:type="dxa"/>
            <w:vAlign w:val="bottom"/>
            <w:shd w:val="clear" w:color="auto" w:fill="DBDBDB"/>
          </w:tcPr>
          <w:p>
            <w:pPr>
              <w:ind w:left="1040"/>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Lower costs from sale of inventory written down in prior periods</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r>
      <w:tr>
        <w:trPr>
          <w:trHeight w:val="248"/>
        </w:trPr>
        <w:tc>
          <w:tcPr>
            <w:tcW w:w="6900" w:type="dxa"/>
            <w:vAlign w:val="bottom"/>
            <w:tcBorders>
              <w:bottom w:val="single" w:sz="8" w:color="DBDBDB"/>
            </w:tcBorders>
            <w:shd w:val="clear" w:color="auto" w:fill="DBDBDB"/>
          </w:tcPr>
          <w:p>
            <w:pPr>
              <w:spacing w:after="0"/>
              <w:rPr>
                <w:sz w:val="21"/>
                <w:szCs w:val="21"/>
                <w:color w:val="auto"/>
              </w:rPr>
            </w:pPr>
          </w:p>
        </w:tc>
        <w:tc>
          <w:tcPr>
            <w:tcW w:w="1000" w:type="dxa"/>
            <w:vAlign w:val="bottom"/>
            <w:tcBorders>
              <w:bottom w:val="single" w:sz="8" w:color="auto"/>
            </w:tcBorders>
            <w:shd w:val="clear" w:color="auto" w:fill="DBDBDB"/>
          </w:tcPr>
          <w:p>
            <w:pPr>
              <w:jc w:val="right"/>
              <w:ind w:right="7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605</w:t>
            </w:r>
          </w:p>
        </w:tc>
        <w:tc>
          <w:tcPr>
            <w:tcW w:w="36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563</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BDBDB"/>
          </w:tcPr>
          <w:p>
            <w:pPr>
              <w:ind w:left="1040"/>
              <w:spacing w:after="0"/>
              <w:rPr>
                <w:sz w:val="20"/>
                <w:szCs w:val="20"/>
                <w:color w:val="auto"/>
              </w:rPr>
            </w:pPr>
            <w:r>
              <w:rPr>
                <w:rFonts w:ascii="Arial" w:cs="Arial" w:eastAsia="Arial" w:hAnsi="Arial"/>
                <w:sz w:val="18"/>
                <w:szCs w:val="18"/>
                <w:color w:val="auto"/>
              </w:rPr>
              <w:t>—</w:t>
            </w:r>
          </w:p>
        </w:tc>
      </w:tr>
      <w:tr>
        <w:trPr>
          <w:trHeight w:val="20"/>
        </w:trPr>
        <w:tc>
          <w:tcPr>
            <w:tcW w:w="690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rPr>
              <w:t>First Quarter</w:t>
            </w:r>
          </w:p>
        </w:tc>
        <w:tc>
          <w:tcPr>
            <w:tcW w:w="184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9"/>
              </w:rPr>
              <w:t>Fourth Quarter</w:t>
            </w:r>
          </w:p>
        </w:tc>
        <w:tc>
          <w:tcPr>
            <w:tcW w:w="156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9"/>
              </w:rPr>
              <w:t>First Quarter</w:t>
            </w:r>
          </w:p>
        </w:tc>
      </w:tr>
      <w:tr>
        <w:trPr>
          <w:trHeight w:val="235"/>
        </w:trPr>
        <w:tc>
          <w:tcPr>
            <w:tcW w:w="5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r>
      <w:tr>
        <w:trPr>
          <w:trHeight w:val="34"/>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1,737</w:t>
            </w:r>
          </w:p>
        </w:tc>
        <w:tc>
          <w:tcPr>
            <w:tcW w:w="34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37 %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1,200</w:t>
            </w:r>
          </w:p>
        </w:tc>
        <w:tc>
          <w:tcPr>
            <w:tcW w:w="36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30"/>
              <w:spacing w:after="0"/>
              <w:rPr>
                <w:sz w:val="20"/>
                <w:szCs w:val="20"/>
                <w:color w:val="auto"/>
              </w:rPr>
            </w:pPr>
            <w:r>
              <w:rPr>
                <w:rFonts w:ascii="Arial" w:cs="Arial" w:eastAsia="Arial" w:hAnsi="Arial"/>
                <w:sz w:val="18"/>
                <w:szCs w:val="18"/>
                <w:color w:val="auto"/>
              </w:rPr>
              <w:t>30 %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1,746</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MBU</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1,293</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27 %</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1,211</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655</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EBU</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1,037</w:t>
            </w:r>
          </w:p>
        </w:tc>
        <w:tc>
          <w:tcPr>
            <w:tcW w:w="34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22 %</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860</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21 %</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SBU</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653</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14 %</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739</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680</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D1D2D4"/>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D1D2D4"/>
          </w:tcPr>
          <w:p>
            <w:pPr>
              <w:jc w:val="right"/>
              <w:ind w:right="170"/>
              <w:spacing w:after="0"/>
              <w:rPr>
                <w:sz w:val="20"/>
                <w:szCs w:val="20"/>
                <w:color w:val="auto"/>
              </w:rPr>
            </w:pPr>
            <w:r>
              <w:rPr>
                <w:rFonts w:ascii="Arial" w:cs="Arial" w:eastAsia="Arial" w:hAnsi="Arial"/>
                <w:sz w:val="18"/>
                <w:szCs w:val="18"/>
                <w:color w:val="auto"/>
              </w:rPr>
              <w:t>—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8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first quarter of 2024 as compared to the fourth quarter of 2023 were as follows:</w:t>
      </w:r>
    </w:p>
    <w:p>
      <w:pPr>
        <w:spacing w:after="0" w:line="252" w:lineRule="exact"/>
        <w:rPr>
          <w:sz w:val="20"/>
          <w:szCs w:val="20"/>
          <w:color w:val="auto"/>
        </w:rPr>
      </w:pPr>
    </w:p>
    <w:p>
      <w:pPr>
        <w:ind w:left="660" w:right="40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CNBU revenue increased 45% primarily due to increases in bit shipments driven by strong demand in data center and client end markets.</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MBU revenue increased 7% primarily due to increases in average selling prices and NAND bit shipments, driven by improved end market demand.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EBU revenue increased 21% primarily due to increases in bit shipments reflecting growth across most end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SBU revenue decreased 12% primarily due to declines in component NAND sales, partially offset by increases in SSD sales.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first quarter of 2024 as compared to the first quarter of 2023 were as follows:</w:t>
      </w:r>
    </w:p>
    <w:p>
      <w:pPr>
        <w:spacing w:after="0" w:line="25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CNBU revenue decreased 1% as declines in average selling prices were largely offset by increases in bit shipments.</w:t>
      </w:r>
    </w:p>
    <w:p>
      <w:pPr>
        <w:spacing w:after="0" w:line="27"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MBU revenue increased 97% primarily due to increases in bit shipments for both DRAM and NAND, partially offset by declines in average selling prices.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EBU revenue increased 4% primarily due to increases in bit shipments, partially offset by declines in average selling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SBU revenue decreased 4% primarily due to declines in average selling prices, partially offset by increases in bit shipments.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 (Loss)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rPr>
              <w:t>First Quarter</w:t>
            </w:r>
          </w:p>
        </w:tc>
        <w:tc>
          <w:tcPr>
            <w:tcW w:w="186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rPr>
              <w:t>Fourth Quarter</w:t>
            </w:r>
          </w:p>
        </w:tc>
        <w:tc>
          <w:tcPr>
            <w:tcW w:w="156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9"/>
              </w:rPr>
              <w:t>First Quarter</w:t>
            </w:r>
          </w:p>
        </w:tc>
      </w:tr>
      <w:tr>
        <w:trPr>
          <w:trHeight w:val="235"/>
        </w:trPr>
        <w:tc>
          <w:tcPr>
            <w:tcW w:w="5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(397)</w:t>
            </w:r>
          </w:p>
        </w:tc>
        <w:tc>
          <w:tcPr>
            <w:tcW w:w="30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(23)%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(403)</w:t>
            </w:r>
          </w:p>
        </w:tc>
        <w:tc>
          <w:tcPr>
            <w:tcW w:w="320" w:type="dxa"/>
            <w:vAlign w:val="bottom"/>
            <w:shd w:val="clear" w:color="auto" w:fill="D1D2D4"/>
          </w:tcPr>
          <w:p>
            <w:pPr>
              <w:spacing w:after="0"/>
              <w:rPr>
                <w:sz w:val="19"/>
                <w:szCs w:val="19"/>
                <w:color w:val="auto"/>
              </w:rPr>
            </w:pPr>
          </w:p>
        </w:tc>
        <w:tc>
          <w:tcPr>
            <w:tcW w:w="840" w:type="dxa"/>
            <w:vAlign w:val="bottom"/>
            <w:gridSpan w:val="2"/>
            <w:shd w:val="clear" w:color="auto" w:fill="D1D2D4"/>
          </w:tcPr>
          <w:p>
            <w:pPr>
              <w:jc w:val="right"/>
              <w:ind w:right="30"/>
              <w:spacing w:after="0"/>
              <w:rPr>
                <w:sz w:val="20"/>
                <w:szCs w:val="20"/>
                <w:color w:val="auto"/>
              </w:rPr>
            </w:pPr>
            <w:r>
              <w:rPr>
                <w:rFonts w:ascii="Arial" w:cs="Arial" w:eastAsia="Arial" w:hAnsi="Arial"/>
                <w:sz w:val="18"/>
                <w:szCs w:val="18"/>
                <w:color w:val="auto"/>
              </w:rPr>
              <w:t>(34)% $</w:t>
            </w: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190</w:t>
            </w:r>
          </w:p>
        </w:tc>
        <w:tc>
          <w:tcPr>
            <w:tcW w:w="34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MBU</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(733)</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EBU</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4 %</w:t>
            </w:r>
          </w:p>
        </w:tc>
        <w:tc>
          <w:tcPr>
            <w:tcW w:w="24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w:t>
            </w:r>
          </w:p>
        </w:tc>
        <w:tc>
          <w:tcPr>
            <w:tcW w:w="34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SBU</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(490)</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(672)</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D1D2D4"/>
          </w:tcPr>
          <w:p>
            <w:pPr>
              <w:spacing w:after="0"/>
              <w:rPr>
                <w:sz w:val="19"/>
                <w:szCs w:val="19"/>
                <w:color w:val="auto"/>
              </w:rPr>
            </w:pPr>
          </w:p>
        </w:tc>
        <w:tc>
          <w:tcPr>
            <w:tcW w:w="840" w:type="dxa"/>
            <w:vAlign w:val="bottom"/>
            <w:gridSpan w:val="2"/>
            <w:shd w:val="clear" w:color="auto" w:fill="D1D2D4"/>
          </w:tcPr>
          <w:p>
            <w:pPr>
              <w:jc w:val="right"/>
              <w:ind w:right="170"/>
              <w:spacing w:after="0"/>
              <w:rPr>
                <w:sz w:val="20"/>
                <w:szCs w:val="20"/>
                <w:color w:val="auto"/>
              </w:rPr>
            </w:pPr>
            <w:r>
              <w:rPr>
                <w:rFonts w:ascii="Arial" w:cs="Arial" w:eastAsia="Arial" w:hAnsi="Arial"/>
                <w:sz w:val="18"/>
                <w:szCs w:val="18"/>
                <w:color w:val="auto"/>
              </w:rPr>
              <w:t>— %</w:t>
            </w: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75 %</w:t>
            </w:r>
          </w:p>
        </w:tc>
      </w:tr>
      <w:tr>
        <w:trPr>
          <w:trHeight w:val="223"/>
        </w:trPr>
        <w:tc>
          <w:tcPr>
            <w:tcW w:w="58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5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Changes in operating income or loss for each business unit for the first quarter of 2024 as compared to the fourth quarter of 2023 were as follows:</w:t>
      </w:r>
    </w:p>
    <w:p>
      <w:pPr>
        <w:spacing w:after="0" w:line="18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CNBU operating income (loss) was relatively unchanged.</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MBU operating income (loss) improved primarily due to increases in average selling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EBU operating income decreased slightly primarily due to declines in average selling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SBU operating income (loss) improved primarily due to increases in average selling prices.</w:t>
      </w:r>
    </w:p>
    <w:p>
      <w:pPr>
        <w:spacing w:after="0" w:line="23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Changes in operating income or loss for each business unit for the first quarter of 2024 as compared to the first quarter of 2023 were as follows:</w:t>
      </w:r>
    </w:p>
    <w:p>
      <w:pPr>
        <w:spacing w:after="0" w:line="18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CNBU operating income (loss) deteriorated primarily due to declines in average selling prices.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MBU operating income (loss) deteriorated primarily due to declines in average selling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EBU operating income decreased primarily due to declines in average selling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SBU operating income (loss) deteriorated primarily due to declines in average selling prices.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Expenses and Other</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expenses vary primarily with the number of development and pre-qualification wafers processed,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pacing w:after="0" w:line="20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R&amp;D expenses for the first quarter of 2024 increased 18% as compared to the fourth quarter of 2023 due to higher volumes of development and prequalification wafers and an increase in employee compensation. R&amp;D expenses for the first quarter of 2024 compared to the first quarter of 2023 were relatively unchanged as lower volumes of development and prequalification wafers were largely offset by increases in employee compensation.</w:t>
      </w:r>
    </w:p>
    <w:p>
      <w:pPr>
        <w:spacing w:after="0" w:line="203"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expenses for the first quarter of 2024 increased 20% as compared to the fourth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primarily due to an increase in employee compensation. SG&amp;A expenses for the first quarter of 2024 were relatively unchanged compared to the first quarter of 2023.</w:t>
      </w:r>
    </w:p>
    <w:p>
      <w:pPr>
        <w:spacing w:after="0" w:line="1" w:lineRule="exact"/>
        <w:rPr>
          <w:sz w:val="20"/>
          <w:szCs w:val="20"/>
          <w:color w:val="auto"/>
        </w:rPr>
      </w:pPr>
    </w:p>
    <w:p>
      <w:pPr>
        <w:ind w:right="220"/>
        <w:spacing w:after="0" w:line="296" w:lineRule="auto"/>
        <w:rPr>
          <w:sz w:val="20"/>
          <w:szCs w:val="20"/>
          <w:color w:val="auto"/>
        </w:rPr>
      </w:pPr>
      <w:r>
        <w:rPr>
          <w:rFonts w:ascii="Arial" w:cs="Arial" w:eastAsia="Arial" w:hAnsi="Arial"/>
          <w:sz w:val="17"/>
          <w:szCs w:val="17"/>
          <w:b w:val="1"/>
          <w:bCs w:val="1"/>
          <w:i w:val="1"/>
          <w:iCs w:val="1"/>
          <w:color w:val="auto"/>
        </w:rPr>
        <w:t xml:space="preserve">Other operating (income) expense, net: </w:t>
      </w:r>
      <w:r>
        <w:rPr>
          <w:rFonts w:ascii="Arial" w:cs="Arial" w:eastAsia="Arial" w:hAnsi="Arial"/>
          <w:sz w:val="17"/>
          <w:szCs w:val="17"/>
          <w:color w:val="auto"/>
        </w:rPr>
        <w:t>In the fourth quarter of 2023, we recognized a charge of $101 million included in other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expense, net to impair all of the goodwill assigned to our SBU reporting unit based on a quantitative assessment for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BD03F7"/>
              </w:rPr>
              <w:t>Table of Contents</w:t>
            </w:r>
          </w:p>
        </w:tc>
      </w:tr>
      <w:tr>
        <w:trPr>
          <w:trHeight w:val="856"/>
        </w:trPr>
        <w:tc>
          <w:tcPr>
            <w:tcW w:w="63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income tax (provision) benefit consisted of the following:</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Borders>
              <w:top w:val="single" w:sz="8" w:color="BD03F7"/>
            </w:tcBorders>
          </w:tcPr>
          <w:p>
            <w:pPr>
              <w:spacing w:after="0"/>
              <w:rPr>
                <w:sz w:val="24"/>
                <w:szCs w:val="24"/>
                <w:color w:val="auto"/>
              </w:rPr>
            </w:pPr>
          </w:p>
        </w:tc>
      </w:tr>
      <w:tr>
        <w:trPr>
          <w:trHeight w:val="239"/>
        </w:trPr>
        <w:tc>
          <w:tcPr>
            <w:tcW w:w="6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First Quarter</w:t>
            </w:r>
          </w:p>
        </w:tc>
        <w:tc>
          <w:tcPr>
            <w:tcW w:w="140" w:type="dxa"/>
            <w:vAlign w:val="bottom"/>
          </w:tcPr>
          <w:p>
            <w:pPr>
              <w:spacing w:after="0"/>
              <w:rPr>
                <w:sz w:val="20"/>
                <w:szCs w:val="20"/>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Fourth Quarter</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First Quarter</w:t>
            </w:r>
          </w:p>
        </w:tc>
      </w:tr>
      <w:tr>
        <w:trPr>
          <w:trHeight w:val="235"/>
        </w:trPr>
        <w:tc>
          <w:tcPr>
            <w:tcW w:w="6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34"/>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6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before taxes</w:t>
            </w: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(1,155)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(1,458)</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D1D2D4"/>
          </w:tcPr>
          <w:p>
            <w:pPr>
              <w:jc w:val="right"/>
              <w:ind w:right="90"/>
              <w:spacing w:after="0"/>
              <w:rPr>
                <w:sz w:val="20"/>
                <w:szCs w:val="20"/>
                <w:color w:val="auto"/>
              </w:rPr>
            </w:pPr>
            <w:r>
              <w:rPr>
                <w:rFonts w:ascii="Arial" w:cs="Arial" w:eastAsia="Arial" w:hAnsi="Arial"/>
                <w:sz w:val="18"/>
                <w:szCs w:val="18"/>
                <w:color w:val="auto"/>
              </w:rPr>
              <w:t>(176)</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40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r>
      <w:tr>
        <w:trPr>
          <w:trHeight w:val="229"/>
        </w:trPr>
        <w:tc>
          <w:tcPr>
            <w:tcW w:w="6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40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D1D2D4"/>
          </w:tcPr>
          <w:p>
            <w:pPr>
              <w:spacing w:after="0"/>
              <w:rPr>
                <w:sz w:val="19"/>
                <w:szCs w:val="19"/>
                <w:color w:val="auto"/>
              </w:rPr>
            </w:pPr>
          </w:p>
        </w:tc>
        <w:tc>
          <w:tcPr>
            <w:tcW w:w="1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1.6 %</w:t>
            </w:r>
          </w:p>
        </w:tc>
        <w:tc>
          <w:tcPr>
            <w:tcW w:w="160" w:type="dxa"/>
            <w:vAlign w:val="bottom"/>
            <w:shd w:val="clear" w:color="auto" w:fill="D1D2D4"/>
          </w:tcPr>
          <w:p>
            <w:pPr>
              <w:spacing w:after="0"/>
              <w:rPr>
                <w:sz w:val="19"/>
                <w:szCs w:val="19"/>
                <w:color w:val="auto"/>
              </w:rPr>
            </w:pPr>
          </w:p>
        </w:tc>
        <w:tc>
          <w:tcPr>
            <w:tcW w:w="14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(4.5)%</w:t>
            </w:r>
          </w:p>
        </w:tc>
      </w:tr>
    </w:tbl>
    <w:p>
      <w:pPr>
        <w:spacing w:after="0" w:line="305" w:lineRule="exact"/>
        <w:rPr>
          <w:sz w:val="20"/>
          <w:szCs w:val="20"/>
          <w:color w:val="auto"/>
        </w:rPr>
      </w:pPr>
    </w:p>
    <w:p>
      <w:pPr>
        <w:ind w:right="600"/>
        <w:spacing w:after="0"/>
        <w:rPr>
          <w:sz w:val="20"/>
          <w:szCs w:val="20"/>
          <w:color w:val="auto"/>
        </w:rPr>
      </w:pPr>
      <w:r>
        <w:rPr>
          <w:rFonts w:ascii="Arial" w:cs="Arial" w:eastAsia="Arial" w:hAnsi="Arial"/>
          <w:sz w:val="18"/>
          <w:szCs w:val="18"/>
          <w:color w:val="auto"/>
        </w:rPr>
        <w:t>For the first quarter of 2024, we recorded tax expense based on actual first quarter results for jurisdictions where small changes in our projected pre-tax income may cause significant changes in the estimated annual effective tax rate.</w:t>
      </w:r>
    </w:p>
    <w:p>
      <w:pPr>
        <w:spacing w:after="0" w:line="19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In future quarters where a reliable annual effective tax rate can be estimated for all jurisdictions, we would revert back to a global annual effective tax rate method, which may result in a significant adjustment due to the change in methodology during that period.</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change in our effective tax rate for the first quarter of 2024 as compared to the fourth quarter of 2023 was primarily due to discrete tax benefits occurring in the fourth quarter of 2023 and interim tax expense methodology in the first quarter of 2024. The change in our effective</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tax rate for the first quarter of 2024 as compared to the first quarter of 2023 was primarily due to changes in levels of profitability, interim tax expense methodology, and our geographic mix of earnings. Despite a consolidated pre-tax loss on a worldwide basis, we have taxes payable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certain geographies due to minimum taxable income reportable in those geographies.</w:t>
      </w:r>
    </w:p>
    <w:p>
      <w:pPr>
        <w:spacing w:after="0" w:line="23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a loss before taxes and geographical mix of income, the benefit from tax incentive arrangements was not material for the periods presented.</w:t>
      </w:r>
    </w:p>
    <w:p>
      <w:pPr>
        <w:spacing w:after="0" w:line="20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Various tax reforms are being considered in multiple jurisdictions that, if enacted, contain provisions that could materially impact our tax expense. We continue to monitor the potential impact of these various tax reform proposals to our overall global effective tax rate and financial statements.</w:t>
      </w:r>
    </w:p>
    <w:p>
      <w:pPr>
        <w:spacing w:after="0" w:line="19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Further information can be found in the following notes contained in “Item 1. Financial Statements – Notes to Consolidated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 Equity Plans.”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Liquidity and Capital Resources</w:t>
      </w:r>
    </w:p>
    <w:p>
      <w:pPr>
        <w:spacing w:after="0" w:line="25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$9.77 billion as of November 30, 2023, and $10.44 billion as of August 31, 2023.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November 30, 2023, $2.56 billion of our cash and marketable investments was held by our foreign subsidiaries.</w:t>
      </w:r>
    </w:p>
    <w:p>
      <w:pPr>
        <w:spacing w:after="0" w:line="21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continuously evaluate alternatives for efficiently funding our capital expenditures and ongoing operations. We expect, from time to time, to engage in a variety of financing transactions for such purposes, including the issuance of securities. As of November 30, 2023, $2.50 billion was available to draw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sz w:val="1"/>
          <w:szCs w:val="1"/>
          <w:color w:val="auto"/>
        </w:rPr>
        <w:drawing>
          <wp:inline distT="0" distB="0" distL="0" distR="0">
            <wp:extent cx="659765" cy="18034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2024 for property, plant, and equipment, net of proceeds from government incentives, to be in the range of $7.5 billion to $8.0 billion. Actual amounts for 2024 will vary depending on market conditions and may vary from quarter to quarter due to the timing of expenditures. As of November 30, 2023, we had purchase obligations of approximately $1.03 billion for the acquisition of property, plant, and equipment, of which approximately $963 million is expected to be paid within one year. For a description of other contractual obligations, such as leases and debt, see “Item 1. Financial Statements – Notes to Consolidated Financial Statements – Leases,” and “ – Debt.”</w:t>
      </w:r>
    </w:p>
    <w:p>
      <w:pPr>
        <w:spacing w:after="0" w:line="21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To support expected memory demand in the second half of the decade, we will need to add new DRAM wafer capacity. Following the enactment of the CHIPS Act in 2022, we announced plans to invest in two leading-edge memory manufacturing fabs in the United States, contingent on CHIPS Act support through grants and investment tax credits. As part of this plan, in September 2022, we broke ground on a leading-edge memory manufacturing fab in Boise, Idaho. Construction of the fab began in October 2023 with DRAM production targeted to start in calendar 2025 and first output in early calendar 2026. In addition, in October 2022, we announced plans to build a second leading-edge DRAM manufacturing fab in Clay, New York. We expect construction to begin in calendar 2024, with production anticipated to ramp in the latter half of the decade. We expect these new fabs to be key to meeting our requirements for additional wafer capacity starting in the second half of the decade and beyond, in line with industry demand trends. On August 21, 2023, we announced that two of our subsidiaries had each submitted full applications on August 18, 2023 for federal funding in the form of grants under the CHIPS Act for both of these projects.</w:t>
      </w:r>
    </w:p>
    <w:p>
      <w:pPr>
        <w:spacing w:after="0" w:line="212"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We are also advancing our global back-end assembly and test network in order to support our product portfolio and extend our ability to deliver on global customer demand in the future. We intend to make investments at our backend facility in Xi’an, China, including a new building to provide space to add more product capability, to allow us over time to serve more of the demand from our customers in China from the Xi’an facility. We also intend to build a new assembly and test facility in Gujarat, India to address demand in the latter half of this decade.</w:t>
      </w:r>
    </w:p>
    <w:p>
      <w:pPr>
        <w:spacing w:after="0" w:line="2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Through November 30, 2023, we had repurchased an aggregate of $6.89 billion of the authorized amount. See “Item 1. Financial Statements – Notes to Consolidated Financial Statements – Equity.”</w:t>
      </w:r>
    </w:p>
    <w:p>
      <w:pPr>
        <w:spacing w:after="0" w:line="20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December 20, 2023, our Board of Directors declared a quarterly dividend of $0.115 per share, payable in cash on January 18, 2024, to shareholders of record as of the close of business on January 2, 2024.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20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expect that our cash and investments, cash flows from operations, and available financing will be sufficient to meet our requirements at least through the next 12 months and thereafter for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First Quarter</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1,401</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(1,558)</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(352)</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(510)</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bottom w:val="single" w:sz="8" w:color="D1D2D4"/>
            </w:tcBorders>
            <w:vMerge w:val="restart"/>
          </w:tcPr>
          <w:p>
            <w:pPr>
              <w:spacing w:after="0"/>
              <w:rPr>
                <w:sz w:val="20"/>
                <w:szCs w:val="20"/>
                <w:color w:val="auto"/>
              </w:rPr>
            </w:pPr>
            <w:r>
              <w:rPr>
                <w:rFonts w:ascii="Arial" w:cs="Arial" w:eastAsia="Arial" w:hAnsi="Arial"/>
                <w:sz w:val="16"/>
                <w:szCs w:val="16"/>
                <w:b w:val="1"/>
                <w:bCs w:val="1"/>
                <w:color w:val="auto"/>
              </w:rPr>
              <w:t>31 | 2024 Q1 10-Q</w:t>
            </w: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8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3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reflects net income (loss) adjusted for certain non-cash items,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expense, amortization of intangible assets, and stock-based compensation, and the effects of changes in operating assets and liabilities. The increase in cash provided by operating activities for the first quarter of 2024 as compared to the first quarter of 2023 was primarily due to a larger net loss in the current year adjusted for non-cash items and the effect of an increase in receivables, which was more than offset by a decrease in inventories, an increase in accounts payable and accrued expenses, and an increase in other current liabilities largely due to approximately $600 million of customer prepayments to secure product supply.</w:t>
      </w:r>
    </w:p>
    <w:p>
      <w:pPr>
        <w:spacing w:after="0" w:line="20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For the first quarter of 2024, net cash used for investing activities consisted primarily of $1.80 billion of expenditures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plant, and equipment; contributions of $85 million received from government incentives to offset capital expenditures; partially offset by $175 million of net inflows from maturities, sales, and purchases of available-for-sale securities.</w:t>
      </w:r>
    </w:p>
    <w:p>
      <w:pPr>
        <w:spacing w:after="0" w:line="19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For the first quarter of 2023, net cash used for investing activities consisted primarily of $2.45 billion of expenditures for property, plant, and equipment; partially offset by $272 million of net inflows from maturities, sales, and purchases of available-for-sale securities.</w:t>
      </w:r>
    </w:p>
    <w:p>
      <w:pPr>
        <w:spacing w:after="0" w:line="18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For the first quarter of 2024, net cash used for financing activities consisted primarily of $129 million for payments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to shareholders, $56 million of payments on equipment purchase contracts, and $53 million for repayments of debt.</w:t>
      </w:r>
    </w:p>
    <w:p>
      <w:pPr>
        <w:spacing w:after="0" w:line="18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For the first quarter of 2023, net cash provided by financing activities consisted primarily of $2.60 billion of proceeds from our 2025, 2026, and 2027 Term Loan A borrowings and $749 million (net of original issue discount) from the issuance of the 2029 B Notes. Cash used for financing activities included $ 425 million for the acquisition of 8.6 million shares of our common stock under our share repurchase authorization, $126 million of cash payments of dividends to shareholders, and $47 million of payments on equipment purchase contracts.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Critical Accounting Estimates</w:t>
      </w:r>
    </w:p>
    <w:p>
      <w:pPr>
        <w:spacing w:after="0" w:line="257"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For a discussion of our critical accounting estimates, see “Part II – Item 7. Management’s Discussion and Analysis of Financial Condition and Results of Operations – Critical Accounting Estimates” of our Annual Report on Form 10-K for the year ended August 31, 2023. There have been no significant changes to our critical accounting estimates since our Annual Report on Form 10-K for the year ended August 31, 2023.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Adopted Accounting Standards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No material items.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No material items.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about market risk and sensitivity analysis related to changes in interest rates and currency exchange rates, see “Part II</w:t>
      </w:r>
    </w:p>
    <w:p>
      <w:pPr>
        <w:ind w:right="320"/>
        <w:spacing w:after="0" w:line="237" w:lineRule="auto"/>
        <w:rPr>
          <w:sz w:val="20"/>
          <w:szCs w:val="20"/>
          <w:color w:val="auto"/>
        </w:rPr>
      </w:pPr>
      <w:r>
        <w:rPr>
          <w:rFonts w:ascii="Arial" w:cs="Arial" w:eastAsia="Arial" w:hAnsi="Arial"/>
          <w:sz w:val="18"/>
          <w:szCs w:val="18"/>
          <w:color w:val="auto"/>
        </w:rPr>
        <w:t>– Item 7A. Quantitative and Qualitative Disclosures About Market Risk” in our Annual Report on Form 10-K for the year ended August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1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During the first quarter of 2024,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OTHER INFORMATION</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a discussion of legal proceedings, see “Part I – Item 3. Legal Proceedings” of our Annual Report on Form 10-K for the year ended August 31, 2023 and the sections titled “Part I. Financial Information – Item 1. Financial Statements – Notes to Consolidated Financial Statements – Contingencies” and “Item 1A. Risk Factors” in this Quarterly Report on Form 10-Q.</w:t>
      </w:r>
    </w:p>
    <w:p>
      <w:pPr>
        <w:spacing w:after="0" w:line="19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33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 Factor Summary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range of factors that may adversely affect our gross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international operations, including geopolitical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highly competitive nature of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and produce new and competitive memory and storage technologies and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realizing expected returns from capacity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achieving or maintaining certain performance or other obligations associated with incentives from various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and quality of materials, supplies, and capital equipment and dependency on third-party service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downturn in regional or worldwide economies;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to our manufacturing process from operational issues, natural disasters, or other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dependency on a select number of key customers, including international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products that fail to meet specifications, are defective, or are incompatible with end uses;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breaches of our security systems or products, or those of our customers, suppliers, or business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retaining, and motivating highly skilled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responsible sourcing requirements and related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social, and governance considerations;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and/or alliances;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restructure plans may not realize expected savings or other benefits.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 and Litigation</w:t>
      </w:r>
    </w:p>
    <w:p>
      <w:pPr>
        <w:spacing w:after="0" w:line="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protecting our intellectual property and retaining key employees who are knowledgeable of and develop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 proceedings and claims; and</w:t>
      </w:r>
    </w:p>
    <w:p>
      <w:pPr>
        <w:spacing w:after="0" w:line="9" w:lineRule="exact"/>
        <w:rPr>
          <w:rFonts w:ascii="Arial" w:cs="Arial" w:eastAsia="Arial" w:hAnsi="Arial"/>
          <w:sz w:val="18"/>
          <w:szCs w:val="18"/>
          <w:color w:val="auto"/>
        </w:rPr>
      </w:pPr>
    </w:p>
    <w:p>
      <w:pPr>
        <w:ind w:left="660" w:right="60" w:hanging="328"/>
        <w:spacing w:after="0" w:line="26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claims that our products or manufacturing processes infringe or otherwise violate the intellectual property rights of others or failure to obtain or renew license agreements covering such intellectual property.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w:t>
      </w:r>
    </w:p>
    <w:p>
      <w:pPr>
        <w:spacing w:after="0" w:line="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impacts of government actions and compliance with tariffs, trade restrictions, and/or trade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expense and tax laws in key jurisdictions;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laws, regulations, or industry standards, including environmental considerations.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Capitalization and Financial Markets</w:t>
      </w:r>
    </w:p>
    <w:p>
      <w:pPr>
        <w:spacing w:after="0" w:line="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sufficient cash flows or obtain access to external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debt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counterparty default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in the trading price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amount and frequency of our common stock repurchases and payment of cash dividends and resulting impacts.</w:t>
      </w:r>
    </w:p>
    <w:p>
      <w:pPr>
        <w:spacing w:after="0" w:line="200" w:lineRule="exact"/>
        <w:rPr>
          <w:sz w:val="20"/>
          <w:szCs w:val="20"/>
          <w:color w:val="auto"/>
        </w:rPr>
      </w:pPr>
    </w:p>
    <w:p>
      <w:pPr>
        <w:spacing w:after="0" w:line="242"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Our Business, Operations, and Industry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average selling prices for our semiconductor memory and storage products may adversely affect our business.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experienced significant volatility in our average selling prices and may continue to experience such volatility in the future. For example, average selling prices for DRAM declined in the high-40s percent range and NAND declined in the low-50s percent range for 2023 as compared to 2022. Since 2017, annual percentage changes in DRAM average selling prices have ranged from plus mid-30s percent range to a minus high-40s percent range. Since 2017, annual percentage changes in NAND average selling prices have ranged from nearly flat to a minus low-50s percent range. In current and recent periods, average selling prices for our products have been below our manufacturing costs and we may experience such circumstances in the future. Average selling prices for our products that decline faster than our costs have recently had an adverse effect on our business and results of operations, and in future periods could have a material adverse effect on our business, results of operations, or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gross margins may be adversely affected by a range of factors.</w:t>
      </w:r>
    </w:p>
    <w:p>
      <w:pPr>
        <w:spacing w:after="0" w:line="2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prevent deterioration of or improve gross margins include, but are not limited to:</w:t>
      </w:r>
    </w:p>
    <w:p>
      <w:pPr>
        <w:spacing w:after="0" w:line="19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product diversification decisions affecting product mix;</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complexity of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transitioning to smaller line-width process technologies or additional 3D memory layers or NAND cell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process complexity including number of mask layers and fabrication steps;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yield;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technological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process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products that may require relatively larger die sizes;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start-up or other costs associated with capacity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costs of goods and services due to inflationary pressures or market conditions; and</w:t>
      </w:r>
    </w:p>
    <w:p>
      <w:pPr>
        <w:spacing w:after="0" w:line="9" w:lineRule="exact"/>
        <w:rPr>
          <w:rFonts w:ascii="Arial" w:cs="Arial" w:eastAsia="Arial" w:hAnsi="Arial"/>
          <w:sz w:val="18"/>
          <w:szCs w:val="18"/>
          <w:color w:val="auto"/>
        </w:rPr>
      </w:pPr>
    </w:p>
    <w:p>
      <w:pPr>
        <w:ind w:left="660" w:right="300" w:hanging="328"/>
        <w:spacing w:after="0" w:line="26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manufacturing costs per gigabit due to fabrication facility underutilization, lower wafer output, and insufficient volume to run new technology nodes to achieve cost optimization.</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difficulties in ramping emerging technologies, supply chain disruptions, and delays from equipment suppliers. See “Part I. Financial Information – Item 2. Management’s Discussion and Analysis of Financial Condition and Results of Operations – Overview – Industry Conditions” for information regarding our current underutilization. A significant portion of our manufacturing costs are fixed and do not vary proportionally with changes in production output. As a result, lower utilization, lower wafer output, and corresponding increases in our per gigabit manufacturing costs have resulted in higher inventory carrying costs, and have had, and may continue to have, an adverse effect on our gross margins,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35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Consequently, we may incur charges in connection with obsolete or excess inventories, or we may not fully recover our costs, which would reduce our gross margins. For example, in 2023, we recorded aggregate charges of $1.83 billion to write down the carrying value of our inventories to their estimated net realizable value. In addition, due to the customized nature of certain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208"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19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Our inability to prevent deterioration of or improve gross margins could have a material adverse effect on our business, results of operations, or financial condition.</w:t>
      </w:r>
    </w:p>
    <w:p>
      <w:pPr>
        <w:spacing w:after="0" w:line="180" w:lineRule="exact"/>
        <w:rPr>
          <w:sz w:val="20"/>
          <w:szCs w:val="20"/>
          <w:color w:val="auto"/>
        </w:rPr>
      </w:pPr>
    </w:p>
    <w:p>
      <w:pPr>
        <w:ind w:right="780"/>
        <w:spacing w:after="0" w:line="296" w:lineRule="auto"/>
        <w:rPr>
          <w:sz w:val="20"/>
          <w:szCs w:val="20"/>
          <w:color w:val="auto"/>
        </w:rPr>
      </w:pPr>
      <w:r>
        <w:rPr>
          <w:rFonts w:ascii="Arial" w:cs="Arial" w:eastAsia="Arial" w:hAnsi="Arial"/>
          <w:sz w:val="18"/>
          <w:szCs w:val="18"/>
          <w:b w:val="1"/>
          <w:bCs w:val="1"/>
          <w:color w:val="auto"/>
        </w:rPr>
        <w:t>We face geopolitical and other risks associated with our international operations that could materially adversely affect our business, results of operations, or financial condition.</w:t>
      </w:r>
    </w:p>
    <w:p>
      <w:pPr>
        <w:spacing w:after="0" w:line="164"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In addition to our U.S. operations, a substantial portion of our operations are conducted in Taiwan, Singapore, Japan, Malaysia, China, and India, and many of our customers, suppliers, and vendors also operate internationally. In 2023, nearly half of our revenue was from sales to customers who have headquarters located outside the United States, while over 80% of our revenue in 2023 was from products shipped to customer locations outside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operations are subject to a number of risks, including:</w:t>
      </w:r>
    </w:p>
    <w:p>
      <w:pPr>
        <w:spacing w:after="0" w:line="2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sales of goods or services to one or more of our significant foreign customers;</w:t>
      </w:r>
    </w:p>
    <w:p>
      <w:pPr>
        <w:spacing w:after="0" w:line="27"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 including currency controls in China, which could negatively affect the amount and timing of payments from certain of our customers and, as a result, our cash flows;</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sanctions and anti-corruption laws, export and import laws, and similar rules and regulations;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and economic instability, including instability resulting from domestic and international conflicts;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and materials, including delays in shipping and obtaining products and materials, cancellation of orders, or loss or damage of products;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 and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 health issues.</w:t>
      </w:r>
    </w:p>
    <w:p>
      <w:pPr>
        <w:spacing w:after="0" w:line="23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If we or our customers, suppliers, or vendors are impacted by any of these risks, it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Following the May 21,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Some revenue with customers headquartered outside of China has also been impacted. As we try to mitigate possible impacts due to the CAC decision, revenue may come at lower prices or gross margins due to product or customer mix changes, which may impact our business results. Further actions by the Chinese government could impact additional revenue inside or outside China, or our operations in China, or our ability to ship products to our customers, any of which could have a material adverse effect on our business, results of operations, or financial condition.</w:t>
      </w:r>
    </w:p>
    <w:p>
      <w:pPr>
        <w:spacing w:after="0" w:line="21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Political, economic, or other actions may adversely affect our operations in Taiwan. A majority of our DRAM production output in 2023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2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the U.S. government has in the past restricted American firms from selling products and software to certain of our customers and may in the future impose similar restrictions on one or more of our significant customers. These restrictions may not prohibit our competitors from selling similar products to our customers, which may result in our loss of sales and market share. Even as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and storage markets are highly competitive.</w:t>
      </w:r>
    </w:p>
    <w:p>
      <w:pPr>
        <w:spacing w:after="0" w:line="25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Kioxia Holdings Corporation; Samsung Electronics Co., Ltd.; SK hynix Inc.; and Western Digital Corporation. Our competitors may use aggressive pricing to obtain market share. Some of our competitors are large corporations or conglomerates that may have a larger market share and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We operate in different jurisdictions than our competitors and may be impacted by unfavorable changes in currency exchange rates.</w:t>
      </w:r>
    </w:p>
    <w:p>
      <w:pPr>
        <w:spacing w:after="0" w:line="2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in companies such as Yangtze Memory Technologies Co., Ltd. (“YMTC”) and ChangXin Memory Technologies, Inc. (“CXMT”). In addition, the CAC’s decision that critical information infrastructure operators in China may not purchase Micron products had an impact on our ability to compete effectively in China and elsewhere.</w:t>
      </w:r>
    </w:p>
    <w:p>
      <w:pPr>
        <w:spacing w:after="0" w:line="2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and our competitors generally seek to increase wafer output, improve yields, and reduce die size,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37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80"/>
        <w:spacing w:after="0" w:line="296" w:lineRule="auto"/>
        <w:rPr>
          <w:sz w:val="20"/>
          <w:szCs w:val="20"/>
          <w:color w:val="auto"/>
        </w:rPr>
      </w:pPr>
      <w:r>
        <w:rPr>
          <w:rFonts w:ascii="Arial" w:cs="Arial" w:eastAsia="Arial" w:hAnsi="Arial"/>
          <w:sz w:val="18"/>
          <w:szCs w:val="18"/>
          <w:b w:val="1"/>
          <w:bCs w:val="1"/>
          <w:color w:val="auto"/>
        </w:rPr>
        <w:t>Our future success depends on our ability to develop and produce new and competitive memory and storage technologies and products.</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key semiconductor memory and storage technologies face technological barriers to continue to meet long-term customer needs. These barriers include potential limitations on stacking additional 3D memory layers, increasing bits per cell (i.e., cell levels), meeting higher density requirements, developing advanced packaging solutions,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20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 As a result, our product demand forecasts may be impacted significantly by the strategic actions of our customers. In addition, our ability to successfully introduce new products often requires us to make product specification decisions multiple years in advance of when new products enter the market.</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lead-times, requiring us to place orders up to a year in advance of anticipated demand. Such long lead-times increase the risk of excess inventory or loss of sales in the event our forecasts vary substantially from actual demand.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of the following:</w:t>
      </w:r>
    </w:p>
    <w:p>
      <w:pPr>
        <w:spacing w:after="0" w:line="25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successful in developing competitive new semiconductor memory and storage technologies and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able to successfully market these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margins generated from sales of these products will allow us to recover costs of development efforts;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accurately predict and design products that meet our customers' specifications;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w:t>
      </w:r>
    </w:p>
    <w:p>
      <w:pPr>
        <w:spacing w:after="0" w:line="23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Unsuccessful efforts to develop new memory and storage technologies and products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achieve expected returns from capacity expansions.</w:t>
      </w:r>
    </w:p>
    <w:p>
      <w:pPr>
        <w:spacing w:after="0" w:line="25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have announced our intent to expand our production capacity and/or make capital investments in the United States and in other regions where we operate.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These expansions involve several risks including the following:</w:t>
      </w:r>
    </w:p>
    <w:p>
      <w:pPr>
        <w:spacing w:after="0" w:line="252" w:lineRule="exact"/>
        <w:rPr>
          <w:sz w:val="20"/>
          <w:szCs w:val="20"/>
          <w:color w:val="auto"/>
        </w:rPr>
      </w:pPr>
    </w:p>
    <w:p>
      <w:pPr>
        <w:ind w:left="660" w:right="32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expenditure requirements for capacity expansions during periods of relatively low free cash flow generation, resulting from challenging memory and storage industry conditions;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of necessary funding, which may include external sources;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realize expected grants, investment tax credits, and other government incentives, including through the U.S. CHIPS and Science Act of 2022 (“CHIPS Act”) and other national, international, state, and local grants;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changes in laws or provisions of grants, investment tax credits, and other government incentives;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restrictions on expanding in certain geographies;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of equipment and construction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complete construction as scheduled and within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of the necessary workforce;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timely ramp production in a cost-effective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to our cost structure until new production is ramped to adequate scale;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sufficient customer demand to utilize our increased capacity.</w:t>
      </w:r>
    </w:p>
    <w:p>
      <w:pPr>
        <w:spacing w:after="0" w:line="23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Any of the above factors could have a material adverse effect on our business, results of operations, or financial condition.</w:t>
      </w:r>
    </w:p>
    <w:p>
      <w:pPr>
        <w:spacing w:after="0" w:line="252" w:lineRule="exact"/>
        <w:rPr>
          <w:sz w:val="20"/>
          <w:szCs w:val="20"/>
          <w:color w:val="auto"/>
        </w:rPr>
      </w:pPr>
    </w:p>
    <w:p>
      <w:pPr>
        <w:ind w:right="160"/>
        <w:spacing w:after="0" w:line="296" w:lineRule="auto"/>
        <w:rPr>
          <w:sz w:val="20"/>
          <w:szCs w:val="20"/>
          <w:color w:val="auto"/>
        </w:rPr>
      </w:pPr>
      <w:r>
        <w:rPr>
          <w:rFonts w:ascii="Arial" w:cs="Arial" w:eastAsia="Arial" w:hAnsi="Arial"/>
          <w:sz w:val="18"/>
          <w:szCs w:val="18"/>
          <w:b w:val="1"/>
          <w:bCs w:val="1"/>
          <w:color w:val="auto"/>
        </w:rPr>
        <w:t>Our incentives from various governments are conditional upon achieving or maintaining certain performance or other obligations and are subject to reduction, termination, clawback, or could impose certain limitations on our business.</w:t>
      </w:r>
    </w:p>
    <w:p>
      <w:pPr>
        <w:spacing w:after="0" w:line="16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achieve or maintain certain levels of investment, capital spending, employment, technology deployment, or research and development activities to qualify for such incentives or could restrict us from undertaking certain activities. We may be unable to obtain sufficient future incentives to continue to fund a portion of our capital expenditures and operating costs, without which our cost structure may be adversely impacted and planned capital expenditures may be affected. We also cannot guarantee that we will successfully achieve performance or other obligations required to qualify for these incentives or that the granting agencies will provide or continue to provide such funding. These incentive arrangements typically provide the granting agencies with rights to audit our compliance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39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20"/>
        <w:spacing w:after="0" w:line="296" w:lineRule="auto"/>
        <w:rPr>
          <w:sz w:val="20"/>
          <w:szCs w:val="20"/>
          <w:color w:val="auto"/>
        </w:rPr>
      </w:pPr>
      <w:r>
        <w:rPr>
          <w:rFonts w:ascii="Arial" w:cs="Arial" w:eastAsia="Arial" w:hAnsi="Arial"/>
          <w:sz w:val="18"/>
          <w:szCs w:val="18"/>
          <w:b w:val="1"/>
          <w:bCs w:val="1"/>
          <w:color w:val="auto"/>
        </w:rPr>
        <w:t>Our business, results of operations, or financial condition could be adversely affected by the availability and quality of materials, supplies, and capital equipment, or dependency on third-party service providers.</w:t>
      </w:r>
    </w:p>
    <w:p>
      <w:pPr>
        <w:spacing w:after="0" w:line="164"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controllers,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Constraints within our supply chain for certain materials and integrated circuit components could limit our bit shipments, which could have a material adverse effect on our business, results of operations, or financial condition.</w:t>
      </w:r>
    </w:p>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maintenance for our advanced semiconductor manufacturing equipment and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have increased, and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was to cease operations or become insolvent, this could impact their ability to provide us with necessary supplies, and we may not be able to obtain the needed supply in a timely way or at all from other providers.</w:t>
      </w:r>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21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and/or our suppliers and service providers could be affected by regional conflicts, civil unrest, labor disruptions, sanctions,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21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significant delays in completion of our construction projects and cost increases, which could have a material adverse effect on our business, results of operations, or financial condition.</w:t>
      </w:r>
    </w:p>
    <w:p>
      <w:pPr>
        <w:spacing w:after="0" w:line="20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20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Downturns in regional or worldwide economies may harm our business.</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Downturns in regional or worldwide economies, due to inflation, geopolitics,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these or other products could result in significant decreases in our average selling prices and product sales. In addition, to the extent our customers or distributors have elevated inventory levels or are impacted by a deterioration in credit markets, we may experience a decrease in short-term and/or long-term demand resulting in industry oversupply and declines in pricing for our products.</w:t>
      </w:r>
    </w:p>
    <w:p>
      <w:pPr>
        <w:spacing w:after="0" w:line="2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deterioration of conditions in regional or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As a result, downturns in regional or worldwide economies could have a material adverse effect on our business, results of operations, or financial condition.</w:t>
      </w:r>
    </w:p>
    <w:p>
      <w:pPr>
        <w:spacing w:after="0" w:line="206" w:lineRule="exact"/>
        <w:rPr>
          <w:sz w:val="20"/>
          <w:szCs w:val="20"/>
          <w:color w:val="auto"/>
        </w:rPr>
      </w:pPr>
    </w:p>
    <w:p>
      <w:pPr>
        <w:ind w:right="720"/>
        <w:spacing w:after="0" w:line="296" w:lineRule="auto"/>
        <w:rPr>
          <w:sz w:val="20"/>
          <w:szCs w:val="20"/>
          <w:color w:val="auto"/>
        </w:rPr>
      </w:pPr>
      <w:r>
        <w:rPr>
          <w:rFonts w:ascii="Arial" w:cs="Arial" w:eastAsia="Arial" w:hAnsi="Arial"/>
          <w:sz w:val="18"/>
          <w:szCs w:val="18"/>
          <w:b w:val="1"/>
          <w:bCs w:val="1"/>
          <w:color w:val="auto"/>
        </w:rPr>
        <w:t>If our manufacturing process is disrupted by operational issues, natural disasters, or other events, our business, results of operations, or financial condition could be materially adversely affected.</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41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there have been disruptions in our manufacturing operations as a result of power outages, improperly functioning equipment,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may occur in the future. As a result, in addition to disruptions to operations, our insurance premiums may increase or we may not be able to fully recover any sustained losses through insurance.</w:t>
      </w:r>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 is concentrated with a select number of customers.</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Our customers’ demand for our products may fluctuate due to factors beyond our control. In addition, any consolidation of our customers could reduce the number of customers to whom our products may be sold. Our inability to meet our customers’ requirements or to qualify our products with them could adversely impact our revenue. A meaningful change in the inventory strategy of our customers could impact our industry bit demand growth outlook. The loss of, or restrictions on our ability to sell to, one or more of our major customers, or any significant reduction in orders from, or a shift in product mix by, customers could have a material adverse effect on our business, results of operations, or financial condition.</w:t>
      </w:r>
    </w:p>
    <w:p>
      <w:pPr>
        <w:spacing w:after="0" w:line="212" w:lineRule="exact"/>
        <w:rPr>
          <w:sz w:val="20"/>
          <w:szCs w:val="20"/>
          <w:color w:val="auto"/>
        </w:rPr>
      </w:pPr>
    </w:p>
    <w:p>
      <w:pPr>
        <w:ind w:right="260"/>
        <w:spacing w:after="0" w:line="296" w:lineRule="auto"/>
        <w:rPr>
          <w:sz w:val="20"/>
          <w:szCs w:val="20"/>
          <w:color w:val="auto"/>
        </w:rPr>
      </w:pPr>
      <w:r>
        <w:rPr>
          <w:rFonts w:ascii="Arial" w:cs="Arial" w:eastAsia="Arial" w:hAnsi="Arial"/>
          <w:sz w:val="18"/>
          <w:szCs w:val="18"/>
          <w:b w:val="1"/>
          <w:bCs w:val="1"/>
          <w:color w:val="auto"/>
        </w:rPr>
        <w:t>Increases in sales of system solutions may increase our dependency upon specific customers and our costs to develop, qualify, and manufacture our system solutions.</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Manufacturing system-level solutions, such as SSDs, managed NAND, and HBM, typically results in higher per-unit manufacturing costs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209"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b w:val="1"/>
          <w:bCs w:val="1"/>
          <w:color w:val="auto"/>
        </w:rPr>
        <w:t>Products that fail to meet specifications, are defective, or are otherwise incompatible with end uses could impose significant costs on us.</w:t>
      </w:r>
    </w:p>
    <w:p>
      <w:pPr>
        <w:spacing w:after="0" w:line="16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09" w:lineRule="exact"/>
        <w:rPr>
          <w:sz w:val="20"/>
          <w:szCs w:val="20"/>
          <w:color w:val="auto"/>
        </w:rPr>
      </w:pPr>
    </w:p>
    <w:p>
      <w:pPr>
        <w:ind w:left="660" w:right="100" w:hanging="328"/>
        <w:spacing w:after="0" w:line="26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1"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220" w:hanging="328"/>
        <w:spacing w:after="0" w:line="26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43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60"/>
        <w:spacing w:after="0" w:line="296" w:lineRule="auto"/>
        <w:rPr>
          <w:sz w:val="20"/>
          <w:szCs w:val="20"/>
          <w:color w:val="auto"/>
        </w:rPr>
      </w:pPr>
      <w:r>
        <w:rPr>
          <w:rFonts w:ascii="Arial" w:cs="Arial" w:eastAsia="Arial" w:hAnsi="Arial"/>
          <w:sz w:val="18"/>
          <w:szCs w:val="18"/>
          <w:b w:val="1"/>
          <w:bCs w:val="1"/>
          <w:color w:val="auto"/>
        </w:rPr>
        <w:t>Breaches of our security systems or products, or those of our customers, suppliers, or business partners, could expose us to losses.</w:t>
      </w:r>
    </w:p>
    <w:p>
      <w:pPr>
        <w:spacing w:after="0" w:line="16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employees, former employees, nation states, or other parties may gain access to our facilities or technology infrastructure and systems to steal trade secrets or other proprietary information, compromise confidential information, create system disruptions, or cause shutdowns. This risk is exacerbated as competitors for talent, particularly engineering talent, attempt to hire our employees. Through cyberattacks on technology infrastructure and systems, unauthorized parties may obtain access to computer systems, networks, and data, including cloud-based platforms. The technology infrastructure and systems of our suppliers, vendors, service providers, cloud solution providers, and partners have in the past experienced, and may in the future experience, such attacks, which could impact our operations. Cyberattacks can include ransomware, computer denial-of-service attacks, worms, supply chain attacks, social engineering, open source vulnerabilities,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Additionally, some actors are using artificial intelligence technology to launch more automated, targeted and coordinated attacks.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attacks on our technology infrastructure and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w:t>
      </w:r>
    </w:p>
    <w:p>
      <w:pPr>
        <w:spacing w:after="0" w:line="216"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Our products are also targets for cyberattacks, including those products utilized in cloud-based environments.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 our products contain sophisticated hardware and firmware and applications that may contain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 requiring us to employ additional resources to fix the errors or defects, exposing us to litigation, claims, and harm to our reputation.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security risks could have a material adverse effect on our business, results of operations, or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attract, retain, and motivate highly skilled employees.</w:t>
      </w:r>
    </w:p>
    <w:p>
      <w:pPr>
        <w:spacing w:after="0" w:line="25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To remain competitive, we must attract, retain, and motivate executives and other highly skilled, diverse employees, as well as effectively manage succession for key roles. Competition for experienced employees in our industry can be intense. Hiring and retaining qualified executives and other skilled talent is critical to our business. If our total compensation programs, employment benefits, and workplace culture are not viewed as competitive and inclusive, our ability to attract, retain, and motivate employees could be compromised.</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times, we experience higher levels of attrition, increasing compensation costs, and more intense competition for talent across our industry. To the extent we experience significant attrition and are unable to timely replace employees, we could experience a loss of critical skills and reduced employee morale, potentially resulting in business disruptions or increased expenses to address any disruptions. Additionally, changes to immigration policies in the countries in which we operate, as well as restrictions on travel due to public health crises or other causes, may limit our ability to hire and/or retain talent in, or transfer talent to, specific locations.</w:t>
      </w:r>
    </w:p>
    <w:p>
      <w:pPr>
        <w:spacing w:after="0" w:line="20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Our inability to attract, retain, and motivate executives and other employees or effectively manage succession of key roles may inhibit our ability to maintain or expand our business operations.</w:t>
      </w:r>
    </w:p>
    <w:p>
      <w:pPr>
        <w:spacing w:after="0" w:line="388"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00"/>
        <w:spacing w:after="0" w:line="273" w:lineRule="auto"/>
        <w:rPr>
          <w:sz w:val="20"/>
          <w:szCs w:val="20"/>
          <w:color w:val="auto"/>
        </w:rPr>
      </w:pPr>
      <w:r>
        <w:rPr>
          <w:rFonts w:ascii="Arial" w:cs="Arial" w:eastAsia="Arial" w:hAnsi="Arial"/>
          <w:sz w:val="18"/>
          <w:szCs w:val="18"/>
          <w:b w:val="1"/>
          <w:bCs w:val="1"/>
          <w:color w:val="auto"/>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and many of our customers have adopted responsible sourcing programs that require us to meet certain environmental, social and governance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 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pacing w:after="0" w:line="222" w:lineRule="exact"/>
        <w:rPr>
          <w:sz w:val="20"/>
          <w:szCs w:val="20"/>
          <w:color w:val="auto"/>
        </w:rPr>
      </w:pPr>
    </w:p>
    <w:p>
      <w:pPr>
        <w:ind w:right="440"/>
        <w:spacing w:after="0" w:line="296" w:lineRule="auto"/>
        <w:rPr>
          <w:sz w:val="20"/>
          <w:szCs w:val="20"/>
          <w:color w:val="auto"/>
        </w:rPr>
      </w:pPr>
      <w:r>
        <w:rPr>
          <w:rFonts w:ascii="Arial" w:cs="Arial" w:eastAsia="Arial" w:hAnsi="Arial"/>
          <w:sz w:val="18"/>
          <w:szCs w:val="18"/>
          <w:b w:val="1"/>
          <w:bCs w:val="1"/>
          <w:color w:val="auto"/>
        </w:rPr>
        <w:t>Failure to meet environmental, social, and governance expectations or standards or achieve our related goals could adversely affect our business, results of operations, financial condition, or stock price.</w:t>
      </w:r>
    </w:p>
    <w:p>
      <w:pPr>
        <w:spacing w:after="0" w:line="16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recent years, there has been an increased focus from stakeholders on environmental, social, and governance matters, including greenhouse gas emissions and climate-related risks, sustainability, renewable energy, water stewardship, waste management, diversity, equality and inclusion, responsible sourcing and supply chain, human rights, and social responsibility. Given our commitment to social and environmental issues as it relates to our business, we actively manage these issues and have established and publicly announced certain goals, commitments, and targets which we may refine or even expand further in the future. These goals, commitments, and targets reflect our current plans and aspirations and are not guarantees that we will be able to achieve them. Achieving these goals may entail significant costs, for example we have entered into several virtual power purchase agreements to obtain renewable energy credits at a cost that will vary based on future prices for electrical power.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Such risks and uncertainties include:</w:t>
      </w:r>
    </w:p>
    <w:p>
      <w:pPr>
        <w:spacing w:after="0" w:line="25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reputational harm, including damage to our relationships with customers, suppliers, investors, governments, or other stakeholders;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impacts on our ability to manufacture and sell products and maintain our market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risk of litigation, investigations, or regulatory enforcement 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environmental, social, and governance ratings or investor sentiment;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resources and increased costs to control, assess, and report on environmental, social, and governance 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achieve our goals, commitments, and targets within timeframes announced;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costs to achieve our goals, commitments, and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operational and technological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access to and increased cost of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impacts on our stock price.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45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Any failure, or perceived failure, to meet evolving stakeholder expectations and industry standards or achieve our environmental, social, and governance goals, commitments, and targets could have an adverse effect on our business, results of operations, financial condition, or stock price.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and/or alliances involve numerous risks.</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18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or restrictions on the conduct of our business or the acquired business;</w:t>
      </w:r>
    </w:p>
    <w:p>
      <w:pPr>
        <w:ind w:left="660" w:right="9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underestimating the costs or overestimating the benefits, including product, revenue, cost and other synergies and growth opportunities that we expect to realize, and we may not achieve those benefits;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540" w:hanging="328"/>
        <w:spacing w:after="0" w:line="26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or technological advancements.</w:t>
      </w:r>
    </w:p>
    <w:p>
      <w:pPr>
        <w:spacing w:after="0" w:line="198"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Acquisitions of, or alliances with, technology companies are inherently risky and may not be successful and could have a material adverse effect on our business, results of operations, or financial condition.</w:t>
      </w:r>
    </w:p>
    <w:p>
      <w:pPr>
        <w:spacing w:after="0" w:line="203"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We have incurred restructure charges and may incur restructure charges in future periods and may not realize expected savings or other benefits from restructure plans.</w:t>
      </w:r>
    </w:p>
    <w:p>
      <w:pPr>
        <w:spacing w:after="0" w:line="16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2023, we initiated a restructure plan in response to challenging industry conditions (the “2023 Restructure Plan”). Under the plan, we reduced our headcount by approximately 15% through a combination of voluntary attrition and personnel reductions. The 2023 Restructure Plan was substantially completed in 2023. In addition, we may in the future enter into other restructure initiatives in order to, among other items, streamline our operations, respond to changes in business conditions, our markets, or product offerings, or to centralize certain key functions.</w:t>
      </w:r>
    </w:p>
    <w:p>
      <w:pPr>
        <w:spacing w:after="0" w:line="20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may not realize expected savings or other benefits from our current or future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Intellectual Property and Litigation</w:t>
      </w:r>
    </w:p>
    <w:p>
      <w:pPr>
        <w:spacing w:after="0" w:line="257" w:lineRule="exact"/>
        <w:rPr>
          <w:sz w:val="20"/>
          <w:szCs w:val="20"/>
          <w:color w:val="auto"/>
        </w:rPr>
      </w:pPr>
    </w:p>
    <w:p>
      <w:pPr>
        <w:ind w:right="840"/>
        <w:spacing w:after="0" w:line="296" w:lineRule="auto"/>
        <w:rPr>
          <w:sz w:val="20"/>
          <w:szCs w:val="20"/>
          <w:color w:val="auto"/>
        </w:rPr>
      </w:pPr>
      <w:r>
        <w:rPr>
          <w:rFonts w:ascii="Arial" w:cs="Arial" w:eastAsia="Arial" w:hAnsi="Arial"/>
          <w:sz w:val="18"/>
          <w:szCs w:val="18"/>
          <w:b w:val="1"/>
          <w:bCs w:val="1"/>
          <w:color w:val="auto"/>
        </w:rPr>
        <w:t>We may be unable to protect our intellectual property or retain key employees who are knowledgeable of and develop our intellectual property.</w:t>
      </w:r>
    </w:p>
    <w:p>
      <w:pPr>
        <w:spacing w:after="0" w:line="1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20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20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and claims could have a material adverse effect on our business, results of operations, or financial condition.</w:t>
      </w:r>
    </w:p>
    <w:p>
      <w:pPr>
        <w:spacing w:after="0" w:line="2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Such claims include, but are not limited to, allegations of anticompetitive conduct and infringement of intellectual property. See “Part I. Financial Information – Item 1. Financial Statements – Notes to Consolidated Financial Statements – Contingencies.”</w:t>
      </w:r>
    </w:p>
    <w:p>
      <w:pPr>
        <w:spacing w:after="0" w:line="20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Any claim, with or without merit, could result in significant legal fees that could negatively impact our financial results, disrupt our operations, and require significant attention from our management. We may be associated with and subject to litigation, claims, or arbitration disputes arising from, or as a result of:</w:t>
      </w:r>
    </w:p>
    <w:p>
      <w:pPr>
        <w:spacing w:after="0" w:line="198" w:lineRule="exact"/>
        <w:rPr>
          <w:sz w:val="20"/>
          <w:szCs w:val="20"/>
          <w:color w:val="auto"/>
        </w:rPr>
      </w:pPr>
    </w:p>
    <w:p>
      <w:pPr>
        <w:ind w:left="660" w:right="520" w:hanging="328"/>
        <w:spacing w:after="0" w:line="26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relationships with vendors or customers, supply agreements, or contractual obligations with our subcontractors or business partners;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actions of our vendors, subcontractors, or business partners;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indemnification obligations, including obligations to defend our customers against third-party claims asserting infringement of certain intellectual property rights, which may include patents, trademarks, copyrights, or trade secrets; and</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of our product warranties or from product liability claims.</w:t>
      </w:r>
    </w:p>
    <w:p>
      <w:pPr>
        <w:spacing w:after="0" w:line="2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We, our officers, or our directors could also be subject to claims of alleged violations of securities laws. There can be no assurance that we are adequately insured to protect against all claims and potential liabilities, and we may elect to self-insure with respect to certain matters. Exposures to various legal proceedings and claims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47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0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19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Laws and Regulations</w:t>
      </w:r>
    </w:p>
    <w:p>
      <w:pPr>
        <w:spacing w:after="0" w:line="257"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6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International trade disputes, geopolitical tensions, and military conflicts have led, and continue to lead, to new and increasing export restrictions, trade barriers, tariffs, and other trade measures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 For example, following the May 21,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Some revenue with customers headquartered outside of China has also been impacted. Further actions by the Chinese government could impact additional revenue inside or outside China, or our operations in China, or our ability to ship products to our customers, any of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cannot predict what further actions may ultimately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Such changes may also result in reputational harm to us, the development or adoption of technologies that compete with our products, long-term changes in global trade and technology supply chains, or negative impacts on our customers’ products which incorporate our solutions. Any of the effects described in this risk factor could have a material adverse effect on our business, results of operations, or financial condition.</w:t>
      </w:r>
    </w:p>
    <w:p>
      <w:pPr>
        <w:spacing w:after="0" w:line="2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Tax-related matters could have a material adverse effect on our business, results of operations, or financial condition.</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spacing w:after="0" w:line="20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Beginning in 2024, the Inflation Reduction Act of 2022 imposes a 15% book minimum tax on corporations with three-year average annual adjusted financial statement income exceeding $1 billion. The impact of this tax will depend on our facts in each year, anticipated guidance from the U.S. Department of the Treasury, and other developing global tax legislation. Further changes in the tax laws of foreign jurisdictions could arise as a result of the base erosion and profit shifting project undertaken by the Organisation for Economic Co-operation and Development (“OECD”). In December 2022, the European Union (“EU”) member states reached an agreement to implement the minimum tax component (“Pillar Two”) of the OECD’s tax reform initiative. The directive is expected to be enacted into the national law of the EU member states by December 31, 2023. If similar directives under Pillar Two are adopted by taxing authorities in other countries where we do business, such changes could have a material adverse effect on our business, results of operations, or financial condition.</w:t>
      </w:r>
    </w:p>
    <w:p>
      <w:pPr>
        <w:spacing w:after="0" w:line="209"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b w:val="1"/>
          <w:bCs w:val="1"/>
          <w:color w:val="auto"/>
        </w:rPr>
        <w:t>We and others are subject to a variety of complex and evolving laws, regulations, or industry standards, including with respect to environmental, health, safety, and product considerations, which may have a material adverse effect on our business, results of operations, or financial condition.</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manufacture of our products requires the use of facilities, equipment, chemicals,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49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New and evolving environmental health, safety, and product considerations, including those related to greenhouse gas emissions and climate change, the purchase, use and disposal of regulated and/or hazardous chemicals, and the potential resulting environmental, health or safety impacts, may result in new laws, regulations, or industry standards that may affect us, our suppliers, and our customers. Such laws, regulations, or industry standards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196"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New and evolving cybersecurity, data privacy, and artificial intelligence laws and regulations impose requirements for information confidentiality, integrity, availability, personal and proprietary data collection, storage, use, sharing, deletion, and artificial intelligence solutions that must be transparent, fair, secure, human-focused, and accountable. Such laws, standards, and market expectations could cause us to incur additional direct costs for compliance, as well as increased indirect costs resulting from our customers, suppliers, or partners reluctance to share information or solutions due to actual or perceived inadequate controls. These costs may adversely impact our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considerations detailed in this risk factor, we could experience the following:</w:t>
      </w:r>
    </w:p>
    <w:p>
      <w:pPr>
        <w:spacing w:after="0" w:line="25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supplies of chemicals or materials used to make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compliance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penalties, fines, civil or criminal sanctions, and other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3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Capitalization and Financial Markets</w:t>
      </w:r>
    </w:p>
    <w:p>
      <w:pPr>
        <w:spacing w:after="0" w:line="257"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make scheduled debt payments, pay our dividend, and make adequate capital investments.</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capital expenditures in 2024 for property, plant, and equipment, net of partner contributions, to be in the range of $7.5 billion to $8.0 billion.</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prevailing interest rates, and general capital market and other economic conditions, it may be difficult for us to obtain financing on terms acceptable to us or at all. We have experienced volatility in our cash flows and operating results and we expect to continue to experience such volatility in the future, which may negatively affect our credit rating. Our credit rating may also be affected by our liquidity, financial results, economic risk, or other factors, which may increase the cost of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refinance our debt,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could adversely affect our financial condition.</w:t>
      </w:r>
    </w:p>
    <w:p>
      <w:pPr>
        <w:spacing w:after="0" w:line="25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to realign our capital structure. As of November 30, 2023, we had debt with a carrying value of $13.51 billion and may incur additional debt, including under our $2.50 billion Revolving Credit Facility. Our debt obligations could adversely impact us as follows:</w:t>
      </w:r>
    </w:p>
    <w:p>
      <w:pPr>
        <w:spacing w:after="0" w:line="198" w:lineRule="exact"/>
        <w:rPr>
          <w:sz w:val="20"/>
          <w:szCs w:val="20"/>
          <w:color w:val="auto"/>
        </w:rPr>
      </w:pPr>
    </w:p>
    <w:p>
      <w:pPr>
        <w:ind w:left="660" w:right="420" w:hanging="328"/>
        <w:spacing w:after="0" w:line="26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our business activities;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borrowing costs;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our exposure to rising interest rates from variable rate indebtedness; and</w:t>
      </w:r>
    </w:p>
    <w:p>
      <w:pPr>
        <w:spacing w:after="0" w:line="9" w:lineRule="exact"/>
        <w:rPr>
          <w:rFonts w:ascii="Arial" w:cs="Arial" w:eastAsia="Arial" w:hAnsi="Arial"/>
          <w:sz w:val="18"/>
          <w:szCs w:val="18"/>
          <w:color w:val="auto"/>
        </w:rPr>
      </w:pPr>
    </w:p>
    <w:p>
      <w:pPr>
        <w:ind w:left="660" w:right="140" w:hanging="328"/>
        <w:spacing w:after="0" w:line="26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 in certain of our debt instruments becoming immediately due and payable or being deemed to be in default if applicable cross default, cross-acceleration and/or similar provisions are triggered.</w:t>
      </w:r>
    </w:p>
    <w:p>
      <w:pPr>
        <w:spacing w:after="0" w:line="18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In light of industry conditions, in 2023, we amended the financial covenants in our</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Revolving Credit Facility and term loan agreements. See “Part I. Financial Information – Item 2. Management’s Discussion and Analysis of Financial Condition and Results of Operations – Overview” and “Part I. Financial Information - Item 1. Financial Statements – Notes to</w:t>
      </w:r>
    </w:p>
    <w:p>
      <w:pPr>
        <w:spacing w:after="0" w:line="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Consolidated Financial Statements – Debt.” If we are unable to generate sufficient cash flows to service our debt payment obligations or satisfy our debt covenants,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21" w:lineRule="exact"/>
        <w:rPr>
          <w:sz w:val="20"/>
          <w:szCs w:val="20"/>
          <w:color w:val="auto"/>
        </w:rPr>
      </w:pPr>
    </w:p>
    <w:p>
      <w:pPr>
        <w:ind w:right="500"/>
        <w:spacing w:after="0" w:line="296" w:lineRule="auto"/>
        <w:rPr>
          <w:sz w:val="20"/>
          <w:szCs w:val="20"/>
          <w:color w:val="auto"/>
        </w:rPr>
      </w:pPr>
      <w:r>
        <w:rPr>
          <w:rFonts w:ascii="Arial" w:cs="Arial" w:eastAsia="Arial" w:hAnsi="Arial"/>
          <w:sz w:val="18"/>
          <w:szCs w:val="18"/>
          <w:b w:val="1"/>
          <w:bCs w:val="1"/>
          <w:color w:val="auto"/>
        </w:rPr>
        <w:t>Changes in foreign currency exchange rates could materially adversely affect our business, results of operations, or financial condition.</w:t>
      </w:r>
    </w:p>
    <w:p>
      <w:pPr>
        <w:spacing w:after="0" w:line="1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Chinese yuan, euro, Indian rupee, Japanese yen, Malaysian ringgit, New Taiwan dollar, and Singapore dollar.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51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counterparty default risks.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has been and may continue to be volatile.</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21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03" w:lineRule="exact"/>
        <w:rPr>
          <w:sz w:val="20"/>
          <w:szCs w:val="20"/>
          <w:color w:val="auto"/>
        </w:rPr>
      </w:pPr>
    </w:p>
    <w:p>
      <w:pPr>
        <w:jc w:val="both"/>
        <w:ind w:right="320"/>
        <w:spacing w:after="0" w:line="273" w:lineRule="auto"/>
        <w:rPr>
          <w:sz w:val="20"/>
          <w:szCs w:val="20"/>
          <w:color w:val="auto"/>
        </w:rPr>
      </w:pPr>
      <w:r>
        <w:rPr>
          <w:rFonts w:ascii="Arial" w:cs="Arial" w:eastAsia="Arial" w:hAnsi="Arial"/>
          <w:sz w:val="18"/>
          <w:szCs w:val="18"/>
          <w:b w:val="1"/>
          <w:bCs w:val="1"/>
          <w:color w:val="auto"/>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amount, frequency, and execution of our share repurchases pursuant to our share repurchase authorization may fluctuate based on our operating results, cash flows, and priorities for the use of cash for other purposes. Our expenditures for share repurchases were $ 425 million in 2023, $ 2.43 billion in 2022, $1.20 billion in 2021, $176 million in 2020, and $ 2.66 billion in 2019.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0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cannot guarantee that our share repurchase authorization will be fully consummated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will diminish our cash reserves.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can be no assurance that we will continue to declare cash dividends in any particular amounts or at all.</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200" w:lineRule="exact"/>
        <w:rPr>
          <w:sz w:val="20"/>
          <w:szCs w:val="20"/>
          <w:color w:val="auto"/>
        </w:rPr>
      </w:pPr>
    </w:p>
    <w:p>
      <w:pPr>
        <w:spacing w:after="0" w:line="211"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8034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5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During the quarter ended November 30, 2023, we did not repurchase any common stock under the authorization and as of November 30, 2023, $3.11 billion of the authorization remained available for the repurchase of our common stock.</w:t>
      </w:r>
    </w:p>
    <w:p>
      <w:pPr>
        <w:spacing w:after="0" w:line="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Shares of common stock withheld as payment of withholding taxes upon the vesting of restricted stock are also treated as common stock repurchases. Shares withheld for the payment of withholding taxes or exercises prices for equity awards other than restricted stock are not considered repurchases for purposes of this Item and are not required to be reported. In the first quarter of 2024, shares withheld as payment upon the vesting of restricted stock consisted of the following:</w:t>
      </w:r>
    </w:p>
    <w:tbl>
      <w:tblPr>
        <w:tblLayout w:type="fixed"/>
        <w:tblInd w:w="0" w:type="dxa"/>
        <w:tblCellMar>
          <w:top w:w="0" w:type="dxa"/>
          <w:left w:w="0" w:type="dxa"/>
          <w:bottom w:w="0" w:type="dxa"/>
          <w:right w:w="0" w:type="dxa"/>
        </w:tblCellMar>
      </w:tblPr>
      <w:tr>
        <w:trPr>
          <w:trHeight w:val="196"/>
        </w:trPr>
        <w:tc>
          <w:tcPr>
            <w:tcW w:w="15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w:t>
            </w:r>
          </w:p>
        </w:tc>
        <w:tc>
          <w:tcPr>
            <w:tcW w:w="140" w:type="dxa"/>
            <w:vAlign w:val="bottom"/>
          </w:tcPr>
          <w:p>
            <w:pPr>
              <w:spacing w:after="0"/>
              <w:rPr>
                <w:sz w:val="17"/>
                <w:szCs w:val="17"/>
                <w:color w:val="auto"/>
              </w:rPr>
            </w:pPr>
          </w:p>
        </w:tc>
        <w:tc>
          <w:tcPr>
            <w:tcW w:w="8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rPr>
              <w:t>Average</w:t>
            </w:r>
          </w:p>
        </w:tc>
        <w:tc>
          <w:tcPr>
            <w:tcW w:w="222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Total number of shares</w:t>
            </w:r>
          </w:p>
        </w:tc>
        <w:tc>
          <w:tcPr>
            <w:tcW w:w="31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Approximate dollar value of shares</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rPr>
              <w:t>purchased as part of</w:t>
            </w:r>
          </w:p>
        </w:tc>
        <w:tc>
          <w:tcPr>
            <w:tcW w:w="31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that may yet be purchased under</w:t>
            </w:r>
          </w:p>
        </w:tc>
        <w:tc>
          <w:tcPr>
            <w:tcW w:w="0" w:type="dxa"/>
            <w:vAlign w:val="bottom"/>
          </w:tcPr>
          <w:p>
            <w:pPr>
              <w:spacing w:after="0"/>
              <w:rPr>
                <w:sz w:val="1"/>
                <w:szCs w:val="1"/>
                <w:color w:val="auto"/>
              </w:rPr>
            </w:pPr>
          </w:p>
        </w:tc>
      </w:tr>
      <w:tr>
        <w:trPr>
          <w:trHeight w:val="176"/>
        </w:trPr>
        <w:tc>
          <w:tcPr>
            <w:tcW w:w="1520" w:type="dxa"/>
            <w:vAlign w:val="bottom"/>
          </w:tcPr>
          <w:p>
            <w:pPr>
              <w:spacing w:after="0"/>
              <w:rPr>
                <w:sz w:val="15"/>
                <w:szCs w:val="15"/>
                <w:color w:val="auto"/>
              </w:rPr>
            </w:pPr>
          </w:p>
        </w:tc>
        <w:tc>
          <w:tcPr>
            <w:tcW w:w="208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13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of shares</w:t>
            </w:r>
          </w:p>
        </w:tc>
        <w:tc>
          <w:tcPr>
            <w:tcW w:w="10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8"/>
              </w:rPr>
              <w:t>price paid</w:t>
            </w: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publicly announced</w:t>
            </w:r>
          </w:p>
        </w:tc>
        <w:tc>
          <w:tcPr>
            <w:tcW w:w="3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publicly announced plans or</w:t>
            </w:r>
          </w:p>
        </w:tc>
        <w:tc>
          <w:tcPr>
            <w:tcW w:w="0" w:type="dxa"/>
            <w:vAlign w:val="bottom"/>
          </w:tcPr>
          <w:p>
            <w:pPr>
              <w:spacing w:after="0"/>
              <w:rPr>
                <w:sz w:val="1"/>
                <w:szCs w:val="1"/>
                <w:color w:val="auto"/>
              </w:rPr>
            </w:pPr>
          </w:p>
        </w:tc>
      </w:tr>
      <w:tr>
        <w:trPr>
          <w:trHeight w:val="229"/>
        </w:trPr>
        <w:tc>
          <w:tcPr>
            <w:tcW w:w="15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purchased</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per share</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plans or programs</w:t>
            </w: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xml:space="preserve">programs </w:t>
            </w:r>
            <w:r>
              <w:rPr>
                <w:rFonts w:ascii="Arial" w:cs="Arial" w:eastAsia="Arial" w:hAnsi="Arial"/>
                <w:sz w:val="18"/>
                <w:szCs w:val="18"/>
                <w:color w:val="auto"/>
                <w:w w:val="99"/>
              </w:rPr>
              <w:t>(in millions)</w:t>
            </w:r>
          </w:p>
        </w:tc>
        <w:tc>
          <w:tcPr>
            <w:tcW w:w="0" w:type="dxa"/>
            <w:vAlign w:val="bottom"/>
          </w:tcPr>
          <w:p>
            <w:pPr>
              <w:spacing w:after="0"/>
              <w:rPr>
                <w:sz w:val="1"/>
                <w:szCs w:val="1"/>
                <w:color w:val="auto"/>
              </w:rPr>
            </w:pPr>
          </w:p>
        </w:tc>
      </w:tr>
      <w:tr>
        <w:trPr>
          <w:trHeight w:val="34"/>
        </w:trPr>
        <w:tc>
          <w:tcPr>
            <w:tcW w:w="1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0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September 1, 2023 — October 5, 2023</w:t>
            </w:r>
          </w:p>
        </w:tc>
        <w:tc>
          <w:tcPr>
            <w:tcW w:w="14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20" w:type="dxa"/>
            <w:vAlign w:val="bottom"/>
            <w:shd w:val="clear" w:color="auto" w:fill="D1D2D4"/>
          </w:tcPr>
          <w:p>
            <w:pPr>
              <w:ind w:left="1960"/>
              <w:spacing w:after="0"/>
              <w:rPr>
                <w:sz w:val="20"/>
                <w:szCs w:val="20"/>
                <w:color w:val="auto"/>
              </w:rPr>
            </w:pPr>
            <w:r>
              <w:rPr>
                <w:rFonts w:ascii="Arial" w:cs="Arial" w:eastAsia="Arial" w:hAnsi="Arial"/>
                <w:sz w:val="18"/>
                <w:szCs w:val="18"/>
                <w:color w:val="auto"/>
              </w:rPr>
              <w:t>—</w:t>
            </w:r>
          </w:p>
        </w:tc>
        <w:tc>
          <w:tcPr>
            <w:tcW w:w="31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tcPr>
          <w:p>
            <w:pPr>
              <w:ind w:left="20"/>
              <w:spacing w:after="0"/>
              <w:rPr>
                <w:sz w:val="20"/>
                <w:szCs w:val="20"/>
                <w:color w:val="auto"/>
              </w:rPr>
            </w:pPr>
            <w:r>
              <w:rPr>
                <w:rFonts w:ascii="Arial" w:cs="Arial" w:eastAsia="Arial" w:hAnsi="Arial"/>
                <w:sz w:val="18"/>
                <w:szCs w:val="18"/>
                <w:color w:val="auto"/>
              </w:rPr>
              <w:t>October 6, 2023</w:t>
            </w:r>
          </w:p>
        </w:tc>
        <w:tc>
          <w:tcPr>
            <w:tcW w:w="2080" w:type="dxa"/>
            <w:vAlign w:val="bottom"/>
          </w:tcPr>
          <w:p>
            <w:pPr>
              <w:ind w:left="200"/>
              <w:spacing w:after="0"/>
              <w:rPr>
                <w:sz w:val="20"/>
                <w:szCs w:val="20"/>
                <w:color w:val="auto"/>
              </w:rPr>
            </w:pPr>
            <w:r>
              <w:rPr>
                <w:rFonts w:ascii="Arial" w:cs="Arial" w:eastAsia="Arial" w:hAnsi="Arial"/>
                <w:sz w:val="18"/>
                <w:szCs w:val="18"/>
                <w:color w:val="auto"/>
              </w:rPr>
              <w:t>– November 2, 2023</w:t>
            </w:r>
          </w:p>
        </w:tc>
        <w:tc>
          <w:tcPr>
            <w:tcW w:w="1320" w:type="dxa"/>
            <w:vAlign w:val="bottom"/>
          </w:tcPr>
          <w:p>
            <w:pPr>
              <w:jc w:val="right"/>
              <w:spacing w:after="0"/>
              <w:rPr>
                <w:sz w:val="20"/>
                <w:szCs w:val="20"/>
                <w:color w:val="auto"/>
              </w:rPr>
            </w:pPr>
            <w:r>
              <w:rPr>
                <w:rFonts w:ascii="Arial" w:cs="Arial" w:eastAsia="Arial" w:hAnsi="Arial"/>
                <w:sz w:val="18"/>
                <w:szCs w:val="18"/>
                <w:color w:val="auto"/>
              </w:rPr>
              <w:t>235,061</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69.36</w:t>
            </w:r>
          </w:p>
        </w:tc>
        <w:tc>
          <w:tcPr>
            <w:tcW w:w="2220" w:type="dxa"/>
            <w:vAlign w:val="bottom"/>
          </w:tcPr>
          <w:p>
            <w:pPr>
              <w:ind w:left="1960"/>
              <w:spacing w:after="0"/>
              <w:rPr>
                <w:sz w:val="20"/>
                <w:szCs w:val="20"/>
                <w:color w:val="auto"/>
              </w:rPr>
            </w:pPr>
            <w:r>
              <w:rPr>
                <w:rFonts w:ascii="Arial" w:cs="Arial" w:eastAsia="Arial" w:hAnsi="Arial"/>
                <w:sz w:val="18"/>
                <w:szCs w:val="18"/>
                <w:color w:val="auto"/>
              </w:rPr>
              <w:t>—</w:t>
            </w: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D1D2D4"/>
          </w:tcPr>
          <w:p>
            <w:pPr>
              <w:ind w:left="20"/>
              <w:spacing w:after="0"/>
              <w:rPr>
                <w:sz w:val="20"/>
                <w:szCs w:val="20"/>
                <w:color w:val="auto"/>
              </w:rPr>
            </w:pPr>
            <w:r>
              <w:rPr>
                <w:rFonts w:ascii="Arial" w:cs="Arial" w:eastAsia="Arial" w:hAnsi="Arial"/>
                <w:sz w:val="18"/>
                <w:szCs w:val="18"/>
                <w:color w:val="auto"/>
                <w:w w:val="99"/>
              </w:rPr>
              <w:t>November 3, 2023</w:t>
            </w:r>
          </w:p>
        </w:tc>
        <w:tc>
          <w:tcPr>
            <w:tcW w:w="2080" w:type="dxa"/>
            <w:vAlign w:val="bottom"/>
            <w:shd w:val="clear" w:color="auto" w:fill="D1D2D4"/>
          </w:tcPr>
          <w:p>
            <w:pPr>
              <w:ind w:left="200"/>
              <w:spacing w:after="0"/>
              <w:rPr>
                <w:sz w:val="20"/>
                <w:szCs w:val="20"/>
                <w:color w:val="auto"/>
              </w:rPr>
            </w:pPr>
            <w:r>
              <w:rPr>
                <w:rFonts w:ascii="Arial" w:cs="Arial" w:eastAsia="Arial" w:hAnsi="Arial"/>
                <w:sz w:val="18"/>
                <w:szCs w:val="18"/>
                <w:color w:val="auto"/>
              </w:rPr>
              <w:t>– November 30, 2023</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19"/>
                <w:szCs w:val="19"/>
                <w:color w:val="auto"/>
              </w:rPr>
            </w:pP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shd w:val="clear" w:color="auto" w:fill="D1D2D4"/>
          </w:tcPr>
          <w:p>
            <w:pPr>
              <w:ind w:left="1960"/>
              <w:spacing w:after="0"/>
              <w:rPr>
                <w:sz w:val="20"/>
                <w:szCs w:val="20"/>
                <w:color w:val="auto"/>
              </w:rPr>
            </w:pPr>
            <w:r>
              <w:rPr>
                <w:rFonts w:ascii="Arial" w:cs="Arial" w:eastAsia="Arial" w:hAnsi="Arial"/>
                <w:sz w:val="18"/>
                <w:szCs w:val="18"/>
                <w:color w:val="auto"/>
              </w:rPr>
              <w:t>—</w:t>
            </w:r>
          </w:p>
        </w:tc>
        <w:tc>
          <w:tcPr>
            <w:tcW w:w="31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235,061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69.36</w:t>
            </w:r>
          </w:p>
        </w:tc>
        <w:tc>
          <w:tcPr>
            <w:tcW w:w="222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w:t>
            </w:r>
          </w:p>
        </w:tc>
        <w:tc>
          <w:tcPr>
            <w:tcW w:w="3100" w:type="dxa"/>
            <w:vAlign w:val="bottom"/>
          </w:tcPr>
          <w:p>
            <w:pPr>
              <w:jc w:val="right"/>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53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5. OTHER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Trading Plans of Directors and Executive Officers</w:t>
      </w:r>
    </w:p>
    <w:p>
      <w:pPr>
        <w:spacing w:after="0" w:line="24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following officer, as defined in Rule 16a-1(f) of the Exchange Act, adopted a “Rule 10b5-1 trading arrangement,” as defined in Item 408 of Regulation S-K, as follows:</w:t>
      </w:r>
    </w:p>
    <w:p>
      <w:pPr>
        <w:spacing w:after="0" w:line="167"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On November 14, 2023, April Arnzen, our Executive Vice President and Chief People Officer, adopted a Rule 10b5-1 trading arrangement providing for the sale of an aggregate of up to 19,560 shares of our common stock acquired by Ms. Arnzen pursuant to our Restricted Stock Awards. The trading arrangement is intended to satisfy the affirmative defense in Rule 10b5-1(c). The first date that sales of any shares are permitted to be sold under the trading arrangement will be March 27, 2024, and subsequent sales under the trading arrangement may occur on a regular basis for the duration of the trading arrangement until December 31, 2024, or earlier if all transactions under the trading arrangement are completed.</w:t>
      </w:r>
    </w:p>
    <w:p>
      <w:pPr>
        <w:spacing w:after="0" w:line="206"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No other officers or directors, as defined in Rule 16a-1(f), adopted and/or terminated a “Rule 10b5-1 trading arrangement” or a “non-Rule 10b5-1 trading arrangement,” as defined in Item 408 of Regulation S-K, during the last fiscal quarter.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EXHIBITS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548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Description of Exhibit</w:t>
            </w:r>
          </w:p>
        </w:tc>
        <w:tc>
          <w:tcPr>
            <w:tcW w:w="1740" w:type="dxa"/>
            <w:vAlign w:val="bottom"/>
          </w:tcPr>
          <w:p>
            <w:pPr>
              <w:ind w:left="100"/>
              <w:spacing w:after="0"/>
              <w:rPr>
                <w:sz w:val="20"/>
                <w:szCs w:val="20"/>
                <w:color w:val="auto"/>
              </w:rPr>
            </w:pPr>
            <w:r>
              <w:rPr>
                <w:rFonts w:ascii="Arial" w:cs="Arial" w:eastAsia="Arial" w:hAnsi="Arial"/>
                <w:sz w:val="18"/>
                <w:szCs w:val="18"/>
                <w:b w:val="1"/>
                <w:bCs w:val="1"/>
                <w:color w:val="auto"/>
              </w:rPr>
              <w:t>Filed</w:t>
            </w: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235"/>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5480" w:type="dxa"/>
            <w:vAlign w:val="bottom"/>
            <w:tcBorders>
              <w:bottom w:val="single" w:sz="8" w:color="auto"/>
            </w:tcBorders>
            <w:gridSpan w:val="11"/>
            <w:vMerge w:val="continue"/>
          </w:tcPr>
          <w:p>
            <w:pPr>
              <w:spacing w:after="0"/>
              <w:rPr>
                <w:sz w:val="20"/>
                <w:szCs w:val="20"/>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Herewith   Form</w:t>
            </w: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Appendix</w:t>
            </w: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3"/>
        </w:trPr>
        <w:tc>
          <w:tcPr>
            <w:tcW w:w="980" w:type="dxa"/>
            <w:vAlign w:val="bottom"/>
            <w:tcBorders>
              <w:bottom w:val="single" w:sz="8" w:color="D1D2D4"/>
            </w:tcBorders>
            <w:shd w:val="clear" w:color="auto" w:fill="D1D2D4"/>
          </w:tcPr>
          <w:p>
            <w:pPr>
              <w:ind w:left="20"/>
              <w:spacing w:after="0" w:line="182" w:lineRule="exact"/>
              <w:rPr>
                <w:sz w:val="20"/>
                <w:szCs w:val="20"/>
                <w:color w:val="auto"/>
              </w:rPr>
            </w:pPr>
            <w:r>
              <w:rPr>
                <w:rFonts w:ascii="Arial" w:cs="Arial" w:eastAsia="Arial" w:hAnsi="Arial"/>
                <w:sz w:val="18"/>
                <w:szCs w:val="18"/>
                <w:color w:val="auto"/>
              </w:rPr>
              <w:t>3.1</w:t>
            </w:r>
          </w:p>
        </w:tc>
        <w:tc>
          <w:tcPr>
            <w:tcW w:w="4260" w:type="dxa"/>
            <w:vAlign w:val="bottom"/>
            <w:tcBorders>
              <w:bottom w:val="single" w:sz="8" w:color="auto"/>
            </w:tcBorders>
            <w:gridSpan w:val="5"/>
            <w:shd w:val="clear" w:color="auto" w:fill="D1D2D4"/>
          </w:tcPr>
          <w:p>
            <w:pPr>
              <w:spacing w:after="0" w:line="182" w:lineRule="exact"/>
              <w:rPr>
                <w:rFonts w:ascii="Arial" w:cs="Arial" w:eastAsia="Arial" w:hAnsi="Arial"/>
                <w:sz w:val="18"/>
                <w:szCs w:val="18"/>
                <w:color w:val="auto"/>
                <w:w w:val="99"/>
              </w:rPr>
            </w:pPr>
            <w:hyperlink r:id="rId103">
              <w:r>
                <w:rPr>
                  <w:rFonts w:ascii="Arial" w:cs="Arial" w:eastAsia="Arial" w:hAnsi="Arial"/>
                  <w:sz w:val="18"/>
                  <w:szCs w:val="18"/>
                  <w:color w:val="auto"/>
                  <w:w w:val="99"/>
                </w:rPr>
                <w:t>Restated Certificate of Incorporation of the Registrant</w:t>
              </w:r>
            </w:hyperlink>
          </w:p>
        </w:tc>
        <w:tc>
          <w:tcPr>
            <w:tcW w:w="1220" w:type="dxa"/>
            <w:vAlign w:val="bottom"/>
            <w:tcBorders>
              <w:bottom w:val="single" w:sz="8" w:color="D1D2D4"/>
            </w:tcBorders>
            <w:gridSpan w:val="6"/>
            <w:shd w:val="clear" w:color="auto" w:fill="D1D2D4"/>
          </w:tcPr>
          <w:p>
            <w:pPr>
              <w:spacing w:after="0"/>
              <w:rPr>
                <w:sz w:val="17"/>
                <w:szCs w:val="17"/>
                <w:color w:val="auto"/>
              </w:rPr>
            </w:pPr>
          </w:p>
        </w:tc>
        <w:tc>
          <w:tcPr>
            <w:tcW w:w="1740" w:type="dxa"/>
            <w:vAlign w:val="bottom"/>
            <w:tcBorders>
              <w:bottom w:val="single" w:sz="8" w:color="D1D2D4"/>
            </w:tcBorders>
            <w:shd w:val="clear" w:color="auto" w:fill="D1D2D4"/>
          </w:tcPr>
          <w:p>
            <w:pPr>
              <w:ind w:left="1120"/>
              <w:spacing w:after="0" w:line="182" w:lineRule="exact"/>
              <w:rPr>
                <w:sz w:val="20"/>
                <w:szCs w:val="20"/>
                <w:color w:val="auto"/>
              </w:rPr>
            </w:pPr>
            <w:r>
              <w:rPr>
                <w:rFonts w:ascii="Arial" w:cs="Arial" w:eastAsia="Arial" w:hAnsi="Arial"/>
                <w:sz w:val="18"/>
                <w:szCs w:val="18"/>
                <w:color w:val="auto"/>
              </w:rPr>
              <w:t>8-K</w:t>
            </w:r>
          </w:p>
        </w:tc>
        <w:tc>
          <w:tcPr>
            <w:tcW w:w="940" w:type="dxa"/>
            <w:vAlign w:val="bottom"/>
            <w:tcBorders>
              <w:bottom w:val="single" w:sz="8" w:color="D1D2D4"/>
            </w:tcBorders>
            <w:shd w:val="clear" w:color="auto" w:fill="D1D2D4"/>
          </w:tcPr>
          <w:p>
            <w:pPr>
              <w:spacing w:after="0"/>
              <w:rPr>
                <w:sz w:val="17"/>
                <w:szCs w:val="17"/>
                <w:color w:val="auto"/>
              </w:rPr>
            </w:pPr>
          </w:p>
        </w:tc>
        <w:tc>
          <w:tcPr>
            <w:tcW w:w="1080" w:type="dxa"/>
            <w:vAlign w:val="bottom"/>
            <w:tcBorders>
              <w:bottom w:val="single" w:sz="8" w:color="D1D2D4"/>
            </w:tcBorders>
            <w:shd w:val="clear" w:color="auto" w:fill="D1D2D4"/>
          </w:tcPr>
          <w:p>
            <w:pPr>
              <w:ind w:left="140"/>
              <w:spacing w:after="0" w:line="182" w:lineRule="exact"/>
              <w:rPr>
                <w:sz w:val="20"/>
                <w:szCs w:val="20"/>
                <w:color w:val="auto"/>
              </w:rPr>
            </w:pPr>
            <w:r>
              <w:rPr>
                <w:rFonts w:ascii="Arial" w:cs="Arial" w:eastAsia="Arial" w:hAnsi="Arial"/>
                <w:sz w:val="18"/>
                <w:szCs w:val="18"/>
                <w:color w:val="auto"/>
              </w:rPr>
              <w:t>99.2</w:t>
            </w:r>
          </w:p>
        </w:tc>
        <w:tc>
          <w:tcPr>
            <w:tcW w:w="1020" w:type="dxa"/>
            <w:vAlign w:val="bottom"/>
            <w:tcBorders>
              <w:bottom w:val="single" w:sz="8" w:color="D1D2D4"/>
            </w:tcBorders>
            <w:shd w:val="clear" w:color="auto" w:fill="D1D2D4"/>
          </w:tcPr>
          <w:p>
            <w:pPr>
              <w:ind w:left="120"/>
              <w:spacing w:after="0" w:line="182" w:lineRule="exact"/>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5480" w:type="dxa"/>
            <w:vAlign w:val="bottom"/>
            <w:gridSpan w:val="11"/>
          </w:tcPr>
          <w:p>
            <w:pPr>
              <w:spacing w:after="0" w:line="189" w:lineRule="exact"/>
              <w:rPr>
                <w:rFonts w:ascii="Arial" w:cs="Arial" w:eastAsia="Arial" w:hAnsi="Arial"/>
                <w:sz w:val="18"/>
                <w:szCs w:val="18"/>
                <w:color w:val="auto"/>
              </w:rPr>
            </w:pPr>
            <w:hyperlink r:id="rId104">
              <w:r>
                <w:rPr>
                  <w:rFonts w:ascii="Arial" w:cs="Arial" w:eastAsia="Arial" w:hAnsi="Arial"/>
                  <w:sz w:val="18"/>
                  <w:szCs w:val="18"/>
                  <w:color w:val="auto"/>
                </w:rPr>
                <w:t>Bylaws of the Registrant, Amended and Restated</w:t>
              </w:r>
            </w:hyperlink>
          </w:p>
        </w:tc>
        <w:tc>
          <w:tcPr>
            <w:tcW w:w="1740" w:type="dxa"/>
            <w:vAlign w:val="bottom"/>
          </w:tcPr>
          <w:p>
            <w:pPr>
              <w:ind w:left="1120"/>
              <w:spacing w:after="0" w:line="189" w:lineRule="exact"/>
              <w:rPr>
                <w:sz w:val="20"/>
                <w:szCs w:val="20"/>
                <w:color w:val="auto"/>
              </w:rPr>
            </w:pPr>
            <w:r>
              <w:rPr>
                <w:rFonts w:ascii="Arial" w:cs="Arial" w:eastAsia="Arial" w:hAnsi="Arial"/>
                <w:sz w:val="18"/>
                <w:szCs w:val="18"/>
                <w:color w:val="auto"/>
              </w:rPr>
              <w:t>8-K</w:t>
            </w:r>
          </w:p>
        </w:tc>
        <w:tc>
          <w:tcPr>
            <w:tcW w:w="940" w:type="dxa"/>
            <w:vAlign w:val="bottom"/>
          </w:tcPr>
          <w:p>
            <w:pPr>
              <w:spacing w:after="0"/>
              <w:rPr>
                <w:sz w:val="16"/>
                <w:szCs w:val="16"/>
                <w:color w:val="auto"/>
              </w:rPr>
            </w:pPr>
          </w:p>
        </w:tc>
        <w:tc>
          <w:tcPr>
            <w:tcW w:w="1080" w:type="dxa"/>
            <w:vAlign w:val="bottom"/>
          </w:tcPr>
          <w:p>
            <w:pPr>
              <w:ind w:left="140"/>
              <w:spacing w:after="0" w:line="189" w:lineRule="exact"/>
              <w:rPr>
                <w:sz w:val="20"/>
                <w:szCs w:val="20"/>
                <w:color w:val="auto"/>
              </w:rPr>
            </w:pPr>
            <w:r>
              <w:rPr>
                <w:rFonts w:ascii="Arial" w:cs="Arial" w:eastAsia="Arial" w:hAnsi="Arial"/>
                <w:sz w:val="18"/>
                <w:szCs w:val="18"/>
                <w:color w:val="auto"/>
              </w:rPr>
              <w:t>3.1</w:t>
            </w:r>
          </w:p>
        </w:tc>
        <w:tc>
          <w:tcPr>
            <w:tcW w:w="1020" w:type="dxa"/>
            <w:vAlign w:val="bottom"/>
          </w:tcPr>
          <w:p>
            <w:pPr>
              <w:ind w:left="120"/>
              <w:spacing w:after="0" w:line="189" w:lineRule="exact"/>
              <w:rPr>
                <w:sz w:val="20"/>
                <w:szCs w:val="20"/>
                <w:color w:val="auto"/>
              </w:rPr>
            </w:pPr>
            <w:r>
              <w:rPr>
                <w:rFonts w:ascii="Arial" w:cs="Arial" w:eastAsia="Arial" w:hAnsi="Arial"/>
                <w:sz w:val="18"/>
                <w:szCs w:val="18"/>
                <w:color w:val="auto"/>
              </w:rPr>
              <w:t>2/16/21</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2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10.1</w:t>
            </w:r>
          </w:p>
        </w:tc>
        <w:tc>
          <w:tcPr>
            <w:tcW w:w="3280" w:type="dxa"/>
            <w:vAlign w:val="bottom"/>
            <w:tcBorders>
              <w:bottom w:val="single" w:sz="8" w:color="auto"/>
            </w:tcBorders>
            <w:shd w:val="clear" w:color="auto" w:fill="D1D2D4"/>
          </w:tcPr>
          <w:p>
            <w:pPr>
              <w:spacing w:after="0" w:line="189" w:lineRule="exact"/>
              <w:rPr>
                <w:sz w:val="20"/>
                <w:szCs w:val="20"/>
                <w:color w:val="auto"/>
              </w:rPr>
            </w:pPr>
            <w:r>
              <w:rPr>
                <w:rFonts w:ascii="Arial" w:cs="Arial" w:eastAsia="Arial" w:hAnsi="Arial"/>
                <w:sz w:val="18"/>
                <w:szCs w:val="18"/>
                <w:color w:val="auto"/>
                <w:w w:val="99"/>
              </w:rPr>
              <w:t>Executive Officer Cash Severance Policy</w:t>
            </w:r>
          </w:p>
        </w:tc>
        <w:tc>
          <w:tcPr>
            <w:tcW w:w="2200" w:type="dxa"/>
            <w:vAlign w:val="bottom"/>
            <w:tcBorders>
              <w:bottom w:val="single" w:sz="8" w:color="D1D2D4"/>
            </w:tcBorders>
            <w:gridSpan w:val="10"/>
            <w:shd w:val="clear" w:color="auto" w:fill="D1D2D4"/>
          </w:tcPr>
          <w:p>
            <w:pPr>
              <w:spacing w:after="0"/>
              <w:rPr>
                <w:sz w:val="18"/>
                <w:szCs w:val="18"/>
                <w:color w:val="auto"/>
              </w:rPr>
            </w:pPr>
          </w:p>
        </w:tc>
        <w:tc>
          <w:tcPr>
            <w:tcW w:w="1740" w:type="dxa"/>
            <w:vAlign w:val="bottom"/>
            <w:tcBorders>
              <w:bottom w:val="single" w:sz="8" w:color="D1D2D4"/>
            </w:tcBorders>
            <w:shd w:val="clear" w:color="auto" w:fill="D1D2D4"/>
          </w:tcPr>
          <w:p>
            <w:pPr>
              <w:ind w:left="100"/>
              <w:spacing w:after="0" w:line="189" w:lineRule="exact"/>
              <w:rPr>
                <w:sz w:val="20"/>
                <w:szCs w:val="20"/>
                <w:color w:val="auto"/>
              </w:rPr>
            </w:pPr>
            <w:r>
              <w:rPr>
                <w:rFonts w:ascii="Arial" w:cs="Arial" w:eastAsia="Arial" w:hAnsi="Arial"/>
                <w:sz w:val="18"/>
                <w:szCs w:val="18"/>
                <w:color w:val="auto"/>
              </w:rPr>
              <w:t>X</w:t>
            </w:r>
          </w:p>
        </w:tc>
        <w:tc>
          <w:tcPr>
            <w:tcW w:w="940" w:type="dxa"/>
            <w:vAlign w:val="bottom"/>
            <w:tcBorders>
              <w:bottom w:val="single" w:sz="8" w:color="D1D2D4"/>
            </w:tcBorders>
            <w:shd w:val="clear" w:color="auto" w:fill="D1D2D4"/>
          </w:tcPr>
          <w:p>
            <w:pPr>
              <w:spacing w:after="0"/>
              <w:rPr>
                <w:sz w:val="18"/>
                <w:szCs w:val="18"/>
                <w:color w:val="auto"/>
              </w:rPr>
            </w:pPr>
          </w:p>
        </w:tc>
        <w:tc>
          <w:tcPr>
            <w:tcW w:w="1080" w:type="dxa"/>
            <w:vAlign w:val="bottom"/>
            <w:tcBorders>
              <w:bottom w:val="single" w:sz="8" w:color="D1D2D4"/>
            </w:tcBorders>
            <w:shd w:val="clear" w:color="auto" w:fill="D1D2D4"/>
          </w:tcPr>
          <w:p>
            <w:pPr>
              <w:spacing w:after="0"/>
              <w:rPr>
                <w:sz w:val="18"/>
                <w:szCs w:val="18"/>
                <w:color w:val="auto"/>
              </w:rPr>
            </w:pPr>
          </w:p>
        </w:tc>
        <w:tc>
          <w:tcPr>
            <w:tcW w:w="1020" w:type="dxa"/>
            <w:vAlign w:val="bottom"/>
            <w:tcBorders>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10.2*</w:t>
            </w:r>
          </w:p>
        </w:tc>
        <w:tc>
          <w:tcPr>
            <w:tcW w:w="5480" w:type="dxa"/>
            <w:vAlign w:val="bottom"/>
            <w:gridSpan w:val="11"/>
          </w:tcPr>
          <w:p>
            <w:pPr>
              <w:spacing w:after="0" w:line="189" w:lineRule="exact"/>
              <w:rPr>
                <w:sz w:val="20"/>
                <w:szCs w:val="20"/>
                <w:color w:val="auto"/>
              </w:rPr>
            </w:pPr>
            <w:r>
              <w:rPr>
                <w:rFonts w:ascii="Arial" w:cs="Arial" w:eastAsia="Arial" w:hAnsi="Arial"/>
                <w:sz w:val="18"/>
                <w:szCs w:val="18"/>
                <w:color w:val="auto"/>
              </w:rPr>
              <w:t>Severance Policy Acknowledgement Letter for Sanjay Mehrotra</w:t>
            </w:r>
          </w:p>
        </w:tc>
        <w:tc>
          <w:tcPr>
            <w:tcW w:w="1740" w:type="dxa"/>
            <w:vAlign w:val="bottom"/>
          </w:tcPr>
          <w:p>
            <w:pPr>
              <w:ind w:left="10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10.3*</w:t>
            </w:r>
          </w:p>
        </w:tc>
        <w:tc>
          <w:tcPr>
            <w:tcW w:w="5480" w:type="dxa"/>
            <w:vAlign w:val="bottom"/>
            <w:gridSpan w:val="11"/>
            <w:shd w:val="clear" w:color="auto" w:fill="D1D2D4"/>
          </w:tcPr>
          <w:p>
            <w:pPr>
              <w:spacing w:after="0" w:line="189" w:lineRule="exact"/>
              <w:rPr>
                <w:sz w:val="20"/>
                <w:szCs w:val="20"/>
                <w:color w:val="auto"/>
              </w:rPr>
            </w:pPr>
            <w:r>
              <w:rPr>
                <w:rFonts w:ascii="Arial" w:cs="Arial" w:eastAsia="Arial" w:hAnsi="Arial"/>
                <w:sz w:val="18"/>
                <w:szCs w:val="18"/>
                <w:color w:val="auto"/>
              </w:rPr>
              <w:t>Amended and Restated Severance Agreement by and between</w:t>
            </w:r>
          </w:p>
        </w:tc>
        <w:tc>
          <w:tcPr>
            <w:tcW w:w="1740" w:type="dxa"/>
            <w:vAlign w:val="bottom"/>
            <w:shd w:val="clear" w:color="auto" w:fill="D1D2D4"/>
          </w:tcPr>
          <w:p>
            <w:pPr>
              <w:ind w:left="100"/>
              <w:spacing w:after="0" w:line="189"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10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060" w:type="dxa"/>
            <w:vAlign w:val="bottom"/>
            <w:tcBorders>
              <w:top w:val="single" w:sz="8" w:color="auto"/>
            </w:tcBorders>
            <w:gridSpan w:val="8"/>
            <w:shd w:val="clear" w:color="auto" w:fill="D1D2D4"/>
          </w:tcPr>
          <w:p>
            <w:pPr>
              <w:spacing w:after="0" w:line="169" w:lineRule="exact"/>
              <w:rPr>
                <w:sz w:val="20"/>
                <w:szCs w:val="20"/>
                <w:color w:val="auto"/>
              </w:rPr>
            </w:pPr>
            <w:r>
              <w:rPr>
                <w:rFonts w:ascii="Arial" w:cs="Arial" w:eastAsia="Arial" w:hAnsi="Arial"/>
                <w:sz w:val="18"/>
                <w:szCs w:val="18"/>
                <w:color w:val="auto"/>
              </w:rPr>
              <w:t>Micron Technology, Inc. and Scott J. DeBoer</w:t>
            </w:r>
          </w:p>
        </w:tc>
        <w:tc>
          <w:tcPr>
            <w:tcW w:w="160" w:type="dxa"/>
            <w:vAlign w:val="bottom"/>
            <w:tcBorders>
              <w:top w:val="single" w:sz="8" w:color="D1D2D4"/>
            </w:tcBorders>
            <w:shd w:val="clear" w:color="auto" w:fill="D1D2D4"/>
          </w:tcPr>
          <w:p>
            <w:pPr>
              <w:spacing w:after="0"/>
              <w:rPr>
                <w:sz w:val="14"/>
                <w:szCs w:val="14"/>
                <w:color w:val="auto"/>
              </w:rPr>
            </w:pPr>
          </w:p>
        </w:tc>
        <w:tc>
          <w:tcPr>
            <w:tcW w:w="60" w:type="dxa"/>
            <w:vAlign w:val="bottom"/>
            <w:tcBorders>
              <w:top w:val="single" w:sz="8" w:color="D1D2D4"/>
            </w:tcBorders>
            <w:shd w:val="clear" w:color="auto" w:fill="D1D2D4"/>
          </w:tcPr>
          <w:p>
            <w:pPr>
              <w:spacing w:after="0"/>
              <w:rPr>
                <w:sz w:val="14"/>
                <w:szCs w:val="14"/>
                <w:color w:val="auto"/>
              </w:rPr>
            </w:pPr>
          </w:p>
        </w:tc>
        <w:tc>
          <w:tcPr>
            <w:tcW w:w="200" w:type="dxa"/>
            <w:vAlign w:val="bottom"/>
            <w:tcBorders>
              <w:top w:val="single" w:sz="8" w:color="D1D2D4"/>
            </w:tcBorders>
            <w:shd w:val="clear" w:color="auto" w:fill="D1D2D4"/>
          </w:tcPr>
          <w:p>
            <w:pPr>
              <w:spacing w:after="0"/>
              <w:rPr>
                <w:sz w:val="14"/>
                <w:szCs w:val="14"/>
                <w:color w:val="auto"/>
              </w:rPr>
            </w:pPr>
          </w:p>
        </w:tc>
        <w:tc>
          <w:tcPr>
            <w:tcW w:w="1740" w:type="dxa"/>
            <w:vAlign w:val="bottom"/>
            <w:tcBorders>
              <w:top w:val="single" w:sz="8" w:color="D1D2D4"/>
            </w:tcBorders>
            <w:shd w:val="clear" w:color="auto" w:fill="D1D2D4"/>
          </w:tcPr>
          <w:p>
            <w:pPr>
              <w:spacing w:after="0"/>
              <w:rPr>
                <w:sz w:val="14"/>
                <w:szCs w:val="14"/>
                <w:color w:val="auto"/>
              </w:rPr>
            </w:pPr>
          </w:p>
        </w:tc>
        <w:tc>
          <w:tcPr>
            <w:tcW w:w="94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102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280" w:type="dxa"/>
            <w:vAlign w:val="bottom"/>
            <w:tcBorders>
              <w:top w:val="single" w:sz="8" w:color="auto"/>
            </w:tcBorders>
            <w:shd w:val="clear" w:color="auto" w:fill="D1D2D4"/>
          </w:tcPr>
          <w:p>
            <w:pPr>
              <w:spacing w:after="0" w:line="20" w:lineRule="exact"/>
              <w:rPr>
                <w:sz w:val="1"/>
                <w:szCs w:val="1"/>
                <w:color w:val="auto"/>
              </w:rPr>
            </w:pPr>
          </w:p>
        </w:tc>
        <w:tc>
          <w:tcPr>
            <w:tcW w:w="260" w:type="dxa"/>
            <w:vAlign w:val="bottom"/>
            <w:tcBorders>
              <w:top w:val="single" w:sz="8" w:color="auto"/>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28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42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0" w:type="dxa"/>
            <w:vAlign w:val="bottom"/>
            <w:tcBorders>
              <w:top w:val="single" w:sz="8" w:color="D1D2D4"/>
            </w:tcBorders>
            <w:shd w:val="clear" w:color="auto" w:fill="D1D2D4"/>
          </w:tcPr>
          <w:p>
            <w:pPr>
              <w:spacing w:after="0" w:line="20" w:lineRule="exact"/>
              <w:rPr>
                <w:sz w:val="1"/>
                <w:szCs w:val="1"/>
                <w:color w:val="auto"/>
              </w:rPr>
            </w:pPr>
          </w:p>
        </w:tc>
        <w:tc>
          <w:tcPr>
            <w:tcW w:w="174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5480" w:type="dxa"/>
            <w:vAlign w:val="bottom"/>
            <w:gridSpan w:val="11"/>
          </w:tcPr>
          <w:p>
            <w:pPr>
              <w:spacing w:after="0" w:line="189" w:lineRule="exact"/>
              <w:rPr>
                <w:sz w:val="20"/>
                <w:szCs w:val="20"/>
                <w:color w:val="auto"/>
              </w:rPr>
            </w:pPr>
            <w:r>
              <w:rPr>
                <w:rFonts w:ascii="Arial" w:cs="Arial" w:eastAsia="Arial" w:hAnsi="Arial"/>
                <w:sz w:val="18"/>
                <w:szCs w:val="18"/>
                <w:color w:val="auto"/>
              </w:rPr>
              <w:t>Amended and Restated 2008 Director Compensation Plan</w:t>
            </w:r>
          </w:p>
        </w:tc>
        <w:tc>
          <w:tcPr>
            <w:tcW w:w="1740" w:type="dxa"/>
            <w:vAlign w:val="bottom"/>
          </w:tcPr>
          <w:p>
            <w:pPr>
              <w:ind w:left="10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2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31.1</w:t>
            </w:r>
          </w:p>
        </w:tc>
        <w:tc>
          <w:tcPr>
            <w:tcW w:w="5480" w:type="dxa"/>
            <w:vAlign w:val="bottom"/>
            <w:gridSpan w:val="11"/>
            <w:shd w:val="clear" w:color="auto" w:fill="D1D2D4"/>
          </w:tcPr>
          <w:p>
            <w:pPr>
              <w:spacing w:after="0" w:line="189" w:lineRule="exact"/>
              <w:rPr>
                <w:sz w:val="20"/>
                <w:szCs w:val="20"/>
                <w:color w:val="auto"/>
              </w:rPr>
            </w:pPr>
            <w:r>
              <w:rPr>
                <w:rFonts w:ascii="Arial" w:cs="Arial" w:eastAsia="Arial" w:hAnsi="Arial"/>
                <w:sz w:val="18"/>
                <w:szCs w:val="18"/>
                <w:color w:val="auto"/>
              </w:rPr>
              <w:t>Rule 13a-14(a) Certification of Chief Executive Officer</w:t>
            </w:r>
          </w:p>
        </w:tc>
        <w:tc>
          <w:tcPr>
            <w:tcW w:w="1740" w:type="dxa"/>
            <w:vAlign w:val="bottom"/>
            <w:shd w:val="clear" w:color="auto" w:fill="D1D2D4"/>
          </w:tcPr>
          <w:p>
            <w:pPr>
              <w:ind w:left="100"/>
              <w:spacing w:after="0" w:line="189"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10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31.2</w:t>
            </w:r>
          </w:p>
        </w:tc>
        <w:tc>
          <w:tcPr>
            <w:tcW w:w="4280" w:type="dxa"/>
            <w:vAlign w:val="bottom"/>
            <w:tcBorders>
              <w:top w:val="single" w:sz="8" w:color="auto"/>
            </w:tcBorders>
            <w:gridSpan w:val="6"/>
          </w:tcPr>
          <w:p>
            <w:pPr>
              <w:spacing w:after="0" w:line="189" w:lineRule="exact"/>
              <w:rPr>
                <w:sz w:val="20"/>
                <w:szCs w:val="20"/>
                <w:color w:val="auto"/>
              </w:rPr>
            </w:pPr>
            <w:r>
              <w:rPr>
                <w:rFonts w:ascii="Arial" w:cs="Arial" w:eastAsia="Arial" w:hAnsi="Arial"/>
                <w:sz w:val="18"/>
                <w:szCs w:val="18"/>
                <w:color w:val="auto"/>
              </w:rPr>
              <w:t>Rule 13a-14(a) Certification of Chief Financial Officer</w:t>
            </w:r>
          </w:p>
        </w:tc>
        <w:tc>
          <w:tcPr>
            <w:tcW w:w="1200" w:type="dxa"/>
            <w:vAlign w:val="bottom"/>
            <w:tcBorders>
              <w:top w:val="single" w:sz="8" w:color="D1D2D4"/>
            </w:tcBorders>
            <w:gridSpan w:val="5"/>
          </w:tcPr>
          <w:p>
            <w:pPr>
              <w:spacing w:after="0"/>
              <w:rPr>
                <w:sz w:val="16"/>
                <w:szCs w:val="16"/>
                <w:color w:val="auto"/>
              </w:rPr>
            </w:pPr>
          </w:p>
        </w:tc>
        <w:tc>
          <w:tcPr>
            <w:tcW w:w="1740" w:type="dxa"/>
            <w:vAlign w:val="bottom"/>
            <w:tcBorders>
              <w:top w:val="single" w:sz="8" w:color="D1D2D4"/>
            </w:tcBorders>
          </w:tcPr>
          <w:p>
            <w:pPr>
              <w:ind w:left="100"/>
              <w:spacing w:after="0" w:line="189" w:lineRule="exact"/>
              <w:rPr>
                <w:sz w:val="20"/>
                <w:szCs w:val="20"/>
                <w:color w:val="auto"/>
              </w:rPr>
            </w:pPr>
            <w:r>
              <w:rPr>
                <w:rFonts w:ascii="Arial" w:cs="Arial" w:eastAsia="Arial" w:hAnsi="Arial"/>
                <w:sz w:val="18"/>
                <w:szCs w:val="18"/>
                <w:color w:val="auto"/>
              </w:rPr>
              <w:t>X</w:t>
            </w:r>
          </w:p>
        </w:tc>
        <w:tc>
          <w:tcPr>
            <w:tcW w:w="940" w:type="dxa"/>
            <w:vAlign w:val="bottom"/>
            <w:tcBorders>
              <w:top w:val="single" w:sz="8" w:color="D1D2D4"/>
            </w:tcBorders>
          </w:tcPr>
          <w:p>
            <w:pPr>
              <w:spacing w:after="0"/>
              <w:rPr>
                <w:sz w:val="16"/>
                <w:szCs w:val="16"/>
                <w:color w:val="auto"/>
              </w:rPr>
            </w:pPr>
          </w:p>
        </w:tc>
        <w:tc>
          <w:tcPr>
            <w:tcW w:w="1080" w:type="dxa"/>
            <w:vAlign w:val="bottom"/>
            <w:tcBorders>
              <w:top w:val="single" w:sz="8" w:color="D1D2D4"/>
            </w:tcBorders>
          </w:tcPr>
          <w:p>
            <w:pPr>
              <w:spacing w:after="0"/>
              <w:rPr>
                <w:sz w:val="16"/>
                <w:szCs w:val="16"/>
                <w:color w:val="auto"/>
              </w:rPr>
            </w:pPr>
          </w:p>
        </w:tc>
        <w:tc>
          <w:tcPr>
            <w:tcW w:w="102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2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32.1</w:t>
            </w:r>
          </w:p>
        </w:tc>
        <w:tc>
          <w:tcPr>
            <w:tcW w:w="5480" w:type="dxa"/>
            <w:vAlign w:val="bottom"/>
            <w:gridSpan w:val="11"/>
            <w:shd w:val="clear" w:color="auto" w:fill="D1D2D4"/>
          </w:tcPr>
          <w:p>
            <w:pPr>
              <w:spacing w:after="0" w:line="189" w:lineRule="exact"/>
              <w:rPr>
                <w:sz w:val="20"/>
                <w:szCs w:val="20"/>
                <w:color w:val="auto"/>
              </w:rPr>
            </w:pPr>
            <w:r>
              <w:rPr>
                <w:rFonts w:ascii="Arial" w:cs="Arial" w:eastAsia="Arial" w:hAnsi="Arial"/>
                <w:sz w:val="18"/>
                <w:szCs w:val="18"/>
                <w:color w:val="auto"/>
              </w:rPr>
              <w:t>Certification of Chief Executive Officer Pursuant to 18 U.S.C. 1350</w:t>
            </w:r>
          </w:p>
        </w:tc>
        <w:tc>
          <w:tcPr>
            <w:tcW w:w="1740" w:type="dxa"/>
            <w:vAlign w:val="bottom"/>
            <w:shd w:val="clear" w:color="auto" w:fill="D1D2D4"/>
          </w:tcPr>
          <w:p>
            <w:pPr>
              <w:ind w:left="100"/>
              <w:spacing w:after="0" w:line="189"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10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32.2</w:t>
            </w:r>
          </w:p>
        </w:tc>
        <w:tc>
          <w:tcPr>
            <w:tcW w:w="5280" w:type="dxa"/>
            <w:vAlign w:val="bottom"/>
            <w:tcBorders>
              <w:top w:val="single" w:sz="8" w:color="auto"/>
            </w:tcBorders>
            <w:gridSpan w:val="10"/>
          </w:tcPr>
          <w:p>
            <w:pPr>
              <w:spacing w:after="0" w:line="189" w:lineRule="exact"/>
              <w:rPr>
                <w:sz w:val="20"/>
                <w:szCs w:val="20"/>
                <w:color w:val="auto"/>
              </w:rPr>
            </w:pPr>
            <w:r>
              <w:rPr>
                <w:rFonts w:ascii="Arial" w:cs="Arial" w:eastAsia="Arial" w:hAnsi="Arial"/>
                <w:sz w:val="18"/>
                <w:szCs w:val="18"/>
                <w:color w:val="auto"/>
              </w:rPr>
              <w:t>Certification of Chief Financial Officer Pursuant to 18 U.S.C. 1350</w:t>
            </w:r>
          </w:p>
        </w:tc>
        <w:tc>
          <w:tcPr>
            <w:tcW w:w="200" w:type="dxa"/>
            <w:vAlign w:val="bottom"/>
            <w:tcBorders>
              <w:top w:val="single" w:sz="8" w:color="D1D2D4"/>
            </w:tcBorders>
          </w:tcPr>
          <w:p>
            <w:pPr>
              <w:spacing w:after="0"/>
              <w:rPr>
                <w:sz w:val="16"/>
                <w:szCs w:val="16"/>
                <w:color w:val="auto"/>
              </w:rPr>
            </w:pPr>
          </w:p>
        </w:tc>
        <w:tc>
          <w:tcPr>
            <w:tcW w:w="1740" w:type="dxa"/>
            <w:vAlign w:val="bottom"/>
            <w:tcBorders>
              <w:top w:val="single" w:sz="8" w:color="D1D2D4"/>
            </w:tcBorders>
          </w:tcPr>
          <w:p>
            <w:pPr>
              <w:ind w:left="100"/>
              <w:spacing w:after="0" w:line="189" w:lineRule="exact"/>
              <w:rPr>
                <w:sz w:val="20"/>
                <w:szCs w:val="20"/>
                <w:color w:val="auto"/>
              </w:rPr>
            </w:pPr>
            <w:r>
              <w:rPr>
                <w:rFonts w:ascii="Arial" w:cs="Arial" w:eastAsia="Arial" w:hAnsi="Arial"/>
                <w:sz w:val="18"/>
                <w:szCs w:val="18"/>
                <w:color w:val="auto"/>
              </w:rPr>
              <w:t>X</w:t>
            </w:r>
          </w:p>
        </w:tc>
        <w:tc>
          <w:tcPr>
            <w:tcW w:w="940" w:type="dxa"/>
            <w:vAlign w:val="bottom"/>
            <w:tcBorders>
              <w:top w:val="single" w:sz="8" w:color="D1D2D4"/>
            </w:tcBorders>
          </w:tcPr>
          <w:p>
            <w:pPr>
              <w:spacing w:after="0"/>
              <w:rPr>
                <w:sz w:val="16"/>
                <w:szCs w:val="16"/>
                <w:color w:val="auto"/>
              </w:rPr>
            </w:pPr>
          </w:p>
        </w:tc>
        <w:tc>
          <w:tcPr>
            <w:tcW w:w="1080" w:type="dxa"/>
            <w:vAlign w:val="bottom"/>
            <w:tcBorders>
              <w:top w:val="single" w:sz="8" w:color="D1D2D4"/>
            </w:tcBorders>
          </w:tcPr>
          <w:p>
            <w:pPr>
              <w:spacing w:after="0"/>
              <w:rPr>
                <w:sz w:val="16"/>
                <w:szCs w:val="16"/>
                <w:color w:val="auto"/>
              </w:rPr>
            </w:pPr>
          </w:p>
        </w:tc>
        <w:tc>
          <w:tcPr>
            <w:tcW w:w="102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8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101.INS</w:t>
            </w:r>
          </w:p>
        </w:tc>
        <w:tc>
          <w:tcPr>
            <w:tcW w:w="5480" w:type="dxa"/>
            <w:vAlign w:val="bottom"/>
            <w:gridSpan w:val="11"/>
            <w:shd w:val="clear" w:color="auto" w:fill="D1D2D4"/>
          </w:tcPr>
          <w:p>
            <w:pPr>
              <w:spacing w:after="0" w:line="183" w:lineRule="exact"/>
              <w:rPr>
                <w:sz w:val="20"/>
                <w:szCs w:val="20"/>
                <w:color w:val="auto"/>
              </w:rPr>
            </w:pPr>
            <w:r>
              <w:rPr>
                <w:rFonts w:ascii="Arial" w:cs="Arial" w:eastAsia="Arial" w:hAnsi="Arial"/>
                <w:sz w:val="18"/>
                <w:szCs w:val="18"/>
                <w:color w:val="auto"/>
              </w:rPr>
              <w:t>Inline XBRL Instance Document - the instance document does not</w:t>
            </w:r>
          </w:p>
        </w:tc>
        <w:tc>
          <w:tcPr>
            <w:tcW w:w="1740" w:type="dxa"/>
            <w:vAlign w:val="bottom"/>
            <w:shd w:val="clear" w:color="auto" w:fill="D1D2D4"/>
          </w:tcPr>
          <w:p>
            <w:pPr>
              <w:ind w:left="100"/>
              <w:spacing w:after="0" w:line="183"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80" w:type="dxa"/>
            <w:vAlign w:val="bottom"/>
            <w:shd w:val="clear" w:color="auto" w:fill="D1D2D4"/>
          </w:tcPr>
          <w:p>
            <w:pPr>
              <w:spacing w:after="0"/>
              <w:rPr>
                <w:sz w:val="15"/>
                <w:szCs w:val="15"/>
                <w:color w:val="auto"/>
              </w:rPr>
            </w:pPr>
          </w:p>
        </w:tc>
        <w:tc>
          <w:tcPr>
            <w:tcW w:w="5480" w:type="dxa"/>
            <w:vAlign w:val="bottom"/>
            <w:gridSpan w:val="11"/>
            <w:shd w:val="clear" w:color="auto" w:fill="D1D2D4"/>
          </w:tcPr>
          <w:p>
            <w:pPr>
              <w:spacing w:after="0" w:line="181" w:lineRule="exact"/>
              <w:rPr>
                <w:sz w:val="20"/>
                <w:szCs w:val="20"/>
                <w:color w:val="auto"/>
              </w:rPr>
            </w:pPr>
            <w:r>
              <w:rPr>
                <w:rFonts w:ascii="Arial" w:cs="Arial" w:eastAsia="Arial" w:hAnsi="Arial"/>
                <w:sz w:val="18"/>
                <w:szCs w:val="18"/>
                <w:color w:val="auto"/>
              </w:rPr>
              <w:t>appear in the Interactive Data File because its XBRL tags are</w:t>
            </w:r>
          </w:p>
        </w:tc>
        <w:tc>
          <w:tcPr>
            <w:tcW w:w="1740" w:type="dxa"/>
            <w:vAlign w:val="bottom"/>
            <w:shd w:val="clear" w:color="auto" w:fill="D1D2D4"/>
          </w:tcPr>
          <w:p>
            <w:pPr>
              <w:spacing w:after="0"/>
              <w:rPr>
                <w:sz w:val="15"/>
                <w:szCs w:val="15"/>
                <w:color w:val="auto"/>
              </w:rPr>
            </w:pPr>
          </w:p>
        </w:tc>
        <w:tc>
          <w:tcPr>
            <w:tcW w:w="9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spacing w:after="0"/>
              <w:rPr>
                <w:sz w:val="19"/>
                <w:szCs w:val="19"/>
                <w:color w:val="auto"/>
              </w:rPr>
            </w:pPr>
          </w:p>
        </w:tc>
        <w:tc>
          <w:tcPr>
            <w:tcW w:w="5480" w:type="dxa"/>
            <w:vAlign w:val="bottom"/>
            <w:gridSpan w:val="11"/>
            <w:shd w:val="clear" w:color="auto" w:fill="D1D2D4"/>
          </w:tcPr>
          <w:p>
            <w:pPr>
              <w:spacing w:after="0"/>
              <w:rPr>
                <w:sz w:val="20"/>
                <w:szCs w:val="20"/>
                <w:color w:val="auto"/>
              </w:rPr>
            </w:pPr>
            <w:r>
              <w:rPr>
                <w:rFonts w:ascii="Arial" w:cs="Arial" w:eastAsia="Arial" w:hAnsi="Arial"/>
                <w:sz w:val="18"/>
                <w:szCs w:val="18"/>
                <w:color w:val="auto"/>
              </w:rPr>
              <w:t>embedded within the Inline XBRL document</w:t>
            </w:r>
          </w:p>
        </w:tc>
        <w:tc>
          <w:tcPr>
            <w:tcW w:w="174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101.SCH</w:t>
            </w:r>
          </w:p>
        </w:tc>
        <w:tc>
          <w:tcPr>
            <w:tcW w:w="548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1740" w:type="dxa"/>
            <w:vAlign w:val="bottom"/>
          </w:tcPr>
          <w:p>
            <w:pPr>
              <w:ind w:left="100"/>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101.CAL</w:t>
            </w:r>
          </w:p>
        </w:tc>
        <w:tc>
          <w:tcPr>
            <w:tcW w:w="5480" w:type="dxa"/>
            <w:vAlign w:val="bottom"/>
            <w:gridSpan w:val="11"/>
            <w:shd w:val="clear" w:color="auto" w:fill="D1D2D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7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101.DEF</w:t>
            </w:r>
          </w:p>
        </w:tc>
        <w:tc>
          <w:tcPr>
            <w:tcW w:w="548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740" w:type="dxa"/>
            <w:vAlign w:val="bottom"/>
          </w:tcPr>
          <w:p>
            <w:pPr>
              <w:ind w:left="100"/>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101.LAB</w:t>
            </w:r>
          </w:p>
        </w:tc>
        <w:tc>
          <w:tcPr>
            <w:tcW w:w="5480" w:type="dxa"/>
            <w:vAlign w:val="bottom"/>
            <w:gridSpan w:val="11"/>
            <w:shd w:val="clear" w:color="auto" w:fill="D1D2D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7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548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740" w:type="dxa"/>
            <w:vAlign w:val="bottom"/>
          </w:tcPr>
          <w:p>
            <w:pPr>
              <w:ind w:left="100"/>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98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104</w:t>
            </w:r>
          </w:p>
        </w:tc>
        <w:tc>
          <w:tcPr>
            <w:tcW w:w="5480" w:type="dxa"/>
            <w:vAlign w:val="bottom"/>
            <w:gridSpan w:val="11"/>
            <w:shd w:val="clear" w:color="auto" w:fill="D1D2D4"/>
          </w:tcPr>
          <w:p>
            <w:pPr>
              <w:spacing w:after="0" w:line="183" w:lineRule="exact"/>
              <w:rPr>
                <w:sz w:val="20"/>
                <w:szCs w:val="20"/>
                <w:color w:val="auto"/>
              </w:rPr>
            </w:pPr>
            <w:r>
              <w:rPr>
                <w:rFonts w:ascii="Arial" w:cs="Arial" w:eastAsia="Arial" w:hAnsi="Arial"/>
                <w:sz w:val="18"/>
                <w:szCs w:val="18"/>
                <w:color w:val="auto"/>
              </w:rPr>
              <w:t>Cover Page Interactive Data File (formatted as Inline XBRL and</w:t>
            </w:r>
          </w:p>
        </w:tc>
        <w:tc>
          <w:tcPr>
            <w:tcW w:w="1740" w:type="dxa"/>
            <w:vAlign w:val="bottom"/>
            <w:shd w:val="clear" w:color="auto" w:fill="D1D2D4"/>
          </w:tcPr>
          <w:p>
            <w:pPr>
              <w:ind w:left="100"/>
              <w:spacing w:after="0" w:line="183"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980" w:type="dxa"/>
            <w:vAlign w:val="bottom"/>
            <w:shd w:val="clear" w:color="auto" w:fill="D1D2D4"/>
          </w:tcPr>
          <w:p>
            <w:pPr>
              <w:spacing w:after="0"/>
              <w:rPr>
                <w:sz w:val="20"/>
                <w:szCs w:val="20"/>
                <w:color w:val="auto"/>
              </w:rPr>
            </w:pPr>
          </w:p>
        </w:tc>
        <w:tc>
          <w:tcPr>
            <w:tcW w:w="5480" w:type="dxa"/>
            <w:vAlign w:val="bottom"/>
            <w:gridSpan w:val="11"/>
            <w:shd w:val="clear" w:color="auto" w:fill="D1D2D4"/>
          </w:tcPr>
          <w:p>
            <w:pPr>
              <w:spacing w:after="0"/>
              <w:rPr>
                <w:sz w:val="20"/>
                <w:szCs w:val="20"/>
                <w:color w:val="auto"/>
              </w:rPr>
            </w:pPr>
            <w:r>
              <w:rPr>
                <w:rFonts w:ascii="Arial" w:cs="Arial" w:eastAsia="Arial" w:hAnsi="Arial"/>
                <w:sz w:val="18"/>
                <w:szCs w:val="18"/>
                <w:color w:val="auto"/>
              </w:rPr>
              <w:t>contained in Exhibit 101)</w:t>
            </w:r>
          </w:p>
        </w:tc>
        <w:tc>
          <w:tcPr>
            <w:tcW w:w="1740" w:type="dxa"/>
            <w:vAlign w:val="bottom"/>
            <w:shd w:val="clear" w:color="auto" w:fill="D1D2D4"/>
          </w:tcPr>
          <w:p>
            <w:pPr>
              <w:spacing w:after="0"/>
              <w:rPr>
                <w:sz w:val="20"/>
                <w:szCs w:val="20"/>
                <w:color w:val="auto"/>
              </w:rPr>
            </w:pPr>
          </w:p>
        </w:tc>
        <w:tc>
          <w:tcPr>
            <w:tcW w:w="940" w:type="dxa"/>
            <w:vAlign w:val="bottom"/>
            <w:shd w:val="clear" w:color="auto" w:fill="D1D2D4"/>
          </w:tcPr>
          <w:p>
            <w:pPr>
              <w:spacing w:after="0"/>
              <w:rPr>
                <w:sz w:val="20"/>
                <w:szCs w:val="20"/>
                <w:color w:val="auto"/>
              </w:rPr>
            </w:pPr>
          </w:p>
        </w:tc>
        <w:tc>
          <w:tcPr>
            <w:tcW w:w="1080" w:type="dxa"/>
            <w:vAlign w:val="bottom"/>
            <w:shd w:val="clear" w:color="auto" w:fill="D1D2D4"/>
          </w:tcPr>
          <w:p>
            <w:pPr>
              <w:spacing w:after="0"/>
              <w:rPr>
                <w:sz w:val="20"/>
                <w:szCs w:val="20"/>
                <w:color w:val="auto"/>
              </w:rPr>
            </w:pPr>
          </w:p>
        </w:tc>
        <w:tc>
          <w:tcPr>
            <w:tcW w:w="10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55 | 2024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4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915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780" w:val="left"/>
          <w:tab w:leader="none" w:pos="5120" w:val="left"/>
          <w:tab w:leader="none" w:pos="5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915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Mark Murphy</w:t>
      </w:r>
    </w:p>
    <w:p>
      <w:pPr>
        <w:spacing w:after="0" w:line="7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Executive Vice President and Chief Financial Officer</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Financial Officer)</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Scott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16510</wp:posOffset>
            </wp:positionV>
            <wp:extent cx="35915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Scott Allen</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Corporate Vice President and Chief Accounting Officer</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980"/>
        <w:spacing w:after="0"/>
        <w:rPr>
          <w:sz w:val="20"/>
          <w:szCs w:val="20"/>
          <w:color w:val="auto"/>
        </w:rPr>
      </w:pPr>
      <w:r>
        <w:rPr>
          <w:sz w:val="1"/>
          <w:szCs w:val="1"/>
          <w:color w:val="auto"/>
        </w:rPr>
        <w:drawing>
          <wp:inline distT="0" distB="0" distL="0" distR="0">
            <wp:extent cx="659765" cy="1797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2"/>
          <w:szCs w:val="12"/>
          <w:b w:val="1"/>
          <w:bCs w:val="1"/>
          <w:color w:val="auto"/>
        </w:rPr>
        <w:t xml:space="preserve"> 56</w:t>
      </w:r>
    </w:p>
    <w:p>
      <w:pPr>
        <w:sectPr>
          <w:pgSz w:w="11900" w:h="16838" w:orient="portrait"/>
          <w:cols w:equalWidth="0" w:num="1">
            <w:col w:w="11240"/>
          </w:cols>
          <w:pgMar w:left="320" w:top="125"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Micron Technology, Inc.</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Executve Ofcer Cash Severance Policy (the “Policy”)</w:t>
      </w:r>
    </w:p>
    <w:p>
      <w:pPr>
        <w:spacing w:after="0" w:line="200" w:lineRule="exact"/>
        <w:rPr>
          <w:sz w:val="20"/>
          <w:szCs w:val="20"/>
          <w:color w:val="auto"/>
        </w:rPr>
      </w:pPr>
    </w:p>
    <w:p>
      <w:pPr>
        <w:spacing w:after="0" w:line="349" w:lineRule="exact"/>
        <w:rPr>
          <w:sz w:val="20"/>
          <w:szCs w:val="20"/>
          <w:color w:val="auto"/>
        </w:rPr>
      </w:pPr>
    </w:p>
    <w:p>
      <w:pPr>
        <w:ind w:right="20"/>
        <w:spacing w:after="0" w:line="241" w:lineRule="auto"/>
        <w:rPr>
          <w:sz w:val="20"/>
          <w:szCs w:val="20"/>
          <w:color w:val="auto"/>
        </w:rPr>
      </w:pPr>
      <w:r>
        <w:rPr>
          <w:rFonts w:ascii="Calibri" w:cs="Calibri" w:eastAsia="Calibri" w:hAnsi="Calibri"/>
          <w:sz w:val="20"/>
          <w:szCs w:val="20"/>
          <w:color w:val="auto"/>
        </w:rPr>
        <w:t>Micron Technology, Inc. (the “Company”) will not enter into any new employment agreement, severance agreement or separaton agreement with any ofcer as defned under Rule 16a-1(f) of the Securites Exchange Act of 1934, as amended (“Executve Ofcer”) or establish any new severance plan or policy covering any Executve Ofcer that provides for Cash Severance Benefts exceeding 2.99 tmes the sum of the Executve Ofcer’s base salary plus target bonus opportunity without seeking shareholder ratfcaton of such agreement, plan or policy. In additon, any cash payments that may be owed under any existng agreement, plan or policy entered into with an Executve Ofcer prior to the adopton of this Policy will be reduced to the extent necessary to not exceed 2.99 tmes the sum of the Executve Ofcer’s base salary plus target bonus opportunity, unless shareholder ratfcaton is obtained.</w:t>
      </w:r>
    </w:p>
    <w:p>
      <w:pPr>
        <w:spacing w:after="0" w:line="151" w:lineRule="exact"/>
        <w:rPr>
          <w:sz w:val="20"/>
          <w:szCs w:val="20"/>
          <w:color w:val="auto"/>
        </w:rPr>
      </w:pPr>
    </w:p>
    <w:p>
      <w:pPr>
        <w:spacing w:after="0"/>
        <w:rPr>
          <w:sz w:val="20"/>
          <w:szCs w:val="20"/>
          <w:color w:val="auto"/>
        </w:rPr>
      </w:pPr>
      <w:r>
        <w:rPr>
          <w:rFonts w:ascii="Calibri" w:cs="Calibri" w:eastAsia="Calibri" w:hAnsi="Calibri"/>
          <w:sz w:val="20"/>
          <w:szCs w:val="20"/>
          <w:color w:val="auto"/>
        </w:rPr>
        <w:t>For purposes of this Policy:</w:t>
      </w:r>
    </w:p>
    <w:p>
      <w:pPr>
        <w:spacing w:after="0" w:line="184" w:lineRule="exact"/>
        <w:rPr>
          <w:sz w:val="20"/>
          <w:szCs w:val="20"/>
          <w:color w:val="auto"/>
        </w:rPr>
      </w:pPr>
    </w:p>
    <w:p>
      <w:pPr>
        <w:ind w:left="660" w:right="160" w:hanging="328"/>
        <w:spacing w:after="0" w:line="234" w:lineRule="auto"/>
        <w:tabs>
          <w:tab w:leader="none" w:pos="648" w:val="left"/>
        </w:tabs>
        <w:numPr>
          <w:ilvl w:val="0"/>
          <w:numId w:val="30"/>
        </w:numPr>
        <w:rPr>
          <w:rFonts w:ascii="Times New Roman" w:cs="Times New Roman" w:eastAsia="Times New Roman" w:hAnsi="Times New Roman"/>
          <w:sz w:val="20"/>
          <w:szCs w:val="20"/>
          <w:color w:val="auto"/>
        </w:rPr>
      </w:pPr>
      <w:r>
        <w:rPr>
          <w:rFonts w:ascii="Calibri" w:cs="Calibri" w:eastAsia="Calibri" w:hAnsi="Calibri"/>
          <w:sz w:val="20"/>
          <w:szCs w:val="20"/>
          <w:color w:val="auto"/>
        </w:rPr>
        <w:t>“Cash Severance Benefts” means cash payments to an Executve Ofcer for the Executve Ofcer’s terminaton of employment, or to ofset any tax liability relatng to such terminaton payments. It does not include:</w:t>
      </w:r>
    </w:p>
    <w:p>
      <w:pPr>
        <w:spacing w:after="0" w:line="9" w:lineRule="exact"/>
        <w:rPr>
          <w:rFonts w:ascii="Times New Roman" w:cs="Times New Roman" w:eastAsia="Times New Roman" w:hAnsi="Times New Roman"/>
          <w:sz w:val="20"/>
          <w:szCs w:val="20"/>
          <w:color w:val="auto"/>
        </w:rPr>
      </w:pPr>
    </w:p>
    <w:p>
      <w:pPr>
        <w:ind w:left="980"/>
        <w:spacing w:after="0"/>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Calibri" w:cs="Calibri" w:eastAsia="Calibri" w:hAnsi="Calibri"/>
          <w:sz w:val="20"/>
          <w:szCs w:val="20"/>
          <w:color w:val="auto"/>
        </w:rPr>
        <w:t>The payment, vestng or acceleraton of equity-based awards granted under Company equity plans,</w:t>
      </w:r>
    </w:p>
    <w:p>
      <w:pPr>
        <w:spacing w:after="0" w:line="71" w:lineRule="exact"/>
        <w:rPr>
          <w:rFonts w:ascii="Times New Roman" w:cs="Times New Roman" w:eastAsia="Times New Roman" w:hAnsi="Times New Roman"/>
          <w:sz w:val="20"/>
          <w:szCs w:val="20"/>
          <w:color w:val="auto"/>
        </w:rPr>
      </w:pPr>
    </w:p>
    <w:p>
      <w:pPr>
        <w:ind w:left="1300" w:right="180" w:hanging="324"/>
        <w:spacing w:after="0" w:line="210" w:lineRule="auto"/>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Calibri" w:cs="Calibri" w:eastAsia="Calibri" w:hAnsi="Calibri"/>
          <w:sz w:val="20"/>
          <w:szCs w:val="20"/>
          <w:color w:val="auto"/>
        </w:rPr>
        <w:t>The payment or provision of perquisites (fights, security, car allowances, executve physicals, club dues, etc.) and other</w:t>
      </w:r>
      <w:r>
        <w:rPr>
          <w:rFonts w:ascii="Courier New" w:cs="Courier New" w:eastAsia="Courier New" w:hAnsi="Courier New"/>
          <w:sz w:val="20"/>
          <w:szCs w:val="20"/>
          <w:color w:val="auto"/>
        </w:rPr>
        <w:t xml:space="preserve"> </w:t>
      </w:r>
      <w:r>
        <w:rPr>
          <w:rFonts w:ascii="Calibri" w:cs="Calibri" w:eastAsia="Calibri" w:hAnsi="Calibri"/>
          <w:sz w:val="20"/>
          <w:szCs w:val="20"/>
          <w:color w:val="auto"/>
        </w:rPr>
        <w:t>similar benefts generally available to similarly-situated employees,</w:t>
      </w:r>
    </w:p>
    <w:p>
      <w:pPr>
        <w:spacing w:after="0" w:line="8" w:lineRule="exact"/>
        <w:rPr>
          <w:rFonts w:ascii="Times New Roman" w:cs="Times New Roman" w:eastAsia="Times New Roman" w:hAnsi="Times New Roman"/>
          <w:sz w:val="20"/>
          <w:szCs w:val="20"/>
          <w:color w:val="auto"/>
        </w:rPr>
      </w:pPr>
    </w:p>
    <w:p>
      <w:pPr>
        <w:ind w:left="980"/>
        <w:spacing w:after="0"/>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Calibri" w:cs="Calibri" w:eastAsia="Calibri" w:hAnsi="Calibri"/>
          <w:sz w:val="20"/>
          <w:szCs w:val="20"/>
          <w:color w:val="auto"/>
        </w:rPr>
        <w:t>Any earned but unpaid bonus under any Company plan or policy,</w:t>
      </w:r>
    </w:p>
    <w:p>
      <w:pPr>
        <w:spacing w:after="0" w:line="71" w:lineRule="exact"/>
        <w:rPr>
          <w:rFonts w:ascii="Times New Roman" w:cs="Times New Roman" w:eastAsia="Times New Roman" w:hAnsi="Times New Roman"/>
          <w:sz w:val="20"/>
          <w:szCs w:val="20"/>
          <w:color w:val="auto"/>
        </w:rPr>
      </w:pPr>
    </w:p>
    <w:p>
      <w:pPr>
        <w:ind w:left="1300" w:right="480" w:hanging="324"/>
        <w:spacing w:after="0" w:line="210" w:lineRule="auto"/>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Calibri" w:cs="Calibri" w:eastAsia="Calibri" w:hAnsi="Calibri"/>
          <w:sz w:val="20"/>
          <w:szCs w:val="20"/>
          <w:color w:val="auto"/>
        </w:rPr>
        <w:t>Payment of deferred compensaton, 401(k) matching, health savings matching contributons, retrement benefts or</w:t>
      </w:r>
      <w:r>
        <w:rPr>
          <w:rFonts w:ascii="Courier New" w:cs="Courier New" w:eastAsia="Courier New" w:hAnsi="Courier New"/>
          <w:sz w:val="20"/>
          <w:szCs w:val="20"/>
          <w:color w:val="auto"/>
        </w:rPr>
        <w:t xml:space="preserve"> </w:t>
      </w:r>
      <w:r>
        <w:rPr>
          <w:rFonts w:ascii="Calibri" w:cs="Calibri" w:eastAsia="Calibri" w:hAnsi="Calibri"/>
          <w:sz w:val="20"/>
          <w:szCs w:val="20"/>
          <w:color w:val="auto"/>
        </w:rPr>
        <w:t>other vested employee benefts provided under any Company beneft plan or policy, or</w:t>
      </w:r>
    </w:p>
    <w:p>
      <w:pPr>
        <w:spacing w:after="0" w:line="8" w:lineRule="exact"/>
        <w:rPr>
          <w:rFonts w:ascii="Times New Roman" w:cs="Times New Roman" w:eastAsia="Times New Roman" w:hAnsi="Times New Roman"/>
          <w:sz w:val="20"/>
          <w:szCs w:val="20"/>
          <w:color w:val="auto"/>
        </w:rPr>
      </w:pPr>
    </w:p>
    <w:p>
      <w:pPr>
        <w:ind w:left="980"/>
        <w:spacing w:after="0"/>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Calibri" w:cs="Calibri" w:eastAsia="Calibri" w:hAnsi="Calibri"/>
          <w:sz w:val="20"/>
          <w:szCs w:val="20"/>
          <w:color w:val="auto"/>
        </w:rPr>
        <w:t>Accrued but unpaid base salary, or vacaton pay or expense reimbursements as of the terminaton date.</w:t>
      </w:r>
    </w:p>
    <w:p>
      <w:pPr>
        <w:spacing w:after="0" w:line="84" w:lineRule="exact"/>
        <w:rPr>
          <w:rFonts w:ascii="Times New Roman" w:cs="Times New Roman" w:eastAsia="Times New Roman" w:hAnsi="Times New Roman"/>
          <w:sz w:val="20"/>
          <w:szCs w:val="20"/>
          <w:color w:val="auto"/>
        </w:rPr>
      </w:pPr>
    </w:p>
    <w:p>
      <w:pPr>
        <w:ind w:left="660" w:right="60" w:hanging="328"/>
        <w:spacing w:after="0" w:line="216" w:lineRule="auto"/>
        <w:tabs>
          <w:tab w:leader="none" w:pos="648" w:val="left"/>
        </w:tabs>
        <w:numPr>
          <w:ilvl w:val="0"/>
          <w:numId w:val="30"/>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Compensaton Commitee of the Board is responsible for administering this Policy, including but not limited to, full authority to enforce and interpret this Policy.</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alibri" w:cs="Calibri" w:eastAsia="Calibri" w:hAnsi="Calibri"/>
          <w:sz w:val="20"/>
          <w:szCs w:val="20"/>
          <w:color w:val="auto"/>
        </w:rPr>
        <w:t>Adopted: October 12, 2023</w:t>
      </w:r>
    </w:p>
    <w:p>
      <w:pPr>
        <w:sectPr>
          <w:pgSz w:w="11900" w:h="16838" w:orient="portrait"/>
          <w:cols w:equalWidth="0" w:num="1">
            <w:col w:w="11240"/>
          </w:cols>
          <w:pgMar w:left="320" w:top="100" w:right="339" w:bottom="1440" w:gutter="0" w:footer="0" w:header="0"/>
        </w:sectPr>
      </w:pPr>
    </w:p>
    <w:bookmarkStart w:id="57" w:name="page58"/>
    <w:bookmarkEnd w:id="57"/>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8480" cy="4883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88315"/>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color w:val="auto"/>
        </w:rPr>
        <w:t>December 12, 2023</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color w:val="auto"/>
        </w:rPr>
        <w:t>Mr. Sanjay Mehrotra</w:t>
      </w:r>
    </w:p>
    <w:p>
      <w:pPr>
        <w:spacing w:after="0" w:line="172" w:lineRule="exact"/>
        <w:rPr>
          <w:sz w:val="20"/>
          <w:szCs w:val="20"/>
          <w:color w:val="auto"/>
        </w:rPr>
      </w:pPr>
    </w:p>
    <w:p>
      <w:pPr>
        <w:ind w:left="660"/>
        <w:spacing w:after="0"/>
        <w:tabs>
          <w:tab w:leader="none" w:pos="1020" w:val="left"/>
        </w:tabs>
        <w:rPr>
          <w:sz w:val="20"/>
          <w:szCs w:val="20"/>
          <w:color w:val="auto"/>
        </w:rPr>
      </w:pPr>
      <w:r>
        <w:rPr>
          <w:rFonts w:ascii="Calibri" w:cs="Calibri" w:eastAsia="Calibri" w:hAnsi="Calibri"/>
          <w:sz w:val="18"/>
          <w:szCs w:val="18"/>
          <w:b w:val="1"/>
          <w:bCs w:val="1"/>
          <w:color w:val="auto"/>
        </w:rPr>
        <w:t>Re:</w:t>
        <w:tab/>
        <w:t>Change to your Amended and Restated Executve Agreement</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Dear Sanjay:</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This leter confrms your agreement to a change in your Amended and Restated Executve Agreement dated January 1, 2022 with Micron Technology, Inc.</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color w:val="auto"/>
        </w:rPr>
        <w:t>(your “Agreement”).</w:t>
      </w:r>
    </w:p>
    <w:p>
      <w:pPr>
        <w:spacing w:after="0" w:line="271" w:lineRule="exact"/>
        <w:rPr>
          <w:sz w:val="20"/>
          <w:szCs w:val="20"/>
          <w:color w:val="auto"/>
        </w:rPr>
      </w:pPr>
    </w:p>
    <w:p>
      <w:pPr>
        <w:jc w:val="both"/>
        <w:spacing w:after="0" w:line="293" w:lineRule="auto"/>
        <w:rPr>
          <w:sz w:val="20"/>
          <w:szCs w:val="20"/>
          <w:color w:val="auto"/>
        </w:rPr>
      </w:pPr>
      <w:r>
        <w:rPr>
          <w:rFonts w:ascii="Calibri" w:cs="Calibri" w:eastAsia="Calibri" w:hAnsi="Calibri"/>
          <w:sz w:val="18"/>
          <w:szCs w:val="18"/>
          <w:color w:val="auto"/>
        </w:rPr>
        <w:t>Micron recently adopted the Executve Ofcer Cash Severance Policy (the “Severance Policy”), which limits the cash severance benefts that Micron may pay to its executve ofcers. You and Micron agree that the Severance Policy, as in efect on the date of this leter, applies to your Agreement. Thus, if you terminate employment and qualify for severance benefts under your Agreement, your cash severance benefts will be reduced if and to the extent required by the Severance Policy as in efect on the date of this leter. Your Agreement otherwise remains in full force and efect and the terms of your Agreement are unchanged by this leter except as provided above.</w:t>
      </w:r>
    </w:p>
    <w:p>
      <w:pPr>
        <w:spacing w:after="0" w:line="233"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 thanks you for your willingness to accept this change to your Agreement.</w:t>
      </w:r>
    </w:p>
    <w:p>
      <w:pPr>
        <w:spacing w:after="0" w:line="253" w:lineRule="exact"/>
        <w:rPr>
          <w:sz w:val="20"/>
          <w:szCs w:val="20"/>
          <w:color w:val="auto"/>
        </w:rPr>
      </w:pPr>
    </w:p>
    <w:p>
      <w:pPr>
        <w:spacing w:after="0"/>
        <w:rPr>
          <w:sz w:val="20"/>
          <w:szCs w:val="20"/>
          <w:color w:val="auto"/>
        </w:rPr>
      </w:pPr>
      <w:r>
        <w:rPr>
          <w:rFonts w:ascii="Calibri" w:cs="Calibri" w:eastAsia="Calibri" w:hAnsi="Calibri"/>
          <w:sz w:val="18"/>
          <w:szCs w:val="18"/>
          <w:color w:val="auto"/>
        </w:rPr>
        <w:t>Sincerely,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color w:val="auto"/>
        </w:rPr>
        <w:t>April Arnzen</w:t>
      </w:r>
    </w:p>
    <w:p>
      <w:pPr>
        <w:spacing w:after="0" w:line="37" w:lineRule="exact"/>
        <w:rPr>
          <w:sz w:val="20"/>
          <w:szCs w:val="20"/>
          <w:color w:val="auto"/>
        </w:rPr>
      </w:pPr>
    </w:p>
    <w:p>
      <w:pPr>
        <w:spacing w:after="0"/>
        <w:rPr>
          <w:sz w:val="20"/>
          <w:szCs w:val="20"/>
          <w:color w:val="auto"/>
        </w:rPr>
      </w:pPr>
      <w:r>
        <w:rPr>
          <w:rFonts w:ascii="Calibri" w:cs="Calibri" w:eastAsia="Calibri" w:hAnsi="Calibri"/>
          <w:sz w:val="18"/>
          <w:szCs w:val="18"/>
          <w:color w:val="auto"/>
        </w:rPr>
        <w:t>Senior Vice President and Chief People Ofcer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8"/>
          <w:szCs w:val="18"/>
          <w:color w:val="auto"/>
        </w:rPr>
        <w:t>I agree to all of the terms described above.</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color w:val="auto"/>
        </w:rPr>
        <w:t>Dated: December 19, 2023</w:t>
      </w:r>
    </w:p>
    <w:p>
      <w:pPr>
        <w:spacing w:after="0" w:line="320" w:lineRule="exact"/>
        <w:rPr>
          <w:sz w:val="20"/>
          <w:szCs w:val="20"/>
          <w:color w:val="auto"/>
        </w:rPr>
      </w:pPr>
    </w:p>
    <w:p>
      <w:pPr>
        <w:ind w:left="80"/>
        <w:spacing w:after="0"/>
        <w:rPr>
          <w:sz w:val="20"/>
          <w:szCs w:val="20"/>
          <w:color w:val="auto"/>
        </w:rPr>
      </w:pPr>
      <w:r>
        <w:rPr>
          <w:rFonts w:ascii="Calibri" w:cs="Calibri" w:eastAsia="Calibri" w:hAnsi="Calibri"/>
          <w:sz w:val="18"/>
          <w:szCs w:val="18"/>
          <w:color w:val="auto"/>
        </w:rPr>
        <w:t xml:space="preserve">/s/ </w:t>
      </w:r>
      <w:r>
        <w:rPr>
          <w:rFonts w:ascii="Calibri" w:cs="Calibri" w:eastAsia="Calibri" w:hAnsi="Calibri"/>
          <w:sz w:val="18"/>
          <w:szCs w:val="18"/>
          <w:i w:val="1"/>
          <w:iCs w:val="1"/>
          <w:color w:val="auto"/>
        </w:rPr>
        <w:t>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5318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80"/>
        <w:spacing w:after="0"/>
        <w:rPr>
          <w:sz w:val="20"/>
          <w:szCs w:val="20"/>
          <w:color w:val="auto"/>
        </w:rPr>
      </w:pPr>
      <w:r>
        <w:rPr>
          <w:rFonts w:ascii="Calibri" w:cs="Calibri" w:eastAsia="Calibri" w:hAnsi="Calibri"/>
          <w:sz w:val="18"/>
          <w:szCs w:val="18"/>
          <w:color w:val="auto"/>
        </w:rPr>
        <w:t>Sanjay Mehrotra</w:t>
      </w:r>
    </w:p>
    <w:p>
      <w:pPr>
        <w:sectPr>
          <w:pgSz w:w="11900" w:h="16838" w:orient="portrait"/>
          <w:cols w:equalWidth="0" w:num="1">
            <w:col w:w="11240"/>
          </w:cols>
          <w:pgMar w:left="320" w:top="968"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SEVERANCE AGREEMENT</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Amended and Restated Severance Agreement (the “Agreement”) is made and entered into by and between Micron Technology, Inc., a Delaware corporation (the “Company”), and Scott J. DeBoer, an individual and Officer of the Company, (the “Officer”), and is effective as of the Effective Date (as defined below).</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WHEREAS, the Company and the Officer previously entered into a Severance Agreement effective as of November 27, 2007, which was amended by Amendment 1 thereto effective as of November 10, 2015 and by Amendment 2 thereto effective as of October 24, 2017 (as amended, the “Original Agreement”) and desire to amend and restate the Original Agreement in its entirety;</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the Company desires to provide the Officer with benefits in consideration for his or her execution of this Agreement, the Release (as defined below) and the Agreement Not to Compete or Solicit entered into by and between the parties, effective as of November 27, 2007 (the “Noncompete Agreement”);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parties agree to amend and restate the Original Agreement in its entirety as follows:</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1(a). TERMINATION OF THE OFFICER. The Company or the Officer may at any time terminate the Officer’s active employment with the Company for any reason, voluntary or involuntary, with or without Cause, by providing notice to that effect in writing. Subject to the Officer signing and not revoking the release required in Section 7, upon the Officer’s Qualifying Termination of Employment, the Officer shall be entitled to the compensation and benefits described in Section 5(a). Except as provided in Section 5(a), upon the Officer’s Separation from Service, the Officer shall only be entitled to (i) those payments and benefits required by law, (ii) unpaid base salary, (iii) reimbursement of unreimbursed business expenses and (iv) such employee benefits (including equity compensation and paid time off), if any, to which the Officer may be entitled under the Company’s employee benefit plans (“Accrued Amounts”). To the extent there is any conflict between the terms and benefits provided under any bonus or incentive program of the Company and this Agreement, the terms of this Agreement shall prevail. The Accrued Amounts shall be paid in accordance with the applicable plan or reimbursement policy, provided that the Officer’s final pay check will be paid as soon as administratively practicable following the Officer’s termination of employment.</w:t>
      </w:r>
    </w:p>
    <w:p>
      <w:pPr>
        <w:spacing w:after="0" w:line="15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1(b). QUALIFYING TERMINATION OF EMPLOYMENT. For purposes of this Agreement, Officer experiences a “Qualifying Termination of Employment” if the Officer’s employment is terminated by the Company for a reason other than for Cause, death or Disability or is terminated by the Officer with Good Reason. Further, for purposes of this Agreement, the Officer experiences a “Change of Control Qualifying Termination of Employment” if the Officer experiences a Qualifying Termination of Employment upon or within twelve (12) months following a Change of Control. For purposes of this Agreement, “Cause,” “Change of Control,” “Disability” and “Good Reason” shall have the meanings set forth on Exhibit 1(b), attached hereto and incorporated herein by this reference.</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1(c). QUALIFYING RETIREMENT. If the Officer’s employment is terminated by the Officer due to the Officer’s bona fide retirement from all business activity and service as an employee and consultant, without intent to return to service for the Officer’s remaining life (other than service on one or more boards of directors or other insubstantial business activities that are consistent with the Officer’s obligations under the Noncompete Agreement) (“Retirement”), and such termination does not amount to a Qualifying Termination of</w:t>
      </w:r>
    </w:p>
    <w:p>
      <w:pPr>
        <w:sectPr>
          <w:pgSz w:w="11900" w:h="16838" w:orient="portrait"/>
          <w:cols w:equalWidth="0" w:num="1">
            <w:col w:w="11240"/>
          </w:cols>
          <w:pgMar w:left="320" w:top="100" w:right="339" w:bottom="1440" w:gutter="0" w:footer="0" w:header="0"/>
        </w:sectPr>
      </w:pPr>
    </w:p>
    <w:bookmarkStart w:id="59" w:name="page60"/>
    <w:bookmarkEnd w:id="59"/>
    <w:p>
      <w:pPr>
        <w:jc w:val="both"/>
        <w:spacing w:after="0" w:line="220" w:lineRule="auto"/>
        <w:rPr>
          <w:sz w:val="20"/>
          <w:szCs w:val="20"/>
          <w:color w:val="auto"/>
        </w:rPr>
      </w:pPr>
      <w:r>
        <w:rPr>
          <w:rFonts w:ascii="Times New Roman" w:cs="Times New Roman" w:eastAsia="Times New Roman" w:hAnsi="Times New Roman"/>
          <w:sz w:val="22"/>
          <w:szCs w:val="22"/>
          <w:color w:val="auto"/>
        </w:rPr>
        <w:t>Employment, then the Company will offer Officer a consulting agreement for the duration of the Transition Period described below, providing for compensation consistent with the compensation set forth in Exhibit 5(a), subject to the Officer’s continued maintenance of such Retirement (and not engaging in any substantial business, consulting or employment without the written approval of the Company) for the duration of the Transition Period.</w:t>
      </w:r>
    </w:p>
    <w:p>
      <w:pPr>
        <w:spacing w:after="0" w:line="152" w:lineRule="exact"/>
        <w:rPr>
          <w:sz w:val="20"/>
          <w:szCs w:val="20"/>
          <w:color w:val="auto"/>
        </w:rPr>
      </w:pPr>
    </w:p>
    <w:p>
      <w:pPr>
        <w:jc w:val="both"/>
        <w:ind w:firstLine="656"/>
        <w:spacing w:after="0" w:line="217"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 OF OFFICER STATUS. Upon receipt by the Officer of a notice of termination from the Company, or at any other time upon the Company’s request, the Officer automatically shall be deemed to have resigned immediately from all positions the Officer then holds as an officer and/or director of the Company. The Officer will cooperate with the Company in documenting such resignation(s) and will promptly complete and return to the Company all documents reasonably specified by the Company for such purpose.</w:t>
      </w:r>
    </w:p>
    <w:p>
      <w:pPr>
        <w:spacing w:after="0" w:line="152" w:lineRule="exact"/>
        <w:rPr>
          <w:rFonts w:ascii="Times New Roman" w:cs="Times New Roman" w:eastAsia="Times New Roman" w:hAnsi="Times New Roman"/>
          <w:sz w:val="22"/>
          <w:szCs w:val="22"/>
          <w:color w:val="auto"/>
        </w:rPr>
      </w:pPr>
    </w:p>
    <w:p>
      <w:pPr>
        <w:jc w:val="both"/>
        <w:ind w:firstLine="721"/>
        <w:spacing w:after="0" w:line="215" w:lineRule="auto"/>
        <w:tabs>
          <w:tab w:leader="none" w:pos="1293"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SEPARATION FROM SERVICE. The date of the Officer’s “Separation from Service” shall be the earliest of: (i) the date of the Officer’s death; or (ii) the date after which the Company and the Officer reasonably anticipate that the level of bona fide services the Officer will perform, whether as an employee or consultant, will permanently decrease to 20 percent or less of the average level of bona fide services performed (whether as an employee or contractor) over the immediately preceding 36-month period (or the full period of services to the Company if the Officer provided services to the Company for less than 36 months).</w:t>
      </w:r>
    </w:p>
    <w:p>
      <w:pPr>
        <w:spacing w:after="0" w:line="152" w:lineRule="exact"/>
        <w:rPr>
          <w:sz w:val="20"/>
          <w:szCs w:val="20"/>
          <w:color w:val="auto"/>
        </w:rPr>
      </w:pPr>
    </w:p>
    <w:p>
      <w:pPr>
        <w:ind w:firstLine="656"/>
        <w:spacing w:after="0" w:line="236"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TRANSITION PERIOD. For purposes of this agreement, the “Transition Period” shall be a one year period immediately following the date of the Officer’s Separation from Service due to a Qualifying Termination of Employment.</w:t>
      </w:r>
    </w:p>
    <w:p>
      <w:pPr>
        <w:spacing w:after="0" w:line="150" w:lineRule="exact"/>
        <w:rPr>
          <w:sz w:val="20"/>
          <w:szCs w:val="20"/>
          <w:color w:val="auto"/>
        </w:rPr>
      </w:pPr>
    </w:p>
    <w:p>
      <w:pPr>
        <w:jc w:val="both"/>
        <w:ind w:left="80" w:firstLine="648"/>
        <w:spacing w:after="0" w:line="217" w:lineRule="auto"/>
        <w:rPr>
          <w:sz w:val="20"/>
          <w:szCs w:val="20"/>
          <w:color w:val="auto"/>
        </w:rPr>
      </w:pPr>
      <w:r>
        <w:rPr>
          <w:rFonts w:ascii="Times New Roman" w:cs="Times New Roman" w:eastAsia="Times New Roman" w:hAnsi="Times New Roman"/>
          <w:sz w:val="22"/>
          <w:szCs w:val="22"/>
          <w:color w:val="auto"/>
        </w:rPr>
        <w:t>5(a). COMPENSATION DURING THE TRANSITION PERIOD. Upon the Officer’s Qualifying Termination of Employment, and provided the Officer complies with the terms of this Agreement (including the requirements of Section 7) and the terms of the Noncompete Agreement, the Officer, or the Officer’s estate in the event of the Officer’s death, will receive during the Transition Period compensation and cash in lieu of employee benefits as provided on Exhibit 5(a), attached hereto and incorporated herein by this reference.</w:t>
      </w:r>
    </w:p>
    <w:p>
      <w:pPr>
        <w:spacing w:after="0" w:line="152" w:lineRule="exact"/>
        <w:rPr>
          <w:sz w:val="20"/>
          <w:szCs w:val="20"/>
          <w:color w:val="auto"/>
        </w:rPr>
      </w:pPr>
    </w:p>
    <w:p>
      <w:pPr>
        <w:jc w:val="both"/>
        <w:ind w:left="80" w:right="140" w:firstLine="648"/>
        <w:spacing w:after="0" w:line="220" w:lineRule="auto"/>
        <w:rPr>
          <w:sz w:val="20"/>
          <w:szCs w:val="20"/>
          <w:color w:val="auto"/>
        </w:rPr>
      </w:pPr>
      <w:r>
        <w:rPr>
          <w:rFonts w:ascii="Times New Roman" w:cs="Times New Roman" w:eastAsia="Times New Roman" w:hAnsi="Times New Roman"/>
          <w:sz w:val="22"/>
          <w:szCs w:val="22"/>
          <w:color w:val="auto"/>
        </w:rPr>
        <w:t>5(b). EXECUTIVE BONUS AFTER LOSS OF OFFICER STATUS. An Officer who ceases to be an Officer but does not cease to be an employee of the Company, and who has not yet incurred a Separation from Service (referred to herein as a “Non-Officer Employee”), shall receive, in lieu of an executive bonus pursuant to Section 5(a)(ii) of Exhibit 5(a), an executive bonus, if at all, subject to the following terms and conditions:</w:t>
      </w:r>
    </w:p>
    <w:p>
      <w:pPr>
        <w:spacing w:after="0" w:line="152" w:lineRule="exact"/>
        <w:rPr>
          <w:sz w:val="20"/>
          <w:szCs w:val="20"/>
          <w:color w:val="auto"/>
        </w:rPr>
      </w:pPr>
    </w:p>
    <w:p>
      <w:pPr>
        <w:jc w:val="both"/>
        <w:ind w:left="720" w:right="60"/>
        <w:spacing w:after="0" w:line="218" w:lineRule="auto"/>
        <w:rPr>
          <w:sz w:val="20"/>
          <w:szCs w:val="20"/>
          <w:color w:val="auto"/>
        </w:rPr>
      </w:pPr>
      <w:r>
        <w:rPr>
          <w:rFonts w:ascii="Times New Roman" w:cs="Times New Roman" w:eastAsia="Times New Roman" w:hAnsi="Times New Roman"/>
          <w:sz w:val="21"/>
          <w:szCs w:val="21"/>
          <w:color w:val="auto"/>
        </w:rPr>
        <w:t>If as of the date of the Officer’s loss of officer status the Non-Officer Employee was a designated participant for an executive bonus plan performance period but the Company’s board of directors (the “Board”) or a committee thereof has not yet taken action on any required goal achievement certification for such performance period, the Non-Officer Employee will be entitled to receive his or her executive bonus based on the performance so certified, at the same time and in the same manner as the continuing officers of the Company receive payment of their executive bonuses for such performance period, if and only if (A) the specified goals are achieved, as certified by the Board or a committee thereof,</w:t>
      </w:r>
    </w:p>
    <w:p>
      <w:pPr>
        <w:spacing w:after="0" w:line="4" w:lineRule="exact"/>
        <w:rPr>
          <w:sz w:val="20"/>
          <w:szCs w:val="20"/>
          <w:color w:val="auto"/>
        </w:rPr>
      </w:pPr>
    </w:p>
    <w:p>
      <w:pPr>
        <w:jc w:val="both"/>
        <w:ind w:left="720" w:right="60" w:firstLine="1"/>
        <w:spacing w:after="0" w:line="212" w:lineRule="auto"/>
        <w:tabs>
          <w:tab w:leader="none" w:pos="109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is made for such achievement pursuant to the terms and conditions of the bonus program to the other participating officers, (C) the Non-Officer Employee is an employee of the Company at the time of payment and (D) the Non-Officer Employee complies with the terms of this Agreement and the terms of the Noncompete Agreement; provided that any bonus payable pursuant to this subsection shall be calculated by multiplying (x) the Officer’s annual bonus eligible salary for the Company’s fiscal 2023 determined without regard to the temporary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SEVERANCE AGREEMENT - 2</w:t>
      </w:r>
    </w:p>
    <w:p>
      <w:pPr>
        <w:sectPr>
          <w:pgSz w:w="11900" w:h="16838" w:orient="portrait"/>
          <w:cols w:equalWidth="0" w:num="1">
            <w:col w:w="11240"/>
          </w:cols>
          <w:pgMar w:left="320" w:top="1395" w:right="339" w:bottom="1440" w:gutter="0" w:footer="0" w:header="0"/>
        </w:sectPr>
      </w:pPr>
    </w:p>
    <w:bookmarkStart w:id="60" w:name="page61"/>
    <w:bookmarkEnd w:id="60"/>
    <w:p>
      <w:pPr>
        <w:jc w:val="both"/>
        <w:ind w:left="720" w:right="80"/>
        <w:spacing w:after="0" w:line="225" w:lineRule="auto"/>
        <w:rPr>
          <w:sz w:val="20"/>
          <w:szCs w:val="20"/>
          <w:color w:val="auto"/>
        </w:rPr>
      </w:pPr>
      <w:r>
        <w:rPr>
          <w:rFonts w:ascii="Times New Roman" w:cs="Times New Roman" w:eastAsia="Times New Roman" w:hAnsi="Times New Roman"/>
          <w:sz w:val="22"/>
          <w:szCs w:val="22"/>
          <w:color w:val="auto"/>
        </w:rPr>
        <w:t>reduction of base salary for fiscal 2023 (“Unreduced 2023 Bonus Eligible Salary”) by (y) the Officer’s target percentage for the Company’s fiscal 2023 under the executive bonus plan by (z) the Company’s performance attainment for the applicable performance period as certified by the Board or a committee thereof.</w:t>
      </w:r>
    </w:p>
    <w:p>
      <w:pPr>
        <w:spacing w:after="0" w:line="152" w:lineRule="exact"/>
        <w:rPr>
          <w:sz w:val="20"/>
          <w:szCs w:val="20"/>
          <w:color w:val="auto"/>
        </w:rPr>
      </w:pPr>
    </w:p>
    <w:p>
      <w:pPr>
        <w:jc w:val="both"/>
        <w:ind w:left="80" w:right="200" w:firstLine="583"/>
        <w:spacing w:after="0" w:line="225" w:lineRule="auto"/>
        <w:rPr>
          <w:sz w:val="20"/>
          <w:szCs w:val="20"/>
          <w:color w:val="auto"/>
        </w:rPr>
      </w:pPr>
      <w:r>
        <w:rPr>
          <w:rFonts w:ascii="Times New Roman" w:cs="Times New Roman" w:eastAsia="Times New Roman" w:hAnsi="Times New Roman"/>
          <w:sz w:val="22"/>
          <w:szCs w:val="22"/>
          <w:color w:val="auto"/>
        </w:rPr>
        <w:t>A Non-Officer Employee that receives a bonus pursuant to the terms of this Section 5(b) shall not be entitled to receive an additional bonus pursuant to Section 5(a)(ii) of Exhibit 5(a) during his or her Transition Period. Any amount payable under this Section 5(b) shall be payable at the time and form provided in the applicable bonus plan.</w:t>
      </w:r>
    </w:p>
    <w:p>
      <w:pPr>
        <w:spacing w:after="0" w:line="153" w:lineRule="exact"/>
        <w:rPr>
          <w:sz w:val="20"/>
          <w:szCs w:val="20"/>
          <w:color w:val="auto"/>
        </w:rPr>
      </w:pPr>
    </w:p>
    <w:p>
      <w:pPr>
        <w:jc w:val="both"/>
        <w:ind w:left="80" w:firstLine="648"/>
        <w:spacing w:after="0" w:line="211" w:lineRule="auto"/>
        <w:rPr>
          <w:sz w:val="20"/>
          <w:szCs w:val="20"/>
          <w:color w:val="auto"/>
        </w:rPr>
      </w:pPr>
      <w:r>
        <w:rPr>
          <w:rFonts w:ascii="Times New Roman" w:cs="Times New Roman" w:eastAsia="Times New Roman" w:hAnsi="Times New Roman"/>
          <w:sz w:val="22"/>
          <w:szCs w:val="22"/>
          <w:color w:val="auto"/>
        </w:rPr>
        <w:t>5(c). FURTHER CLARIFICATIONS. It is understood that the Officer, during the period of time in which he or she is a Non-Officer Employee and at any time during the Transition Period, is not entitled pursuant to this Agreement to renew his or her participation in any executive bonus program, receive any new grants of stock options or restricted stock, or to the accrual of TOP time (however, Non-Officer Employees would participate in the Company’s Time Off Plan). It is further understood that the Officer is not entitled to payment of any compensation that is deferred past the Transition Period due to payment criteria of an incentive program, as those criteria existed as of the date of the Officer’s Separation from Service. For the avoidance of doubt, the Officer shall not be entitled to any payment which is earned and payable after the Transition Period pursuant to the terms of the applicable plan or program. No action by the Company or the Board may affect the Officer’s receipt of the benefits set forth above, other than as provided herein.</w:t>
      </w:r>
    </w:p>
    <w:p>
      <w:pPr>
        <w:spacing w:after="0" w:line="158" w:lineRule="exact"/>
        <w:rPr>
          <w:sz w:val="20"/>
          <w:szCs w:val="20"/>
          <w:color w:val="auto"/>
        </w:rPr>
      </w:pPr>
    </w:p>
    <w:p>
      <w:pPr>
        <w:jc w:val="both"/>
        <w:ind w:left="80" w:firstLine="641"/>
        <w:spacing w:after="0" w:line="220" w:lineRule="auto"/>
        <w:tabs>
          <w:tab w:leader="none" w:pos="130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CONFIDENTIALITY. The reasons for, and circumstances of, an Officer’s termination of employment or change in officer status shall be kept confidential and shall not be disclosed; provided that the Company may disclose such information as the Company determines, in its sole discretion, is either required by law to be disclosed or necessary to be disclosed to serve a valid business purpose.</w:t>
      </w:r>
    </w:p>
    <w:p>
      <w:pPr>
        <w:spacing w:after="0" w:line="152" w:lineRule="exact"/>
        <w:rPr>
          <w:rFonts w:ascii="Times New Roman" w:cs="Times New Roman" w:eastAsia="Times New Roman" w:hAnsi="Times New Roman"/>
          <w:sz w:val="22"/>
          <w:szCs w:val="22"/>
          <w:color w:val="auto"/>
        </w:rPr>
      </w:pPr>
    </w:p>
    <w:p>
      <w:pPr>
        <w:jc w:val="both"/>
        <w:ind w:left="80" w:firstLine="641"/>
        <w:spacing w:after="0" w:line="224" w:lineRule="auto"/>
        <w:tabs>
          <w:tab w:leader="none" w:pos="130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RELEASE. No amount shall be payable to the Officer under Section 5(a) until the Officer signs, and does not revoke within any applicable revocation period, a release of claims in favor of the Company, its affiliates and their respective officers and directors in substantially the form attached hereto as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(the “Release”) during the Release Execution Period; provided that the Company has the right at the time of Officer’s Separation from Service to modify the form of Release as may be necessary or appropriate for changes in applicable law; provided, further, that no such modifications will impose any new obligations on the Officer to which the Officer has not already agreed in writing. For purposes of this Agreement, the “Release Execution Period” shall be the 60-day period commencing on the date of the Officer’s Separation from Service.</w:t>
      </w:r>
    </w:p>
    <w:p>
      <w:pPr>
        <w:spacing w:after="0" w:line="150" w:lineRule="exact"/>
        <w:rPr>
          <w:rFonts w:ascii="Times New Roman" w:cs="Times New Roman" w:eastAsia="Times New Roman" w:hAnsi="Times New Roman"/>
          <w:sz w:val="21"/>
          <w:szCs w:val="21"/>
          <w:color w:val="auto"/>
        </w:rPr>
      </w:pPr>
    </w:p>
    <w:p>
      <w:pPr>
        <w:jc w:val="both"/>
        <w:ind w:left="80" w:firstLine="641"/>
        <w:spacing w:after="0" w:line="211" w:lineRule="auto"/>
        <w:tabs>
          <w:tab w:leader="none" w:pos="130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ENTIRE AGREEMENT. Except as otherwise specifically provided herein, this Agreement sets forth the entire agreement and understanding between the Company and the Officer relating to the subject matter hereof and supersedes all prior understandings and agreements with respect thereto, including, without limitation, the Original Agreement. No modification of or amendment to this Agreement, or any waiver of any rights under this Agreement, will be effective unless contained in a writing signed by both of the parties hereto in accordance with Section 11. Any subsequent change or changes in Officer’s duties, salary or compensation will not affect the validity or scope of this Agreement. This Agreement is in addition to, and does not supersede or modify in any fashion, the provisions of the Noncompete Agreement, or the provisions of any confidentiality and intellectual property agreements previously entered into by the parties hereto (collectively, “Additional Agreements”) (and all documents and forms referenced therein). The obligations contained in the Additional Agreements shall continue independent of the obligations of one another and of this Agreement.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SEVERANCE AGREEMENT - 3</w:t>
      </w:r>
    </w:p>
    <w:p>
      <w:pPr>
        <w:sectPr>
          <w:pgSz w:w="11900" w:h="16838" w:orient="portrait"/>
          <w:cols w:equalWidth="0" w:num="1">
            <w:col w:w="11240"/>
          </w:cols>
          <w:pgMar w:left="320" w:top="1395" w:right="339" w:bottom="1440" w:gutter="0" w:footer="0" w:header="0"/>
        </w:sectPr>
      </w:pPr>
    </w:p>
    <w:bookmarkStart w:id="61" w:name="page62"/>
    <w:bookmarkEnd w:id="61"/>
    <w:p>
      <w:pPr>
        <w:ind w:left="80"/>
        <w:spacing w:after="0" w:line="236" w:lineRule="auto"/>
        <w:rPr>
          <w:sz w:val="20"/>
          <w:szCs w:val="20"/>
          <w:color w:val="auto"/>
        </w:rPr>
      </w:pPr>
      <w:r>
        <w:rPr>
          <w:rFonts w:ascii="Times New Roman" w:cs="Times New Roman" w:eastAsia="Times New Roman" w:hAnsi="Times New Roman"/>
          <w:sz w:val="22"/>
          <w:szCs w:val="22"/>
          <w:color w:val="auto"/>
        </w:rPr>
        <w:t>For avoidance of doubt, the “Period of Restriction” as defined in the Noncompete Agreement shall continue in full force and effect in accordance with the terms of the Noncompete Agreement.</w:t>
      </w:r>
    </w:p>
    <w:p>
      <w:pPr>
        <w:spacing w:after="0" w:line="16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9(a). SECTION 409A COMPLIANCE. This Agreement is intended to comply with Internal Revenue Code (“Code”) Section 409A and the applicable Treasury Regulations (together, “Section 409A”)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Officer on account of non-compliance with Section 409A. In the event an amount payable under this Agreement is contingent upon the Officer signing a Release during a Release Execution Period and such Release Execution Period begins in one tax year and ends in the next tax year, such amount shall be paid on the later of (i) the last day of the Release Execution Period, (ii) if applicable, the date specified in Section 9(b), or (iii) the payment date otherwise set forth in this Agreement.</w:t>
      </w:r>
    </w:p>
    <w:p>
      <w:pPr>
        <w:spacing w:after="0" w:line="19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9(b). SPECIFIED EMPLOYEE PAYMENTS, TIMING: Notwithstanding anything in this Agreement to the contrary, if any amount or benefit that would constitute non-exempt “deferred compensation” for purposes of Section 409A would otherwise be payable or distributable under this Agreement by reason of the Officer’s Separation from Service during a period in which the Officer is a Specified Employee (as defined below), then, subject to any permissible acceleration of payment by the Company under Treas. Reg. Section 1.409A-3(j)(4)(ii) (domestic relations order), (j)(4)(iii) (conflicts of interest), or (j)(4)(vi) (payment of employment taxes):</w:t>
      </w:r>
    </w:p>
    <w:p>
      <w:pPr>
        <w:spacing w:after="0" w:line="163" w:lineRule="exact"/>
        <w:rPr>
          <w:sz w:val="20"/>
          <w:szCs w:val="20"/>
          <w:color w:val="auto"/>
        </w:rPr>
      </w:pPr>
    </w:p>
    <w:p>
      <w:pPr>
        <w:jc w:val="both"/>
        <w:ind w:left="1300" w:firstLine="4"/>
        <w:spacing w:after="0" w:line="225" w:lineRule="auto"/>
        <w:tabs>
          <w:tab w:leader="none" w:pos="193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payment or distribution is payable in a lump sum, the Officer’s right to receive payment or distribution of such non-exempt deferred compensation will be delayed until the earlier of the Officer’s death or the first day of the seventh month following the Officer’s Separation from Service; and</w:t>
      </w:r>
    </w:p>
    <w:p>
      <w:pPr>
        <w:spacing w:after="0" w:line="152" w:lineRule="exact"/>
        <w:rPr>
          <w:rFonts w:ascii="Times New Roman" w:cs="Times New Roman" w:eastAsia="Times New Roman" w:hAnsi="Times New Roman"/>
          <w:sz w:val="22"/>
          <w:szCs w:val="22"/>
          <w:color w:val="auto"/>
        </w:rPr>
      </w:pPr>
    </w:p>
    <w:p>
      <w:pPr>
        <w:jc w:val="both"/>
        <w:ind w:left="1300" w:firstLine="4"/>
        <w:spacing w:after="0" w:line="225" w:lineRule="auto"/>
        <w:tabs>
          <w:tab w:leader="none" w:pos="194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payment or distribution is payable over time, the amount of such nonexempt deferred compensation that would otherwise be payable during the six-month period immediately following the Officer’s Separation from Service will be accumulated and the Officer’s right to receive payment or distribution of such accumulated amount will be delayed until the earlier of the Officer’s death or the first day of the seventh month following the Officer’s Separation from Service, whereupon the accumulated amount will be paid or distributed to the Officer and the normal payment or distribution schedule for any remaining payments or distributions will resume.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SEVERANCE AGREEMENT - 4</w:t>
      </w:r>
    </w:p>
    <w:p>
      <w:pPr>
        <w:sectPr>
          <w:pgSz w:w="11900" w:h="16838" w:orient="portrait"/>
          <w:cols w:equalWidth="0" w:num="1">
            <w:col w:w="11240"/>
          </w:cols>
          <w:pgMar w:left="320" w:top="1395" w:right="339" w:bottom="1440" w:gutter="0" w:footer="0" w:header="0"/>
        </w:sectPr>
      </w:pPr>
    </w:p>
    <w:bookmarkStart w:id="62" w:name="page63"/>
    <w:bookmarkEnd w:id="62"/>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For purposes of this Agreement, the term “Specified Employee” has the meaning given such term in Section 409A, provided, however, that, as permitted in Treas. Reg. §1.409A-1(i), the Company’s Specified Employees and its application of the six-month delay rule of Code Section 409A(a)(2)(B)(i) shall be determined in accordance with rules adopted by the Compensation Committee of the Board, which shall be applied consistently with respect to all nonqualified deferred compensation arrangements of the Company, including this Agreement.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9(c). SECTION 280G. This section will be construed in accordance with Code Sections 280G and 4999, or any successor provisions thereto, and the guidance issued thereunder (collectively, “Section 280G”), and the terms “parachute payment” and “excess parachute payment” as used herein have the meanings ascribed to them under Section 280G.</w:t>
      </w:r>
    </w:p>
    <w:p>
      <w:pPr>
        <w:spacing w:after="0" w:line="166" w:lineRule="exact"/>
        <w:rPr>
          <w:sz w:val="20"/>
          <w:szCs w:val="20"/>
          <w:color w:val="auto"/>
        </w:rPr>
      </w:pPr>
    </w:p>
    <w:p>
      <w:pPr>
        <w:jc w:val="both"/>
        <w:ind w:left="1300" w:firstLine="4"/>
        <w:spacing w:after="0" w:line="250" w:lineRule="auto"/>
        <w:tabs>
          <w:tab w:leader="none" w:pos="1777"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it is determined that the aggregate payments and benefits constituting parachute payments which, but for the operation of this provision, would become payable or distributable by the Company to or for the benefit of Officer, pursuant to this Agreement, any other agreement, or any benefit plan (collectively, the “Total Payments”), would result in any excess parachute payments becoming subject to the excise tax imposed by Code Section 4999, or any successor provision thereto, or any interest or penalties with respect to such excise tax (such excise tax, together with such interest and penalties, collectively, the “Excise Tax”), then the Total Payments shall be reduced to an amount equal to One Dollar ($1) less than the maximum amount that could be paid to Officer without giving rise to any Excise Tax (the “Safe Harbor Cap”); provided, however, that this reduction shall be applied only if the net after-tax benefit to Officer after such reduction would be greater than the net after-tax benefit to Officer without such reduction (notwithstanding the application of the Excise Tax on the unreduced Total Payments). For the avoidance of doubt, Officer shall be responsible for the payment of any Excise Tax arising from the Total Payments and there shall be no tax gross up on any amounts paid under this Agreement.</w:t>
      </w:r>
    </w:p>
    <w:p>
      <w:pPr>
        <w:spacing w:after="0" w:line="167" w:lineRule="exact"/>
        <w:rPr>
          <w:rFonts w:ascii="Times New Roman" w:cs="Times New Roman" w:eastAsia="Times New Roman" w:hAnsi="Times New Roman"/>
          <w:sz w:val="21"/>
          <w:szCs w:val="21"/>
          <w:color w:val="auto"/>
        </w:rPr>
      </w:pPr>
    </w:p>
    <w:p>
      <w:pPr>
        <w:jc w:val="both"/>
        <w:ind w:left="1300" w:firstLine="4"/>
        <w:spacing w:after="0" w:line="212" w:lineRule="auto"/>
        <w:tabs>
          <w:tab w:leader="none" w:pos="177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reduction in Total Payments required by this provision shall be applied in the following order and, to the extent applicable, in accordance with the rules under Section 409A: (i) first, reduction of cash payments and benefits, in reverse order of the date of payment; (ii) second, cancellation of vesting acceleration of equity awards, in reverse order of the date of grant; and (iii) third, reduction of other non-cash payments and benefits, in reverse order of the date the payment or benefit is to be provided. If the same payment or award date applies to more than one payment or benefit within any of the foregoing categories, the reduction will apply to each such payment or benefit on a pro-rata basis. Subject to the foregoing, the Total Payments shall be reduced so that the reduction of compensation to be provided to Officer is otherwise minimized.</w:t>
      </w:r>
    </w:p>
    <w:p>
      <w:pPr>
        <w:spacing w:after="0" w:line="156" w:lineRule="exact"/>
        <w:rPr>
          <w:rFonts w:ascii="Times New Roman" w:cs="Times New Roman" w:eastAsia="Times New Roman" w:hAnsi="Times New Roman"/>
          <w:sz w:val="22"/>
          <w:szCs w:val="22"/>
          <w:color w:val="auto"/>
        </w:rPr>
      </w:pPr>
    </w:p>
    <w:p>
      <w:pPr>
        <w:jc w:val="both"/>
        <w:ind w:left="1300" w:firstLine="4"/>
        <w:spacing w:after="0" w:line="213" w:lineRule="auto"/>
        <w:tabs>
          <w:tab w:leader="none" w:pos="194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Company and Officer otherwise agree in writing, all calculations and determinations necessary to effectuate this provision, including without limitation determinations as to whether a reduction in payments or benefits is required and the amount thereof, whether any item of compensation constitutes a parachute payment, the amount, if any, subject to the Excise Tax (including determinations as to whether any portion of the excess parachute payments constitutes reasonable compensation for services actually rendered, within the meaning of Code Section 280G(b)(4)(B)), and the present value of any parachute payment, shall be made, consistent with Section 280G, by a public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SEVERANCE AGREEMENT - 5</w:t>
      </w:r>
    </w:p>
    <w:p>
      <w:pPr>
        <w:sectPr>
          <w:pgSz w:w="11900" w:h="16838" w:orient="portrait"/>
          <w:cols w:equalWidth="0" w:num="1">
            <w:col w:w="11240"/>
          </w:cols>
          <w:pgMar w:left="320" w:top="1395" w:right="339" w:bottom="1440" w:gutter="0" w:footer="0" w:header="0"/>
        </w:sectPr>
      </w:pPr>
    </w:p>
    <w:bookmarkStart w:id="63" w:name="page64"/>
    <w:bookmarkEnd w:id="63"/>
    <w:p>
      <w:pPr>
        <w:jc w:val="both"/>
        <w:ind w:left="1300"/>
        <w:spacing w:after="0" w:line="208" w:lineRule="auto"/>
        <w:rPr>
          <w:sz w:val="20"/>
          <w:szCs w:val="20"/>
          <w:color w:val="auto"/>
        </w:rPr>
      </w:pPr>
      <w:r>
        <w:rPr>
          <w:rFonts w:ascii="Times New Roman" w:cs="Times New Roman" w:eastAsia="Times New Roman" w:hAnsi="Times New Roman"/>
          <w:sz w:val="22"/>
          <w:szCs w:val="22"/>
          <w:color w:val="auto"/>
        </w:rPr>
        <w:t>accounting firm and/or tax counsel selected by the Company (which may be the Company’s independent public accounting firm or outside tax counsel) (the “Advisors”). For this purpose, the Advisors may make reasonable assumptions and approximations; may rely on reasonable, good faith interpretations concerning the application of Section 280G; and may rely upon such other tax, legal, valuation or other specialists as they deem appropriate. Officer’s applicable federal, state, and local income taxes shall be computed at the highest applicable marginal rate, net of the maximum reduction in federal income taxes which could be obtained from a deduction of such state and local taxes. The Company and Officer agree to furnish the Advisors with such information and documents as the Advisors reasonably request to make such calculations and determinations as soon as practicable upon such request. The Company shall direct the Advisors to provide Officer with a written statement of its conclusions, setting forth the basis therefor, including detailed supporting calculations and copies of any written opinions or advice upon which such conclusions rely (the “Report”), within ten (10) business days after their receipt of all required information and documents. Officer shall have five (5) business days thereafter to notify the Advisors and the Company in writing of any reasonable and substantive objections to the Report. The Company shall direct the Advisors to promptly consider in good faith and respond to such objections, and provide Officer a revised Report reflecting appropriate adjustments (unless the Advisors determine that no adjustments are necessary). The Advisors’ final calculations and determinations (as adjusted, if applicable) shall be conclusive and binding on all parties for all purposes. The Company shall bear all costs the Advisors may reasonably incur in connection with the process contemplated by this paragraph.</w:t>
      </w:r>
    </w:p>
    <w:p>
      <w:pPr>
        <w:spacing w:after="0" w:line="161" w:lineRule="exact"/>
        <w:rPr>
          <w:sz w:val="20"/>
          <w:szCs w:val="20"/>
          <w:color w:val="auto"/>
        </w:rPr>
      </w:pPr>
    </w:p>
    <w:p>
      <w:pPr>
        <w:jc w:val="both"/>
        <w:ind w:firstLine="721"/>
        <w:spacing w:after="0" w:line="243" w:lineRule="auto"/>
        <w:tabs>
          <w:tab w:leader="none" w:pos="129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RECOUPMENT. All amounts payable to the Officer as described or referenced in this Agreement will be subject to recoupment pursuant to the Company’s current compensation clawback or recoupment policy (if any) and any additional compensation clawback or recoupment policy or amendments to the current policy adopted by the Board that applies on substantially the same terms to all other U.S. based officers of the Company or as required by law, regulation or an exchange listing requirement applicable to the Company.</w:t>
      </w:r>
    </w:p>
    <w:p>
      <w:pPr>
        <w:spacing w:after="0" w:line="177" w:lineRule="exact"/>
        <w:rPr>
          <w:rFonts w:ascii="Times New Roman" w:cs="Times New Roman" w:eastAsia="Times New Roman" w:hAnsi="Times New Roman"/>
          <w:sz w:val="22"/>
          <w:szCs w:val="22"/>
          <w:color w:val="auto"/>
        </w:rPr>
      </w:pPr>
    </w:p>
    <w:p>
      <w:pPr>
        <w:jc w:val="both"/>
        <w:ind w:firstLine="721"/>
        <w:spacing w:after="0" w:line="243" w:lineRule="auto"/>
        <w:tabs>
          <w:tab w:leader="none" w:pos="128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 This Agreement, for all purposes, shall be construed in accordance with the laws of Idaho without regard to conflicts of law principles. Any action or proceeding by either of the parties to enforce this Agreement shall be brought only in a state or federal court located in the state of Idaho. The parties hereby irrevocably submit to the jurisdiction of such courts and waive the defense of inconvenient forum to the maintenance of any such action or proceeding in such venue.</w:t>
      </w: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jc w:val="both"/>
        <w:ind w:firstLine="721"/>
        <w:spacing w:after="0" w:line="241" w:lineRule="auto"/>
        <w:tabs>
          <w:tab w:leader="none" w:pos="129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MODIFICATION. No provision of this Agreement may be amended or modified unless such amendment or modification is agreed to in writing and signed by the Officer and by an authorized officer of the Company as directed by the Board.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 nor shall the failure of or delay by either of the parties in exercising any right, power, or privilege hereunder operate as a waiver thereof to preclude any other or further exercise thereof or the exercise of any other such right, power, or privilege.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SEVERANCE AGREEMENT - 6</w:t>
      </w:r>
    </w:p>
    <w:p>
      <w:pPr>
        <w:sectPr>
          <w:pgSz w:w="11900" w:h="16838" w:orient="portrait"/>
          <w:cols w:equalWidth="0" w:num="1">
            <w:col w:w="11240"/>
          </w:cols>
          <w:pgMar w:left="320" w:top="1395" w:right="339" w:bottom="1440" w:gutter="0" w:footer="0" w:header="0"/>
        </w:sectPr>
      </w:pPr>
    </w:p>
    <w:bookmarkStart w:id="64" w:name="page65"/>
    <w:bookmarkEnd w:id="64"/>
    <w:p>
      <w:pPr>
        <w:jc w:val="both"/>
        <w:ind w:firstLine="721"/>
        <w:spacing w:after="0" w:line="256" w:lineRule="auto"/>
        <w:tabs>
          <w:tab w:leader="none" w:pos="129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CAPTIONS. Captions and headings of the sections and paragraphs of this Agreement are intended solely for convenience and no provision of this Agreement is to be construed by reference to the caption or heading of any section or paragraph.</w:t>
      </w:r>
    </w:p>
    <w:p>
      <w:pPr>
        <w:spacing w:after="0" w:line="148" w:lineRule="exact"/>
        <w:rPr>
          <w:rFonts w:ascii="Times New Roman" w:cs="Times New Roman" w:eastAsia="Times New Roman" w:hAnsi="Times New Roman"/>
          <w:sz w:val="22"/>
          <w:szCs w:val="22"/>
          <w:color w:val="auto"/>
        </w:rPr>
      </w:pPr>
    </w:p>
    <w:p>
      <w:pPr>
        <w:jc w:val="both"/>
        <w:ind w:firstLine="721"/>
        <w:spacing w:after="0" w:line="243" w:lineRule="auto"/>
        <w:tabs>
          <w:tab w:leader="none" w:pos="129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SEVERABILITY. Should any provision of this Agreement be held by a court of competent jurisdiction to be enforceable only if modified, or if any portion of this Agreement shall be held as unenforceable and thus stricken, such holding shall not affect the validity of the remainder of this Agreement, the balance of which shall continue to be binding upon the parties with any such modification to become a part hereof and treated as though originally set forth in this Agreement.</w:t>
      </w:r>
    </w:p>
    <w:p>
      <w:pPr>
        <w:spacing w:after="0" w:line="200" w:lineRule="exact"/>
        <w:rPr>
          <w:sz w:val="20"/>
          <w:szCs w:val="20"/>
          <w:color w:val="auto"/>
        </w:rPr>
      </w:pPr>
    </w:p>
    <w:p>
      <w:pPr>
        <w:spacing w:after="0" w:line="233" w:lineRule="exact"/>
        <w:rPr>
          <w:sz w:val="20"/>
          <w:szCs w:val="20"/>
          <w:color w:val="auto"/>
        </w:rPr>
      </w:pPr>
    </w:p>
    <w:p>
      <w:pPr>
        <w:jc w:val="both"/>
        <w:ind w:firstLine="907"/>
        <w:spacing w:after="0" w:line="243" w:lineRule="auto"/>
        <w:rPr>
          <w:sz w:val="20"/>
          <w:szCs w:val="20"/>
          <w:color w:val="auto"/>
        </w:rPr>
      </w:pPr>
      <w:r>
        <w:rPr>
          <w:rFonts w:ascii="Times New Roman" w:cs="Times New Roman" w:eastAsia="Times New Roman" w:hAnsi="Times New Roman"/>
          <w:sz w:val="22"/>
          <w:szCs w:val="22"/>
          <w:color w:val="auto"/>
        </w:rPr>
        <w:t>The parties further agree that any such court is expressly authorized to modify any such unenforceable provision 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law.</w:t>
      </w:r>
    </w:p>
    <w:p>
      <w:pPr>
        <w:spacing w:after="0" w:line="164" w:lineRule="exact"/>
        <w:rPr>
          <w:sz w:val="20"/>
          <w:szCs w:val="20"/>
          <w:color w:val="auto"/>
        </w:rPr>
      </w:pPr>
    </w:p>
    <w:p>
      <w:pPr>
        <w:jc w:val="both"/>
        <w:ind w:firstLine="907"/>
        <w:spacing w:after="0" w:line="246" w:lineRule="auto"/>
        <w:rPr>
          <w:sz w:val="20"/>
          <w:szCs w:val="20"/>
          <w:color w:val="auto"/>
        </w:rPr>
      </w:pPr>
      <w:r>
        <w:rPr>
          <w:rFonts w:ascii="Times New Roman" w:cs="Times New Roman" w:eastAsia="Times New Roman" w:hAnsi="Times New Roman"/>
          <w:sz w:val="22"/>
          <w:szCs w:val="22"/>
          <w:color w:val="auto"/>
        </w:rPr>
        <w:t>The parties expressly agree that this Agreement as so modified by the court shall be binding upon and enforceable against each of them. In any event, should one or more of the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161" w:lineRule="exact"/>
        <w:rPr>
          <w:sz w:val="20"/>
          <w:szCs w:val="20"/>
          <w:color w:val="auto"/>
        </w:rPr>
      </w:pPr>
    </w:p>
    <w:p>
      <w:pPr>
        <w:jc w:val="both"/>
        <w:ind w:firstLine="721"/>
        <w:spacing w:after="0" w:line="256" w:lineRule="auto"/>
        <w:tabs>
          <w:tab w:leader="none" w:pos="129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REPRESENTATION BY COUNSEL. Officer acknowledges that he has been represented by independent counsel in the negotiation and execution of this Agreement, specifically including but not limited to its choice of law, jurisdiction, and venue provisions.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SEVERANCE AGREEMENT - 7</w:t>
      </w:r>
    </w:p>
    <w:p>
      <w:pPr>
        <w:sectPr>
          <w:pgSz w:w="11900" w:h="16838" w:orient="portrait"/>
          <w:cols w:equalWidth="0" w:num="1">
            <w:col w:w="11240"/>
          </w:cols>
          <w:pgMar w:left="320" w:top="1398" w:right="339" w:bottom="1440" w:gutter="0" w:footer="0" w:header="0"/>
        </w:sectPr>
      </w:pPr>
    </w:p>
    <w:bookmarkStart w:id="65" w:name="page66"/>
    <w:bookmarkEnd w:id="65"/>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have executed this Agreement, effective as of the date of later signature below (the “Effective Date”).</w:t>
      </w:r>
    </w:p>
    <w:p>
      <w:pPr>
        <w:spacing w:after="0" w:line="200" w:lineRule="exact"/>
        <w:rPr>
          <w:sz w:val="20"/>
          <w:szCs w:val="20"/>
          <w:color w:val="auto"/>
        </w:rPr>
      </w:pP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66"/>
        </w:trPr>
        <w:tc>
          <w:tcPr>
            <w:tcW w:w="4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MICRON TECHNOLOGY, INC.</w:t>
            </w:r>
          </w:p>
        </w:tc>
        <w:tc>
          <w:tcPr>
            <w:tcW w:w="136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OFFICER</w:t>
            </w:r>
          </w:p>
        </w:tc>
      </w:tr>
      <w:tr>
        <w:trPr>
          <w:trHeight w:val="234"/>
        </w:trPr>
        <w:tc>
          <w:tcPr>
            <w:tcW w:w="194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i w:val="1"/>
                <w:iCs w:val="1"/>
                <w:color w:val="auto"/>
              </w:rPr>
              <w:t>Sanjay Mehrotra</w:t>
            </w:r>
          </w:p>
        </w:tc>
        <w:tc>
          <w:tcPr>
            <w:tcW w:w="2320" w:type="dxa"/>
            <w:vAlign w:val="bottom"/>
          </w:tcPr>
          <w:p>
            <w:pPr>
              <w:spacing w:after="0"/>
              <w:rPr>
                <w:sz w:val="20"/>
                <w:szCs w:val="20"/>
                <w:color w:val="auto"/>
              </w:rPr>
            </w:pPr>
          </w:p>
        </w:tc>
        <w:tc>
          <w:tcPr>
            <w:tcW w:w="3400" w:type="dxa"/>
            <w:vAlign w:val="bottom"/>
            <w:gridSpan w:val="3"/>
          </w:tcPr>
          <w:p>
            <w:pPr>
              <w:ind w:left="1360"/>
              <w:spacing w:after="0" w:line="233" w:lineRule="exact"/>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i w:val="1"/>
                <w:iCs w:val="1"/>
                <w:color w:val="auto"/>
              </w:rPr>
              <w:t>Scott J. DeBoer</w:t>
            </w:r>
          </w:p>
        </w:tc>
      </w:tr>
      <w:tr>
        <w:trPr>
          <w:trHeight w:val="20"/>
        </w:trPr>
        <w:tc>
          <w:tcPr>
            <w:tcW w:w="1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r>
        <w:trPr>
          <w:trHeight w:val="237"/>
        </w:trPr>
        <w:tc>
          <w:tcPr>
            <w:tcW w:w="426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auto"/>
              </w:rPr>
              <w:t>By:   Sanjay Mehrotra</w:t>
            </w:r>
          </w:p>
        </w:tc>
        <w:tc>
          <w:tcPr>
            <w:tcW w:w="1360" w:type="dxa"/>
            <w:vAlign w:val="bottom"/>
          </w:tcPr>
          <w:p>
            <w:pPr>
              <w:spacing w:after="0"/>
              <w:rPr>
                <w:sz w:val="20"/>
                <w:szCs w:val="20"/>
                <w:color w:val="auto"/>
              </w:rPr>
            </w:pPr>
          </w:p>
        </w:tc>
        <w:tc>
          <w:tcPr>
            <w:tcW w:w="204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Scott J. DeBoer</w:t>
            </w:r>
          </w:p>
        </w:tc>
      </w:tr>
      <w:tr>
        <w:trPr>
          <w:trHeight w:val="270"/>
        </w:trPr>
        <w:tc>
          <w:tcPr>
            <w:tcW w:w="426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President and CEO</w:t>
            </w:r>
          </w:p>
        </w:tc>
        <w:tc>
          <w:tcPr>
            <w:tcW w:w="1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30"/>
        </w:trPr>
        <w:tc>
          <w:tcPr>
            <w:tcW w:w="172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w w:val="96"/>
              </w:rPr>
              <w:t>November 30, 2023</w:t>
            </w:r>
          </w:p>
        </w:tc>
        <w:tc>
          <w:tcPr>
            <w:tcW w:w="2540" w:type="dxa"/>
            <w:vAlign w:val="bottom"/>
            <w:gridSpan w:val="2"/>
          </w:tcPr>
          <w:p>
            <w:pPr>
              <w:spacing w:after="0"/>
              <w:rPr>
                <w:sz w:val="19"/>
                <w:szCs w:val="19"/>
                <w:color w:val="auto"/>
              </w:rPr>
            </w:pPr>
          </w:p>
        </w:tc>
        <w:tc>
          <w:tcPr>
            <w:tcW w:w="1360" w:type="dxa"/>
            <w:vAlign w:val="bottom"/>
          </w:tcPr>
          <w:p>
            <w:pPr>
              <w:spacing w:after="0"/>
              <w:rPr>
                <w:sz w:val="19"/>
                <w:szCs w:val="19"/>
                <w:color w:val="auto"/>
              </w:rPr>
            </w:pPr>
          </w:p>
        </w:tc>
        <w:tc>
          <w:tcPr>
            <w:tcW w:w="172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w w:val="96"/>
              </w:rPr>
              <w:t>November 30, 2023</w:t>
            </w:r>
          </w:p>
        </w:tc>
        <w:tc>
          <w:tcPr>
            <w:tcW w:w="320" w:type="dxa"/>
            <w:vAlign w:val="bottom"/>
          </w:tcPr>
          <w:p>
            <w:pPr>
              <w:spacing w:after="0"/>
              <w:rPr>
                <w:sz w:val="19"/>
                <w:szCs w:val="19"/>
                <w:color w:val="auto"/>
              </w:rPr>
            </w:pPr>
          </w:p>
        </w:tc>
      </w:tr>
      <w:tr>
        <w:trPr>
          <w:trHeight w:val="302"/>
        </w:trPr>
        <w:tc>
          <w:tcPr>
            <w:tcW w:w="4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Date</w:t>
            </w:r>
          </w:p>
        </w:tc>
        <w:tc>
          <w:tcPr>
            <w:tcW w:w="136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SEVERANCE AGREEMENT - 8</w:t>
      </w:r>
    </w:p>
    <w:p>
      <w:pPr>
        <w:sectPr>
          <w:pgSz w:w="11900" w:h="16838" w:orient="portrait"/>
          <w:cols w:equalWidth="0" w:num="1">
            <w:col w:w="11240"/>
          </w:cols>
          <w:pgMar w:left="320" w:top="1395" w:right="339" w:bottom="1440" w:gutter="0" w:footer="0" w:header="0"/>
        </w:sectPr>
      </w:pPr>
    </w:p>
    <w:bookmarkStart w:id="66" w:name="page67"/>
    <w:bookmarkEnd w:id="66"/>
    <w:p>
      <w:pPr>
        <w:ind w:left="5100"/>
        <w:spacing w:after="0"/>
        <w:rPr>
          <w:sz w:val="20"/>
          <w:szCs w:val="20"/>
          <w:color w:val="auto"/>
        </w:rPr>
      </w:pPr>
      <w:r>
        <w:rPr>
          <w:rFonts w:ascii="Times New Roman" w:cs="Times New Roman" w:eastAsia="Times New Roman" w:hAnsi="Times New Roman"/>
          <w:sz w:val="22"/>
          <w:szCs w:val="22"/>
          <w:color w:val="auto"/>
        </w:rPr>
        <w:t>Exhibit 1(b)</w:t>
      </w:r>
    </w:p>
    <w:p>
      <w:pPr>
        <w:spacing w:after="0" w:line="17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Special Defined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 the following terms shall have the meaning set forth below:</w:t>
      </w:r>
    </w:p>
    <w:p>
      <w:pPr>
        <w:spacing w:after="0" w:line="179" w:lineRule="exact"/>
        <w:rPr>
          <w:sz w:val="20"/>
          <w:szCs w:val="20"/>
          <w:color w:val="auto"/>
        </w:rPr>
      </w:pPr>
    </w:p>
    <w:p>
      <w:pPr>
        <w:ind w:left="640" w:hanging="632"/>
        <w:spacing w:after="0"/>
        <w:tabs>
          <w:tab w:leader="none" w:pos="6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means any of the following acts by the Officer, as determined by the Board:</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commission by the Officer of, or the Officer’s pleading guilty or nolo contendere to, a felony or a crime involving moral turpitude (including pleading guilty or nolo contendere to a felony or lesser charge which results from plea bargaining), whether or not such felony, crime or lesser offense is connected with the business of the Company or any of its affiliates;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Officer’s engaging in any other act of dishonesty, fraud, intentional misrepresentation, moral turpitude, illegality or harassment, whether or not such act was committed in connection with the business of the Company or any of its affiliates;</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willful and repeated failure by the Officer to follow the valid and lawful directives of the Board;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violation of the Company’s written policies;</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intentional misconduct by the Officer in connection with the Company and any of its affiliates’ businesses or relating to the Officer’s duties, or any willful violation of any laws, rules or regulations; or</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Officer’s material breach of any employment, severance, non- competition, non-solicitation, confidential information, or restrictive covenant agreement, or similar agreement, with the Company or an affiliate.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determination of the Board as to the existence of “Cause” shall be conclusive on the Officer and the Company.</w:t>
      </w:r>
    </w:p>
    <w:p>
      <w:pPr>
        <w:spacing w:after="0" w:line="179" w:lineRule="exact"/>
        <w:rPr>
          <w:sz w:val="20"/>
          <w:szCs w:val="20"/>
          <w:color w:val="auto"/>
        </w:rPr>
      </w:pPr>
    </w:p>
    <w:p>
      <w:pPr>
        <w:ind w:left="480" w:hanging="472"/>
        <w:spacing w:after="0"/>
        <w:tabs>
          <w:tab w:leader="none" w:pos="4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Control” means and includes the occurrence of any one of the following events:</w:t>
      </w:r>
    </w:p>
    <w:p>
      <w:pPr>
        <w:spacing w:after="0" w:line="179" w:lineRule="exact"/>
        <w:rPr>
          <w:rFonts w:ascii="Times New Roman" w:cs="Times New Roman" w:eastAsia="Times New Roman" w:hAnsi="Times New Roman"/>
          <w:sz w:val="22"/>
          <w:szCs w:val="22"/>
          <w:color w:val="auto"/>
        </w:rPr>
      </w:pPr>
    </w:p>
    <w:p>
      <w:pPr>
        <w:ind w:left="660" w:right="100" w:firstLine="644"/>
        <w:spacing w:after="0" w:line="211" w:lineRule="auto"/>
        <w:tabs>
          <w:tab w:leader="none" w:pos="1728"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effective date of the Agreement (the “Effective Date”), constitute the Board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provided, however,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is or becomes a “beneficial owner” (as defined in Rule 13d-3 under the Securities Exchange Act of 1934 (the “1934 Act”)), directly or indirectly, of either (A) 35% or more of the then-outstanding shares of common stock of the Company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SEVERANCE AGREEMENT - 9</w:t>
      </w:r>
    </w:p>
    <w:p>
      <w:pPr>
        <w:sectPr>
          <w:pgSz w:w="11900" w:h="16838" w:orient="portrait"/>
          <w:cols w:equalWidth="0" w:num="1">
            <w:col w:w="11240"/>
          </w:cols>
          <w:pgMar w:left="320" w:top="1395" w:right="339" w:bottom="1440" w:gutter="0" w:footer="0" w:header="0"/>
        </w:sectPr>
      </w:pPr>
    </w:p>
    <w:bookmarkStart w:id="67" w:name="page68"/>
    <w:bookmarkEnd w:id="67"/>
    <w:p>
      <w:pPr>
        <w:jc w:val="both"/>
        <w:ind w:left="660"/>
        <w:spacing w:after="0" w:line="213" w:lineRule="auto"/>
        <w:rPr>
          <w:sz w:val="20"/>
          <w:szCs w:val="20"/>
          <w:color w:val="auto"/>
        </w:rPr>
      </w:pPr>
      <w:r>
        <w:rPr>
          <w:rFonts w:ascii="Times New Roman" w:cs="Times New Roman" w:eastAsia="Times New Roman" w:hAnsi="Times New Roman"/>
          <w:sz w:val="22"/>
          <w:szCs w:val="22"/>
          <w:color w:val="auto"/>
        </w:rPr>
        <w:t>(“Company Common Stock”) or (B) securities of the Company representing 35% or more of the combined voting power of the Company’s then outstanding securities eligible to vote for the election of directors (the “Company Voting Securities”); provided, however, that for purposes of this subsection (b),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 below); or</w:t>
      </w:r>
    </w:p>
    <w:p>
      <w:pPr>
        <w:spacing w:after="0" w:line="156" w:lineRule="exact"/>
        <w:rPr>
          <w:sz w:val="20"/>
          <w:szCs w:val="20"/>
          <w:color w:val="auto"/>
        </w:rPr>
      </w:pPr>
    </w:p>
    <w:p>
      <w:pPr>
        <w:jc w:val="both"/>
        <w:ind w:left="660" w:firstLine="644"/>
        <w:spacing w:after="0" w:line="207" w:lineRule="auto"/>
        <w:tabs>
          <w:tab w:leader="none" w:pos="195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16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the shareholders of the Company of a complete liquidation or dissolution of the Company</w:t>
      </w:r>
    </w:p>
    <w:p>
      <w:pPr>
        <w:spacing w:after="0" w:line="179"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21"/>
          <w:szCs w:val="21"/>
          <w:color w:val="auto"/>
        </w:rPr>
        <w:t>For purposes of the foregoing Change in Control definition, (i) “Subsidiary” means any corporation, limited liability company, partnership or other entity of which a majority of the outstanding voting stock or voting power is beneficially owned directly or indirectly by the Company and (ii) “Person” means any individual, entity or group, within the meaning of Section 3(a)</w:t>
      </w:r>
    </w:p>
    <w:p>
      <w:pPr>
        <w:spacing w:after="0" w:line="2"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1934 Act and as used in Section 13(d)(3) or 14(d)(2) of the 1934 Act.</w:t>
      </w:r>
    </w:p>
    <w:p>
      <w:pPr>
        <w:spacing w:after="0" w:line="155"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means the Separation from Service of the Officer after the applicable authorized party under the long-term disability plan (the “LTD Plan”) maintained by the Company or its affiliate has provided written notification to the Human Resources Department that the Officer qualifies for disability benefits under the LTD Plan (a “Disability Notice”). If the Officer is not eligible for disability benefits under any applicable LTD Plan, then the Officer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SEVERANCE AGREEMENT - 10</w:t>
      </w:r>
    </w:p>
    <w:p>
      <w:pPr>
        <w:sectPr>
          <w:pgSz w:w="11900" w:h="16838" w:orient="portrait"/>
          <w:cols w:equalWidth="0" w:num="1">
            <w:col w:w="11240"/>
          </w:cols>
          <w:pgMar w:left="320" w:top="1395" w:right="339" w:bottom="1440" w:gutter="0" w:footer="0" w:header="0"/>
        </w:sectPr>
      </w:pPr>
    </w:p>
    <w:bookmarkStart w:id="68" w:name="page69"/>
    <w:bookmarkEnd w:id="68"/>
    <w:p>
      <w:pPr>
        <w:jc w:val="both"/>
        <w:spacing w:after="0" w:line="225" w:lineRule="auto"/>
        <w:rPr>
          <w:sz w:val="20"/>
          <w:szCs w:val="20"/>
          <w:color w:val="auto"/>
        </w:rPr>
      </w:pPr>
      <w:r>
        <w:rPr>
          <w:rFonts w:ascii="Times New Roman" w:cs="Times New Roman" w:eastAsia="Times New Roman" w:hAnsi="Times New Roman"/>
          <w:sz w:val="22"/>
          <w:szCs w:val="22"/>
          <w:color w:val="auto"/>
        </w:rPr>
        <w:t>shall not be able to incur a Disability termination under this Agreement. For purposes of the foregoing, the Officer shall be treated as terminating for Disability under this Agreement only if the Human Resources Department has received a copy of the Disability Notice before processing the Officer’s termination.</w:t>
      </w:r>
    </w:p>
    <w:p>
      <w:pPr>
        <w:spacing w:after="0" w:line="153" w:lineRule="exact"/>
        <w:rPr>
          <w:sz w:val="20"/>
          <w:szCs w:val="20"/>
          <w:color w:val="auto"/>
        </w:rPr>
      </w:pPr>
    </w:p>
    <w:p>
      <w:pPr>
        <w:jc w:val="both"/>
        <w:ind w:firstLine="656"/>
        <w:spacing w:after="0" w:line="212" w:lineRule="auto"/>
        <w:tabs>
          <w:tab w:leader="none" w:pos="129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Reason” means any of the following, without the Officer’s consent: (i) a material diminution in Officer’s base salary (other than an across-the-board reduction in base salary that affects all peer employees); (ii) a material diminution in Officer’s authority, duties, or responsibilities; or Company’s failure to nominate the Officer for election to the Board and to use its best efforts to have him elected or re-elected to the Board, as applicable; (iii) the relocation of Officer’s principal office to a location that is more than twenty-five (25) miles from the location of Officer’s principal office on the effective date of the Agreement; provided, however, that Good Reason shall not include (A) any relocation of Officer’s principal office which is proposed or initiated by Officer, (B) any relocation that results in Officer’s principal place office being closer to Officer’s then-current principal residence, or (C) any relocation as may be required or recommended governmental authorities, such as a stay-at-home order) or (iv) a material breach by Company of this Agreement or other written material obligation of the Company to the Officer.</w:t>
      </w:r>
    </w:p>
    <w:p>
      <w:pPr>
        <w:spacing w:after="0" w:line="145" w:lineRule="exact"/>
        <w:rPr>
          <w:sz w:val="20"/>
          <w:szCs w:val="20"/>
          <w:color w:val="auto"/>
        </w:rPr>
      </w:pPr>
    </w:p>
    <w:p>
      <w:pPr>
        <w:ind w:firstLine="648"/>
        <w:spacing w:after="0" w:line="230" w:lineRule="auto"/>
        <w:rPr>
          <w:sz w:val="20"/>
          <w:szCs w:val="20"/>
          <w:color w:val="auto"/>
        </w:rPr>
      </w:pPr>
      <w:r>
        <w:rPr>
          <w:rFonts w:ascii="Times New Roman" w:cs="Times New Roman" w:eastAsia="Times New Roman" w:hAnsi="Times New Roman"/>
          <w:sz w:val="22"/>
          <w:szCs w:val="22"/>
          <w:color w:val="auto"/>
        </w:rPr>
        <w:t>A termination by Officer shall not constitute termination for Good Reason unless Officer shall first have delivered to the Company written notice setting forth with specificity the occurrence deemed to give rise to a right to terminate for Good</w:t>
      </w:r>
    </w:p>
    <w:p>
      <w:pPr>
        <w:spacing w:after="0" w:line="211" w:lineRule="auto"/>
        <w:rPr>
          <w:sz w:val="20"/>
          <w:szCs w:val="20"/>
          <w:color w:val="auto"/>
        </w:rPr>
      </w:pPr>
      <w:r>
        <w:rPr>
          <w:rFonts w:ascii="Times New Roman" w:cs="Times New Roman" w:eastAsia="Times New Roman" w:hAnsi="Times New Roman"/>
          <w:sz w:val="22"/>
          <w:szCs w:val="22"/>
          <w:color w:val="auto"/>
        </w:rPr>
        <w:t>Reason (which notice must be given no later than ninety (90) days after the initial occurrence of such event) (the “Good Reason Notice”), and the Company has not taken action to correct, rescind or otherwise substantially reverse the occurrence</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2"/>
          <w:szCs w:val="22"/>
          <w:color w:val="auto"/>
        </w:rPr>
        <w:t>supporting termination for Good Reason as identified by Officer within thirty (30) days following its receipt of such Good Reason Notice. Officer’s date of termination for Good Reason must occur within a period of three hundred and sixty five</w:t>
      </w:r>
    </w:p>
    <w:p>
      <w:pPr>
        <w:spacing w:after="0" w:line="1" w:lineRule="exact"/>
        <w:rPr>
          <w:sz w:val="20"/>
          <w:szCs w:val="20"/>
          <w:color w:val="auto"/>
        </w:rPr>
      </w:pPr>
    </w:p>
    <w:p>
      <w:pPr>
        <w:ind w:left="560" w:hanging="552"/>
        <w:spacing w:after="0"/>
        <w:tabs>
          <w:tab w:leader="none" w:pos="5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initial occurrence of an event of Good Reason.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AGREEMENT - 11</w:t>
      </w:r>
    </w:p>
    <w:p>
      <w:pPr>
        <w:sectPr>
          <w:pgSz w:w="11900" w:h="16838" w:orient="portrait"/>
          <w:cols w:equalWidth="0" w:num="1">
            <w:col w:w="11240"/>
          </w:cols>
          <w:pgMar w:left="320" w:top="1395"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2"/>
          <w:szCs w:val="22"/>
          <w:color w:val="auto"/>
        </w:rPr>
        <w:t>Exhibit 5(a)</w:t>
      </w:r>
    </w:p>
    <w:p>
      <w:pPr>
        <w:jc w:val="center"/>
        <w:spacing w:after="0"/>
        <w:rPr>
          <w:sz w:val="20"/>
          <w:szCs w:val="20"/>
          <w:color w:val="auto"/>
        </w:rPr>
      </w:pPr>
      <w:r>
        <w:rPr>
          <w:rFonts w:ascii="Times New Roman" w:cs="Times New Roman" w:eastAsia="Times New Roman" w:hAnsi="Times New Roman"/>
          <w:sz w:val="22"/>
          <w:szCs w:val="22"/>
          <w:color w:val="auto"/>
        </w:rPr>
        <w:t>Compensation During the Transition Period</w:t>
      </w:r>
    </w:p>
    <w:p>
      <w:pPr>
        <w:spacing w:after="0" w:line="155" w:lineRule="exact"/>
        <w:rPr>
          <w:sz w:val="20"/>
          <w:szCs w:val="20"/>
          <w:color w:val="auto"/>
        </w:rPr>
      </w:pPr>
    </w:p>
    <w:p>
      <w:pPr>
        <w:ind w:left="600" w:hanging="527"/>
        <w:spacing w:after="0" w:line="236" w:lineRule="auto"/>
        <w:tabs>
          <w:tab w:leader="none" w:pos="5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 as of the date of the Officer’s Separation from Service paid bi-weekly on the Company’s normal payroll cycle as if the Officer had worked during the Transition Period, provided, however:</w:t>
      </w:r>
    </w:p>
    <w:p>
      <w:pPr>
        <w:spacing w:after="0" w:line="150" w:lineRule="exact"/>
        <w:rPr>
          <w:rFonts w:ascii="Times New Roman" w:cs="Times New Roman" w:eastAsia="Times New Roman" w:hAnsi="Times New Roman"/>
          <w:sz w:val="22"/>
          <w:szCs w:val="22"/>
          <w:color w:val="auto"/>
        </w:rPr>
      </w:pPr>
    </w:p>
    <w:p>
      <w:pPr>
        <w:jc w:val="both"/>
        <w:ind w:left="980" w:hanging="308"/>
        <w:spacing w:after="0" w:line="217" w:lineRule="auto"/>
        <w:tabs>
          <w:tab w:leader="none" w:pos="122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Officer or the Company terminated the Officer’s status as an officer of the Company but not as an employee prior to the date of the Officer’s Separation from Service, then the base salary payable pursuant to this subsection during the Transition Period shall be the greater of (1) the Officer’s base salary in effect immediately prior to the Officer’s loss of officer status or (2) the Officer’s base salary as of the date of the Officer’s Separation from Service; and</w:t>
      </w:r>
    </w:p>
    <w:p>
      <w:pPr>
        <w:spacing w:after="0" w:line="152" w:lineRule="exact"/>
        <w:rPr>
          <w:rFonts w:ascii="Times New Roman" w:cs="Times New Roman" w:eastAsia="Times New Roman" w:hAnsi="Times New Roman"/>
          <w:sz w:val="22"/>
          <w:szCs w:val="22"/>
          <w:color w:val="auto"/>
        </w:rPr>
      </w:pPr>
    </w:p>
    <w:p>
      <w:pPr>
        <w:jc w:val="both"/>
        <w:ind w:left="980" w:hanging="308"/>
        <w:spacing w:after="0" w:line="225" w:lineRule="auto"/>
        <w:tabs>
          <w:tab w:leader="none" w:pos="123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of the date of the Separation from Service the Officer’s base salary is subject to a temporary reduction in an effort to save costs, then the base salary payable pursuant to this subsection during the Transition Period shall be the Officer’s base salary immediately prior to such reduction.</w:t>
      </w:r>
    </w:p>
    <w:p>
      <w:pPr>
        <w:spacing w:after="0" w:line="152" w:lineRule="exact"/>
        <w:rPr>
          <w:rFonts w:ascii="Times New Roman" w:cs="Times New Roman" w:eastAsia="Times New Roman" w:hAnsi="Times New Roman"/>
          <w:sz w:val="22"/>
          <w:szCs w:val="22"/>
          <w:color w:val="auto"/>
        </w:rPr>
      </w:pPr>
    </w:p>
    <w:p>
      <w:pPr>
        <w:jc w:val="both"/>
        <w:ind w:left="980" w:hanging="308"/>
        <w:spacing w:after="0" w:line="220" w:lineRule="auto"/>
        <w:tabs>
          <w:tab w:leader="none" w:pos="1188"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for a Qualifying Termination of Employment after the Company’s fiscal 2023 that is not a Change of Control Qualifying Termination of Employment, the base salary payable pursuant to this subsection during the Transition Period will not be greater than the Officer’s base salary in effect for the Company’s fiscal, 2023 (determined without regard to the temporary reduction of base salary that occurred in fiscal 2023).</w:t>
      </w:r>
    </w:p>
    <w:p>
      <w:pPr>
        <w:spacing w:after="0" w:line="152" w:lineRule="exact"/>
        <w:rPr>
          <w:rFonts w:ascii="Times New Roman" w:cs="Times New Roman" w:eastAsia="Times New Roman" w:hAnsi="Times New Roman"/>
          <w:sz w:val="22"/>
          <w:szCs w:val="22"/>
          <w:color w:val="auto"/>
        </w:rPr>
      </w:pPr>
    </w:p>
    <w:p>
      <w:pPr>
        <w:ind w:left="580" w:hanging="507"/>
        <w:spacing w:after="0"/>
        <w:tabs>
          <w:tab w:leader="none" w:pos="5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executive bonus, subject to the following terms and conditions:</w:t>
      </w:r>
    </w:p>
    <w:p>
      <w:pPr>
        <w:spacing w:after="0" w:line="179" w:lineRule="exact"/>
        <w:rPr>
          <w:rFonts w:ascii="Times New Roman" w:cs="Times New Roman" w:eastAsia="Times New Roman" w:hAnsi="Times New Roman"/>
          <w:sz w:val="22"/>
          <w:szCs w:val="22"/>
          <w:color w:val="auto"/>
        </w:rPr>
      </w:pPr>
    </w:p>
    <w:p>
      <w:pPr>
        <w:jc w:val="both"/>
        <w:ind w:left="600"/>
        <w:spacing w:after="0" w:line="2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of the date of the Officer’s Separation from Service the Officer was a designated participant for an executive bonus plan performance period but the Board or a committee thereof has not yet taken action on any required goal achievement certification for such performance period, the Officer will be entitled to receive his or her executive bonus based on the performance so certified, at the same time and in the same manner as the continuing officers of the Company receive payment of their executive bonuses for such performance period, if and only if (A) any required certification thereof by the Board or a committee thereof occurs during the Transition Period, (B) the specified goals are achieved, as certified by the Board or a committee thereof, and (C) payment is made for such achievement pursuant to the terms and conditions of the bonus program to the other participating officers during the Transition Period; provided that, for a Qualifying Termination of Employment after the Company’s fiscal year 2023 that is not a Change of Control Qualifying Termination of Employment, any bonus payable pursuant to this subsection shall be calculated by multiplying (x) the Officer’s Unreduced 2023 Bonus Eligible Salary by (y) the Officer’s target percentage for the Company’s fiscal 2023 under the executive bonus plan by (z) the Company’s performance attainment for the applicable performance period as certified by the Board or a committee thereof.</w:t>
      </w:r>
    </w:p>
    <w:p>
      <w:pPr>
        <w:spacing w:after="0" w:line="160" w:lineRule="exact"/>
        <w:rPr>
          <w:rFonts w:ascii="Times New Roman" w:cs="Times New Roman" w:eastAsia="Times New Roman" w:hAnsi="Times New Roman"/>
          <w:sz w:val="22"/>
          <w:szCs w:val="22"/>
          <w:color w:val="auto"/>
        </w:rPr>
      </w:pPr>
    </w:p>
    <w:p>
      <w:pPr>
        <w:ind w:left="600"/>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 that receives a bonus pursuant to the terms of Section 5(b) shall not be entitled to receive an additional bonus pursuant to this Section 5(a)(ii).</w:t>
      </w:r>
    </w:p>
    <w:p>
      <w:pPr>
        <w:spacing w:after="0" w:line="150" w:lineRule="exact"/>
        <w:rPr>
          <w:rFonts w:ascii="Times New Roman" w:cs="Times New Roman" w:eastAsia="Times New Roman" w:hAnsi="Times New Roman"/>
          <w:sz w:val="22"/>
          <w:szCs w:val="22"/>
          <w:color w:val="auto"/>
        </w:rPr>
      </w:pPr>
    </w:p>
    <w:p>
      <w:pPr>
        <w:ind w:left="580" w:hanging="507"/>
        <w:spacing w:after="0"/>
        <w:tabs>
          <w:tab w:leader="none" w:pos="5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additional executive bonus for the Transition Period, subject to the following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SEVERANCE AGREEMENT - 12</w:t>
      </w:r>
    </w:p>
    <w:p>
      <w:pPr>
        <w:sectPr>
          <w:pgSz w:w="11900" w:h="16838" w:orient="portrait"/>
          <w:cols w:equalWidth="0" w:num="1">
            <w:col w:w="11240"/>
          </w:cols>
          <w:pgMar w:left="320" w:top="1382" w:right="339" w:bottom="1440" w:gutter="0" w:footer="0" w:header="0"/>
        </w:sectPr>
      </w:pPr>
    </w:p>
    <w:bookmarkStart w:id="70" w:name="page71"/>
    <w:bookmarkEnd w:id="70"/>
    <w:p>
      <w:pPr>
        <w:jc w:val="both"/>
        <w:ind w:left="600"/>
        <w:spacing w:after="0" w:line="208" w:lineRule="auto"/>
        <w:rPr>
          <w:sz w:val="20"/>
          <w:szCs w:val="20"/>
          <w:color w:val="auto"/>
        </w:rPr>
      </w:pPr>
      <w:r>
        <w:rPr>
          <w:rFonts w:ascii="Times New Roman" w:cs="Times New Roman" w:eastAsia="Times New Roman" w:hAnsi="Times New Roman"/>
          <w:sz w:val="22"/>
          <w:szCs w:val="22"/>
          <w:color w:val="auto"/>
        </w:rPr>
        <w:t>If as of the date of the Officer’s Separation from Service the Officer was a designated participant for an executive bonus plan, and the Board or a committee thereof designates a new performance period under an executive bonus plan covering similarly situated officers of the Company that begins after the Officer’s Separation from Service and coincides (in whole or in part) with the Transition Period, then the Officer will be entitled to receive an executive bonus for such performance period based on performance certified by the Board or a committee thereof, with the resulting amount prorated, if applicable, to reflect the total number of days in the performance period that fall within the Transition Period (relative to total days in the performance period), at the same time and in the same manner as the continuing officers of the Company receive payment of their executive bonuses for such performance period, if and only if (A) the specified goals are achieved, as certified by the Board or a committee thereof, and (B) payment is made for such achievement pursuant to the terms and conditions of the bonus program to the other participating officers; provided that, for a Qualifying Termination of Employment after the Company’s fiscal year 2023 that is not a Change of Control Qualifying Termination of Employment, any bonus payable pursuant to this subsection shall be calculated by multiplying (w) the Officer’s Unreduced 2023 Bonus Eligible Salary by (x) the Officer’s target percentage for the Company’s fiscal 2023 under the executive bonus plan by (y) the Company’s performance attainment for the applicable performance period as certified by the Board or a committee thereof by (z) a fraction equal to the total number of days in the performance period that fall within the Transition Period, divided by total days in the performance period.</w:t>
      </w:r>
    </w:p>
    <w:p>
      <w:pPr>
        <w:spacing w:after="0" w:line="164" w:lineRule="exact"/>
        <w:rPr>
          <w:sz w:val="20"/>
          <w:szCs w:val="20"/>
          <w:color w:val="auto"/>
        </w:rPr>
      </w:pPr>
    </w:p>
    <w:p>
      <w:pPr>
        <w:jc w:val="both"/>
        <w:ind w:left="600" w:hanging="527"/>
        <w:spacing w:after="0" w:line="211" w:lineRule="auto"/>
        <w:tabs>
          <w:tab w:leader="none" w:pos="5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“time-based” and/or “performance-based” options that have not previously become vested, the continued vesting and exercisability of any granted stock options in accordance with the terms of the applicable stock plan as if the Officer’s employment as an officer had continued during the Transition Period, provided, however, and for purposes of clarification, the parties agree that the Officer shall be entitled to vesting for the completion of “performance-based” goals hereunder if and only if the specified performance goal was achieved prior to or during the Transition Period and any required goal achievement certification for such performance goal has been made by the Board or a committee thereof, thereafter; provided that, if the Officer has experienced a Change of Control Qualifying Termination, all of such options will become fully vested (with any performance condition for which the performance period has not closed prior to such termination deemed achieved at target) effective upon the Release Date.</w:t>
      </w:r>
    </w:p>
    <w:p>
      <w:pPr>
        <w:spacing w:after="0" w:line="158" w:lineRule="exact"/>
        <w:rPr>
          <w:rFonts w:ascii="Times New Roman" w:cs="Times New Roman" w:eastAsia="Times New Roman" w:hAnsi="Times New Roman"/>
          <w:sz w:val="22"/>
          <w:szCs w:val="22"/>
          <w:color w:val="auto"/>
        </w:rPr>
      </w:pPr>
    </w:p>
    <w:p>
      <w:pPr>
        <w:jc w:val="both"/>
        <w:ind w:left="600" w:hanging="527"/>
        <w:spacing w:after="0" w:line="222" w:lineRule="auto"/>
        <w:tabs>
          <w:tab w:leader="none" w:pos="59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restricted stock awards, the lapse of any “time-based” and/or “performance-based” restrictions at the same time and in the same amounts such restrictions would have lapsed, if at all, in accordance with the terms of the applicable stock plan if the Officer’s employment as an officer had continued during the Transition Period, provided, however, and for purposes of clarification, the parties agree that the Officer shall be entitled to the lapse of “performance-based” restrictions hereunder if and only if the specified performance goal was achieved prior to or during the Transition Period and any required goal achievement certification for such performance goal has been made by the Board or a committee thereof, thereafter; provided that, if the Officer has experienced a Change of Control Qualifying Termination, all such time-based restrictions shall lapse (with any performance-based restrictions for which the performance period has not closed prior to such termination lapsing as if achieved at target) effective upon the Release Date.</w:t>
      </w:r>
    </w:p>
    <w:p>
      <w:pPr>
        <w:spacing w:after="0" w:line="149" w:lineRule="exact"/>
        <w:rPr>
          <w:rFonts w:ascii="Times New Roman" w:cs="Times New Roman" w:eastAsia="Times New Roman" w:hAnsi="Times New Roman"/>
          <w:sz w:val="21"/>
          <w:szCs w:val="21"/>
          <w:color w:val="auto"/>
        </w:rPr>
      </w:pPr>
    </w:p>
    <w:p>
      <w:pPr>
        <w:ind w:left="600" w:hanging="527"/>
        <w:spacing w:after="0" w:line="236" w:lineRule="auto"/>
        <w:tabs>
          <w:tab w:leader="none" w:pos="5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Participation and vesting in the Company’s RAM 401(k) Plan (or a successor or replacement plan) (the “401(k) Plan”) will cease pursuant to the terms of the 401(k) Plan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SEVERANCE AGREEMENT - 13</w:t>
      </w:r>
    </w:p>
    <w:p>
      <w:pPr>
        <w:sectPr>
          <w:pgSz w:w="11900" w:h="16838" w:orient="portrait"/>
          <w:cols w:equalWidth="0" w:num="1">
            <w:col w:w="11240"/>
          </w:cols>
          <w:pgMar w:left="320" w:top="1395" w:right="339" w:bottom="1440" w:gutter="0" w:footer="0" w:header="0"/>
        </w:sectPr>
      </w:pPr>
    </w:p>
    <w:bookmarkStart w:id="71" w:name="page72"/>
    <w:bookmarkEnd w:id="71"/>
    <w:p>
      <w:pPr>
        <w:jc w:val="both"/>
        <w:ind w:left="600" w:right="20"/>
        <w:spacing w:after="0" w:line="236" w:lineRule="auto"/>
        <w:rPr>
          <w:sz w:val="20"/>
          <w:szCs w:val="20"/>
          <w:color w:val="auto"/>
        </w:rPr>
      </w:pPr>
      <w:r>
        <w:rPr>
          <w:rFonts w:ascii="Times New Roman" w:cs="Times New Roman" w:eastAsia="Times New Roman" w:hAnsi="Times New Roman"/>
          <w:sz w:val="22"/>
          <w:szCs w:val="22"/>
          <w:color w:val="auto"/>
        </w:rPr>
        <w:t>(generally, the date of the Officer’s termination of employment) and’ standard termination options under the 401(k) Plan will apply.</w:t>
      </w:r>
    </w:p>
    <w:p>
      <w:pPr>
        <w:spacing w:after="0" w:line="150" w:lineRule="exact"/>
        <w:rPr>
          <w:sz w:val="20"/>
          <w:szCs w:val="20"/>
          <w:color w:val="auto"/>
        </w:rPr>
      </w:pPr>
    </w:p>
    <w:p>
      <w:pPr>
        <w:jc w:val="both"/>
        <w:ind w:left="600"/>
        <w:spacing w:after="0" w:line="224" w:lineRule="auto"/>
        <w:rPr>
          <w:sz w:val="20"/>
          <w:szCs w:val="20"/>
          <w:color w:val="auto"/>
        </w:rPr>
      </w:pPr>
      <w:r>
        <w:rPr>
          <w:rFonts w:ascii="Times New Roman" w:cs="Times New Roman" w:eastAsia="Times New Roman" w:hAnsi="Times New Roman"/>
          <w:sz w:val="21"/>
          <w:szCs w:val="21"/>
          <w:color w:val="auto"/>
        </w:rPr>
        <w:t>If the Officer is contributing to the 401(k) Plan at the date of the Officer’s Separation from Service and has not reached the maximum matching contribution for the 401(k) Plan year(s) covered by the Transition Period, then an amount equal to the difference between the Officer’s actual matching contribution and the amount of matching that the Officer would have received if the Officer had continued to defer his or her income into the 401(k) Plan for the Transition Period at the same rate as was in effect on the date of the Officer’s Separation from Service will be paid to the Officer. The payment, if any, will be calculated as though the Officer were 100% vested in such contribution, and will be paid within 60 days after the date of the Officer’s Separation from Service (or such later date as may be required by Section 9 of the Agreement); and</w:t>
      </w:r>
    </w:p>
    <w:p>
      <w:pPr>
        <w:spacing w:after="0" w:line="150" w:lineRule="exact"/>
        <w:rPr>
          <w:sz w:val="20"/>
          <w:szCs w:val="20"/>
          <w:color w:val="auto"/>
        </w:rPr>
      </w:pPr>
    </w:p>
    <w:p>
      <w:pPr>
        <w:jc w:val="both"/>
        <w:ind w:left="600" w:hanging="527"/>
        <w:spacing w:after="0" w:line="215" w:lineRule="auto"/>
        <w:tabs>
          <w:tab w:leader="none" w:pos="58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Officer’s participation, if applicable, will cease in the Company’s non-cash benefit plans (medical, dental, life, etc.) pursuant to the terms of the applicable plan (generally, the end of the calendar month which includes the date of the Officer’s termination of employment) unless the Officer properly elects to continue participation pursuant to any applicable COBRA continuation or conversion rights. The Officer may also be able to secure individual coverage with similar terms and conditions. It is the Officer’s responsibility to make any timely elections required and for the payment of premiums.</w:t>
      </w:r>
    </w:p>
    <w:p>
      <w:pPr>
        <w:spacing w:after="0" w:line="152" w:lineRule="exact"/>
        <w:rPr>
          <w:rFonts w:ascii="Times New Roman" w:cs="Times New Roman" w:eastAsia="Times New Roman" w:hAnsi="Times New Roman"/>
          <w:sz w:val="22"/>
          <w:szCs w:val="22"/>
          <w:color w:val="auto"/>
        </w:rPr>
      </w:pPr>
    </w:p>
    <w:p>
      <w:pPr>
        <w:jc w:val="both"/>
        <w:ind w:left="600"/>
        <w:spacing w:after="0" w:line="21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Regardless of the Officer’s election, to the extent the Officer was participating in the Company’s non-cash benefit plans on the date of the Officer’s Separation from Service, the Company will pay the Officer an amount equal to the difference in premiums between what the Officer would have paid as an employee during the Transition Period and what the Officer would have to pay during the Transition Period to continue coverage, based on rates in effect at the time of calculation for the region listed by the Company as the Officer’s work address. If COBRA rates are available, those rates will be used in the calculation, followed by any applicable conversion rate, and finally, in the absence of COBRA or conversion rates, by the cost of individual coverage with similar terms and conditions. The payment, if any, and will be paid within 60 days after the date of the Officer’s Separation from Service (or such later date as may be required by Section 9 of the Agreement).</w:t>
      </w:r>
    </w:p>
    <w:p>
      <w:pPr>
        <w:spacing w:after="0" w:line="158" w:lineRule="exact"/>
        <w:rPr>
          <w:sz w:val="20"/>
          <w:szCs w:val="20"/>
          <w:color w:val="auto"/>
        </w:rPr>
      </w:pPr>
    </w:p>
    <w:p>
      <w:pPr>
        <w:ind w:left="660" w:right="280"/>
        <w:spacing w:after="0" w:line="236" w:lineRule="auto"/>
        <w:rPr>
          <w:sz w:val="20"/>
          <w:szCs w:val="20"/>
          <w:color w:val="auto"/>
        </w:rPr>
      </w:pPr>
      <w:r>
        <w:rPr>
          <w:rFonts w:ascii="Times New Roman" w:cs="Times New Roman" w:eastAsia="Times New Roman" w:hAnsi="Times New Roman"/>
          <w:sz w:val="22"/>
          <w:szCs w:val="22"/>
          <w:color w:val="auto"/>
        </w:rPr>
        <w:t>Notwithstanding anything herein to the contrary, no compensation will be paid for the loss of any applicable short-term disability coverage.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SEVERANCE AGREEMENT - 14</w:t>
      </w:r>
    </w:p>
    <w:p>
      <w:pPr>
        <w:sectPr>
          <w:pgSz w:w="11900" w:h="16838" w:orient="portrait"/>
          <w:cols w:equalWidth="0" w:num="1">
            <w:col w:w="11240"/>
          </w:cols>
          <w:pgMar w:left="320" w:top="1395" w:right="339" w:bottom="1440" w:gutter="0" w:footer="0" w:header="0"/>
        </w:sectPr>
      </w:pPr>
    </w:p>
    <w:bookmarkStart w:id="72" w:name="page73"/>
    <w:bookmarkEnd w:id="72"/>
    <w:p>
      <w:pPr>
        <w:jc w:val="center"/>
        <w:ind w:right="-1100"/>
        <w:spacing w:after="0"/>
        <w:rPr>
          <w:sz w:val="20"/>
          <w:szCs w:val="20"/>
          <w:color w:val="auto"/>
        </w:rPr>
      </w:pPr>
      <w:r>
        <w:rPr>
          <w:rFonts w:ascii="Times New Roman" w:cs="Times New Roman" w:eastAsia="Times New Roman" w:hAnsi="Times New Roman"/>
          <w:sz w:val="22"/>
          <w:szCs w:val="22"/>
          <w:color w:val="auto"/>
        </w:rPr>
        <w:t>Appendix A</w:t>
      </w:r>
    </w:p>
    <w:p>
      <w:pPr>
        <w:spacing w:after="0" w:line="1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FORM OF RELEASE AGREEMENT</w:t>
      </w:r>
    </w:p>
    <w:p>
      <w:pPr>
        <w:spacing w:after="0" w:line="19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SEVERANCE AGREEMENT - 15</w:t>
      </w:r>
    </w:p>
    <w:p>
      <w:pPr>
        <w:sectPr>
          <w:pgSz w:w="11900" w:h="16838" w:orient="portrait"/>
          <w:cols w:equalWidth="0" w:num="1">
            <w:col w:w="10139"/>
          </w:cols>
          <w:pgMar w:left="320" w:top="1395" w:right="144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RELEASE</w:t>
      </w:r>
    </w:p>
    <w:p>
      <w:pPr>
        <w:spacing w:after="0" w:line="183" w:lineRule="exact"/>
        <w:rPr>
          <w:sz w:val="20"/>
          <w:szCs w:val="20"/>
          <w:color w:val="auto"/>
        </w:rPr>
      </w:pPr>
    </w:p>
    <w:p>
      <w:pPr>
        <w:ind w:right="660" w:firstLine="648"/>
        <w:spacing w:after="0" w:line="236" w:lineRule="auto"/>
        <w:rPr>
          <w:sz w:val="20"/>
          <w:szCs w:val="20"/>
          <w:color w:val="auto"/>
        </w:rPr>
      </w:pPr>
      <w:r>
        <w:rPr>
          <w:rFonts w:ascii="Times New Roman" w:cs="Times New Roman" w:eastAsia="Times New Roman" w:hAnsi="Times New Roman"/>
          <w:sz w:val="22"/>
          <w:szCs w:val="22"/>
          <w:color w:val="auto"/>
        </w:rPr>
        <w:t>This Release (the “Release”) is made and given by Scott J. DeBoer, an individual and Officer of the Company (the “Officer”), to Micron Technology, Inc., a Delaware corporation (the “Company”).</w:t>
      </w:r>
    </w:p>
    <w:p>
      <w:pPr>
        <w:spacing w:after="0" w:line="150"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22"/>
          <w:szCs w:val="22"/>
          <w:color w:val="auto"/>
        </w:rPr>
        <w:t>WHEREAS, the Officer accepted that certain Amended and Restated Severance Agreement from the Company effective October 10, 2023 (“Severance Agreement”);</w:t>
      </w:r>
    </w:p>
    <w:p>
      <w:pPr>
        <w:spacing w:after="0" w:line="150"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WHEREAS, the Officer and the Company have agreed to severance benefits under certain terms of separation as set forth in the Severance Agreement;</w:t>
      </w:r>
    </w:p>
    <w:p>
      <w:pPr>
        <w:spacing w:after="0" w:line="150" w:lineRule="exact"/>
        <w:rPr>
          <w:sz w:val="20"/>
          <w:szCs w:val="20"/>
          <w:color w:val="auto"/>
        </w:rPr>
      </w:pPr>
    </w:p>
    <w:p>
      <w:pPr>
        <w:ind w:left="660" w:right="1500"/>
        <w:spacing w:after="0" w:line="407" w:lineRule="auto"/>
        <w:rPr>
          <w:sz w:val="20"/>
          <w:szCs w:val="20"/>
          <w:color w:val="auto"/>
        </w:rPr>
      </w:pPr>
      <w:r>
        <w:rPr>
          <w:rFonts w:ascii="Times New Roman" w:cs="Times New Roman" w:eastAsia="Times New Roman" w:hAnsi="Times New Roman"/>
          <w:sz w:val="22"/>
          <w:szCs w:val="22"/>
          <w:color w:val="auto"/>
        </w:rPr>
        <w:t>WHEREAS, this Release is prepared to effectuate the release contemplated in the Severance Agreement; NOW THEREFORE, the Officer agrees to the following Release:</w:t>
      </w:r>
    </w:p>
    <w:p>
      <w:pPr>
        <w:spacing w:after="0" w:line="2" w:lineRule="exact"/>
        <w:rPr>
          <w:sz w:val="20"/>
          <w:szCs w:val="20"/>
          <w:color w:val="auto"/>
        </w:rPr>
      </w:pPr>
    </w:p>
    <w:p>
      <w:pPr>
        <w:ind w:firstLine="656"/>
        <w:spacing w:after="0" w:line="213"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 Release of Claims</w:t>
      </w:r>
      <w:r>
        <w:rPr>
          <w:rFonts w:ascii="Times New Roman" w:cs="Times New Roman" w:eastAsia="Times New Roman" w:hAnsi="Times New Roman"/>
          <w:sz w:val="22"/>
          <w:szCs w:val="22"/>
          <w:color w:val="auto"/>
        </w:rPr>
        <w:t>. In consideration of the Officer’s receipt of the consideration set forth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Severance Agreement, the Officer releases, waives and forever discharges the Company and its subsidiaries, affiliates, affiliated organizations, related companies, benefit plans and their fiduciaries and administrators, insurers, parent entities, predecessors, insurers, successors, assigns, directors, Board of Directors, managers, officers, employees, representatives, affiliates and agents (collectively “Releasees”) of and from all claims, demands, liabilities, suits, and causes of action Officer has or may have against any of the Releasees, on and before the date Officer signs this Release. This broad release of claims by the Officer includes, but is not limited to, any and all claims arising out of the Officer’s employment with and separation of employment from the Company as well as any and all allegations that the Company or any of the Releasees:</w:t>
      </w:r>
    </w:p>
    <w:p>
      <w:pPr>
        <w:spacing w:after="0" w:line="178" w:lineRule="exact"/>
        <w:rPr>
          <w:rFonts w:ascii="Times New Roman" w:cs="Times New Roman" w:eastAsia="Times New Roman" w:hAnsi="Times New Roman"/>
          <w:sz w:val="22"/>
          <w:szCs w:val="22"/>
          <w:color w:val="auto"/>
        </w:rPr>
      </w:pPr>
    </w:p>
    <w:p>
      <w:pPr>
        <w:ind w:left="1300" w:right="120" w:hanging="320"/>
        <w:spacing w:after="0" w:line="224" w:lineRule="auto"/>
        <w:tabs>
          <w:tab w:leader="none" w:pos="1288"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discriminated against, harassed, retaliated against, or otherwise violated any law with respect to the Officer on the basis of race, color, sex, gender, national origin, age (including any claim under the Age Discrimination in Employment Act, “ADEA”, the Older Workers’ Benefit Protection Act (“OWBPA”), 29 U.S.C. §§ 621 et. seq., and any state, country, local or other acts prohibiting discrimination), ancestry, disability, religion, pregnancy, sexual orientation, marital status, parental status, familial status, veteran status, source of income, entitlement to benefits, union activities, or any other status protected by local, state or federal laws, code sections, constitutions, regulations, ordinances, administrative determinations or rulings, or executive orders;</w:t>
      </w:r>
    </w:p>
    <w:p>
      <w:pPr>
        <w:spacing w:after="0" w:line="177" w:lineRule="exact"/>
        <w:rPr>
          <w:rFonts w:ascii="Times New Roman" w:cs="Times New Roman" w:eastAsia="Times New Roman" w:hAnsi="Times New Roman"/>
          <w:sz w:val="21"/>
          <w:szCs w:val="21"/>
          <w:color w:val="auto"/>
        </w:rPr>
      </w:pPr>
    </w:p>
    <w:p>
      <w:pPr>
        <w:ind w:left="1300" w:right="20" w:hanging="320"/>
        <w:spacing w:after="0" w:line="221" w:lineRule="auto"/>
        <w:tabs>
          <w:tab w:leader="none" w:pos="130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otherwise violated any local, state or federal law, code section, constitution, regulation, ordinance, administrative determination or ruling, or executive order, including but not limited to Title VII of the Civil Rights Act of 1964, as amended, the Civil Rights Act of 1866, 42 U.S.C. Section 1981, the Occupational Safety and Health Act, the Family and Medical Leave Act of 1993, the Americans with Disabilities Act, the Equal Pay Act, the False Claims Act, any waivable claims under the Fair Labor Standards Act, the Age Discrimination in Employment Act, the Older Worker Benefit Protection Act, the Employee Retirement Income Security Act of 1974, as amended, the Worker Adjustment and Retraining Notification Act (and any state law counterpart), Genetic Information Nondisclosure Act of 2008, 42 U.S.C. Sec. 2000ff et seq., any state, county, local or other acts prohibiting discrimination (including on the basis of race, color, religion, sex, gender, gender identity, gender expression, sexual orientation, marital status, national origin, ancestry, mental and physical disability, medical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RELEASE – Page 1 of 6</w:t>
      </w:r>
    </w:p>
    <w:p>
      <w:pPr>
        <w:sectPr>
          <w:pgSz w:w="11900" w:h="16838" w:orient="portrait"/>
          <w:cols w:equalWidth="0" w:num="1">
            <w:col w:w="11220"/>
          </w:cols>
          <w:pgMar w:left="320" w:top="1391" w:right="359" w:bottom="1440" w:gutter="0" w:footer="0" w:header="0"/>
        </w:sectPr>
      </w:pPr>
    </w:p>
    <w:bookmarkStart w:id="74" w:name="page75"/>
    <w:bookmarkEnd w:id="74"/>
    <w:p>
      <w:pPr>
        <w:ind w:left="1300" w:right="240"/>
        <w:spacing w:after="0" w:line="231" w:lineRule="auto"/>
        <w:rPr>
          <w:sz w:val="20"/>
          <w:szCs w:val="20"/>
          <w:color w:val="auto"/>
        </w:rPr>
      </w:pPr>
      <w:r>
        <w:rPr>
          <w:rFonts w:ascii="Times New Roman" w:cs="Times New Roman" w:eastAsia="Times New Roman" w:hAnsi="Times New Roman"/>
          <w:sz w:val="21"/>
          <w:szCs w:val="21"/>
          <w:color w:val="auto"/>
        </w:rPr>
        <w:t>condition, age, pregnancy, denial of medical and family care leave, or pregnancy disability leave, any other category or status protected by law, and/or retaliation for protesting illegal discrimination related to one of these categories), the Idaho Equal Pay Law, the Idaho Jury Duty Law, the Idaho Drug Testing Act, the Idaho Human Rights Act, the Idaho Wage Claim Act, and all other similar provisions from any other applicable states;</w:t>
      </w:r>
    </w:p>
    <w:p>
      <w:pPr>
        <w:spacing w:after="0" w:line="177" w:lineRule="exact"/>
        <w:rPr>
          <w:sz w:val="20"/>
          <w:szCs w:val="20"/>
          <w:color w:val="auto"/>
        </w:rPr>
      </w:pPr>
    </w:p>
    <w:p>
      <w:pPr>
        <w:ind w:left="1300" w:right="320" w:hanging="320"/>
        <w:spacing w:after="0" w:line="236" w:lineRule="auto"/>
        <w:tabs>
          <w:tab w:leader="none" w:pos="128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violated or breached personnel policies, handbooks, codes of conduct, any covenant of good faith and fair dealing, any contracts of employment, and/or any contracts;</w:t>
      </w:r>
    </w:p>
    <w:p>
      <w:pPr>
        <w:spacing w:after="0" w:line="177" w:lineRule="exact"/>
        <w:rPr>
          <w:rFonts w:ascii="Times New Roman" w:cs="Times New Roman" w:eastAsia="Times New Roman" w:hAnsi="Times New Roman"/>
          <w:sz w:val="22"/>
          <w:szCs w:val="22"/>
          <w:color w:val="auto"/>
        </w:rPr>
      </w:pPr>
    </w:p>
    <w:p>
      <w:pPr>
        <w:ind w:left="1300" w:right="20" w:hanging="320"/>
        <w:spacing w:after="0" w:line="217" w:lineRule="auto"/>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violated public policy or common law, including claims for personal injury; wrongful termination; invasion of privacy; constructive discharge; retaliatory discharge; negligent hiring, retention or supervision; defamation; intentional or negligent infliction of emotional distress and/or mental anguish or suffering; intentional interference with contract, negligence; detrimental reliance; loss of consortium to the Officer or to any member of the Officer’s family, and/or promissory estoppel; and</w:t>
      </w:r>
    </w:p>
    <w:p>
      <w:pPr>
        <w:spacing w:after="0" w:line="179" w:lineRule="exact"/>
        <w:rPr>
          <w:rFonts w:ascii="Times New Roman" w:cs="Times New Roman" w:eastAsia="Times New Roman" w:hAnsi="Times New Roman"/>
          <w:sz w:val="22"/>
          <w:szCs w:val="22"/>
          <w:color w:val="auto"/>
        </w:rPr>
      </w:pPr>
    </w:p>
    <w:p>
      <w:pPr>
        <w:jc w:val="both"/>
        <w:ind w:left="1300" w:right="440" w:hanging="320"/>
        <w:spacing w:after="0" w:line="236" w:lineRule="auto"/>
        <w:tabs>
          <w:tab w:leader="none" w:pos="128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in any way obligated for any reason to pay the Officer damages, expenses, litigation costs, attorneys’ fees, wages, front pay, back pay, fringe benefits, compensation, bonuses, commissions, severance pay, disability or other benefits, vacation pay and sick pay, compensatory damages, punitive damages, and/or interest.</w:t>
      </w:r>
    </w:p>
    <w:p>
      <w:pPr>
        <w:spacing w:after="0" w:line="148" w:lineRule="exact"/>
        <w:rPr>
          <w:sz w:val="20"/>
          <w:szCs w:val="20"/>
          <w:color w:val="auto"/>
        </w:rPr>
      </w:pPr>
    </w:p>
    <w:p>
      <w:pPr>
        <w:ind w:right="480"/>
        <w:spacing w:after="0" w:line="227" w:lineRule="auto"/>
        <w:rPr>
          <w:sz w:val="20"/>
          <w:szCs w:val="20"/>
          <w:color w:val="auto"/>
        </w:rPr>
      </w:pPr>
      <w:r>
        <w:rPr>
          <w:rFonts w:ascii="Times New Roman" w:cs="Times New Roman" w:eastAsia="Times New Roman" w:hAnsi="Times New Roman"/>
          <w:sz w:val="22"/>
          <w:szCs w:val="22"/>
          <w:b w:val="1"/>
          <w:bCs w:val="1"/>
          <w:u w:val="single" w:color="auto"/>
          <w:color w:val="auto"/>
        </w:rPr>
        <w:t>This is a General Release and releases all claims of any kind, including claims the Officer may not know about. The Officer understands and agrees that the Officer is hereby releasing all claims the Officer has or may have against the Company or any of the Releasees on or before the date the Officer signs this Release.</w:t>
      </w:r>
    </w:p>
    <w:p>
      <w:pPr>
        <w:spacing w:after="0" w:line="146" w:lineRule="exact"/>
        <w:rPr>
          <w:sz w:val="20"/>
          <w:szCs w:val="20"/>
          <w:color w:val="auto"/>
        </w:rPr>
      </w:pPr>
    </w:p>
    <w:p>
      <w:pPr>
        <w:ind w:right="100" w:firstLine="656"/>
        <w:spacing w:after="0" w:line="221"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Release of Unknown Claims</w:t>
      </w:r>
      <w:r>
        <w:rPr>
          <w:rFonts w:ascii="Times New Roman" w:cs="Times New Roman" w:eastAsia="Times New Roman" w:hAnsi="Times New Roman"/>
          <w:sz w:val="22"/>
          <w:szCs w:val="22"/>
          <w:color w:val="auto"/>
        </w:rPr>
        <w:t>. For the purpose of implementing a full and complete release, the Officer expressly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and agrees that this Release resolves all legal claims the Officer may have against the Company or any of the Releasees as of the date of this Release, including but not limited to claims that Officer did not know or suspect to exist in the Officer’s favor at the time of the effective date of this Release.</w:t>
      </w:r>
    </w:p>
    <w:p>
      <w:pPr>
        <w:spacing w:after="0" w:line="152" w:lineRule="exact"/>
        <w:rPr>
          <w:sz w:val="20"/>
          <w:szCs w:val="20"/>
          <w:color w:val="auto"/>
        </w:rPr>
      </w:pPr>
    </w:p>
    <w:p>
      <w:pPr>
        <w:ind w:right="100" w:firstLine="648"/>
        <w:spacing w:after="0" w:line="215" w:lineRule="auto"/>
        <w:rPr>
          <w:sz w:val="20"/>
          <w:szCs w:val="20"/>
          <w:color w:val="auto"/>
        </w:rPr>
      </w:pPr>
      <w:r>
        <w:rPr>
          <w:rFonts w:ascii="Times New Roman" w:cs="Times New Roman" w:eastAsia="Times New Roman" w:hAnsi="Times New Roman"/>
          <w:sz w:val="22"/>
          <w:szCs w:val="22"/>
          <w:color w:val="auto"/>
        </w:rPr>
        <w:t>The Officer further acknowledges that the Officer is aware facts may later be discovered which are in addition to, or different from, those which the Officer now knows or believes to be true with respect to the subject matter of this Release. However, the Officer understands and acknowledges that it is the Officer’s intention to fully, finally and forever to release all claims against the Company or any of the Releasees which now exist, or may have existed before, or may hereafter exist, regardless of whether such claims are known or unknown, or suspected or unsuspected, and without regard to the later discovery or existence of such different additional facts.</w:t>
      </w:r>
    </w:p>
    <w:p>
      <w:pPr>
        <w:spacing w:after="0" w:line="15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Additionally, if any claim is not subject to release, to the extent permitted by law, the Officer waives any right or ability to bring or join a class or collective action, to serve as class or collective representative, or to otherwise participate in any putative or certified class, collective or multi-party action. In other words, this is intended to be a general release of all claims, which shall be read as broadly as permitted by law.</w:t>
      </w:r>
    </w:p>
    <w:p>
      <w:pPr>
        <w:spacing w:after="0" w:line="148" w:lineRule="exact"/>
        <w:rPr>
          <w:sz w:val="20"/>
          <w:szCs w:val="20"/>
          <w:color w:val="auto"/>
        </w:rPr>
      </w:pPr>
    </w:p>
    <w:p>
      <w:pPr>
        <w:ind w:left="1300" w:hanging="644"/>
        <w:spacing w:after="0"/>
        <w:tabs>
          <w:tab w:leader="none" w:pos="130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Exclusions from General Release</w:t>
      </w:r>
      <w:r>
        <w:rPr>
          <w:rFonts w:ascii="Times New Roman" w:cs="Times New Roman" w:eastAsia="Times New Roman" w:hAnsi="Times New Roman"/>
          <w:sz w:val="21"/>
          <w:szCs w:val="21"/>
          <w:color w:val="auto"/>
        </w:rPr>
        <w:t>. Matters excluded from the General Release of Claims in Section 1 above are</w:t>
      </w:r>
    </w:p>
    <w:p>
      <w:pPr>
        <w:spacing w:after="0" w:line="2" w:lineRule="exact"/>
        <w:rPr>
          <w:rFonts w:ascii="Times New Roman" w:cs="Times New Roman" w:eastAsia="Times New Roman" w:hAnsi="Times New Roman"/>
          <w:sz w:val="21"/>
          <w:szCs w:val="21"/>
          <w:color w:val="auto"/>
        </w:rPr>
      </w:pPr>
    </w:p>
    <w:p>
      <w:pPr>
        <w:ind w:right="480" w:firstLine="8"/>
        <w:spacing w:after="0" w:line="225" w:lineRule="auto"/>
        <w:tabs>
          <w:tab w:leader="none" w:pos="25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claims or rights which cannot be waived by law, (ii) any vested pension or retirement benefits or other benefits under employee benefit plans in which the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RELEASE – Page 2 of 6</w:t>
      </w:r>
    </w:p>
    <w:p>
      <w:pPr>
        <w:sectPr>
          <w:pgSz w:w="11900" w:h="16838" w:orient="portrait"/>
          <w:cols w:equalWidth="0" w:num="1">
            <w:col w:w="11220"/>
          </w:cols>
          <w:pgMar w:left="320" w:top="1395"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1"/>
          <w:szCs w:val="21"/>
          <w:color w:val="auto"/>
        </w:rPr>
        <w:t>Officer participated and has a right to benefit, (iii) rights to enforce the Company’s obligations under the Severance Agreement,</w:t>
      </w:r>
    </w:p>
    <w:p>
      <w:pPr>
        <w:ind w:firstLine="8"/>
        <w:spacing w:after="0" w:line="208" w:lineRule="auto"/>
        <w:tabs>
          <w:tab w:leader="none" w:pos="36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as a shareholder of the Company, and (v) the Officer’s rights to indemnification and D&amp;O insurance coverage. Also excluded from the General Release is the Officer’s right to file a charge with an administrative agency or participate in an agency investigation, and nothing in this Release limits the Officer’s right to receive money for providing information to a government agency as set forth in Section 4 below. However, except for any claim or charge filed with the Securities Exchange Commission, Federal Trade Commission, or as otherwise prohibited by law, the Officer is waiving the right to receive individual relief (including without limitation back pay, front pay, reinstatement or other legal or equitable relief) based on claims asserted in any such charge or complaint of employment discrimination, harassment, and/or retaliation filed by the Officer or any other individual with the Equal Employment Opportunity Commission, National Labor Relations Board, Department of Labor, Idaho Human Rights Commission, or other similar state agencies responsible for enforcement of employment laws, or by any of these agencies on Officer’s behalf involving the Company. Further, nothing in this Agreement prohibits the disclosure of factual information relating to claims of sexual assault, sexual harassment, harassment or discrimination based on sex, or retaliation for filing a claim of sexual harassment.</w:t>
      </w:r>
    </w:p>
    <w:p>
      <w:pPr>
        <w:spacing w:after="0" w:line="176" w:lineRule="exact"/>
        <w:rPr>
          <w:rFonts w:ascii="Times New Roman" w:cs="Times New Roman" w:eastAsia="Times New Roman" w:hAnsi="Times New Roman"/>
          <w:sz w:val="22"/>
          <w:szCs w:val="22"/>
          <w:color w:val="auto"/>
        </w:rPr>
      </w:pPr>
    </w:p>
    <w:p>
      <w:pPr>
        <w:ind w:firstLine="656"/>
        <w:spacing w:after="0" w:line="209" w:lineRule="auto"/>
        <w:tabs>
          <w:tab w:leader="none" w:pos="1296"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Governmental Reporting/Testimony</w:t>
      </w:r>
      <w:r>
        <w:rPr>
          <w:rFonts w:ascii="Times New Roman" w:cs="Times New Roman" w:eastAsia="Times New Roman" w:hAnsi="Times New Roman"/>
          <w:sz w:val="22"/>
          <w:szCs w:val="22"/>
          <w:color w:val="auto"/>
        </w:rPr>
        <w:t>. The Officer understands that nothing in this Release is intended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interfere with or discourage Officer’s good faith disclosure to any governmental entity related to a suspected violation of the law. Further, nothing in this Agreement waives your right to testify in an administrative, legislative, or judicial proceeding concerning alleged criminal conduct or sexual harassment, when you have been required or requested to attend the proceeding pursuant to a court order, subpoena, or written request from an administrative agency or the legislature. The Officer understands that Officer cannot and will not be held criminally or civilly liable under any federal or state trade secret law for disclosing otherwise protected trade secrets and/or confidential or proprietary information so long as the disclosure is made in: (1) confidence to a federal, state, or local government official, directly or indirectly, or to an attorney and solely for the purpose of reporting or investigating a suspected violation of law; or (2) a complaint or other document filed in a lawsuit or other proceeding, so long as such filing is made under seal. The Officer further understands that the Company will not retaliate against Officer in any way for a disclosure made pursuant to this Section 4. Further, in the event the Office makes such a disclosure, and files a lawsuit against the Company alleging that the Company retaliated against Officer because of Officer’s disclosure, the Officer understands that Officer may disclose the relevant trade secret or confidential information to Officer’s attorney, and may use the same in the court proceeding only if: (1) Officer ensures that any court filing that includes the trade secret or confidential information at issue is made under seal; and (2) Officer does not otherwise disclose the trade secret or confidential information except as required by court order.</w:t>
      </w:r>
    </w:p>
    <w:p>
      <w:pPr>
        <w:spacing w:after="0" w:line="174" w:lineRule="exact"/>
        <w:rPr>
          <w:rFonts w:ascii="Times New Roman" w:cs="Times New Roman" w:eastAsia="Times New Roman" w:hAnsi="Times New Roman"/>
          <w:sz w:val="22"/>
          <w:szCs w:val="22"/>
          <w:color w:val="auto"/>
        </w:rPr>
      </w:pPr>
    </w:p>
    <w:p>
      <w:pPr>
        <w:ind w:right="160" w:firstLine="656"/>
        <w:spacing w:after="0" w:line="216" w:lineRule="auto"/>
        <w:tabs>
          <w:tab w:leader="none" w:pos="1296"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Charges and Complaints</w:t>
      </w:r>
      <w:r>
        <w:rPr>
          <w:rFonts w:ascii="Times New Roman" w:cs="Times New Roman" w:eastAsia="Times New Roman" w:hAnsi="Times New Roman"/>
          <w:sz w:val="22"/>
          <w:szCs w:val="22"/>
          <w:color w:val="auto"/>
        </w:rPr>
        <w:t>. The Officer represents and warrants that the Officer has not filed any complaints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charges against the Company or any other Releasee with any local, state or federal agency or court and is currently unaware of any set of facts that would give rise to such a complaint or charge. The Officer agrees to indemnify and hold the Company harmless from any breach of the representation and warranty contained in this Section 5 of this Agreement. This Section 5 does not apply to any claim or charge filed with the Securities Exchange Commission, Federal Trade Commission, or as otherwise prohibited by law.</w:t>
      </w:r>
    </w:p>
    <w:p>
      <w:pPr>
        <w:spacing w:after="0" w:line="172" w:lineRule="exact"/>
        <w:rPr>
          <w:rFonts w:ascii="Times New Roman" w:cs="Times New Roman" w:eastAsia="Times New Roman" w:hAnsi="Times New Roman"/>
          <w:sz w:val="22"/>
          <w:szCs w:val="22"/>
          <w:color w:val="auto"/>
        </w:rPr>
      </w:pPr>
    </w:p>
    <w:p>
      <w:pPr>
        <w:ind w:firstLine="656"/>
        <w:spacing w:after="0" w:line="218" w:lineRule="auto"/>
        <w:tabs>
          <w:tab w:leader="none" w:pos="1296"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The Officer agrees to pay any local, state or federal taxes due in connection with the payments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paid to Officer pursuant to the Severance Agreement, and agrees to indemnify and hold the Company and its subsidiaries and affiliates harmless from any tax, interest, penalty or other sum sought, imposed or assessed against the Company and its subsidiaries and affiliates by any taxing authority in connection with the payment of any amounts pursuant to the Severance Agreement.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RELEASE – Page 3 of 6</w:t>
      </w:r>
    </w:p>
    <w:p>
      <w:pPr>
        <w:sectPr>
          <w:pgSz w:w="11900" w:h="16838" w:orient="portrait"/>
          <w:cols w:equalWidth="0" w:num="1">
            <w:col w:w="11180"/>
          </w:cols>
          <w:pgMar w:left="320" w:top="1393" w:right="399" w:bottom="1440" w:gutter="0" w:footer="0" w:header="0"/>
        </w:sectPr>
      </w:pPr>
    </w:p>
    <w:bookmarkStart w:id="76" w:name="page77"/>
    <w:bookmarkEnd w:id="76"/>
    <w:p>
      <w:pPr>
        <w:spacing w:after="0" w:line="194" w:lineRule="exact"/>
        <w:rPr>
          <w:sz w:val="20"/>
          <w:szCs w:val="20"/>
          <w:color w:val="auto"/>
        </w:rPr>
      </w:pPr>
    </w:p>
    <w:p>
      <w:pPr>
        <w:ind w:right="60" w:firstLine="656"/>
        <w:spacing w:after="0" w:line="213" w:lineRule="auto"/>
        <w:tabs>
          <w:tab w:leader="none" w:pos="12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Return of the Company Property</w:t>
      </w:r>
      <w:r>
        <w:rPr>
          <w:rFonts w:ascii="Times New Roman" w:cs="Times New Roman" w:eastAsia="Times New Roman" w:hAnsi="Times New Roman"/>
          <w:sz w:val="22"/>
          <w:szCs w:val="22"/>
          <w:color w:val="auto"/>
        </w:rPr>
        <w:t>. The Officer represents and warrants that Officer has delivered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all devices, documents and data of any nature containing, or pertaining to, any confidential, proprietary information or trade secrets (including all of the Company’s confidential information, technical information, business information, customer lists, tax, financial or proprietary knowledge and any such information Officer obtained while employed by the Company) and that neither Officer nor any of Officer’s agents or representatives have taken or retained any such documents or data or any reproduction thereof. The Officer further agrees that Officer will not, at any time, disclose or use any such information, except as may be required by court order or subpoena. The Officer also acknowledges the Company’s right to enforce this Section 7 of this Release in any court of competent jurisdiction.</w:t>
      </w:r>
    </w:p>
    <w:p>
      <w:pPr>
        <w:spacing w:after="0" w:line="174" w:lineRule="exact"/>
        <w:rPr>
          <w:rFonts w:ascii="Times New Roman" w:cs="Times New Roman" w:eastAsia="Times New Roman" w:hAnsi="Times New Roman"/>
          <w:sz w:val="22"/>
          <w:szCs w:val="22"/>
          <w:color w:val="auto"/>
        </w:rPr>
      </w:pPr>
    </w:p>
    <w:p>
      <w:pPr>
        <w:ind w:right="120" w:firstLine="656"/>
        <w:spacing w:after="0" w:line="220" w:lineRule="auto"/>
        <w:tabs>
          <w:tab w:leader="none" w:pos="1296"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Nondisparagement</w:t>
      </w:r>
      <w:r>
        <w:rPr>
          <w:rFonts w:ascii="Times New Roman" w:cs="Times New Roman" w:eastAsia="Times New Roman" w:hAnsi="Times New Roman"/>
          <w:sz w:val="21"/>
          <w:szCs w:val="21"/>
          <w:color w:val="auto"/>
        </w:rPr>
        <w:t>. The parties agree that the Officer, on the one hand, and the Company and its directors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officers, on the other, will not disparage, volunteer or provide information, make statements, or news or press releases about (i) any alleged improper or unlawful acts or omissions of either party or any of the Releasees concerning Officer’s employment, the end or termination of Officer’s employment, or other matters arising before, during or after Officer’s employment with the Company; nor (ii) will the Officer disparage the Company or its products, services, vendors, parents, subsidiaries, divisions, successors or assigns, or any person acting by, through, under or in concert with any of them, and any of their current and former shareholders, officers, directors, agents, attorneys or employees, with any written or oral statement. For avoidance of doubt, nothing in this Agreement shall be construed to deny Officer’s right to disclose information about unlawful acts in the workplace, including but not limited to sexual harassment. In addition, nothing contained herein shall be construed to prevent Officer from providing truthful testimony to any court or administrative agency pursuant to subpoena or other compulsory legal process (other than as part of a proceeding initiated by Officer in violation of this Agreement), or from notifying the proper law enforcement authorities if Officer reasonably and in good faith concludes that the Company is violating laws enacted for the protection of corporate shareholders, investors, employees, or the general public.</w:t>
      </w:r>
    </w:p>
    <w:p>
      <w:pPr>
        <w:spacing w:after="0" w:line="173"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Additional Acknowledgments by the Officer</w:t>
      </w:r>
      <w:r>
        <w:rPr>
          <w:rFonts w:ascii="Times New Roman" w:cs="Times New Roman" w:eastAsia="Times New Roman" w:hAnsi="Times New Roman"/>
          <w:sz w:val="22"/>
          <w:szCs w:val="22"/>
          <w:color w:val="auto"/>
        </w:rPr>
        <w:t>. The Officer also acknowledges and agrees that:</w:t>
      </w:r>
    </w:p>
    <w:p>
      <w:pPr>
        <w:spacing w:after="0" w:line="210"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Officer is entering into this Release knowingly and voluntarily;</w:t>
      </w:r>
    </w:p>
    <w:p>
      <w:pPr>
        <w:spacing w:after="0" w:line="206" w:lineRule="exact"/>
        <w:rPr>
          <w:rFonts w:ascii="Times New Roman" w:cs="Times New Roman" w:eastAsia="Times New Roman" w:hAnsi="Times New Roman"/>
          <w:sz w:val="22"/>
          <w:szCs w:val="22"/>
          <w:color w:val="auto"/>
        </w:rPr>
      </w:pPr>
    </w:p>
    <w:p>
      <w:pPr>
        <w:ind w:left="1300" w:right="120" w:hanging="320"/>
        <w:spacing w:after="0" w:line="236" w:lineRule="auto"/>
        <w:tabs>
          <w:tab w:leader="none" w:pos="130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hereby advising the Officer in writing to consult with an attorney before signing this Release and has had a reasonable opportunity to do so prior to executing this Release;</w:t>
      </w:r>
    </w:p>
    <w:p>
      <w:pPr>
        <w:spacing w:after="0" w:line="177" w:lineRule="exact"/>
        <w:rPr>
          <w:rFonts w:ascii="Times New Roman" w:cs="Times New Roman" w:eastAsia="Times New Roman" w:hAnsi="Times New Roman"/>
          <w:sz w:val="22"/>
          <w:szCs w:val="22"/>
          <w:color w:val="auto"/>
        </w:rPr>
      </w:pPr>
    </w:p>
    <w:p>
      <w:pPr>
        <w:ind w:left="1300" w:right="300" w:hanging="320"/>
        <w:spacing w:after="0" w:line="225" w:lineRule="auto"/>
        <w:tabs>
          <w:tab w:leader="none" w:pos="128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Officer understands Officer may take up to twenty-one (21) days (or up to forty-five (45) days, if the Release is executed in conjunction with a group termination or an exit incentive program) to consider this Release before signing it;</w:t>
      </w:r>
    </w:p>
    <w:p>
      <w:pPr>
        <w:spacing w:after="0" w:line="179" w:lineRule="exact"/>
        <w:rPr>
          <w:rFonts w:ascii="Times New Roman" w:cs="Times New Roman" w:eastAsia="Times New Roman" w:hAnsi="Times New Roman"/>
          <w:sz w:val="22"/>
          <w:szCs w:val="22"/>
          <w:color w:val="auto"/>
        </w:rPr>
      </w:pPr>
    </w:p>
    <w:p>
      <w:pPr>
        <w:ind w:left="1300" w:right="140" w:hanging="320"/>
        <w:spacing w:after="0" w:line="217" w:lineRule="auto"/>
        <w:tabs>
          <w:tab w:leader="none" w:pos="130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contains the entire understanding of the Officer and the Company concerning the subjects it covers and it supersedes all prior understandings and representations, provided, however, nothing in this Release affects any post-employment restrictive covenants (including, but not limited to, non-disclosure, non-solicitation, and non-compete) or intellectual property assignment agreements the Officer may have signed, which shall remain in full force and effect;</w:t>
      </w:r>
    </w:p>
    <w:p>
      <w:pPr>
        <w:spacing w:after="0" w:line="179" w:lineRule="exact"/>
        <w:rPr>
          <w:rFonts w:ascii="Times New Roman" w:cs="Times New Roman" w:eastAsia="Times New Roman" w:hAnsi="Times New Roman"/>
          <w:sz w:val="22"/>
          <w:szCs w:val="22"/>
          <w:color w:val="auto"/>
        </w:rPr>
      </w:pPr>
    </w:p>
    <w:p>
      <w:pPr>
        <w:ind w:left="1300" w:hanging="320"/>
        <w:spacing w:after="0" w:line="225" w:lineRule="auto"/>
        <w:tabs>
          <w:tab w:leader="none" w:pos="128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may not be modified or supplemented except by a subsequent written agreement signed by the Officer and the Company’s Senior Vice President of Human Resources and Chief People Officer (or other authorized officer of Micron);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RELEASE – Page 4 of 6</w:t>
      </w:r>
    </w:p>
    <w:p>
      <w:pPr>
        <w:sectPr>
          <w:pgSz w:w="11900" w:h="16838" w:orient="portrait"/>
          <w:cols w:equalWidth="0" w:num="1">
            <w:col w:w="11220"/>
          </w:cols>
          <w:pgMar w:left="320" w:top="1440" w:right="359" w:bottom="1440" w:gutter="0" w:footer="0" w:header="0"/>
        </w:sectPr>
      </w:pPr>
    </w:p>
    <w:bookmarkStart w:id="77" w:name="page78"/>
    <w:bookmarkEnd w:id="77"/>
    <w:p>
      <w:pPr>
        <w:spacing w:after="0" w:line="198" w:lineRule="exact"/>
        <w:rPr>
          <w:sz w:val="20"/>
          <w:szCs w:val="20"/>
          <w:color w:val="auto"/>
        </w:rPr>
      </w:pPr>
    </w:p>
    <w:p>
      <w:pPr>
        <w:ind w:left="1300" w:hanging="320"/>
        <w:spacing w:after="0"/>
        <w:tabs>
          <w:tab w:leader="none" w:pos="130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Officer has not assigned any rights or claims being released by this Release to any other person or entity; and</w:t>
      </w:r>
    </w:p>
    <w:p>
      <w:pPr>
        <w:spacing w:after="0" w:line="206" w:lineRule="exact"/>
        <w:rPr>
          <w:rFonts w:ascii="Times New Roman" w:cs="Times New Roman" w:eastAsia="Times New Roman" w:hAnsi="Times New Roman"/>
          <w:sz w:val="22"/>
          <w:szCs w:val="22"/>
          <w:color w:val="auto"/>
        </w:rPr>
      </w:pPr>
    </w:p>
    <w:p>
      <w:pPr>
        <w:ind w:left="1300" w:hanging="320"/>
        <w:spacing w:after="0" w:line="220" w:lineRule="auto"/>
        <w:tabs>
          <w:tab w:leader="none" w:pos="130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Officer is giving up the right to file a claim for age discrimination under the Age Discrimination in Employment Act, “ADEA” and the Older Workers’ Benefit Protection Act (“OWBPA”), 29 U.S.C. §§ 621 et. seq., based on events and actions (or inactions) pre-dating the execution of this Agreement (claims arising after the execution of this Agreement are not waived).</w:t>
      </w:r>
    </w:p>
    <w:p>
      <w:pPr>
        <w:spacing w:after="0" w:line="175" w:lineRule="exact"/>
        <w:rPr>
          <w:rFonts w:ascii="Times New Roman" w:cs="Times New Roman" w:eastAsia="Times New Roman" w:hAnsi="Times New Roman"/>
          <w:sz w:val="22"/>
          <w:szCs w:val="22"/>
          <w:color w:val="auto"/>
        </w:rPr>
      </w:pPr>
    </w:p>
    <w:p>
      <w:pPr>
        <w:ind w:right="40" w:firstLine="656"/>
        <w:spacing w:after="0" w:line="210"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Expiration and Return</w:t>
      </w:r>
      <w:r>
        <w:rPr>
          <w:rFonts w:ascii="Times New Roman" w:cs="Times New Roman" w:eastAsia="Times New Roman" w:hAnsi="Times New Roman"/>
          <w:sz w:val="22"/>
          <w:szCs w:val="22"/>
          <w:color w:val="auto"/>
        </w:rPr>
        <w:t>. If the Officer fails to sign this Release within twenty-one (21) days after a separation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contemplated under the Severance Agreement (the “Separation Date”) (or forty-five (45) days in the case of a group termination or an exit incentive program) or revokes the Release as set forth in Section 11, the Company reserves the right to cease all payments and benefits owed to the Officer under the Severance Agreement and to further seek recovery of the consideration, if any, previously paid to the Officer under the Severance Agreement. The Company will require that the Officer not sign or return this Release earlier than the Separation Date. If the Officer does so, the Company reserves the right to delay the effective date of this Release until on or after the Separation Date (as may be applicable), and may also require the Officer to sign a written reaffirmation of this Release in order to receive or retain any payments or benefits owing to the Officer under the Separation Agreement. If the Officer signs this Release, Officer may email a copy to the Company’s Employee Relations department at [***]@micron.com or return the signed original to the attention of the office of the Senior Vice President and Chief People Officer at Micron Technology, Inc., 8000 South Federal Way, Boise, Idaho 83716.</w:t>
      </w:r>
    </w:p>
    <w:p>
      <w:pPr>
        <w:spacing w:after="0" w:line="184" w:lineRule="exact"/>
        <w:rPr>
          <w:rFonts w:ascii="Times New Roman" w:cs="Times New Roman" w:eastAsia="Times New Roman" w:hAnsi="Times New Roman"/>
          <w:sz w:val="22"/>
          <w:szCs w:val="22"/>
          <w:color w:val="auto"/>
        </w:rPr>
      </w:pPr>
    </w:p>
    <w:p>
      <w:pPr>
        <w:ind w:firstLine="656"/>
        <w:spacing w:after="0" w:line="214" w:lineRule="auto"/>
        <w:tabs>
          <w:tab w:leader="none" w:pos="128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Signature and Revocation Period</w:t>
      </w:r>
      <w:r>
        <w:rPr>
          <w:rFonts w:ascii="Times New Roman" w:cs="Times New Roman" w:eastAsia="Times New Roman" w:hAnsi="Times New Roman"/>
          <w:sz w:val="22"/>
          <w:szCs w:val="22"/>
          <w:color w:val="auto"/>
        </w:rPr>
        <w:t>. After the Officer signs this Release, Officer will have seven (7) days to revoke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 if the Officer has a change of mind. If the Officer wants to revoke this Release, the Officer should either email the written revocation to the Company’s Employee Relations department at [***]@micron.com, or otherwise deliver a copy to the attention of the office of the Senior Vice President and Chief People Officer at Micron Technology, Inc., 8000 South Federal Way, Boise, Idaho 83716, within seven (7) calendar days after the Officer signed it. If the Officer does not revoke this Release within this seven (7) day revocation period, the Release will become effective immediately, subject to the requirements set forth in Section 10 above.</w:t>
      </w:r>
    </w:p>
    <w:p>
      <w:pPr>
        <w:spacing w:after="0" w:line="175" w:lineRule="exact"/>
        <w:rPr>
          <w:rFonts w:ascii="Times New Roman" w:cs="Times New Roman" w:eastAsia="Times New Roman" w:hAnsi="Times New Roman"/>
          <w:sz w:val="22"/>
          <w:szCs w:val="22"/>
          <w:color w:val="auto"/>
        </w:rPr>
      </w:pPr>
    </w:p>
    <w:p>
      <w:pPr>
        <w:ind w:right="40" w:firstLine="656"/>
        <w:spacing w:after="0" w:line="218"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and Venue</w:t>
      </w:r>
      <w:r>
        <w:rPr>
          <w:rFonts w:ascii="Times New Roman" w:cs="Times New Roman" w:eastAsia="Times New Roman" w:hAnsi="Times New Roman"/>
          <w:sz w:val="22"/>
          <w:szCs w:val="22"/>
          <w:color w:val="auto"/>
        </w:rPr>
        <w:t>. This Release shall be construed in accordance with the laws of Idaho without regard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conflicts of law principles. The Officer hereby irrevocably submits to the jurisdiction of the state courts of Ada County, State of Idaho or the United States District Court for the District of Idaho, for any action arising out of or in any way related to the interpretation and enforcement of this Agreement and waives the defense of inconvenient forum to the maintenance of any such action or proceeding in such venue.</w:t>
      </w:r>
    </w:p>
    <w:p>
      <w:pPr>
        <w:spacing w:after="0" w:line="174" w:lineRule="exact"/>
        <w:rPr>
          <w:rFonts w:ascii="Times New Roman" w:cs="Times New Roman" w:eastAsia="Times New Roman" w:hAnsi="Times New Roman"/>
          <w:sz w:val="22"/>
          <w:szCs w:val="22"/>
          <w:color w:val="auto"/>
        </w:rPr>
      </w:pPr>
    </w:p>
    <w:p>
      <w:pPr>
        <w:ind w:right="40" w:firstLine="656"/>
        <w:spacing w:after="0" w:line="221"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for any reason any provision of this Release is determined to be invalid, unenforceable or contrary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any existing or future law to any extent, such provision shall be enforced to the extent permissible under the law and such invalidity, unenforceability or illegality shall not impair the operation of or otherwise affect those portions of this Release which are valid, enforceable and legal.</w:t>
      </w:r>
    </w:p>
    <w:p>
      <w:pPr>
        <w:spacing w:after="0" w:line="175" w:lineRule="exact"/>
        <w:rPr>
          <w:rFonts w:ascii="Times New Roman" w:cs="Times New Roman" w:eastAsia="Times New Roman" w:hAnsi="Times New Roman"/>
          <w:sz w:val="22"/>
          <w:szCs w:val="22"/>
          <w:color w:val="auto"/>
        </w:rPr>
      </w:pPr>
    </w:p>
    <w:p>
      <w:pPr>
        <w:ind w:right="300" w:firstLine="656"/>
        <w:spacing w:after="0" w:line="227"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Opportunity for Representation by Counsel</w:t>
      </w:r>
      <w:r>
        <w:rPr>
          <w:rFonts w:ascii="Times New Roman" w:cs="Times New Roman" w:eastAsia="Times New Roman" w:hAnsi="Times New Roman"/>
          <w:sz w:val="22"/>
          <w:szCs w:val="22"/>
          <w:color w:val="auto"/>
        </w:rPr>
        <w:t>. The Officer acknowledges that Officer has been advised to,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had an opportunity to be, or has actually been represented by, independent counsel in the negotiation and execution of this Release, specifically including but not limited to its choice of law, jurisdiction, and venue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RELEASE – Page 5 of 6</w:t>
      </w:r>
    </w:p>
    <w:p>
      <w:pPr>
        <w:sectPr>
          <w:pgSz w:w="11900" w:h="16838" w:orient="portrait"/>
          <w:cols w:equalWidth="0" w:num="1">
            <w:col w:w="11240"/>
          </w:cols>
          <w:pgMar w:left="320" w:top="1440" w:right="339" w:bottom="1440" w:gutter="0" w:footer="0" w:header="0"/>
        </w:sectPr>
      </w:pPr>
    </w:p>
    <w:bookmarkStart w:id="78" w:name="page79"/>
    <w:bookmarkEnd w:id="78"/>
    <w:p>
      <w:pPr>
        <w:ind w:left="1300" w:right="220" w:hanging="644"/>
        <w:spacing w:after="0" w:line="238" w:lineRule="auto"/>
        <w:tabs>
          <w:tab w:leader="none" w:pos="972"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THIS RELEASE CONTAINS A GENERAL RELEASE AND WAIVER OF IMPORTANT RIGHTS AND EXTENDS TO ALL KNOWN AND UNKNOWN CLAIMS.</w:t>
      </w:r>
    </w:p>
    <w:p>
      <w:pPr>
        <w:spacing w:after="0" w:line="146" w:lineRule="exact"/>
        <w:rPr>
          <w:rFonts w:ascii="Times New Roman" w:cs="Times New Roman" w:eastAsia="Times New Roman" w:hAnsi="Times New Roman"/>
          <w:sz w:val="22"/>
          <w:szCs w:val="22"/>
          <w:b w:val="1"/>
          <w:bCs w:val="1"/>
          <w:color w:val="auto"/>
        </w:rPr>
      </w:pPr>
    </w:p>
    <w:p>
      <w:pPr>
        <w:ind w:left="1300" w:hanging="644"/>
        <w:spacing w:after="0" w:line="238" w:lineRule="auto"/>
        <w:tabs>
          <w:tab w:leader="none" w:pos="976"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DO NOT SIGN THIS RELEASE UNLESS YOU HAVE FIRST CAREFULLY READ IT AND YOU FULLY UNDERSTAND IT.</w:t>
      </w:r>
    </w:p>
    <w:p>
      <w:pPr>
        <w:spacing w:after="0" w:line="146" w:lineRule="exact"/>
        <w:rPr>
          <w:rFonts w:ascii="Times New Roman" w:cs="Times New Roman" w:eastAsia="Times New Roman" w:hAnsi="Times New Roman"/>
          <w:sz w:val="22"/>
          <w:szCs w:val="22"/>
          <w:b w:val="1"/>
          <w:bCs w:val="1"/>
          <w:color w:val="auto"/>
        </w:rPr>
      </w:pPr>
    </w:p>
    <w:p>
      <w:pPr>
        <w:ind w:left="1300" w:right="800" w:hanging="644"/>
        <w:spacing w:after="0" w:line="238" w:lineRule="auto"/>
        <w:tabs>
          <w:tab w:leader="none" w:pos="976"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BY SIGNING THIS RELEASE, YOU REPRESENT YOU HAVE CAREFULLY READ IT, FULLY UNDERSTAND IT AND ACKNOWLEDGE THE RIGHTS YOU ARE GIVING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0"/>
        <w:spacing w:after="0"/>
        <w:tabs>
          <w:tab w:leader="none" w:pos="5680" w:val="left"/>
        </w:tabs>
        <w:rPr>
          <w:sz w:val="20"/>
          <w:szCs w:val="20"/>
          <w:color w:val="auto"/>
        </w:rPr>
      </w:pPr>
      <w:r>
        <w:rPr>
          <w:rFonts w:ascii="Times New Roman" w:cs="Times New Roman" w:eastAsia="Times New Roman" w:hAnsi="Times New Roman"/>
          <w:sz w:val="22"/>
          <w:szCs w:val="22"/>
          <w:color w:val="auto"/>
        </w:rPr>
        <w:t>Officer</w:t>
      </w:r>
      <w:r>
        <w:rPr>
          <w:sz w:val="20"/>
          <w:szCs w:val="20"/>
          <w:color w:val="auto"/>
        </w:rPr>
        <w:tab/>
      </w:r>
      <w:r>
        <w:rPr>
          <w:rFonts w:ascii="Times New Roman" w:cs="Times New Roman" w:eastAsia="Times New Roman" w:hAnsi="Times New Roman"/>
          <w:sz w:val="22"/>
          <w:szCs w:val="22"/>
          <w:color w:val="auto"/>
        </w:rPr>
        <w:t>Date 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RELEASE – Page 6 of 6</w:t>
      </w:r>
    </w:p>
    <w:p>
      <w:pPr>
        <w:sectPr>
          <w:pgSz w:w="11900" w:h="16838" w:orient="portrait"/>
          <w:cols w:equalWidth="0" w:num="1">
            <w:col w:w="10960"/>
          </w:cols>
          <w:pgMar w:left="320" w:top="1391" w:right="61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8480" cy="4883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88315"/>
                    </a:xfrm>
                    <a:prstGeom prst="rect">
                      <a:avLst/>
                    </a:prstGeom>
                    <a:noFill/>
                  </pic:spPr>
                </pic:pic>
              </a:graphicData>
            </a:graphic>
          </wp:anchor>
        </w:drawing>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1548130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jc w:val="center"/>
        <w:ind w:right="1120"/>
        <w:spacing w:after="0" w:line="214" w:lineRule="auto"/>
        <w:rPr>
          <w:sz w:val="20"/>
          <w:szCs w:val="20"/>
          <w:color w:val="auto"/>
        </w:rPr>
      </w:pPr>
      <w:r>
        <w:rPr>
          <w:rFonts w:ascii="Times New Roman" w:cs="Times New Roman" w:eastAsia="Times New Roman" w:hAnsi="Times New Roman"/>
          <w:sz w:val="21"/>
          <w:szCs w:val="21"/>
          <w:b w:val="1"/>
          <w:bCs w:val="1"/>
          <w:color w:val="auto"/>
        </w:rPr>
        <w:t>2008 DIRECTOR COMPENSATION PLAN</w:t>
      </w:r>
    </w:p>
    <w:p>
      <w:pPr>
        <w:jc w:val="center"/>
        <w:ind w:right="1120"/>
        <w:spacing w:after="0" w:line="205" w:lineRule="auto"/>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EFFECTIVE AS OF OCTOBER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1684655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75" w:right="339" w:bottom="1440" w:gutter="0" w:footer="0" w:header="0"/>
        </w:sectPr>
      </w:pPr>
    </w:p>
    <w:bookmarkStart w:id="80" w:name="page81"/>
    <w:bookmarkEnd w:id="80"/>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8480" cy="4883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883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40" w:type="dxa"/>
            <w:vAlign w:val="bottom"/>
            <w:gridSpan w:val="5"/>
          </w:tcPr>
          <w:p>
            <w:pPr>
              <w:jc w:val="center"/>
              <w:ind w:right="1480"/>
              <w:spacing w:after="0"/>
              <w:rPr>
                <w:sz w:val="20"/>
                <w:szCs w:val="20"/>
                <w:color w:val="auto"/>
              </w:rPr>
            </w:pPr>
            <w:r>
              <w:rPr>
                <w:rFonts w:ascii="Times New Roman" w:cs="Times New Roman" w:eastAsia="Times New Roman" w:hAnsi="Times New Roman"/>
                <w:sz w:val="22"/>
                <w:szCs w:val="22"/>
                <w:b w:val="1"/>
                <w:bCs w:val="1"/>
                <w:color w:val="auto"/>
                <w:w w:val="97"/>
              </w:rPr>
              <w:t>MICRON TECHNOLOGY, INC.</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40" w:type="dxa"/>
            <w:vAlign w:val="bottom"/>
            <w:gridSpan w:val="5"/>
          </w:tcPr>
          <w:p>
            <w:pPr>
              <w:jc w:val="center"/>
              <w:ind w:right="1480"/>
              <w:spacing w:after="0"/>
              <w:rPr>
                <w:sz w:val="20"/>
                <w:szCs w:val="20"/>
                <w:color w:val="auto"/>
              </w:rPr>
            </w:pPr>
            <w:r>
              <w:rPr>
                <w:rFonts w:ascii="Times New Roman" w:cs="Times New Roman" w:eastAsia="Times New Roman" w:hAnsi="Times New Roman"/>
                <w:sz w:val="22"/>
                <w:szCs w:val="22"/>
                <w:b w:val="1"/>
                <w:bCs w:val="1"/>
                <w:color w:val="auto"/>
                <w:w w:val="97"/>
              </w:rPr>
              <w:t>2008 DIRECTOR COMPENSATION PLAN</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40" w:type="dxa"/>
            <w:vAlign w:val="bottom"/>
            <w:gridSpan w:val="5"/>
          </w:tcPr>
          <w:p>
            <w:pPr>
              <w:jc w:val="center"/>
              <w:ind w:right="148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2"/>
                <w:szCs w:val="22"/>
                <w:color w:val="0000FF"/>
                <w:w w:val="96"/>
              </w:rPr>
              <w:t>ARTICLE 1 PURPOSE</w:t>
            </w:r>
          </w:p>
        </w:tc>
        <w:tc>
          <w:tcPr>
            <w:tcW w:w="7040" w:type="dxa"/>
            <w:vAlign w:val="bottom"/>
            <w:gridSpan w:val="12"/>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466"/>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1.</w:t>
            </w:r>
            <w:r>
              <w:rPr>
                <w:rFonts w:ascii="Times New Roman" w:cs="Times New Roman" w:eastAsia="Times New Roman" w:hAnsi="Times New Roman"/>
                <w:sz w:val="22"/>
                <w:szCs w:val="22"/>
                <w:u w:val="single" w:color="auto"/>
                <w:color w:val="0000FF"/>
                <w:w w:val="90"/>
              </w:rPr>
              <w:t>1.</w:t>
            </w:r>
          </w:p>
        </w:tc>
        <w:tc>
          <w:tcPr>
            <w:tcW w:w="180" w:type="dxa"/>
            <w:vAlign w:val="bottom"/>
          </w:tcPr>
          <w:p>
            <w:pPr>
              <w:spacing w:after="0"/>
              <w:rPr>
                <w:sz w:val="24"/>
                <w:szCs w:val="24"/>
                <w:color w:val="auto"/>
              </w:rPr>
            </w:pPr>
          </w:p>
        </w:tc>
        <w:tc>
          <w:tcPr>
            <w:tcW w:w="1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2"/>
                <w:szCs w:val="22"/>
                <w:color w:val="0000FF"/>
                <w:w w:val="96"/>
              </w:rPr>
              <w:t>Background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493"/>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1.</w:t>
            </w:r>
            <w:r>
              <w:rPr>
                <w:rFonts w:ascii="Times New Roman" w:cs="Times New Roman" w:eastAsia="Times New Roman" w:hAnsi="Times New Roman"/>
                <w:sz w:val="22"/>
                <w:szCs w:val="22"/>
                <w:u w:val="single" w:color="auto"/>
                <w:color w:val="0000FF"/>
                <w:w w:val="90"/>
              </w:rPr>
              <w:t>2.</w:t>
            </w:r>
          </w:p>
        </w:tc>
        <w:tc>
          <w:tcPr>
            <w:tcW w:w="180" w:type="dxa"/>
            <w:vAlign w:val="bottom"/>
          </w:tcPr>
          <w:p>
            <w:pPr>
              <w:spacing w:after="0"/>
              <w:rPr>
                <w:sz w:val="24"/>
                <w:szCs w:val="24"/>
                <w:color w:val="auto"/>
              </w:rPr>
            </w:pPr>
          </w:p>
        </w:tc>
        <w:tc>
          <w:tcPr>
            <w:tcW w:w="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5"/>
              </w:rPr>
              <w:t>Purpose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493"/>
        </w:trPr>
        <w:tc>
          <w:tcPr>
            <w:tcW w:w="32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w w:val="90"/>
              </w:rPr>
              <w:t>1.</w:t>
            </w:r>
            <w:r>
              <w:rPr>
                <w:rFonts w:ascii="Times New Roman" w:cs="Times New Roman" w:eastAsia="Times New Roman" w:hAnsi="Times New Roman"/>
                <w:sz w:val="22"/>
                <w:szCs w:val="22"/>
                <w:u w:val="single" w:color="auto"/>
                <w:color w:val="0000FF"/>
                <w:w w:val="90"/>
              </w:rPr>
              <w:t>3.</w:t>
            </w:r>
          </w:p>
        </w:tc>
        <w:tc>
          <w:tcPr>
            <w:tcW w:w="1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22"/>
                <w:szCs w:val="22"/>
                <w:color w:val="0000FF"/>
                <w:w w:val="96"/>
              </w:rPr>
              <w:t>Eligibility</w:t>
            </w:r>
          </w:p>
        </w:tc>
        <w:tc>
          <w:tcPr>
            <w:tcW w:w="100" w:type="dxa"/>
            <w:vAlign w:val="bottom"/>
            <w:vMerge w:val="restart"/>
          </w:tcPr>
          <w:p>
            <w:pPr>
              <w:spacing w:after="0"/>
              <w:rPr>
                <w:sz w:val="24"/>
                <w:szCs w:val="24"/>
                <w:color w:val="auto"/>
              </w:rPr>
            </w:pPr>
          </w:p>
        </w:tc>
        <w:tc>
          <w:tcPr>
            <w:tcW w:w="340" w:type="dxa"/>
            <w:vAlign w:val="bottom"/>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580" w:type="dxa"/>
            <w:vAlign w:val="bottom"/>
            <w:gridSpan w:val="2"/>
            <w:vMerge w:val="restart"/>
          </w:tcPr>
          <w:p>
            <w:pPr>
              <w:spacing w:after="0"/>
              <w:rPr>
                <w:sz w:val="24"/>
                <w:szCs w:val="24"/>
                <w:color w:val="auto"/>
              </w:rPr>
            </w:pPr>
          </w:p>
        </w:tc>
        <w:tc>
          <w:tcPr>
            <w:tcW w:w="50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200" w:type="dxa"/>
            <w:vAlign w:val="bottom"/>
            <w:vMerge w:val="restart"/>
          </w:tcPr>
          <w:p>
            <w:pPr>
              <w:spacing w:after="0"/>
              <w:rPr>
                <w:sz w:val="24"/>
                <w:szCs w:val="24"/>
                <w:color w:val="auto"/>
              </w:rPr>
            </w:pPr>
          </w:p>
        </w:tc>
        <w:tc>
          <w:tcPr>
            <w:tcW w:w="1140" w:type="dxa"/>
            <w:vAlign w:val="bottom"/>
            <w:vMerge w:val="restart"/>
          </w:tcPr>
          <w:p>
            <w:pPr>
              <w:spacing w:after="0"/>
              <w:rPr>
                <w:sz w:val="24"/>
                <w:szCs w:val="24"/>
                <w:color w:val="auto"/>
              </w:rPr>
            </w:pPr>
          </w:p>
        </w:tc>
        <w:tc>
          <w:tcPr>
            <w:tcW w:w="19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2480" w:type="dxa"/>
            <w:vAlign w:val="bottom"/>
            <w:vMerge w:val="restart"/>
          </w:tcPr>
          <w:p>
            <w:pPr>
              <w:spacing w:after="0"/>
              <w:rPr>
                <w:sz w:val="24"/>
                <w:szCs w:val="2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0"/>
        </w:trPr>
        <w:tc>
          <w:tcPr>
            <w:tcW w:w="320" w:type="dxa"/>
            <w:vAlign w:val="bottom"/>
            <w:tcBorders>
              <w:bottom w:val="single" w:sz="8" w:color="0000FF"/>
            </w:tcBorders>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0000FF"/>
            </w:tcBorders>
            <w:gridSpan w:val="2"/>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9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48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9100" w:type="dxa"/>
            <w:vAlign w:val="bottom"/>
            <w:gridSpan w:val="22"/>
          </w:tcPr>
          <w:p>
            <w:pPr>
              <w:spacing w:after="0"/>
              <w:rPr>
                <w:sz w:val="20"/>
                <w:szCs w:val="20"/>
                <w:color w:val="auto"/>
              </w:rPr>
            </w:pPr>
            <w:r>
              <w:rPr>
                <w:rFonts w:ascii="Times New Roman" w:cs="Times New Roman" w:eastAsia="Times New Roman" w:hAnsi="Times New Roman"/>
                <w:sz w:val="22"/>
                <w:szCs w:val="22"/>
                <w:color w:val="0000FF"/>
              </w:rPr>
              <w:t>ARTICLE 2 DEFINITIONS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466"/>
        </w:trPr>
        <w:tc>
          <w:tcPr>
            <w:tcW w:w="3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2.</w:t>
            </w:r>
            <w:r>
              <w:rPr>
                <w:rFonts w:ascii="Times New Roman" w:cs="Times New Roman" w:eastAsia="Times New Roman" w:hAnsi="Times New Roman"/>
                <w:sz w:val="22"/>
                <w:szCs w:val="22"/>
                <w:u w:val="single" w:color="auto"/>
                <w:color w:val="0000FF"/>
                <w:w w:val="90"/>
              </w:rPr>
              <w:t>1.</w:t>
            </w:r>
          </w:p>
        </w:tc>
        <w:tc>
          <w:tcPr>
            <w:tcW w:w="180" w:type="dxa"/>
            <w:vAlign w:val="bottom"/>
            <w:tcBorders>
              <w:top w:val="single" w:sz="8" w:color="0000FF"/>
            </w:tcBorders>
          </w:tcPr>
          <w:p>
            <w:pPr>
              <w:spacing w:after="0"/>
              <w:rPr>
                <w:sz w:val="24"/>
                <w:szCs w:val="24"/>
                <w:color w:val="auto"/>
              </w:rPr>
            </w:pPr>
          </w:p>
        </w:tc>
        <w:tc>
          <w:tcPr>
            <w:tcW w:w="9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22"/>
                <w:szCs w:val="22"/>
                <w:color w:val="0000FF"/>
                <w:w w:val="96"/>
              </w:rPr>
              <w:t>Definitions</w:t>
            </w:r>
          </w:p>
        </w:tc>
        <w:tc>
          <w:tcPr>
            <w:tcW w:w="340" w:type="dxa"/>
            <w:vAlign w:val="bottom"/>
            <w:tcBorders>
              <w:top w:val="single" w:sz="8" w:color="0000FF"/>
              <w:bottom w:val="single" w:sz="8" w:color="0000FF"/>
            </w:tcBorders>
            <w:gridSpan w:val="2"/>
          </w:tcPr>
          <w:p>
            <w:pPr>
              <w:spacing w:after="0"/>
              <w:rPr>
                <w:sz w:val="24"/>
                <w:szCs w:val="24"/>
                <w:color w:val="auto"/>
              </w:rPr>
            </w:pPr>
          </w:p>
        </w:tc>
        <w:tc>
          <w:tcPr>
            <w:tcW w:w="60" w:type="dxa"/>
            <w:vAlign w:val="bottom"/>
            <w:tcBorders>
              <w:top w:val="single" w:sz="8" w:color="0000FF"/>
              <w:bottom w:val="single" w:sz="8" w:color="0000FF"/>
            </w:tcBorders>
          </w:tcPr>
          <w:p>
            <w:pPr>
              <w:spacing w:after="0"/>
              <w:rPr>
                <w:sz w:val="24"/>
                <w:szCs w:val="24"/>
                <w:color w:val="auto"/>
              </w:rPr>
            </w:pPr>
          </w:p>
        </w:tc>
        <w:tc>
          <w:tcPr>
            <w:tcW w:w="580" w:type="dxa"/>
            <w:vAlign w:val="bottom"/>
            <w:tcBorders>
              <w:top w:val="single" w:sz="8" w:color="0000FF"/>
              <w:bottom w:val="single" w:sz="8" w:color="0000FF"/>
            </w:tcBorders>
            <w:gridSpan w:val="2"/>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493"/>
        </w:trPr>
        <w:tc>
          <w:tcPr>
            <w:tcW w:w="2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2"/>
                <w:szCs w:val="22"/>
                <w:color w:val="0000FF"/>
                <w:w w:val="96"/>
              </w:rPr>
              <w:t>ARTICLE 3 ADMINISTRATION</w:t>
            </w:r>
          </w:p>
        </w:tc>
        <w:tc>
          <w:tcPr>
            <w:tcW w:w="6140" w:type="dxa"/>
            <w:vAlign w:val="bottom"/>
            <w:gridSpan w:val="10"/>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466"/>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3.</w:t>
            </w:r>
            <w:r>
              <w:rPr>
                <w:rFonts w:ascii="Times New Roman" w:cs="Times New Roman" w:eastAsia="Times New Roman" w:hAnsi="Times New Roman"/>
                <w:sz w:val="22"/>
                <w:szCs w:val="22"/>
                <w:u w:val="single" w:color="auto"/>
                <w:color w:val="0000FF"/>
                <w:w w:val="90"/>
              </w:rPr>
              <w:t>1.</w:t>
            </w:r>
          </w:p>
        </w:tc>
        <w:tc>
          <w:tcPr>
            <w:tcW w:w="180" w:type="dxa"/>
            <w:vAlign w:val="bottom"/>
          </w:tcPr>
          <w:p>
            <w:pPr>
              <w:spacing w:after="0"/>
              <w:rPr>
                <w:sz w:val="24"/>
                <w:szCs w:val="24"/>
                <w:color w:val="auto"/>
              </w:rPr>
            </w:pP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2"/>
                <w:szCs w:val="22"/>
                <w:color w:val="0000FF"/>
                <w:w w:val="97"/>
              </w:rPr>
              <w:t>Administration</w:t>
            </w:r>
          </w:p>
        </w:tc>
        <w:tc>
          <w:tcPr>
            <w:tcW w:w="6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493"/>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3.</w:t>
            </w:r>
            <w:r>
              <w:rPr>
                <w:rFonts w:ascii="Times New Roman" w:cs="Times New Roman" w:eastAsia="Times New Roman" w:hAnsi="Times New Roman"/>
                <w:sz w:val="22"/>
                <w:szCs w:val="22"/>
                <w:u w:val="single" w:color="auto"/>
                <w:color w:val="0000FF"/>
                <w:w w:val="90"/>
              </w:rPr>
              <w:t>2.</w:t>
            </w:r>
          </w:p>
        </w:tc>
        <w:tc>
          <w:tcPr>
            <w:tcW w:w="180" w:type="dxa"/>
            <w:vAlign w:val="bottom"/>
          </w:tcPr>
          <w:p>
            <w:pPr>
              <w:spacing w:after="0"/>
              <w:rPr>
                <w:sz w:val="24"/>
                <w:szCs w:val="24"/>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6"/>
              </w:rPr>
              <w:t>Reliance</w:t>
            </w:r>
          </w:p>
        </w:tc>
        <w:tc>
          <w:tcPr>
            <w:tcW w:w="620" w:type="dxa"/>
            <w:vAlign w:val="bottom"/>
            <w:gridSpan w:val="5"/>
          </w:tcPr>
          <w:p>
            <w:pPr>
              <w:spacing w:after="0"/>
              <w:rPr>
                <w:sz w:val="24"/>
                <w:szCs w:val="24"/>
                <w:color w:val="auto"/>
              </w:rPr>
            </w:pPr>
          </w:p>
        </w:tc>
        <w:tc>
          <w:tcPr>
            <w:tcW w:w="58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493"/>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3.</w:t>
            </w:r>
            <w:r>
              <w:rPr>
                <w:rFonts w:ascii="Times New Roman" w:cs="Times New Roman" w:eastAsia="Times New Roman" w:hAnsi="Times New Roman"/>
                <w:sz w:val="22"/>
                <w:szCs w:val="22"/>
                <w:u w:val="single" w:color="auto"/>
                <w:color w:val="0000FF"/>
                <w:w w:val="90"/>
              </w:rPr>
              <w:t>3.</w:t>
            </w:r>
          </w:p>
        </w:tc>
        <w:tc>
          <w:tcPr>
            <w:tcW w:w="180" w:type="dxa"/>
            <w:vAlign w:val="bottom"/>
          </w:tcPr>
          <w:p>
            <w:pPr>
              <w:spacing w:after="0"/>
              <w:rPr>
                <w:sz w:val="24"/>
                <w:szCs w:val="24"/>
                <w:color w:val="auto"/>
              </w:rPr>
            </w:pPr>
          </w:p>
        </w:tc>
        <w:tc>
          <w:tcPr>
            <w:tcW w:w="1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2"/>
                <w:szCs w:val="22"/>
                <w:color w:val="0000FF"/>
                <w:w w:val="96"/>
              </w:rPr>
              <w:t>Indemnification</w:t>
            </w:r>
          </w:p>
        </w:tc>
        <w:tc>
          <w:tcPr>
            <w:tcW w:w="58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493"/>
        </w:trPr>
        <w:tc>
          <w:tcPr>
            <w:tcW w:w="31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2"/>
                <w:szCs w:val="22"/>
                <w:color w:val="0000FF"/>
                <w:w w:val="97"/>
              </w:rPr>
              <w:t>ARTICLE 4 SOURCE OF SHARES</w:t>
            </w:r>
          </w:p>
        </w:tc>
        <w:tc>
          <w:tcPr>
            <w:tcW w:w="5920" w:type="dxa"/>
            <w:vAlign w:val="bottom"/>
            <w:gridSpan w:val="7"/>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466"/>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4.</w:t>
            </w:r>
            <w:r>
              <w:rPr>
                <w:rFonts w:ascii="Times New Roman" w:cs="Times New Roman" w:eastAsia="Times New Roman" w:hAnsi="Times New Roman"/>
                <w:sz w:val="22"/>
                <w:szCs w:val="22"/>
                <w:u w:val="single" w:color="auto"/>
                <w:color w:val="0000FF"/>
                <w:w w:val="90"/>
              </w:rPr>
              <w:t>1.</w:t>
            </w:r>
          </w:p>
        </w:tc>
        <w:tc>
          <w:tcPr>
            <w:tcW w:w="180" w:type="dxa"/>
            <w:vAlign w:val="bottom"/>
          </w:tcPr>
          <w:p>
            <w:pPr>
              <w:spacing w:after="0"/>
              <w:rPr>
                <w:sz w:val="24"/>
                <w:szCs w:val="24"/>
                <w:color w:val="auto"/>
              </w:rPr>
            </w:pPr>
          </w:p>
        </w:tc>
        <w:tc>
          <w:tcPr>
            <w:tcW w:w="25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2"/>
                <w:szCs w:val="22"/>
                <w:color w:val="0000FF"/>
                <w:w w:val="97"/>
              </w:rPr>
              <w:t>Source of Shares for the Plan</w:t>
            </w:r>
          </w:p>
        </w:tc>
        <w:tc>
          <w:tcPr>
            <w:tcW w:w="1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493"/>
        </w:trPr>
        <w:tc>
          <w:tcPr>
            <w:tcW w:w="65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2"/>
                <w:szCs w:val="22"/>
                <w:color w:val="0000FF"/>
                <w:w w:val="97"/>
              </w:rPr>
              <w:t>ARTICLE 5 ANNUAL RETAINER AND EXPENSE REIMBURSEMENT</w:t>
            </w:r>
          </w:p>
        </w:tc>
        <w:tc>
          <w:tcPr>
            <w:tcW w:w="2540" w:type="dxa"/>
            <w:vAlign w:val="bottom"/>
            <w:gridSpan w:val="2"/>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466"/>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5.</w:t>
            </w:r>
            <w:r>
              <w:rPr>
                <w:rFonts w:ascii="Times New Roman" w:cs="Times New Roman" w:eastAsia="Times New Roman" w:hAnsi="Times New Roman"/>
                <w:sz w:val="22"/>
                <w:szCs w:val="22"/>
                <w:u w:val="single" w:color="auto"/>
                <w:color w:val="0000FF"/>
                <w:w w:val="90"/>
              </w:rPr>
              <w:t>1.</w:t>
            </w:r>
          </w:p>
        </w:tc>
        <w:tc>
          <w:tcPr>
            <w:tcW w:w="180" w:type="dxa"/>
            <w:vAlign w:val="bottom"/>
          </w:tcPr>
          <w:p>
            <w:pPr>
              <w:spacing w:after="0"/>
              <w:rPr>
                <w:sz w:val="24"/>
                <w:szCs w:val="24"/>
                <w:color w:val="auto"/>
              </w:rPr>
            </w:pPr>
          </w:p>
        </w:tc>
        <w:tc>
          <w:tcPr>
            <w:tcW w:w="1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2"/>
                <w:szCs w:val="22"/>
                <w:color w:val="0000FF"/>
                <w:w w:val="97"/>
              </w:rPr>
              <w:t>Basic Annual Retainer</w:t>
            </w:r>
          </w:p>
        </w:tc>
        <w:tc>
          <w:tcPr>
            <w:tcW w:w="700" w:type="dxa"/>
            <w:vAlign w:val="bottom"/>
            <w:gridSpan w:val="3"/>
          </w:tcPr>
          <w:p>
            <w:pPr>
              <w:spacing w:after="0"/>
              <w:rPr>
                <w:sz w:val="24"/>
                <w:szCs w:val="24"/>
                <w:color w:val="auto"/>
              </w:rPr>
            </w:pPr>
          </w:p>
        </w:tc>
        <w:tc>
          <w:tcPr>
            <w:tcW w:w="1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493"/>
        </w:trPr>
        <w:tc>
          <w:tcPr>
            <w:tcW w:w="32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w w:val="90"/>
              </w:rPr>
              <w:t>5.</w:t>
            </w:r>
            <w:r>
              <w:rPr>
                <w:rFonts w:ascii="Times New Roman" w:cs="Times New Roman" w:eastAsia="Times New Roman" w:hAnsi="Times New Roman"/>
                <w:sz w:val="22"/>
                <w:szCs w:val="22"/>
                <w:u w:val="single" w:color="auto"/>
                <w:color w:val="0000FF"/>
                <w:w w:val="90"/>
              </w:rPr>
              <w:t>2.</w:t>
            </w:r>
          </w:p>
        </w:tc>
        <w:tc>
          <w:tcPr>
            <w:tcW w:w="180" w:type="dxa"/>
            <w:vAlign w:val="bottom"/>
          </w:tcPr>
          <w:p>
            <w:pPr>
              <w:spacing w:after="0"/>
              <w:rPr>
                <w:sz w:val="24"/>
                <w:szCs w:val="24"/>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22"/>
                <w:szCs w:val="22"/>
                <w:color w:val="0000FF"/>
                <w:w w:val="97"/>
              </w:rPr>
              <w:t>Supplemental Annual Retainer</w:t>
            </w:r>
          </w:p>
        </w:tc>
        <w:tc>
          <w:tcPr>
            <w:tcW w:w="100" w:type="dxa"/>
            <w:vAlign w:val="bottom"/>
            <w:gridSpan w:val="2"/>
            <w:vMerge w:val="restart"/>
          </w:tcPr>
          <w:p>
            <w:pPr>
              <w:spacing w:after="0"/>
              <w:rPr>
                <w:sz w:val="24"/>
                <w:szCs w:val="24"/>
                <w:color w:val="auto"/>
              </w:rPr>
            </w:pPr>
          </w:p>
        </w:tc>
        <w:tc>
          <w:tcPr>
            <w:tcW w:w="200" w:type="dxa"/>
            <w:vAlign w:val="bottom"/>
            <w:vMerge w:val="restart"/>
          </w:tcPr>
          <w:p>
            <w:pPr>
              <w:spacing w:after="0"/>
              <w:rPr>
                <w:sz w:val="24"/>
                <w:szCs w:val="24"/>
                <w:color w:val="auto"/>
              </w:rPr>
            </w:pPr>
          </w:p>
        </w:tc>
        <w:tc>
          <w:tcPr>
            <w:tcW w:w="1140" w:type="dxa"/>
            <w:vAlign w:val="bottom"/>
            <w:vMerge w:val="restart"/>
          </w:tcPr>
          <w:p>
            <w:pPr>
              <w:spacing w:after="0"/>
              <w:rPr>
                <w:sz w:val="24"/>
                <w:szCs w:val="24"/>
                <w:color w:val="auto"/>
              </w:rPr>
            </w:pPr>
          </w:p>
        </w:tc>
        <w:tc>
          <w:tcPr>
            <w:tcW w:w="1940" w:type="dxa"/>
            <w:vAlign w:val="bottom"/>
            <w:vMerge w:val="restart"/>
          </w:tcPr>
          <w:p>
            <w:pPr>
              <w:spacing w:after="0"/>
              <w:rPr>
                <w:sz w:val="24"/>
                <w:szCs w:val="24"/>
                <w:color w:val="auto"/>
              </w:rPr>
            </w:pPr>
          </w:p>
        </w:tc>
        <w:tc>
          <w:tcPr>
            <w:tcW w:w="80" w:type="dxa"/>
            <w:vAlign w:val="bottom"/>
            <w:gridSpan w:val="2"/>
            <w:vMerge w:val="restart"/>
          </w:tcPr>
          <w:p>
            <w:pPr>
              <w:spacing w:after="0"/>
              <w:rPr>
                <w:sz w:val="24"/>
                <w:szCs w:val="24"/>
                <w:color w:val="auto"/>
              </w:rPr>
            </w:pPr>
          </w:p>
        </w:tc>
        <w:tc>
          <w:tcPr>
            <w:tcW w:w="2480" w:type="dxa"/>
            <w:vAlign w:val="bottom"/>
            <w:vMerge w:val="restart"/>
          </w:tcPr>
          <w:p>
            <w:pPr>
              <w:spacing w:after="0"/>
              <w:rPr>
                <w:sz w:val="24"/>
                <w:szCs w:val="2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0"/>
        </w:trPr>
        <w:tc>
          <w:tcPr>
            <w:tcW w:w="320" w:type="dxa"/>
            <w:vAlign w:val="bottom"/>
            <w:tcBorders>
              <w:bottom w:val="single" w:sz="8" w:color="0000FF"/>
            </w:tcBorders>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tcBorders>
              <w:bottom w:val="single" w:sz="8" w:color="0000FF"/>
            </w:tcBorders>
            <w:gridSpan w:val="12"/>
            <w:shd w:val="clear" w:color="auto" w:fill="0000FF"/>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94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48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5.</w:t>
            </w:r>
            <w:r>
              <w:rPr>
                <w:rFonts w:ascii="Times New Roman" w:cs="Times New Roman" w:eastAsia="Times New Roman" w:hAnsi="Times New Roman"/>
                <w:sz w:val="22"/>
                <w:szCs w:val="22"/>
                <w:u w:val="single" w:color="auto"/>
                <w:color w:val="0000FF"/>
                <w:w w:val="90"/>
              </w:rPr>
              <w:t>3.</w:t>
            </w:r>
          </w:p>
        </w:tc>
        <w:tc>
          <w:tcPr>
            <w:tcW w:w="180" w:type="dxa"/>
            <w:vAlign w:val="bottom"/>
            <w:tcBorders>
              <w:bottom w:val="single" w:sz="8" w:color="0000FF"/>
            </w:tcBorders>
          </w:tcPr>
          <w:p>
            <w:pPr>
              <w:spacing w:after="0"/>
              <w:rPr>
                <w:sz w:val="24"/>
                <w:szCs w:val="24"/>
                <w:color w:val="auto"/>
              </w:rPr>
            </w:pPr>
          </w:p>
        </w:tc>
        <w:tc>
          <w:tcPr>
            <w:tcW w:w="27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2"/>
                <w:szCs w:val="22"/>
                <w:color w:val="0000FF"/>
                <w:w w:val="97"/>
              </w:rPr>
              <w:t>Travel Expense Reimbursement</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493"/>
        </w:trPr>
        <w:tc>
          <w:tcPr>
            <w:tcW w:w="66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2"/>
                <w:szCs w:val="22"/>
                <w:color w:val="0000FF"/>
                <w:w w:val="96"/>
              </w:rPr>
              <w:t>ARTICLE 6 TIME AND FORM OF PAYMENT OF ANNUAL RETAINER</w:t>
            </w:r>
          </w:p>
        </w:tc>
        <w:tc>
          <w:tcPr>
            <w:tcW w:w="2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466"/>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6.</w:t>
            </w:r>
            <w:r>
              <w:rPr>
                <w:rFonts w:ascii="Times New Roman" w:cs="Times New Roman" w:eastAsia="Times New Roman" w:hAnsi="Times New Roman"/>
                <w:sz w:val="22"/>
                <w:szCs w:val="22"/>
                <w:u w:val="single" w:color="auto"/>
                <w:color w:val="0000FF"/>
                <w:w w:val="90"/>
              </w:rPr>
              <w:t>1.</w:t>
            </w:r>
          </w:p>
        </w:tc>
        <w:tc>
          <w:tcPr>
            <w:tcW w:w="180" w:type="dxa"/>
            <w:vAlign w:val="bottom"/>
          </w:tcPr>
          <w:p>
            <w:pPr>
              <w:spacing w:after="0"/>
              <w:rPr>
                <w:sz w:val="24"/>
                <w:szCs w:val="24"/>
                <w:color w:val="auto"/>
              </w:rPr>
            </w:pPr>
          </w:p>
        </w:tc>
        <w:tc>
          <w:tcPr>
            <w:tcW w:w="60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2"/>
                <w:szCs w:val="22"/>
                <w:color w:val="0000FF"/>
                <w:w w:val="97"/>
              </w:rPr>
              <w:t>Election to Receive Total Annual Retainer Currently in Cash or Stock</w:t>
            </w:r>
          </w:p>
        </w:tc>
        <w:tc>
          <w:tcPr>
            <w:tcW w:w="2560" w:type="dxa"/>
            <w:vAlign w:val="bottom"/>
            <w:gridSpan w:val="3"/>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493"/>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6.</w:t>
            </w:r>
            <w:r>
              <w:rPr>
                <w:rFonts w:ascii="Times New Roman" w:cs="Times New Roman" w:eastAsia="Times New Roman" w:hAnsi="Times New Roman"/>
                <w:sz w:val="22"/>
                <w:szCs w:val="22"/>
                <w:u w:val="single" w:color="auto"/>
                <w:color w:val="0000FF"/>
                <w:w w:val="90"/>
              </w:rPr>
              <w:t>2.</w:t>
            </w:r>
          </w:p>
        </w:tc>
        <w:tc>
          <w:tcPr>
            <w:tcW w:w="180" w:type="dxa"/>
            <w:vAlign w:val="bottom"/>
          </w:tcPr>
          <w:p>
            <w:pPr>
              <w:spacing w:after="0"/>
              <w:rPr>
                <w:sz w:val="24"/>
                <w:szCs w:val="24"/>
                <w:color w:val="auto"/>
              </w:rPr>
            </w:pPr>
          </w:p>
        </w:tc>
        <w:tc>
          <w:tcPr>
            <w:tcW w:w="29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2"/>
                <w:szCs w:val="22"/>
                <w:color w:val="0000FF"/>
                <w:w w:val="97"/>
              </w:rPr>
              <w:t>Election to Defer Annual Retainer</w:t>
            </w:r>
          </w:p>
        </w:tc>
        <w:tc>
          <w:tcPr>
            <w:tcW w:w="1140" w:type="dxa"/>
            <w:vAlign w:val="bottom"/>
          </w:tcPr>
          <w:p>
            <w:pPr>
              <w:spacing w:after="0"/>
              <w:rPr>
                <w:sz w:val="24"/>
                <w:szCs w:val="24"/>
                <w:color w:val="auto"/>
              </w:rPr>
            </w:pPr>
          </w:p>
        </w:tc>
        <w:tc>
          <w:tcPr>
            <w:tcW w:w="4500" w:type="dxa"/>
            <w:vAlign w:val="bottom"/>
            <w:gridSpan w:val="4"/>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493"/>
        </w:trPr>
        <w:tc>
          <w:tcPr>
            <w:tcW w:w="9100" w:type="dxa"/>
            <w:vAlign w:val="bottom"/>
            <w:gridSpan w:val="22"/>
          </w:tcPr>
          <w:p>
            <w:pPr>
              <w:spacing w:after="0"/>
              <w:rPr>
                <w:sz w:val="20"/>
                <w:szCs w:val="20"/>
                <w:color w:val="auto"/>
              </w:rPr>
            </w:pPr>
            <w:r>
              <w:rPr>
                <w:rFonts w:ascii="Times New Roman" w:cs="Times New Roman" w:eastAsia="Times New Roman" w:hAnsi="Times New Roman"/>
                <w:sz w:val="22"/>
                <w:szCs w:val="22"/>
                <w:color w:val="0000FF"/>
              </w:rPr>
              <w:t>ARTICLE 7 ANNUAL EQUITY COMPENSATION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00"/>
          </w:cols>
          <w:pgMar w:left="400" w:top="1440"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color w:val="auto"/>
        </w:rPr>
        <w:t>- i -</w:t>
      </w:r>
    </w:p>
    <w:p>
      <w:pPr>
        <w:sectPr>
          <w:pgSz w:w="11900" w:h="16838" w:orient="portrait"/>
          <w:cols w:equalWidth="0" w:num="1">
            <w:col w:w="10700"/>
          </w:cols>
          <w:pgMar w:left="400" w:top="1440" w:right="799" w:bottom="1440" w:gutter="0" w:footer="0" w:header="0"/>
          <w:type w:val="continuous"/>
        </w:sectPr>
      </w:pPr>
    </w:p>
    <w:bookmarkStart w:id="81" w:name="page82"/>
    <w:bookmarkEnd w:id="81"/>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8480" cy="4883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883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3"/>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7.</w:t>
            </w:r>
            <w:r>
              <w:rPr>
                <w:rFonts w:ascii="Times New Roman" w:cs="Times New Roman" w:eastAsia="Times New Roman" w:hAnsi="Times New Roman"/>
                <w:sz w:val="22"/>
                <w:szCs w:val="22"/>
                <w:u w:val="single" w:color="auto"/>
                <w:color w:val="0000FF"/>
                <w:w w:val="90"/>
              </w:rPr>
              <w:t>1.</w:t>
            </w:r>
          </w:p>
        </w:tc>
        <w:tc>
          <w:tcPr>
            <w:tcW w:w="180" w:type="dxa"/>
            <w:vAlign w:val="bottom"/>
            <w:tcBorders>
              <w:bottom w:val="single" w:sz="8" w:color="0000FF"/>
            </w:tcBorders>
          </w:tcPr>
          <w:p>
            <w:pPr>
              <w:spacing w:after="0"/>
              <w:rPr>
                <w:sz w:val="23"/>
                <w:szCs w:val="23"/>
                <w:color w:val="auto"/>
              </w:rPr>
            </w:pPr>
          </w:p>
        </w:tc>
        <w:tc>
          <w:tcPr>
            <w:tcW w:w="1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94"/>
              </w:rPr>
              <w:t>Equity Awards</w:t>
            </w: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40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493"/>
        </w:trPr>
        <w:tc>
          <w:tcPr>
            <w:tcW w:w="6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2"/>
                <w:szCs w:val="22"/>
                <w:color w:val="0000FF"/>
                <w:w w:val="96"/>
              </w:rPr>
              <w:t>ARTICLE 8 AMENDMENT, MODIFICATION AND TERMINATION</w:t>
            </w:r>
          </w:p>
        </w:tc>
        <w:tc>
          <w:tcPr>
            <w:tcW w:w="2180" w:type="dxa"/>
            <w:vAlign w:val="bottom"/>
          </w:tcPr>
          <w:p>
            <w:pPr>
              <w:spacing w:after="0"/>
              <w:rPr>
                <w:sz w:val="24"/>
                <w:szCs w:val="24"/>
                <w:color w:val="auto"/>
              </w:rPr>
            </w:pPr>
          </w:p>
        </w:tc>
        <w:tc>
          <w:tcPr>
            <w:tcW w:w="240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466"/>
        </w:trPr>
        <w:tc>
          <w:tcPr>
            <w:tcW w:w="32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w w:val="90"/>
              </w:rPr>
              <w:t>8.</w:t>
            </w:r>
            <w:r>
              <w:rPr>
                <w:rFonts w:ascii="Times New Roman" w:cs="Times New Roman" w:eastAsia="Times New Roman" w:hAnsi="Times New Roman"/>
                <w:sz w:val="22"/>
                <w:szCs w:val="22"/>
                <w:u w:val="single" w:color="auto"/>
                <w:color w:val="0000FF"/>
                <w:w w:val="90"/>
              </w:rPr>
              <w:t>1.</w:t>
            </w:r>
          </w:p>
        </w:tc>
        <w:tc>
          <w:tcPr>
            <w:tcW w:w="180" w:type="dxa"/>
            <w:vAlign w:val="bottom"/>
          </w:tcPr>
          <w:p>
            <w:pPr>
              <w:spacing w:after="0"/>
              <w:rPr>
                <w:sz w:val="24"/>
                <w:szCs w:val="24"/>
                <w:color w:val="auto"/>
              </w:rPr>
            </w:pPr>
          </w:p>
        </w:tc>
        <w:tc>
          <w:tcPr>
            <w:tcW w:w="3780" w:type="dxa"/>
            <w:vAlign w:val="bottom"/>
            <w:gridSpan w:val="7"/>
          </w:tcPr>
          <w:p>
            <w:pPr>
              <w:spacing w:after="0"/>
              <w:rPr>
                <w:sz w:val="20"/>
                <w:szCs w:val="20"/>
                <w:color w:val="auto"/>
              </w:rPr>
            </w:pPr>
            <w:r>
              <w:rPr>
                <w:rFonts w:ascii="Times New Roman" w:cs="Times New Roman" w:eastAsia="Times New Roman" w:hAnsi="Times New Roman"/>
                <w:sz w:val="22"/>
                <w:szCs w:val="22"/>
                <w:color w:val="0000FF"/>
                <w:w w:val="97"/>
              </w:rPr>
              <w:t>Amendment, Modification and Termination</w:t>
            </w:r>
          </w:p>
        </w:tc>
        <w:tc>
          <w:tcPr>
            <w:tcW w:w="1000" w:type="dxa"/>
            <w:vAlign w:val="bottom"/>
            <w:vMerge w:val="restart"/>
          </w:tcPr>
          <w:p>
            <w:pPr>
              <w:spacing w:after="0"/>
              <w:rPr>
                <w:sz w:val="24"/>
                <w:szCs w:val="24"/>
                <w:color w:val="auto"/>
              </w:rPr>
            </w:pPr>
          </w:p>
        </w:tc>
        <w:tc>
          <w:tcPr>
            <w:tcW w:w="3120" w:type="dxa"/>
            <w:vAlign w:val="bottom"/>
            <w:gridSpan w:val="2"/>
            <w:vMerge w:val="restart"/>
          </w:tcPr>
          <w:p>
            <w:pPr>
              <w:spacing w:after="0"/>
              <w:rPr>
                <w:sz w:val="24"/>
                <w:szCs w:val="24"/>
                <w:color w:val="auto"/>
              </w:rPr>
            </w:pPr>
          </w:p>
        </w:tc>
        <w:tc>
          <w:tcPr>
            <w:tcW w:w="2400" w:type="dxa"/>
            <w:vAlign w:val="bottom"/>
            <w:vMerge w:val="restart"/>
          </w:tcPr>
          <w:p>
            <w:pPr>
              <w:ind w:left="220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0"/>
        </w:trPr>
        <w:tc>
          <w:tcPr>
            <w:tcW w:w="320" w:type="dxa"/>
            <w:vAlign w:val="bottom"/>
            <w:tcBorders>
              <w:bottom w:val="single" w:sz="8" w:color="0000FF"/>
            </w:tcBorders>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660" w:type="dxa"/>
            <w:vAlign w:val="bottom"/>
            <w:tcBorders>
              <w:bottom w:val="single" w:sz="8" w:color="0000FF"/>
            </w:tcBorders>
            <w:gridSpan w:val="2"/>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1140" w:type="dxa"/>
            <w:vAlign w:val="bottom"/>
            <w:tcBorders>
              <w:bottom w:val="single" w:sz="8" w:color="0000FF"/>
            </w:tcBorders>
            <w:shd w:val="clear" w:color="auto" w:fill="0000FF"/>
          </w:tcPr>
          <w:p>
            <w:pPr>
              <w:spacing w:after="0" w:line="20" w:lineRule="exact"/>
              <w:rPr>
                <w:sz w:val="1"/>
                <w:szCs w:val="1"/>
                <w:color w:val="auto"/>
              </w:rPr>
            </w:pPr>
          </w:p>
        </w:tc>
        <w:tc>
          <w:tcPr>
            <w:tcW w:w="840" w:type="dxa"/>
            <w:vAlign w:val="bottom"/>
            <w:tcBorders>
              <w:bottom w:val="single" w:sz="8" w:color="0000FF"/>
            </w:tcBorders>
            <w:shd w:val="clear" w:color="auto" w:fill="0000FF"/>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3120" w:type="dxa"/>
            <w:vAlign w:val="bottom"/>
            <w:gridSpan w:val="2"/>
            <w:vMerge w:val="continue"/>
          </w:tcPr>
          <w:p>
            <w:pPr>
              <w:spacing w:after="0" w:line="20" w:lineRule="exact"/>
              <w:rPr>
                <w:sz w:val="1"/>
                <w:szCs w:val="1"/>
                <w:color w:val="auto"/>
              </w:rPr>
            </w:pPr>
          </w:p>
        </w:tc>
        <w:tc>
          <w:tcPr>
            <w:tcW w:w="24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400" w:type="dxa"/>
            <w:vAlign w:val="bottom"/>
            <w:gridSpan w:val="12"/>
          </w:tcPr>
          <w:p>
            <w:pPr>
              <w:spacing w:after="0"/>
              <w:rPr>
                <w:sz w:val="20"/>
                <w:szCs w:val="20"/>
                <w:color w:val="auto"/>
              </w:rPr>
            </w:pPr>
            <w:r>
              <w:rPr>
                <w:rFonts w:ascii="Times New Roman" w:cs="Times New Roman" w:eastAsia="Times New Roman" w:hAnsi="Times New Roman"/>
                <w:sz w:val="22"/>
                <w:szCs w:val="22"/>
                <w:color w:val="0000FF"/>
              </w:rPr>
              <w:t>ARTICLE 9 GENERAL PROVISIONS</w:t>
            </w:r>
          </w:p>
        </w:tc>
        <w:tc>
          <w:tcPr>
            <w:tcW w:w="240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466"/>
        </w:trPr>
        <w:tc>
          <w:tcPr>
            <w:tcW w:w="3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9.</w:t>
            </w:r>
            <w:r>
              <w:rPr>
                <w:rFonts w:ascii="Times New Roman" w:cs="Times New Roman" w:eastAsia="Times New Roman" w:hAnsi="Times New Roman"/>
                <w:sz w:val="22"/>
                <w:szCs w:val="22"/>
                <w:u w:val="single" w:color="auto"/>
                <w:color w:val="0000FF"/>
                <w:w w:val="90"/>
              </w:rPr>
              <w:t>1.</w:t>
            </w:r>
          </w:p>
        </w:tc>
        <w:tc>
          <w:tcPr>
            <w:tcW w:w="180" w:type="dxa"/>
            <w:vAlign w:val="bottom"/>
            <w:tcBorders>
              <w:top w:val="single" w:sz="8" w:color="0000FF"/>
            </w:tcBorders>
          </w:tcPr>
          <w:p>
            <w:pPr>
              <w:spacing w:after="0"/>
              <w:rPr>
                <w:sz w:val="24"/>
                <w:szCs w:val="24"/>
                <w:color w:val="auto"/>
              </w:rPr>
            </w:pPr>
          </w:p>
        </w:tc>
        <w:tc>
          <w:tcPr>
            <w:tcW w:w="10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5"/>
              </w:rPr>
              <w:t>Tax Matters</w:t>
            </w:r>
          </w:p>
        </w:tc>
        <w:tc>
          <w:tcPr>
            <w:tcW w:w="60" w:type="dxa"/>
            <w:vAlign w:val="bottom"/>
            <w:tcBorders>
              <w:top w:val="single" w:sz="8" w:color="0000FF"/>
              <w:bottom w:val="single" w:sz="8" w:color="0000FF"/>
            </w:tcBorders>
          </w:tcPr>
          <w:p>
            <w:pPr>
              <w:spacing w:after="0"/>
              <w:rPr>
                <w:sz w:val="24"/>
                <w:szCs w:val="24"/>
                <w:color w:val="auto"/>
              </w:rPr>
            </w:pPr>
          </w:p>
        </w:tc>
        <w:tc>
          <w:tcPr>
            <w:tcW w:w="660" w:type="dxa"/>
            <w:vAlign w:val="bottom"/>
            <w:tcBorders>
              <w:top w:val="single" w:sz="8" w:color="0000FF"/>
              <w:bottom w:val="single" w:sz="8" w:color="0000FF"/>
            </w:tcBorders>
            <w:gridSpan w:val="2"/>
          </w:tcPr>
          <w:p>
            <w:pPr>
              <w:spacing w:after="0"/>
              <w:rPr>
                <w:sz w:val="24"/>
                <w:szCs w:val="24"/>
                <w:color w:val="auto"/>
              </w:rPr>
            </w:pPr>
          </w:p>
        </w:tc>
        <w:tc>
          <w:tcPr>
            <w:tcW w:w="40" w:type="dxa"/>
            <w:vAlign w:val="bottom"/>
            <w:tcBorders>
              <w:top w:val="single" w:sz="8" w:color="0000FF"/>
              <w:bottom w:val="single" w:sz="8" w:color="0000FF"/>
            </w:tcBorders>
          </w:tcPr>
          <w:p>
            <w:pPr>
              <w:spacing w:after="0"/>
              <w:rPr>
                <w:sz w:val="24"/>
                <w:szCs w:val="24"/>
                <w:color w:val="auto"/>
              </w:rPr>
            </w:pPr>
          </w:p>
        </w:tc>
        <w:tc>
          <w:tcPr>
            <w:tcW w:w="1140" w:type="dxa"/>
            <w:vAlign w:val="bottom"/>
            <w:tcBorders>
              <w:top w:val="single" w:sz="8" w:color="0000FF"/>
              <w:bottom w:val="single" w:sz="8" w:color="0000FF"/>
            </w:tcBorders>
          </w:tcPr>
          <w:p>
            <w:pPr>
              <w:spacing w:after="0"/>
              <w:rPr>
                <w:sz w:val="24"/>
                <w:szCs w:val="24"/>
                <w:color w:val="auto"/>
              </w:rPr>
            </w:pPr>
          </w:p>
        </w:tc>
        <w:tc>
          <w:tcPr>
            <w:tcW w:w="1840" w:type="dxa"/>
            <w:vAlign w:val="bottom"/>
            <w:gridSpan w:val="2"/>
          </w:tcPr>
          <w:p>
            <w:pPr>
              <w:spacing w:after="0"/>
              <w:rPr>
                <w:sz w:val="24"/>
                <w:szCs w:val="24"/>
                <w:color w:val="auto"/>
              </w:rPr>
            </w:pPr>
          </w:p>
        </w:tc>
        <w:tc>
          <w:tcPr>
            <w:tcW w:w="3120" w:type="dxa"/>
            <w:vAlign w:val="bottom"/>
            <w:gridSpan w:val="2"/>
          </w:tcPr>
          <w:p>
            <w:pPr>
              <w:spacing w:after="0"/>
              <w:rPr>
                <w:sz w:val="24"/>
                <w:szCs w:val="24"/>
                <w:color w:val="auto"/>
              </w:rPr>
            </w:pPr>
          </w:p>
        </w:tc>
        <w:tc>
          <w:tcPr>
            <w:tcW w:w="240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493"/>
        </w:trPr>
        <w:tc>
          <w:tcPr>
            <w:tcW w:w="32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w w:val="90"/>
              </w:rPr>
              <w:t>9.</w:t>
            </w:r>
            <w:r>
              <w:rPr>
                <w:rFonts w:ascii="Times New Roman" w:cs="Times New Roman" w:eastAsia="Times New Roman" w:hAnsi="Times New Roman"/>
                <w:sz w:val="22"/>
                <w:szCs w:val="22"/>
                <w:u w:val="single" w:color="auto"/>
                <w:color w:val="0000FF"/>
                <w:w w:val="90"/>
              </w:rPr>
              <w:t>2.</w:t>
            </w:r>
          </w:p>
        </w:tc>
        <w:tc>
          <w:tcPr>
            <w:tcW w:w="18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w w:val="97"/>
              </w:rPr>
              <w:t>Adjustments</w:t>
            </w:r>
          </w:p>
        </w:tc>
        <w:tc>
          <w:tcPr>
            <w:tcW w:w="66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2980" w:type="dxa"/>
            <w:vAlign w:val="bottom"/>
            <w:gridSpan w:val="3"/>
            <w:vMerge w:val="restart"/>
          </w:tcPr>
          <w:p>
            <w:pPr>
              <w:spacing w:after="0"/>
              <w:rPr>
                <w:sz w:val="24"/>
                <w:szCs w:val="24"/>
                <w:color w:val="auto"/>
              </w:rPr>
            </w:pPr>
          </w:p>
        </w:tc>
        <w:tc>
          <w:tcPr>
            <w:tcW w:w="3120" w:type="dxa"/>
            <w:vAlign w:val="bottom"/>
            <w:gridSpan w:val="2"/>
            <w:vMerge w:val="restart"/>
          </w:tcPr>
          <w:p>
            <w:pPr>
              <w:spacing w:after="0"/>
              <w:rPr>
                <w:sz w:val="24"/>
                <w:szCs w:val="24"/>
                <w:color w:val="auto"/>
              </w:rPr>
            </w:pPr>
          </w:p>
        </w:tc>
        <w:tc>
          <w:tcPr>
            <w:tcW w:w="2400" w:type="dxa"/>
            <w:vAlign w:val="bottom"/>
            <w:vMerge w:val="restart"/>
          </w:tcPr>
          <w:p>
            <w:pPr>
              <w:ind w:left="220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0"/>
        </w:trPr>
        <w:tc>
          <w:tcPr>
            <w:tcW w:w="320" w:type="dxa"/>
            <w:vAlign w:val="bottom"/>
            <w:tcBorders>
              <w:bottom w:val="single" w:sz="8" w:color="0000FF"/>
            </w:tcBorders>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0000FF"/>
            </w:tcBorders>
            <w:gridSpan w:val="2"/>
            <w:shd w:val="clear" w:color="auto" w:fill="0000FF"/>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980" w:type="dxa"/>
            <w:vAlign w:val="bottom"/>
            <w:gridSpan w:val="3"/>
            <w:vMerge w:val="continue"/>
          </w:tcPr>
          <w:p>
            <w:pPr>
              <w:spacing w:after="0" w:line="20" w:lineRule="exact"/>
              <w:rPr>
                <w:sz w:val="1"/>
                <w:szCs w:val="1"/>
                <w:color w:val="auto"/>
              </w:rPr>
            </w:pPr>
          </w:p>
        </w:tc>
        <w:tc>
          <w:tcPr>
            <w:tcW w:w="3120" w:type="dxa"/>
            <w:vAlign w:val="bottom"/>
            <w:gridSpan w:val="2"/>
            <w:vMerge w:val="continue"/>
          </w:tcPr>
          <w:p>
            <w:pPr>
              <w:spacing w:after="0" w:line="20" w:lineRule="exact"/>
              <w:rPr>
                <w:sz w:val="1"/>
                <w:szCs w:val="1"/>
                <w:color w:val="auto"/>
              </w:rPr>
            </w:pPr>
          </w:p>
        </w:tc>
        <w:tc>
          <w:tcPr>
            <w:tcW w:w="24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9.</w:t>
            </w:r>
            <w:r>
              <w:rPr>
                <w:rFonts w:ascii="Times New Roman" w:cs="Times New Roman" w:eastAsia="Times New Roman" w:hAnsi="Times New Roman"/>
                <w:sz w:val="22"/>
                <w:szCs w:val="22"/>
                <w:u w:val="single" w:color="auto"/>
                <w:color w:val="0000FF"/>
                <w:w w:val="90"/>
              </w:rPr>
              <w:t>3.</w:t>
            </w:r>
          </w:p>
        </w:tc>
        <w:tc>
          <w:tcPr>
            <w:tcW w:w="180" w:type="dxa"/>
            <w:vAlign w:val="bottom"/>
          </w:tcPr>
          <w:p>
            <w:pPr>
              <w:spacing w:after="0"/>
              <w:rPr>
                <w:sz w:val="24"/>
                <w:szCs w:val="24"/>
                <w:color w:val="auto"/>
              </w:rPr>
            </w:pPr>
          </w:p>
        </w:tc>
        <w:tc>
          <w:tcPr>
            <w:tcW w:w="1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2"/>
                <w:szCs w:val="22"/>
                <w:color w:val="0000FF"/>
                <w:w w:val="97"/>
              </w:rPr>
              <w:t>Duration of the Plan</w:t>
            </w:r>
          </w:p>
        </w:tc>
        <w:tc>
          <w:tcPr>
            <w:tcW w:w="40" w:type="dxa"/>
            <w:vAlign w:val="bottom"/>
          </w:tcPr>
          <w:p>
            <w:pPr>
              <w:spacing w:after="0"/>
              <w:rPr>
                <w:sz w:val="24"/>
                <w:szCs w:val="24"/>
                <w:color w:val="auto"/>
              </w:rPr>
            </w:pPr>
          </w:p>
        </w:tc>
        <w:tc>
          <w:tcPr>
            <w:tcW w:w="2980" w:type="dxa"/>
            <w:vAlign w:val="bottom"/>
            <w:gridSpan w:val="3"/>
          </w:tcPr>
          <w:p>
            <w:pPr>
              <w:spacing w:after="0"/>
              <w:rPr>
                <w:sz w:val="24"/>
                <w:szCs w:val="24"/>
                <w:color w:val="auto"/>
              </w:rPr>
            </w:pPr>
          </w:p>
        </w:tc>
        <w:tc>
          <w:tcPr>
            <w:tcW w:w="3120" w:type="dxa"/>
            <w:vAlign w:val="bottom"/>
            <w:gridSpan w:val="2"/>
          </w:tcPr>
          <w:p>
            <w:pPr>
              <w:spacing w:after="0"/>
              <w:rPr>
                <w:sz w:val="24"/>
                <w:szCs w:val="24"/>
                <w:color w:val="auto"/>
              </w:rPr>
            </w:pPr>
          </w:p>
        </w:tc>
        <w:tc>
          <w:tcPr>
            <w:tcW w:w="2400" w:type="dxa"/>
            <w:vAlign w:val="bottom"/>
          </w:tcPr>
          <w:p>
            <w:pPr>
              <w:ind w:left="2200"/>
              <w:spacing w:after="0"/>
              <w:rPr>
                <w:sz w:val="20"/>
                <w:szCs w:val="20"/>
                <w:color w:val="auto"/>
              </w:rPr>
            </w:pPr>
            <w:r>
              <w:rPr>
                <w:rFonts w:ascii="Times New Roman" w:cs="Times New Roman" w:eastAsia="Times New Roman" w:hAnsi="Times New Roman"/>
                <w:sz w:val="22"/>
                <w:szCs w:val="22"/>
                <w:color w:val="auto"/>
                <w:w w:val="81"/>
              </w:rPr>
              <w:t>10</w:t>
            </w:r>
          </w:p>
        </w:tc>
        <w:tc>
          <w:tcPr>
            <w:tcW w:w="0" w:type="dxa"/>
            <w:vAlign w:val="bottom"/>
          </w:tcPr>
          <w:p>
            <w:pPr>
              <w:spacing w:after="0"/>
              <w:rPr>
                <w:sz w:val="1"/>
                <w:szCs w:val="1"/>
                <w:color w:val="auto"/>
              </w:rPr>
            </w:pPr>
          </w:p>
        </w:tc>
      </w:tr>
      <w:tr>
        <w:trPr>
          <w:trHeight w:val="493"/>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0"/>
              </w:rPr>
              <w:t>9.</w:t>
            </w:r>
            <w:r>
              <w:rPr>
                <w:rFonts w:ascii="Times New Roman" w:cs="Times New Roman" w:eastAsia="Times New Roman" w:hAnsi="Times New Roman"/>
                <w:sz w:val="22"/>
                <w:szCs w:val="22"/>
                <w:u w:val="single" w:color="auto"/>
                <w:color w:val="0000FF"/>
                <w:w w:val="90"/>
              </w:rPr>
              <w:t>4.</w:t>
            </w:r>
          </w:p>
        </w:tc>
        <w:tc>
          <w:tcPr>
            <w:tcW w:w="180" w:type="dxa"/>
            <w:vAlign w:val="bottom"/>
            <w:tcBorders>
              <w:bottom w:val="single" w:sz="8" w:color="0000FF"/>
            </w:tcBorders>
          </w:tcPr>
          <w:p>
            <w:pPr>
              <w:spacing w:after="0"/>
              <w:rPr>
                <w:sz w:val="24"/>
                <w:szCs w:val="24"/>
                <w:color w:val="auto"/>
              </w:rPr>
            </w:pPr>
          </w:p>
        </w:tc>
        <w:tc>
          <w:tcPr>
            <w:tcW w:w="1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2"/>
                <w:szCs w:val="22"/>
                <w:color w:val="0000FF"/>
                <w:w w:val="96"/>
              </w:rPr>
              <w:t>Expenses of the Plan</w:t>
            </w:r>
          </w:p>
        </w:tc>
        <w:tc>
          <w:tcPr>
            <w:tcW w:w="2980" w:type="dxa"/>
            <w:vAlign w:val="bottom"/>
            <w:gridSpan w:val="3"/>
          </w:tcPr>
          <w:p>
            <w:pPr>
              <w:spacing w:after="0"/>
              <w:rPr>
                <w:sz w:val="24"/>
                <w:szCs w:val="24"/>
                <w:color w:val="auto"/>
              </w:rPr>
            </w:pPr>
          </w:p>
        </w:tc>
        <w:tc>
          <w:tcPr>
            <w:tcW w:w="3120" w:type="dxa"/>
            <w:vAlign w:val="bottom"/>
            <w:gridSpan w:val="2"/>
          </w:tcPr>
          <w:p>
            <w:pPr>
              <w:spacing w:after="0"/>
              <w:rPr>
                <w:sz w:val="24"/>
                <w:szCs w:val="24"/>
                <w:color w:val="auto"/>
              </w:rPr>
            </w:pPr>
          </w:p>
        </w:tc>
        <w:tc>
          <w:tcPr>
            <w:tcW w:w="2400" w:type="dxa"/>
            <w:vAlign w:val="bottom"/>
          </w:tcPr>
          <w:p>
            <w:pPr>
              <w:ind w:left="2200"/>
              <w:spacing w:after="0"/>
              <w:rPr>
                <w:sz w:val="20"/>
                <w:szCs w:val="20"/>
                <w:color w:val="auto"/>
              </w:rPr>
            </w:pPr>
            <w:r>
              <w:rPr>
                <w:rFonts w:ascii="Times New Roman" w:cs="Times New Roman" w:eastAsia="Times New Roman" w:hAnsi="Times New Roman"/>
                <w:sz w:val="22"/>
                <w:szCs w:val="22"/>
                <w:color w:val="auto"/>
                <w:w w:val="81"/>
              </w:rPr>
              <w:t>10</w:t>
            </w:r>
          </w:p>
        </w:tc>
        <w:tc>
          <w:tcPr>
            <w:tcW w:w="0" w:type="dxa"/>
            <w:vAlign w:val="bottom"/>
          </w:tcPr>
          <w:p>
            <w:pPr>
              <w:spacing w:after="0"/>
              <w:rPr>
                <w:sz w:val="1"/>
                <w:szCs w:val="1"/>
                <w:color w:val="auto"/>
              </w:rPr>
            </w:pPr>
          </w:p>
        </w:tc>
      </w:tr>
      <w:tr>
        <w:trPr>
          <w:trHeight w:val="493"/>
        </w:trPr>
        <w:tc>
          <w:tcPr>
            <w:tcW w:w="8400" w:type="dxa"/>
            <w:vAlign w:val="bottom"/>
            <w:gridSpan w:val="12"/>
          </w:tcPr>
          <w:p>
            <w:pPr>
              <w:spacing w:after="0"/>
              <w:rPr>
                <w:sz w:val="20"/>
                <w:szCs w:val="20"/>
                <w:color w:val="auto"/>
              </w:rPr>
            </w:pPr>
            <w:r>
              <w:rPr>
                <w:rFonts w:ascii="Times New Roman" w:cs="Times New Roman" w:eastAsia="Times New Roman" w:hAnsi="Times New Roman"/>
                <w:sz w:val="22"/>
                <w:szCs w:val="22"/>
                <w:color w:val="0000FF"/>
              </w:rPr>
              <w:t>SCHEDULE I DIRECTOR COMPENSATION SCHEDULE</w:t>
            </w:r>
          </w:p>
        </w:tc>
        <w:tc>
          <w:tcPr>
            <w:tcW w:w="2400" w:type="dxa"/>
            <w:vAlign w:val="bottom"/>
          </w:tcPr>
          <w:p>
            <w:pPr>
              <w:ind w:left="2200"/>
              <w:spacing w:after="0"/>
              <w:rPr>
                <w:sz w:val="20"/>
                <w:szCs w:val="20"/>
                <w:color w:val="auto"/>
              </w:rPr>
            </w:pPr>
            <w:r>
              <w:rPr>
                <w:rFonts w:ascii="Times New Roman" w:cs="Times New Roman" w:eastAsia="Times New Roman" w:hAnsi="Times New Roman"/>
                <w:sz w:val="22"/>
                <w:szCs w:val="22"/>
                <w:color w:val="auto"/>
                <w:w w:val="81"/>
              </w:rPr>
              <w:t>11</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2"/>
          <w:szCs w:val="22"/>
          <w:color w:val="auto"/>
        </w:rPr>
        <w:t>- ii -</w:t>
      </w:r>
    </w:p>
    <w:p>
      <w:pPr>
        <w:sectPr>
          <w:pgSz w:w="11900" w:h="16838" w:orient="portrait"/>
          <w:cols w:equalWidth="0" w:num="1">
            <w:col w:w="10800"/>
          </w:cols>
          <w:pgMar w:left="400" w:top="1440" w:right="699" w:bottom="1440" w:gutter="0" w:footer="0" w:header="0"/>
        </w:sectPr>
      </w:pPr>
    </w:p>
    <w:bookmarkStart w:id="82" w:name="page83"/>
    <w:bookmarkEnd w:id="82"/>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8480" cy="4883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88315"/>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ind w:left="3560"/>
        <w:spacing w:after="0"/>
        <w:rPr>
          <w:sz w:val="20"/>
          <w:szCs w:val="20"/>
          <w:color w:val="auto"/>
        </w:rPr>
      </w:pPr>
      <w:r>
        <w:rPr>
          <w:rFonts w:ascii="Times New Roman" w:cs="Times New Roman" w:eastAsia="Times New Roman" w:hAnsi="Times New Roman"/>
          <w:sz w:val="22"/>
          <w:szCs w:val="22"/>
          <w:b w:val="1"/>
          <w:bCs w:val="1"/>
          <w:color w:val="auto"/>
        </w:rPr>
        <w:t>2008 DIRECTOR COMPENSATION PLAN</w:t>
      </w:r>
    </w:p>
    <w:p>
      <w:pPr>
        <w:spacing w:after="0" w:line="14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b w:val="1"/>
          <w:bCs w:val="1"/>
          <w:color w:val="auto"/>
        </w:rPr>
        <w:t>Article 1</w:t>
      </w:r>
    </w:p>
    <w:p>
      <w:pPr>
        <w:ind w:left="6420"/>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15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BACKGROUND</w:t>
      </w:r>
      <w:r>
        <w:rPr>
          <w:rFonts w:ascii="Times New Roman" w:cs="Times New Roman" w:eastAsia="Times New Roman" w:hAnsi="Times New Roman"/>
          <w:sz w:val="22"/>
          <w:szCs w:val="22"/>
          <w:color w:val="auto"/>
        </w:rPr>
        <w:t>. This Plan is adopted to formalize the compensation for non-employee directors of the Company. The Board adopted the Micron Technology, Inc. 2008 Director Compensation Plan effective as of January 14, 2009, amended and restated the Plan effective as of December 1, 2021, and hereby further amends and restates the Plan effective as of October 12, 2023. The Plan operates as a subplan of the Micron Technology, Inc. Amended and Restated 2007 Equity Incentive Plan, and any subsequent equity compensation plan approved by the Board and designated as the Equity Incentive Plan for purposes of this Plan.</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the Plan is to attract, retain and compensate highly-qualified individuals who are not employees of the Company or any of its Subsidiaries or Affiliates for service as members of the Board by providing them with competitive compensation and an equity interest in the Stock of the Company. The Company intends that the Plan will benefit the Company and its stockholders by allowing Non-Employee Directors to have a personal financial stake in the Company through an ownership interest in the Stock and will closely associate the interests of Non-Employee Directors with that of the Company’s stockholders.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Non-Employee Directors of the Company who are Eligible Participants, as defined below, shall automatically be participants in the Plan.</w:t>
      </w:r>
    </w:p>
    <w:p>
      <w:pPr>
        <w:spacing w:after="0" w:line="13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2"/>
          <w:szCs w:val="22"/>
          <w:b w:val="1"/>
          <w:bCs w:val="1"/>
          <w:color w:val="auto"/>
        </w:rPr>
        <w:t>Article 2</w:t>
      </w:r>
    </w:p>
    <w:p>
      <w:pPr>
        <w:ind w:left="608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herein and not otherwise defined shall have the meanings given such terms in the Micron Technology, Inc. Amended and Restated 2007 Equity Incentive Plan. Unless the context clearly indicates otherwise, the following terms shall have the following meanings: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“Annual Equity Award Amount” means with respect to all Non-Employee Directors for each Plan Year, the amount determined by the Board from time to time and set forth on Schedule I hereto.</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“Annual Grant Date” means (i) the date during each Plan Year in which annual Equity Awards are granted to directors of the Company, or (ii) such other date(s) as may be established by the Committee for the grant of Annual Equity Awards hereunder. The Committee may establish different Annual Grant Dates for different directors (for example, but not by way of limitation, for a Non-Employee Director for the Plan Year in which the Non-Employee Director first joins the Board).</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“Basic Annual Retainer” means the annual retainer (excluding expenses and perquisites) payable by the Company to a Non-Employee Director pursuant to Section 5.1 hereof for service as a director of the Company (i.e., excluding any Supplemental Annual Retainer), as such amount may be determined by the Board from time to time and set forth on Schedule I hereto.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2"/>
          <w:szCs w:val="22"/>
          <w:color w:val="auto"/>
        </w:rPr>
        <w:t>- 1 -</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8480" cy="4883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88315"/>
                    </a:xfrm>
                    <a:prstGeom prst="rect">
                      <a:avLst/>
                    </a:prstGeom>
                    <a:noFill/>
                  </pic:spPr>
                </pic:pic>
              </a:graphicData>
            </a:graphic>
          </wp:anchor>
        </w:drawing>
      </w: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“Committee” means the Governance and Sustainability Committee of the Board or any other duly authorized committee of the Board that the Board has designated to administer the Plan.</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“DSU Equivalent Amount” means the portion (in 25% increments) of an Eligible Participant’s Total Annual Retainer and Annual Equity Award Amount for a Plan Year that he or she has elected to receive in the form of Deferred Stock Units, pursuant to Section 6.2.</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“Effective Date” of the Plan means January 14, 2009.</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“Election Form” means the form by which an Eligible Participant elects the form and timing of payment of his or her Total Annual Retainer and/or elects the timing of payment of any Deferred Stock Units in lieu of his or her Annual Equity Award, as provided in Article 6.</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“Eligible Participant” means any person who is a Non-Employee Director on the Effective Date or becomes a Non-Employee Director while this Plan is in effect.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“Equity Award” means an award of Options, Restricted Stock, Restricted Stock Units, Deferred Stock Units or any other type of Award based on or derived from the Stock and which is authorized under the Equity Incentive Plan for award to Non-Employee Directors.</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“Equity Incentive Plan” means the Micron Technology, Inc. Amended and Restated 2007 Equity Incentive Plan, and any subsequent equity compensation plan approved by the Board and designated as the Equity Incentive Plan for purposes of this Plan.</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“Non-Employee Director” means a director of the Company who is not an employee of the Company or any of its Subsidiaries or Affiliates.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“Plan” means this Micron Technology, Inc. 2008 Director Compensation Plan, as amended from time to time.</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“Plan Year(s)” means the twelve-month period ending on December 31 of each year which, for purposes of the Plan, is the period for which the Annual Retainer is earned.</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“Quarterly Grant Date” has the meaning set forth in Section 6.1(a) of the Plan.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“Quarterly Service Period” has the meaning set forth in Section 6.1(a) of the Plan.</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“Separation from Service” means separation from service from the Company and its Affiliates in all capacities, within the meaning of Section 409A of the Code.</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“Stock Equivalent Amount” means the portion (in 25% increments) of an Eligible Participant’s Total Annual Retainer for a Plan Year that he or she has elected to receive in the form of current Stock awards, pursuant to Section 6.1.</w:t>
      </w:r>
    </w:p>
    <w:p>
      <w:pPr>
        <w:spacing w:after="0" w:line="15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“Supplemental Annual Retainer” means the annual retainer (excluding expenses and perquisites) payable by the Company to a Non-Employee Director pursuant to Section 5.2 hereof, as such amount may be determined by the Board from time to time.</w:t>
      </w:r>
    </w:p>
    <w:p>
      <w:pPr>
        <w:spacing w:after="0" w:line="13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“Total Annual Retainer” for any given Non-Employee Director means the Basic Annual Retainer and any Supplemental Annual Retainer to which he or she is entitled under the Plan.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8480" cy="4883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8831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2"/>
          <w:szCs w:val="22"/>
          <w:b w:val="1"/>
          <w:bCs w:val="1"/>
          <w:color w:val="auto"/>
        </w:rPr>
        <w:t>Article 3</w:t>
      </w:r>
    </w:p>
    <w:p>
      <w:pPr>
        <w:ind w:left="5880"/>
        <w:spacing w:after="0"/>
        <w:rPr>
          <w:sz w:val="20"/>
          <w:szCs w:val="20"/>
          <w:color w:val="auto"/>
        </w:rPr>
      </w:pPr>
      <w:r>
        <w:rPr>
          <w:rFonts w:ascii="Times New Roman" w:cs="Times New Roman" w:eastAsia="Times New Roman" w:hAnsi="Times New Roman"/>
          <w:sz w:val="22"/>
          <w:szCs w:val="22"/>
          <w:b w:val="1"/>
          <w:bCs w:val="1"/>
          <w:color w:val="auto"/>
        </w:rPr>
        <w:t>ADMINISTRATION</w:t>
      </w:r>
    </w:p>
    <w:p>
      <w:pPr>
        <w:spacing w:after="0" w:line="155"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The Plan shall be administered by the Committee. Subject to the provisions of the Plan, the Committee shall be authorized to interpret the Plan, to establish, amend and rescind any rules and regulations relating to the Plan, and to make all other determinations necessary or advisable for the administration of the Plan (for example, but not by way of limitation, the form, time and manner of elections under the Plan). The Committee’s interpretation of the Plan, and all actions taken and determinations made by the Committee pursuant to the powers vested in it hereunder, shall be conclusive and binding upon all parties concerned including the Company, its stockholders and persons granted awards under the Plan. The Committee may appoint a plan administrator to carry out the ministerial functions of the Plan, but the administrator shall have no other authority or powers of the Committee. Any powers that are reserved under the Plan to the Committee may be exercised by the Board to the extent determined in the discretion of the Board.</w:t>
      </w:r>
    </w:p>
    <w:p>
      <w:pPr>
        <w:spacing w:after="0" w:line="15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RELIANCE</w:t>
      </w:r>
      <w:r>
        <w:rPr>
          <w:rFonts w:ascii="Times New Roman" w:cs="Times New Roman" w:eastAsia="Times New Roman" w:hAnsi="Times New Roman"/>
          <w:sz w:val="22"/>
          <w:szCs w:val="22"/>
          <w:color w:val="auto"/>
        </w:rPr>
        <w:t>. In administering the Plan, the Committee may rely upon any information furnished by the Company, its public accountants and other experts. No individual will have personal liability by reason of anything done or omitted to be done by the Company or the Committee in connection with the Plan. This limitation of liability shall not be exclusive of any other limitation of liability to which any such person may be entitled under the Company’s certificate of incorporation or otherwise.</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Each person who is or has been a member of the Committee or who otherwise participates in the administration or operation of the Plan shall be indemnified by the Company against, and held harmless from, any loss, cost, liability or expense that may be imposed upon or incurred by him or her in connection with or resulting from any claim, action, suit or proceeding in which such person may be involved by reason of any action taken or failure to act under the Plan and shall be fully reimbursed by the Company for any and all amounts paid by such person in satisfaction of judgment against him or her in any such action, suit or proceeding, provided he or she will give the Company an opportunity, by written notice to the Board, to defend the same at the Company’s own expense before he or she undertakes to defend it on his or her own behalf. This right of indemnification shall not be exclusive of any other rights of indemnification to which any such person may be entitled under the Company’s certificate of incorporation, bylaws, contract or Delaware law.</w:t>
      </w:r>
    </w:p>
    <w:p>
      <w:pPr>
        <w:spacing w:after="0" w:line="1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b w:val="1"/>
          <w:bCs w:val="1"/>
          <w:color w:val="auto"/>
        </w:rPr>
        <w:t>Article 4</w:t>
      </w:r>
    </w:p>
    <w:p>
      <w:pPr>
        <w:ind w:left="5740"/>
        <w:spacing w:after="0"/>
        <w:rPr>
          <w:sz w:val="20"/>
          <w:szCs w:val="20"/>
          <w:color w:val="auto"/>
        </w:rPr>
      </w:pPr>
      <w:r>
        <w:rPr>
          <w:rFonts w:ascii="Times New Roman" w:cs="Times New Roman" w:eastAsia="Times New Roman" w:hAnsi="Times New Roman"/>
          <w:sz w:val="22"/>
          <w:szCs w:val="22"/>
          <w:b w:val="1"/>
          <w:bCs w:val="1"/>
          <w:color w:val="auto"/>
        </w:rPr>
        <w:t>SOURCE OF SHARES</w:t>
      </w:r>
    </w:p>
    <w:p>
      <w:pPr>
        <w:spacing w:after="0" w:line="15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SOURCE OF SHARES FOR THE PLAN</w:t>
      </w:r>
      <w:r>
        <w:rPr>
          <w:rFonts w:ascii="Times New Roman" w:cs="Times New Roman" w:eastAsia="Times New Roman" w:hAnsi="Times New Roman"/>
          <w:sz w:val="22"/>
          <w:szCs w:val="22"/>
          <w:color w:val="auto"/>
        </w:rPr>
        <w:t>. Equity Awards that may be issued pursuant to the Plan shall be issued under the Equity Incentive Plan, subject to all of the terms and conditions of the Equity Incentive Plan. The terms contained in the Equity Incentive Plan are incorporated into and made a part of this Plan with respect to Equity Awards granted pursuant hereto, and any such awards shall be governed by and construed in accordance with the Equity Incentive Plan. In the event of any actual or alleged conflict between the provisions of the Equity Incentive Plan and the provisions of this Plan, the provisions of the Equity Incentive Plan shall be controlling and determinative. This Plan does not constitute a separate source of shares for the grant of the Equity Awards described herein.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8480" cy="4883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8831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22"/>
          <w:szCs w:val="22"/>
          <w:b w:val="1"/>
          <w:bCs w:val="1"/>
          <w:color w:val="auto"/>
        </w:rPr>
        <w:t>Article 5</w:t>
      </w:r>
    </w:p>
    <w:p>
      <w:pPr>
        <w:ind w:left="2780"/>
        <w:spacing w:after="0"/>
        <w:rPr>
          <w:sz w:val="20"/>
          <w:szCs w:val="20"/>
          <w:color w:val="auto"/>
        </w:rPr>
      </w:pPr>
      <w:r>
        <w:rPr>
          <w:rFonts w:ascii="Times New Roman" w:cs="Times New Roman" w:eastAsia="Times New Roman" w:hAnsi="Times New Roman"/>
          <w:sz w:val="22"/>
          <w:szCs w:val="22"/>
          <w:b w:val="1"/>
          <w:bCs w:val="1"/>
          <w:color w:val="auto"/>
        </w:rPr>
        <w:t>ANNUAL RETAINER AND EXPENSE REIMBURSEMENT</w:t>
      </w:r>
    </w:p>
    <w:p>
      <w:pPr>
        <w:spacing w:after="0" w:line="155"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BASIC ANNUAL RETAINER</w:t>
      </w:r>
      <w:r>
        <w:rPr>
          <w:rFonts w:ascii="Times New Roman" w:cs="Times New Roman" w:eastAsia="Times New Roman" w:hAnsi="Times New Roman"/>
          <w:sz w:val="22"/>
          <w:szCs w:val="22"/>
          <w:color w:val="auto"/>
        </w:rPr>
        <w:t>. Each Eligible Participant shall be paid a Basic Annual Retainer for service as a director during each Plan Year, payable in monthly installments at the end of each month of service (unless a different payment date is elected in accordance with Article 6). The amount of the Basic Annual Retainer shall be established from time to time by the Board upon recommendation of the Committee, and shall be set forth in Schedule I hereto, as amended from time to time. Each person who first becomes an Eligible Participant shall be entitled to a retainer equal to the monthly installment of the Basic Annual Retainer for each full month served during such Plan Year and a pro rata amount to reflect the actual number of days served in a partial month of service, in both cases payable in monthly installments at the end of the applicable month of service (unless a different payment date is elected in accordance with Article 6). If an Eligible Participant ceases to be such during a month, that person shall be entitled to a pro rata portion of the installment of the Basic Annual Retainer otherwise payable for that month, which pro rata portion reflects the actual number of days served in such month of partial service, payable at the end of such month (unless a different payment date is elected in accordance with Article 6).</w:t>
      </w:r>
    </w:p>
    <w:p>
      <w:pPr>
        <w:spacing w:after="0" w:line="157"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SUPPLEMENTAL ANNUAL RETAINER</w:t>
      </w:r>
      <w:r>
        <w:rPr>
          <w:rFonts w:ascii="Times New Roman" w:cs="Times New Roman" w:eastAsia="Times New Roman" w:hAnsi="Times New Roman"/>
          <w:sz w:val="21"/>
          <w:szCs w:val="21"/>
          <w:color w:val="auto"/>
        </w:rPr>
        <w:t>. The chairs or members of the Audit, Compensation and Governance Committees of the Board may be entitled to a Supplemental Annual Retainer during a Plan Year, payable at the same times as installments of the Basic Annual Retainer are paid. The amount of the Supplemental Annual Retainers shall be established from time to time by the Board, upon recommendation of the Committee, and shall be set forth in Schedule I hereto, as amended from time to time. A pro rata Supplemental Annual Retainer will be payable to any Eligible Participant who is elected by the Board to a position eligible for a Supplemental Annual Retainer on a date other than the beginning of a Plan Year, for each full month served during such Plan Year in such position and a pro rata amount to reflect the actual number of days served in such month of partial service. If a person ceases to be a chair or member of the Audit, Compensation or Governance Committees of the Board on other than the las day of a month, that person shall be entitled to a pro rata portion of the installment of the Supplemental Annual Retainer otherwise payable for that month, which pro rata portion reflects the actual number of days served in the partial month of service, payable at the end of such month (unless a different payment date is elected in accordance with Article 6).</w:t>
      </w:r>
    </w:p>
    <w:p>
      <w:pPr>
        <w:spacing w:after="0" w:line="157"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TRAVEL EXPENSE REIMBURSEMENT</w:t>
      </w:r>
      <w:r>
        <w:rPr>
          <w:rFonts w:ascii="Times New Roman" w:cs="Times New Roman" w:eastAsia="Times New Roman" w:hAnsi="Times New Roman"/>
          <w:sz w:val="22"/>
          <w:szCs w:val="22"/>
          <w:color w:val="auto"/>
        </w:rPr>
        <w:t>. All Eligible Participants shall be reimbursed for reasonable travel expenses (including spouse’s expenses to attend events to which spouses are invited) in connection with attendance at meetings of the Board and its committees, or other Company functions at which the Chief Executive Officer or the Board requests the Director to participate.</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b w:val="1"/>
          <w:bCs w:val="1"/>
          <w:color w:val="auto"/>
        </w:rPr>
        <w:t>Article 6</w:t>
      </w:r>
    </w:p>
    <w:p>
      <w:pPr>
        <w:ind w:left="2740"/>
        <w:spacing w:after="0"/>
        <w:rPr>
          <w:sz w:val="20"/>
          <w:szCs w:val="20"/>
          <w:color w:val="auto"/>
        </w:rPr>
      </w:pPr>
      <w:r>
        <w:rPr>
          <w:rFonts w:ascii="Times New Roman" w:cs="Times New Roman" w:eastAsia="Times New Roman" w:hAnsi="Times New Roman"/>
          <w:sz w:val="22"/>
          <w:szCs w:val="22"/>
          <w:b w:val="1"/>
          <w:bCs w:val="1"/>
          <w:color w:val="auto"/>
        </w:rPr>
        <w:t>TIME AND FORM OF PAYMENT OF ANNUAL RETAINER</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ELECTION TO RECEIVE TOTAL ANNUAL RETAINER CURRENTLY IN CASH OR STOCK</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0" w:lineRule="auto"/>
        <w:tabs>
          <w:tab w:leader="none" w:pos="129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Non-Employee Director may elect to receive some or all (in 25% increments) of the Total Annual Retainer to be earned during a Plan Year by such Non-Employee Director either (i) in cash, payable on the dates on which the Total Annual Retainer are normally paid, or (ii) subject to share availability under the Equity Incentive Plan, in shares of Stock delivered on each of March 31, June 30, September 30 and December 31 of each Plan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5980" w:hanging="117"/>
        <w:spacing w:after="0"/>
        <w:tabs>
          <w:tab w:leader="none" w:pos="598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8480" cy="4883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88315"/>
                    </a:xfrm>
                    <a:prstGeom prst="rect">
                      <a:avLst/>
                    </a:prstGeom>
                    <a:noFill/>
                  </pic:spPr>
                </pic:pic>
              </a:graphicData>
            </a:graphic>
          </wp:anchor>
        </w:drawing>
      </w:r>
    </w:p>
    <w:p>
      <w:pPr>
        <w:jc w:val="both"/>
        <w:spacing w:after="0" w:line="211" w:lineRule="auto"/>
        <w:rPr>
          <w:sz w:val="20"/>
          <w:szCs w:val="20"/>
          <w:color w:val="auto"/>
        </w:rPr>
      </w:pPr>
      <w:r>
        <w:rPr>
          <w:rFonts w:ascii="Times New Roman" w:cs="Times New Roman" w:eastAsia="Times New Roman" w:hAnsi="Times New Roman"/>
          <w:sz w:val="22"/>
          <w:szCs w:val="22"/>
          <w:color w:val="auto"/>
        </w:rPr>
        <w:t>Year (the “Quarterly Grant Date”). The number of shares of Stock to be granted on each Quarterly Grant Date shall be determined by dividing the Stock Equivalent Amount earned by the Non-Employee Director under Section 5 during the three-month period ending with (and inclusive of) the month in which the Quarterly Grant Date occurs (the “Quarterly Service Period”) by the Fair Market Value per share of Stock on the Quarterly Grant Date (rounded to the nearest whole share). Any Stock granted under this Section 6.1 will be 100% vested and nonforfeitable as of the Quarterly Grant Date, and the Non-Employee Director receiving such Stock (or his or her custodian, if any) will have immediate rights of ownership in the Stock, including the right to vote the Stock and the right to receive any dividends or other distributions thereon. If a Non-Employee Director ceases to be such on other than a Quarterly Grant Date, the grant date for any shares of Stock earned for that calendar quarter shall be the last day of the Non-Employee Director’s service as such.</w:t>
      </w:r>
    </w:p>
    <w:p>
      <w:pPr>
        <w:spacing w:after="0" w:line="158" w:lineRule="exact"/>
        <w:rPr>
          <w:sz w:val="20"/>
          <w:szCs w:val="20"/>
          <w:color w:val="auto"/>
        </w:rPr>
      </w:pPr>
    </w:p>
    <w:p>
      <w:pPr>
        <w:jc w:val="both"/>
        <w:ind w:firstLine="656"/>
        <w:spacing w:after="0" w:line="209" w:lineRule="auto"/>
        <w:tabs>
          <w:tab w:leader="none" w:pos="129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Non-Employee Director shall elect the form of payment desired for his or her Total Annual Retainer for a Plan Year by delivering a valid Election Form in such form as the Board shall prescribe to the Board prior to the beginning of such Plan Year or within thirty (30) days after a Non-Employee Director first joins the Board (and subject in all cases to any earlier deadline established for purposes of regulatory compliance or administration). The Election Form will be effective as of the first day of the Plan Year beginning after the Board receives the Non-Employee Director’s Election Form (or as of the next Plan quarter in the case of a Non-Employee Director making such election after first joining the Board) and in all cases only with respect to compensation that has not been earned as of the date the election is made. The Election Form elected by the Non-Employee Director prior to the Plan Year will be irrevocable for the coming Plan Year (or coming Plan quarter, if applicable). However, prior to the commencement of the following Plan Year (and subject in all cases to any earlier deadline established for purposes of regulatory compliance or administration), a Non-Employee Director may change his or her election for future Plan Years by delivering a new Election Form indicating a different choice. If a Non-Employee Director fails to deliver a new Election Form prior to the commencement of the new Plan Year, his or her Election Form in effect during the previous Plan Year shall continue in effect during the new Plan Year. If no Election Form is filed or effective, or if there are insufficient shares of Stock in the Equity Incentive Plan, the Total Annual Retainer will be paid in cash.</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ELECTION TO DEFER ANNUAL RETAINER AND ANNUAL EQUITY AWARD AMOUNT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0" w:lineRule="auto"/>
        <w:tabs>
          <w:tab w:leader="none" w:pos="1293"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Timing and Manner of Deferral Election</w:t>
      </w:r>
      <w:r>
        <w:rPr>
          <w:rFonts w:ascii="Times New Roman" w:cs="Times New Roman" w:eastAsia="Times New Roman" w:hAnsi="Times New Roman"/>
          <w:sz w:val="21"/>
          <w:szCs w:val="21"/>
          <w:color w:val="auto"/>
        </w:rPr>
        <w:t>. A Non-Employee Director may elect to defer some or all of his or her Total Annual Retainer and Annual Equity Award Amount (each in 25% increments) by conversion to Deferred Stock Units in accordance with this Section 6.2, subject to share availability under the Equity Incentive Plan. A Non-Employee Director who wishes to receive some or all of the Total Annual Retainer and/or Annual Equity Award Amount for a Plan Year in the form of Deferred Stock Units must irrevocably elect to do so by delivering a valid Election Form to the Board prior to the later of (i) the beginning of such Plan Year or (ii) thirty (30) days after he or she first joins the Board, subject in all cases to any earlier deadline established for purposes of regulatory compliance or administration. A Non-Employee Director’s participation in this Section 6.2 of the Plan will be effective as of the first day of the Plan Year beginning after the Board receives the Non-Employee Director’s Election Form (or as of the next Plan quarter in the case of a Non-Employee Director making such election within thirty (30) days after first joining the Board). The deferral Election Form delivered by the Non-Employee Director will be irrevocable for the coming Plan Year (or coming Plan quarter, if applicable). However, prior to the commencement of the following Plan Year (and subject in all cases to any earlier deadline established for purposes of regulatory compliance or</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18" w:lineRule="exact"/>
        <w:rPr>
          <w:rFonts w:ascii="Times New Roman" w:cs="Times New Roman" w:eastAsia="Times New Roman" w:hAnsi="Times New Roman"/>
          <w:sz w:val="21"/>
          <w:szCs w:val="21"/>
          <w:color w:val="auto"/>
        </w:rPr>
      </w:pPr>
    </w:p>
    <w:p>
      <w:pPr>
        <w:ind w:left="5980" w:hanging="117"/>
        <w:spacing w:after="0"/>
        <w:tabs>
          <w:tab w:leader="none" w:pos="598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8480" cy="4883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88315"/>
                    </a:xfrm>
                    <a:prstGeom prst="rect">
                      <a:avLst/>
                    </a:prstGeom>
                    <a:noFill/>
                  </pic:spPr>
                </pic:pic>
              </a:graphicData>
            </a:graphic>
          </wp:anchor>
        </w:drawing>
      </w:r>
    </w:p>
    <w:p>
      <w:pPr>
        <w:jc w:val="both"/>
        <w:spacing w:after="0" w:line="220" w:lineRule="auto"/>
        <w:rPr>
          <w:sz w:val="20"/>
          <w:szCs w:val="20"/>
          <w:color w:val="auto"/>
        </w:rPr>
      </w:pPr>
      <w:r>
        <w:rPr>
          <w:rFonts w:ascii="Times New Roman" w:cs="Times New Roman" w:eastAsia="Times New Roman" w:hAnsi="Times New Roman"/>
          <w:sz w:val="22"/>
          <w:szCs w:val="22"/>
          <w:color w:val="auto"/>
        </w:rPr>
        <w:t>administration), a Non-Employee Director may change his or her election for future Plan Years by delivering a new Election Form indicating a different choice. If a Non-Employee Director fails to deliver a new Election Form prior to the commencement of the new Plan Year, his or her Election Form in effect during the previous Plan Year shall continue in effect during the new Plan Year.</w:t>
      </w:r>
    </w:p>
    <w:p>
      <w:pPr>
        <w:spacing w:after="0" w:line="152" w:lineRule="exact"/>
        <w:rPr>
          <w:sz w:val="20"/>
          <w:szCs w:val="20"/>
          <w:color w:val="auto"/>
        </w:rPr>
      </w:pPr>
    </w:p>
    <w:p>
      <w:pPr>
        <w:jc w:val="both"/>
        <w:ind w:firstLine="656"/>
        <w:spacing w:after="0" w:line="207" w:lineRule="auto"/>
        <w:tabs>
          <w:tab w:leader="none" w:pos="129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and Settlement of Deferred Stock Units</w:t>
      </w:r>
      <w:r>
        <w:rPr>
          <w:rFonts w:ascii="Times New Roman" w:cs="Times New Roman" w:eastAsia="Times New Roman" w:hAnsi="Times New Roman"/>
          <w:sz w:val="22"/>
          <w:szCs w:val="22"/>
          <w:color w:val="auto"/>
        </w:rPr>
        <w:t>. The number of Deferred Stock Units to be granted to an Eligible Participant on each Quarterly Grant Date shall be determined by dividing (i) the DSU Equivalent Amount attributable to the Total Annual Retainer earned (but deferred) by the Non-Employee Director during the Quarterly Service Period by (ii) the Fair Market Value per share of Stock on the Quarterly Grant Date (rounded to the nearest whole share). If a Non-Employee Director ceases to be such on other than a Quarterly Grant Date, the grant date for any Deferred Stock Units attributable to the Non-Employee Director’s Total Annual Retainer earned for that calendar quarter shall be the last day of the Non-Employee Director’s service as such. The number of Deferred Stock Units to be granted to an Eligible Participant on the applicable Annual Grant Date shall be determined by dividing (i) the DSU Equivalent Amount attributable to the Annual Equity Award Amount that otherwise would have been granted (but for the valid deferral election) to the Non-Employee Director during the Plan Year by (ii) the Fair Market Value per share of Stock on the Annual Grant Date (rounded to the nearest whole share). Deferred Stock Units shall be credited to a bookkeeping account maintained by the Company on behalf of the Non-Employee Director. The Deferred Stock Units shall be settled in (converted to) shares of Stock in a single sum on the date of the Non-Employee Director’s Separation from Service (and in all events no later than fifteen (15) days thereafter, as determined by the Company for administrative convenience), provided that Deferred Stock Units in respect of the Annual Equity Award Amount will be settled only to the extent vested (and otherwise will be forfeited upon the Director’s Separation from Service). (For the avoidance of doubt, valid elections by Non-Employee Directors for the 2023 Plan Year and earlier to receive payment in up to five equal annual installments still shall be paid in accordance with such elections to the extent provided by the Plan as in effect prior to this amendment and restatement.) No shares of Stock will be issued under this Section 6.2(b) until the applicable settlement date, at which time shares of Stock will be registered on the books of the Company in the Non-Employee Director’s (at the conversion rate of one share of Stock for each Deferred Stock Unit). Such Shares of Stock will remain in uncertificated, book-entry form unless the Non-Employee Director requests a stock certificate or certificates for the Shares.</w:t>
      </w:r>
    </w:p>
    <w:p>
      <w:pPr>
        <w:spacing w:after="0" w:line="16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color w:val="auto"/>
        </w:rPr>
        <w:t>. Deferred Stock Units may not be sold, transferred, exchanged, assigned, pledged, hypothecated or otherwise encumbered to or in favor of any party other than the Company, or be subjected to any lien, obligation or liability of the grantee to any other party other than the Company.</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A Non-Employee Director shall not have voting, dividend or any other rights as a stockholder of the Company with respect to the Deferred Stock Units. Upon conversion of the Deferred Stock Units into shares of Stock, the Non-Employee Director will obtain full voting, dividend and other rights as a stockholder of the Company.</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Certificates</w:t>
      </w:r>
      <w:r>
        <w:rPr>
          <w:rFonts w:ascii="Times New Roman" w:cs="Times New Roman" w:eastAsia="Times New Roman" w:hAnsi="Times New Roman"/>
          <w:sz w:val="22"/>
          <w:szCs w:val="22"/>
          <w:color w:val="auto"/>
        </w:rPr>
        <w:t>. All Deferred Stock Units shall be evidenced by a written Award Certificate between the Company and the Non-Employee Director, which shall include such provisions, not inconsistent with the Plan or the Equity Incentive Plan, as may be specified by the Board.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5980" w:hanging="117"/>
        <w:spacing w:after="0"/>
        <w:tabs>
          <w:tab w:leader="none" w:pos="598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8480" cy="4883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88315"/>
                    </a:xfrm>
                    <a:prstGeom prst="rect">
                      <a:avLst/>
                    </a:prstGeom>
                    <a:noFill/>
                  </pic:spPr>
                </pic:pic>
              </a:graphicData>
            </a:graphic>
          </wp:anchor>
        </w:drawing>
      </w:r>
    </w:p>
    <w:p>
      <w:pPr>
        <w:ind w:left="5024"/>
        <w:spacing w:after="0"/>
        <w:rPr>
          <w:sz w:val="20"/>
          <w:szCs w:val="20"/>
          <w:color w:val="auto"/>
        </w:rPr>
      </w:pPr>
      <w:r>
        <w:rPr>
          <w:rFonts w:ascii="Times New Roman" w:cs="Times New Roman" w:eastAsia="Times New Roman" w:hAnsi="Times New Roman"/>
          <w:sz w:val="22"/>
          <w:szCs w:val="22"/>
          <w:b w:val="1"/>
          <w:bCs w:val="1"/>
          <w:color w:val="auto"/>
        </w:rPr>
        <w:t>Article 7</w:t>
      </w:r>
    </w:p>
    <w:p>
      <w:pPr>
        <w:ind w:left="3144"/>
        <w:spacing w:after="0"/>
        <w:rPr>
          <w:sz w:val="20"/>
          <w:szCs w:val="20"/>
          <w:color w:val="auto"/>
        </w:rPr>
      </w:pPr>
      <w:r>
        <w:rPr>
          <w:rFonts w:ascii="Times New Roman" w:cs="Times New Roman" w:eastAsia="Times New Roman" w:hAnsi="Times New Roman"/>
          <w:sz w:val="22"/>
          <w:szCs w:val="22"/>
          <w:b w:val="1"/>
          <w:bCs w:val="1"/>
          <w:color w:val="auto"/>
        </w:rPr>
        <w:t>ANNUAL EQUITY COMPENSATION</w:t>
      </w:r>
    </w:p>
    <w:p>
      <w:pPr>
        <w:spacing w:after="0" w:line="155"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EQUITY AWARDS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56" w:firstLine="656"/>
        <w:spacing w:after="0" w:line="211" w:lineRule="auto"/>
        <w:tabs>
          <w:tab w:leader="none" w:pos="63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Grant of Equity Awards</w:t>
      </w:r>
      <w:r>
        <w:rPr>
          <w:rFonts w:ascii="Times New Roman" w:cs="Times New Roman" w:eastAsia="Times New Roman" w:hAnsi="Times New Roman"/>
          <w:sz w:val="22"/>
          <w:szCs w:val="22"/>
          <w:color w:val="auto"/>
        </w:rPr>
        <w:t>. Subject to share availability under the Equity Incentive Plan, each Eligible Participant in service on the Annual Grant Date will receive an Equity Award, in the form of Restricted Stock, Restricted Stock Units, Options or any other type of Award based on or derived from the Stock and which is authorized under the Equity Incentive Plan for award to Non-Employee Directors unless the Eligible Participant has elected to receive Deferred Stock Units in lieu of such Equity Award (in which case such Eligible Participant will not receive an Equity Award under this Section 7.1(a) and instead will receive Deferred Stock Units to the extent provided in Section 6.2 of the Plan and the Eligible Participant’s valid election). The form of Equity Awards to be granted in any Plan Year shall be established from time to time by the Board upon recommendation of the Committee, and shall be set forth in Schedule I, as amended from time to time. Until otherwise determined by the Board, the annual Equity Awards shall be in the form of Restricted Stock for Eligible Participants who are U.S. taxpayers and Restricted Stock Units (“RSUs”) for Eligible Participants who are non-U.S. taxpayers.</w:t>
      </w:r>
    </w:p>
    <w:p>
      <w:pPr>
        <w:spacing w:after="0" w:line="151"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Any Restricted Stock awards shall have the following terms and conditions:</w:t>
      </w:r>
    </w:p>
    <w:p>
      <w:pPr>
        <w:spacing w:after="0" w:line="179" w:lineRule="exact"/>
        <w:rPr>
          <w:rFonts w:ascii="Times New Roman" w:cs="Times New Roman" w:eastAsia="Times New Roman" w:hAnsi="Times New Roman"/>
          <w:sz w:val="22"/>
          <w:szCs w:val="22"/>
          <w:color w:val="auto"/>
        </w:rPr>
      </w:pPr>
    </w:p>
    <w:p>
      <w:pPr>
        <w:jc w:val="both"/>
        <w:ind w:left="-656" w:firstLine="1304"/>
        <w:spacing w:after="0" w:line="225" w:lineRule="auto"/>
        <w:tabs>
          <w:tab w:leader="none" w:pos="127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Shares</w:t>
      </w:r>
      <w:r>
        <w:rPr>
          <w:rFonts w:ascii="Times New Roman" w:cs="Times New Roman" w:eastAsia="Times New Roman" w:hAnsi="Times New Roman"/>
          <w:sz w:val="22"/>
          <w:szCs w:val="22"/>
          <w:color w:val="auto"/>
        </w:rPr>
        <w:t>. The number of Shares of Restricted Stock to be granted to an Eligible Participant shall be determined by (A) dividing the Annual Equity Award Amount for that Plan Year by the Fair Market Value of the Stock on the Annual Grant Date, and (B) rounding to the nearest whole number.</w:t>
      </w:r>
    </w:p>
    <w:p>
      <w:pPr>
        <w:spacing w:after="0" w:line="152" w:lineRule="exact"/>
        <w:rPr>
          <w:rFonts w:ascii="Times New Roman" w:cs="Times New Roman" w:eastAsia="Times New Roman" w:hAnsi="Times New Roman"/>
          <w:sz w:val="22"/>
          <w:szCs w:val="22"/>
          <w:color w:val="auto"/>
        </w:rPr>
      </w:pPr>
    </w:p>
    <w:p>
      <w:pPr>
        <w:jc w:val="both"/>
        <w:ind w:left="-656" w:firstLine="1304"/>
        <w:spacing w:after="0" w:line="225" w:lineRule="auto"/>
        <w:tabs>
          <w:tab w:leader="none" w:pos="128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The Restricted Stock Awards shall vest on the date or dates specified in the Award Certificate. Any Shares subject to a Restricted Stock Award that fail to vest will be forfeited as of the Eligible Participant’s Separation from Service.</w:t>
      </w:r>
    </w:p>
    <w:p>
      <w:pPr>
        <w:spacing w:after="0" w:line="152" w:lineRule="exact"/>
        <w:rPr>
          <w:rFonts w:ascii="Times New Roman" w:cs="Times New Roman" w:eastAsia="Times New Roman" w:hAnsi="Times New Roman"/>
          <w:sz w:val="22"/>
          <w:szCs w:val="22"/>
          <w:color w:val="auto"/>
        </w:rPr>
      </w:pPr>
    </w:p>
    <w:p>
      <w:pPr>
        <w:ind w:left="-656" w:firstLine="1304"/>
        <w:spacing w:after="0" w:line="236" w:lineRule="auto"/>
        <w:tabs>
          <w:tab w:leader="none" w:pos="128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Plan Conditions</w:t>
      </w:r>
      <w:r>
        <w:rPr>
          <w:rFonts w:ascii="Times New Roman" w:cs="Times New Roman" w:eastAsia="Times New Roman" w:hAnsi="Times New Roman"/>
          <w:sz w:val="22"/>
          <w:szCs w:val="22"/>
          <w:color w:val="auto"/>
        </w:rPr>
        <w:t>. To the extent not specified herein, the Restricted Stock Awards granted hereunder shall be subject to the terms and conditions of the Equity Incentive Plan.</w:t>
      </w:r>
    </w:p>
    <w:p>
      <w:pPr>
        <w:spacing w:after="0" w:line="150" w:lineRule="exact"/>
        <w:rPr>
          <w:rFonts w:ascii="Times New Roman" w:cs="Times New Roman" w:eastAsia="Times New Roman" w:hAnsi="Times New Roman"/>
          <w:sz w:val="22"/>
          <w:szCs w:val="22"/>
          <w:color w:val="auto"/>
        </w:rPr>
      </w:pPr>
    </w:p>
    <w:p>
      <w:pPr>
        <w:ind w:left="-656" w:firstLine="656"/>
        <w:spacing w:after="0" w:line="236" w:lineRule="auto"/>
        <w:tabs>
          <w:tab w:leader="none" w:pos="63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If RSUs are to be granted to an Eligible Participant in lieu of an award of Restricted Stock, such RSUs shall have the following terms and conditions:</w:t>
      </w:r>
    </w:p>
    <w:p>
      <w:pPr>
        <w:spacing w:after="0" w:line="150" w:lineRule="exact"/>
        <w:rPr>
          <w:rFonts w:ascii="Times New Roman" w:cs="Times New Roman" w:eastAsia="Times New Roman" w:hAnsi="Times New Roman"/>
          <w:sz w:val="22"/>
          <w:szCs w:val="22"/>
          <w:color w:val="auto"/>
        </w:rPr>
      </w:pPr>
    </w:p>
    <w:p>
      <w:pPr>
        <w:jc w:val="both"/>
        <w:ind w:left="-656" w:firstLine="1304"/>
        <w:spacing w:after="0" w:line="225" w:lineRule="auto"/>
        <w:tabs>
          <w:tab w:leader="none" w:pos="127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RSUs</w:t>
      </w:r>
      <w:r>
        <w:rPr>
          <w:rFonts w:ascii="Times New Roman" w:cs="Times New Roman" w:eastAsia="Times New Roman" w:hAnsi="Times New Roman"/>
          <w:sz w:val="22"/>
          <w:szCs w:val="22"/>
          <w:color w:val="auto"/>
        </w:rPr>
        <w:t>. The number of RSUs to be granted to the Eligible Participant shall be determined by (A) dividing the Annual Equity Award Amount for that Plan Year by the Fair Market Value of the Stock on the Annual Grant Date, and (B) rounding to the nearest whole number.</w:t>
      </w:r>
    </w:p>
    <w:p>
      <w:pPr>
        <w:spacing w:after="0" w:line="152" w:lineRule="exact"/>
        <w:rPr>
          <w:rFonts w:ascii="Times New Roman" w:cs="Times New Roman" w:eastAsia="Times New Roman" w:hAnsi="Times New Roman"/>
          <w:sz w:val="22"/>
          <w:szCs w:val="22"/>
          <w:color w:val="auto"/>
        </w:rPr>
      </w:pPr>
    </w:p>
    <w:p>
      <w:pPr>
        <w:jc w:val="both"/>
        <w:ind w:left="-656" w:firstLine="1304"/>
        <w:spacing w:after="0" w:line="225" w:lineRule="auto"/>
        <w:tabs>
          <w:tab w:leader="none" w:pos="128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The RSUs shall be credited to a bookkeeping account on behalf of the grantee and shall vest on the date or dates specified in the Award Certificate. Any RSUs that fail to vest will be forfeited as of the Eligible Participant’s Separation from Service.</w:t>
      </w:r>
    </w:p>
    <w:p>
      <w:pPr>
        <w:spacing w:after="0" w:line="152" w:lineRule="exact"/>
        <w:rPr>
          <w:rFonts w:ascii="Times New Roman" w:cs="Times New Roman" w:eastAsia="Times New Roman" w:hAnsi="Times New Roman"/>
          <w:sz w:val="22"/>
          <w:szCs w:val="22"/>
          <w:color w:val="auto"/>
        </w:rPr>
      </w:pPr>
    </w:p>
    <w:p>
      <w:pPr>
        <w:jc w:val="both"/>
        <w:ind w:left="-656" w:firstLine="1304"/>
        <w:spacing w:after="0" w:line="225" w:lineRule="auto"/>
        <w:tabs>
          <w:tab w:leader="none" w:pos="128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to Stock.</w:t>
      </w:r>
      <w:r>
        <w:rPr>
          <w:rFonts w:ascii="Times New Roman" w:cs="Times New Roman" w:eastAsia="Times New Roman" w:hAnsi="Times New Roman"/>
          <w:sz w:val="22"/>
          <w:szCs w:val="22"/>
          <w:color w:val="auto"/>
        </w:rPr>
        <w:t xml:space="preserve"> Each Annual RSU represents the right to receive one share of Stock on the vesting date. Shares of Stock will be registered on the books of the Company in the Non-Employee Director’s name as of the vesting date. Such Shares of Stock</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5324" w:hanging="117"/>
        <w:spacing w:after="0"/>
        <w:tabs>
          <w:tab w:leader="none" w:pos="5324"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0584"/>
          </w:cols>
          <w:pgMar w:left="976" w:top="1440" w:right="339" w:bottom="1440" w:gutter="0" w:footer="0" w:header="0"/>
        </w:sectPr>
      </w:pPr>
    </w:p>
    <w:bookmarkStart w:id="89" w:name="page90"/>
    <w:bookmarkEnd w:id="89"/>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8480" cy="4883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88315"/>
                    </a:xfrm>
                    <a:prstGeom prst="rect">
                      <a:avLst/>
                    </a:prstGeom>
                    <a:noFill/>
                  </pic:spPr>
                </pic:pic>
              </a:graphicData>
            </a:graphic>
          </wp:anchor>
        </w:drawing>
      </w:r>
    </w:p>
    <w:p>
      <w:pPr>
        <w:ind w:right="20"/>
        <w:spacing w:after="0" w:line="236" w:lineRule="auto"/>
        <w:rPr>
          <w:sz w:val="20"/>
          <w:szCs w:val="20"/>
          <w:color w:val="auto"/>
        </w:rPr>
      </w:pPr>
      <w:r>
        <w:rPr>
          <w:rFonts w:ascii="Times New Roman" w:cs="Times New Roman" w:eastAsia="Times New Roman" w:hAnsi="Times New Roman"/>
          <w:sz w:val="22"/>
          <w:szCs w:val="22"/>
          <w:color w:val="auto"/>
        </w:rPr>
        <w:t>will remain in uncertificated, book-entry form unless the Non-Employee Director requests a stock certificate or certificates for the Shares.</w:t>
      </w:r>
    </w:p>
    <w:p>
      <w:pPr>
        <w:spacing w:after="0" w:line="150" w:lineRule="exact"/>
        <w:rPr>
          <w:sz w:val="20"/>
          <w:szCs w:val="20"/>
          <w:color w:val="auto"/>
        </w:rPr>
      </w:pPr>
    </w:p>
    <w:p>
      <w:pPr>
        <w:ind w:firstLine="1304"/>
        <w:spacing w:after="0" w:line="236" w:lineRule="auto"/>
        <w:tabs>
          <w:tab w:leader="none" w:pos="193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Plan Conditions</w:t>
      </w:r>
      <w:r>
        <w:rPr>
          <w:rFonts w:ascii="Times New Roman" w:cs="Times New Roman" w:eastAsia="Times New Roman" w:hAnsi="Times New Roman"/>
          <w:sz w:val="22"/>
          <w:szCs w:val="22"/>
          <w:color w:val="auto"/>
        </w:rPr>
        <w:t>. To the extent not specified herein, the RSUs granted hereunder shall be subject to the terms and conditions of the Equity Incentive Plan.</w:t>
      </w:r>
    </w:p>
    <w:p>
      <w:pPr>
        <w:spacing w:after="0" w:line="13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b w:val="1"/>
          <w:bCs w:val="1"/>
          <w:color w:val="auto"/>
        </w:rPr>
        <w:t>Article 8</w:t>
      </w:r>
    </w:p>
    <w:p>
      <w:pPr>
        <w:ind w:left="2940"/>
        <w:spacing w:after="0"/>
        <w:rPr>
          <w:sz w:val="20"/>
          <w:szCs w:val="20"/>
          <w:color w:val="auto"/>
        </w:rPr>
      </w:pPr>
      <w:r>
        <w:rPr>
          <w:rFonts w:ascii="Times New Roman" w:cs="Times New Roman" w:eastAsia="Times New Roman" w:hAnsi="Times New Roman"/>
          <w:sz w:val="22"/>
          <w:szCs w:val="22"/>
          <w:b w:val="1"/>
          <w:bCs w:val="1"/>
          <w:color w:val="auto"/>
        </w:rPr>
        <w:t>AMENDMENT, MODIFICATION AND TERMINATION</w:t>
      </w:r>
    </w:p>
    <w:p>
      <w:pPr>
        <w:spacing w:after="0" w:line="15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AMENDMENT, MODIFICATION AND TERMINATION</w:t>
      </w:r>
      <w:r>
        <w:rPr>
          <w:rFonts w:ascii="Times New Roman" w:cs="Times New Roman" w:eastAsia="Times New Roman" w:hAnsi="Times New Roman"/>
          <w:sz w:val="22"/>
          <w:szCs w:val="22"/>
          <w:color w:val="auto"/>
        </w:rPr>
        <w:t>. The Board may, at any time and from time to time, amend, modify or terminate the Plan without stockholder approval; provided, however, that if an amendment to the Plan would, in the reasonable opinion of the Board, require stockholder approval under applicable laws, policies or regulations or the applicable listing or other requirements of a securities exchange on which the Stock is listed or traded, then such amendment shall be subject to stockholder approval; and provided further, that the Board may condition any other amendment or modification on the approval of stockholders of the Company for any reason. Modification of Equity Awards granted under this Plan shall be subject to the provisions of the Equity Incentive Plan.</w:t>
      </w:r>
    </w:p>
    <w:p>
      <w:pPr>
        <w:spacing w:after="0" w:line="14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b w:val="1"/>
          <w:bCs w:val="1"/>
          <w:color w:val="auto"/>
        </w:rPr>
        <w:t>Article 9</w:t>
      </w:r>
    </w:p>
    <w:p>
      <w:pPr>
        <w:ind w:left="5460"/>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15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 An Eligible Participant shall have the status of a general unsecured creditor of the Company with respect to his or her right to receive Stock or other payment upon settlement of the Equity Award granted under the Plan. None of the benefits, payments, proceeds or distributions under Plan shall be subject to the claim of any creditor of any Eligible Participant or beneficiary, or to any legal process by any creditor of such Eligible Participant or beneficiary, and none of them shall have any right to alienate, commute, anticipate or assign any of the benefits, payments, proceeds or distributions under the Plan except to the extent expressly provided herein to the contrary.</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The adjustment provisions of the Equity Incentive Plan shall apply with respect to awards of Equity Awards granted pursuant to this Plan.</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DURATION OF THE PLAN</w:t>
      </w:r>
      <w:r>
        <w:rPr>
          <w:rFonts w:ascii="Times New Roman" w:cs="Times New Roman" w:eastAsia="Times New Roman" w:hAnsi="Times New Roman"/>
          <w:sz w:val="22"/>
          <w:szCs w:val="22"/>
          <w:color w:val="auto"/>
        </w:rPr>
        <w:t>. The Plan shall remain in effect until terminated by the Board; provided, however, that the Plan shall terminate automatically upon termination of the Equity Incentive Plan, including any successor to the Micron Technology, Inc. Amended and Restated 2007 Equity Incentive Plan.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u w:val="single" w:color="auto"/>
          <w:color w:val="auto"/>
        </w:rPr>
        <w:t>EXPENSES OF THE PLAN</w:t>
      </w:r>
      <w:r>
        <w:rPr>
          <w:rFonts w:ascii="Times New Roman" w:cs="Times New Roman" w:eastAsia="Times New Roman" w:hAnsi="Times New Roman"/>
          <w:sz w:val="21"/>
          <w:szCs w:val="21"/>
          <w:color w:val="auto"/>
        </w:rPr>
        <w:t>. The expenses of administering the Plan shall be borne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2"/>
          <w:szCs w:val="22"/>
          <w:color w:val="auto"/>
        </w:rPr>
        <w:t>- 8 -</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8480" cy="4883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8831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17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DIRECTOR COMPENSATION SCHEDULE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Basic Annual Retainer (all Directors): </w:t>
      </w:r>
      <w:r>
        <w:rPr>
          <w:rFonts w:ascii="Times New Roman" w:cs="Times New Roman" w:eastAsia="Times New Roman" w:hAnsi="Times New Roman"/>
          <w:sz w:val="22"/>
          <w:szCs w:val="22"/>
          <w:color w:val="auto"/>
        </w:rPr>
        <w:t>$125,000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Supplemental Annual Retainers:</w:t>
      </w:r>
    </w:p>
    <w:p>
      <w:pPr>
        <w:spacing w:after="0" w:line="204" w:lineRule="auto"/>
        <w:rPr>
          <w:sz w:val="20"/>
          <w:szCs w:val="20"/>
          <w:color w:val="auto"/>
        </w:rPr>
      </w:pPr>
      <w:r>
        <w:rPr>
          <w:rFonts w:ascii="Times New Roman" w:cs="Times New Roman" w:eastAsia="Times New Roman" w:hAnsi="Times New Roman"/>
          <w:sz w:val="22"/>
          <w:szCs w:val="22"/>
          <w:color w:val="auto"/>
        </w:rPr>
        <w:t>Board of Directors Chair: $150,000</w:t>
      </w:r>
    </w:p>
    <w:p>
      <w:pPr>
        <w:spacing w:after="0" w:line="205" w:lineRule="auto"/>
        <w:rPr>
          <w:sz w:val="20"/>
          <w:szCs w:val="20"/>
          <w:color w:val="auto"/>
        </w:rPr>
      </w:pPr>
      <w:r>
        <w:rPr>
          <w:rFonts w:ascii="Times New Roman" w:cs="Times New Roman" w:eastAsia="Times New Roman" w:hAnsi="Times New Roman"/>
          <w:sz w:val="22"/>
          <w:szCs w:val="22"/>
          <w:color w:val="auto"/>
        </w:rPr>
        <w:t>Audit Committee Chair: $35,000</w:t>
      </w:r>
    </w:p>
    <w:p>
      <w:pPr>
        <w:spacing w:after="0" w:line="205" w:lineRule="auto"/>
        <w:rPr>
          <w:sz w:val="20"/>
          <w:szCs w:val="20"/>
          <w:color w:val="auto"/>
        </w:rPr>
      </w:pPr>
      <w:r>
        <w:rPr>
          <w:rFonts w:ascii="Times New Roman" w:cs="Times New Roman" w:eastAsia="Times New Roman" w:hAnsi="Times New Roman"/>
          <w:sz w:val="22"/>
          <w:szCs w:val="22"/>
          <w:color w:val="auto"/>
        </w:rPr>
        <w:t>Compensation Committee Chair: $30,000</w:t>
      </w:r>
    </w:p>
    <w:p>
      <w:pPr>
        <w:spacing w:after="0" w:line="205" w:lineRule="auto"/>
        <w:rPr>
          <w:sz w:val="20"/>
          <w:szCs w:val="20"/>
          <w:color w:val="auto"/>
        </w:rPr>
      </w:pPr>
      <w:r>
        <w:rPr>
          <w:rFonts w:ascii="Times New Roman" w:cs="Times New Roman" w:eastAsia="Times New Roman" w:hAnsi="Times New Roman"/>
          <w:sz w:val="22"/>
          <w:szCs w:val="22"/>
          <w:color w:val="auto"/>
        </w:rPr>
        <w:t>Finance Committee Chair: $20,000</w:t>
      </w:r>
    </w:p>
    <w:p>
      <w:pPr>
        <w:spacing w:after="0" w:line="205" w:lineRule="auto"/>
        <w:rPr>
          <w:sz w:val="20"/>
          <w:szCs w:val="20"/>
          <w:color w:val="auto"/>
        </w:rPr>
      </w:pPr>
      <w:r>
        <w:rPr>
          <w:rFonts w:ascii="Times New Roman" w:cs="Times New Roman" w:eastAsia="Times New Roman" w:hAnsi="Times New Roman"/>
          <w:sz w:val="22"/>
          <w:szCs w:val="22"/>
          <w:color w:val="auto"/>
        </w:rPr>
        <w:t>Governance and Sustainability Committee Chair: $20,000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Committee Chair: $20,000</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Annual Equity Award Amount: </w:t>
      </w:r>
      <w:r>
        <w:rPr>
          <w:rFonts w:ascii="Times New Roman" w:cs="Times New Roman" w:eastAsia="Times New Roman" w:hAnsi="Times New Roman"/>
          <w:sz w:val="22"/>
          <w:szCs w:val="22"/>
          <w:color w:val="auto"/>
        </w:rPr>
        <w:t>$250,000</w:t>
      </w:r>
    </w:p>
    <w:p>
      <w:pPr>
        <w:spacing w:after="0" w:line="17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Form of Annual Equity Award: </w:t>
      </w:r>
      <w:r>
        <w:rPr>
          <w:rFonts w:ascii="Times New Roman" w:cs="Times New Roman" w:eastAsia="Times New Roman" w:hAnsi="Times New Roman"/>
          <w:sz w:val="22"/>
          <w:szCs w:val="22"/>
          <w:color w:val="auto"/>
        </w:rPr>
        <w:t>Restricted Stock and Restricted Stock Units (vesting in full 1 year after grant assuming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continued service on the Board through the vesting date, with earlier vesting in full upon a qualified retirement from the Board after at least 3 years of service on the Board, or termination from the Board due to death or disability, all as provided in in the applicable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1240"/>
          </w:cols>
          <w:pgMar w:left="320" w:top="1440"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31.1</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500"/>
        <w:spacing w:after="0"/>
        <w:tabs>
          <w:tab w:leader="none" w:pos="12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21, 2023</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17780</wp:posOffset>
            </wp:positionV>
            <wp:extent cx="33261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Sanjay Mehrotra</w:t>
      </w:r>
    </w:p>
    <w:p>
      <w:pPr>
        <w:ind w:left="556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9"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31.2</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Mark Murphy, certify that:</w:t>
      </w:r>
    </w:p>
    <w:p>
      <w:pPr>
        <w:spacing w:after="0" w:line="171"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December 21, 2023</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572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Murphy</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89"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November 30, 2023,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560" w:val="left"/>
        </w:tabs>
        <w:rPr>
          <w:sz w:val="20"/>
          <w:szCs w:val="20"/>
          <w:color w:val="auto"/>
        </w:rPr>
      </w:pPr>
      <w:r>
        <w:rPr>
          <w:rFonts w:ascii="Arial" w:cs="Arial" w:eastAsia="Arial" w:hAnsi="Arial"/>
          <w:sz w:val="18"/>
          <w:szCs w:val="18"/>
          <w:color w:val="auto"/>
        </w:rPr>
        <w:t>Date:</w:t>
        <w:tab/>
        <w:t>December 21, 2023</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17780</wp:posOffset>
            </wp:positionV>
            <wp:extent cx="35572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Sanjay Mehrotra</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9"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 Mark Murphy, certify, pursuant to 18 U.S.C. 1350, as adopted pursuant to Section 906 of the Sarbanes-Oxley Act of 2002, that the Quarterly Report of Micron Technology, Inc. on Form 10-Q for the period ended November 30, 2023,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600" w:val="left"/>
        </w:tabs>
        <w:rPr>
          <w:sz w:val="20"/>
          <w:szCs w:val="20"/>
          <w:color w:val="auto"/>
        </w:rPr>
      </w:pPr>
      <w:r>
        <w:rPr>
          <w:rFonts w:ascii="Arial" w:cs="Arial" w:eastAsia="Arial" w:hAnsi="Arial"/>
          <w:sz w:val="18"/>
          <w:szCs w:val="18"/>
          <w:color w:val="auto"/>
        </w:rPr>
        <w:t>Date:</w:t>
        <w:tab/>
        <w:t>December 21, 2023</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17780</wp:posOffset>
            </wp:positionV>
            <wp:extent cx="35572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Murphy</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endash "/>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1."/>
      <w:numFmt w:val="decimal"/>
      <w:start w:val="2"/>
    </w:lvl>
    <w:lvl w:ilvl="1">
      <w:lvlJc w:val="left"/>
      <w:lvlText w:val="%2."/>
      <w:numFmt w:val="decimal"/>
      <w:start w:val="3"/>
    </w:lvl>
  </w:abstractNum>
  <w:abstractNum w:abstractNumId="31">
    <w:nsid w:val="684A481A"/>
    <w:multiLevelType w:val="hybridMultilevel"/>
    <w:lvl w:ilvl="0">
      <w:lvlJc w:val="left"/>
      <w:lvlText w:val="%1."/>
      <w:numFmt w:val="decimal"/>
      <w:start w:val="4"/>
    </w:lvl>
  </w:abstractNum>
  <w:abstractNum w:abstractNumId="32">
    <w:nsid w:val="579478FE"/>
    <w:multiLevelType w:val="hybridMultilevel"/>
    <w:lvl w:ilvl="0">
      <w:lvlJc w:val="left"/>
      <w:lvlText w:val="(%1)"/>
      <w:numFmt w:val="upperLetter"/>
      <w:start w:val="2"/>
    </w:lvl>
  </w:abstractNum>
  <w:abstractNum w:abstractNumId="33">
    <w:nsid w:val="749ABB43"/>
    <w:multiLevelType w:val="hybridMultilevel"/>
    <w:lvl w:ilvl="0">
      <w:lvlJc w:val="left"/>
      <w:lvlText w:val="%1."/>
      <w:numFmt w:val="decimal"/>
      <w:start w:val="6"/>
    </w:lvl>
  </w:abstractNum>
  <w:abstractNum w:abstractNumId="34">
    <w:nsid w:val="3DC240FB"/>
    <w:multiLevelType w:val="hybridMultilevel"/>
    <w:lvl w:ilvl="0">
      <w:lvlJc w:val="left"/>
      <w:lvlText w:val="(%1)"/>
      <w:numFmt w:val="lowerRoman"/>
      <w:start w:val="1"/>
    </w:lvl>
  </w:abstractNum>
  <w:abstractNum w:abstractNumId="35">
    <w:nsid w:val="1BA026FA"/>
    <w:multiLevelType w:val="hybridMultilevel"/>
    <w:lvl w:ilvl="0">
      <w:lvlJc w:val="left"/>
      <w:lvlText w:val="(%1)"/>
      <w:numFmt w:val="lowerRoman"/>
      <w:start w:val="1"/>
    </w:lvl>
  </w:abstractNum>
  <w:abstractNum w:abstractNumId="36">
    <w:nsid w:val="79A1DEAA"/>
    <w:multiLevelType w:val="hybridMultilevel"/>
    <w:lvl w:ilvl="0">
      <w:lvlJc w:val="left"/>
      <w:lvlText w:val="%1."/>
      <w:numFmt w:val="decimal"/>
      <w:start w:val="10"/>
    </w:lvl>
  </w:abstractNum>
  <w:abstractNum w:abstractNumId="37">
    <w:nsid w:val="75C6C33A"/>
    <w:multiLevelType w:val="hybridMultilevel"/>
    <w:lvl w:ilvl="0">
      <w:lvlJc w:val="left"/>
      <w:lvlText w:val="%1."/>
      <w:numFmt w:val="decimal"/>
      <w:start w:val="13"/>
    </w:lvl>
  </w:abstractNum>
  <w:abstractNum w:abstractNumId="38">
    <w:nsid w:val="12E685FB"/>
    <w:multiLevelType w:val="hybridMultilevel"/>
    <w:lvl w:ilvl="0">
      <w:lvlJc w:val="left"/>
      <w:lvlText w:val="%1."/>
      <w:numFmt w:val="decimal"/>
      <w:start w:val="15"/>
    </w:lvl>
  </w:abstractNum>
  <w:abstractNum w:abstractNumId="39">
    <w:nsid w:val="70C6A529"/>
    <w:multiLevelType w:val="hybridMultilevel"/>
    <w:lvl w:ilvl="0">
      <w:lvlJc w:val="left"/>
      <w:lvlText w:val="(%1)"/>
      <w:numFmt w:val="lowerLetter"/>
      <w:start w:val="1"/>
    </w:lvl>
    <w:lvl w:ilvl="1">
      <w:lvlJc w:val="left"/>
      <w:lvlText w:val="(%2)"/>
      <w:numFmt w:val="lowerRoman"/>
      <w:start w:val="1"/>
    </w:lvl>
  </w:abstractNum>
  <w:abstractNum w:abstractNumId="40">
    <w:nsid w:val="520EEDD1"/>
    <w:multiLevelType w:val="hybridMultilevel"/>
    <w:lvl w:ilvl="0">
      <w:lvlJc w:val="left"/>
      <w:lvlText w:val="(%1)"/>
      <w:numFmt w:val="lowerLetter"/>
      <w:start w:val="2"/>
    </w:lvl>
    <w:lvl w:ilvl="1">
      <w:lvlJc w:val="left"/>
      <w:lvlText w:val="(%2)"/>
      <w:numFmt w:val="lowerRoman"/>
      <w:start w:val="1"/>
    </w:lvl>
  </w:abstractNum>
  <w:abstractNum w:abstractNumId="41">
    <w:nsid w:val="374A3FE6"/>
    <w:multiLevelType w:val="hybridMultilevel"/>
    <w:lvl w:ilvl="0">
      <w:lvlJc w:val="left"/>
      <w:lvlText w:val="(%1)"/>
      <w:numFmt w:val="lowerRoman"/>
      <w:start w:val="3"/>
    </w:lvl>
  </w:abstractNum>
  <w:abstractNum w:abstractNumId="42">
    <w:nsid w:val="4F4EF005"/>
    <w:multiLevelType w:val="hybridMultilevel"/>
    <w:lvl w:ilvl="0">
      <w:lvlJc w:val="left"/>
      <w:lvlText w:val="(%1)"/>
      <w:numFmt w:val="decimal"/>
      <w:start w:val="9"/>
    </w:lvl>
    <w:lvl w:ilvl="1">
      <w:lvlJc w:val="left"/>
      <w:lvlText w:val="(%2)"/>
      <w:numFmt w:val="lowerLetter"/>
      <w:start w:val="3"/>
    </w:lvl>
  </w:abstractNum>
  <w:abstractNum w:abstractNumId="43">
    <w:nsid w:val="23F9C13C"/>
    <w:multiLevelType w:val="hybridMultilevel"/>
    <w:lvl w:ilvl="0">
      <w:lvlJc w:val="left"/>
      <w:lvlText w:val="(%1)"/>
      <w:numFmt w:val="lowerLetter"/>
      <w:start w:val="4"/>
    </w:lvl>
  </w:abstractNum>
  <w:abstractNum w:abstractNumId="44">
    <w:nsid w:val="649BB77C"/>
    <w:multiLevelType w:val="hybridMultilevel"/>
    <w:lvl w:ilvl="0">
      <w:lvlJc w:val="left"/>
      <w:lvlText w:val="(%1)"/>
      <w:numFmt w:val="decimal"/>
      <w:start w:val="365"/>
    </w:lvl>
  </w:abstractNum>
  <w:abstractNum w:abstractNumId="45">
    <w:nsid w:val="275AC794"/>
    <w:multiLevelType w:val="hybridMultilevel"/>
    <w:lvl w:ilvl="0">
      <w:lvlJc w:val="left"/>
      <w:lvlText w:val="(%1)"/>
      <w:numFmt w:val="lowerRoman"/>
      <w:start w:val="1"/>
    </w:lvl>
    <w:lvl w:ilvl="1">
      <w:lvlJc w:val="left"/>
      <w:lvlText w:val="(%2)"/>
      <w:numFmt w:val="upperLetter"/>
      <w:start w:val="1"/>
    </w:lvl>
  </w:abstractNum>
  <w:abstractNum w:abstractNumId="46">
    <w:nsid w:val="39386575"/>
    <w:multiLevelType w:val="hybridMultilevel"/>
    <w:lvl w:ilvl="0">
      <w:lvlJc w:val="left"/>
      <w:lvlText w:val="(%1)"/>
      <w:numFmt w:val="lowerRoman"/>
      <w:start w:val="4"/>
    </w:lvl>
  </w:abstractNum>
  <w:abstractNum w:abstractNumId="47">
    <w:nsid w:val="1CF10FD8"/>
    <w:multiLevelType w:val="hybridMultilevel"/>
    <w:lvl w:ilvl="0">
      <w:lvlJc w:val="left"/>
      <w:lvlText w:val="(%1)"/>
      <w:numFmt w:val="lowerRoman"/>
      <w:start w:val="7"/>
    </w:lvl>
  </w:abstractNum>
  <w:abstractNum w:abstractNumId="48">
    <w:nsid w:val="180115BE"/>
    <w:multiLevelType w:val="hybridMultilevel"/>
    <w:lvl w:ilvl="0">
      <w:lvlJc w:val="left"/>
      <w:lvlText w:val="%1."/>
      <w:numFmt w:val="decimal"/>
      <w:start w:val="1"/>
    </w:lvl>
    <w:lvl w:ilvl="1">
      <w:lvlJc w:val="left"/>
      <w:lvlText w:val="%2."/>
      <w:numFmt w:val="lowerLetter"/>
      <w:start w:val="1"/>
    </w:lvl>
  </w:abstractNum>
  <w:abstractNum w:abstractNumId="49">
    <w:nsid w:val="235BA861"/>
    <w:multiLevelType w:val="hybridMultilevel"/>
    <w:lvl w:ilvl="0">
      <w:lvlJc w:val="left"/>
      <w:lvlText w:val="%1."/>
      <w:numFmt w:val="lowerLetter"/>
      <w:start w:val="3"/>
    </w:lvl>
  </w:abstractNum>
  <w:abstractNum w:abstractNumId="50">
    <w:nsid w:val="47398C89"/>
    <w:multiLevelType w:val="hybridMultilevel"/>
    <w:lvl w:ilvl="0">
      <w:lvlJc w:val="left"/>
      <w:lvlText w:val="%1."/>
      <w:numFmt w:val="decimal"/>
      <w:start w:val="2"/>
    </w:lvl>
  </w:abstractNum>
  <w:abstractNum w:abstractNumId="51">
    <w:nsid w:val="354FE9F9"/>
    <w:multiLevelType w:val="hybridMultilevel"/>
    <w:lvl w:ilvl="0">
      <w:lvlJc w:val="left"/>
      <w:lvlText w:val="%1"/>
      <w:numFmt w:val="lowerRoman"/>
      <w:start w:val="1"/>
    </w:lvl>
    <w:lvl w:ilvl="1">
      <w:lvlJc w:val="left"/>
      <w:lvlText w:val="%2."/>
      <w:numFmt w:val="decimal"/>
      <w:start w:val="3"/>
    </w:lvl>
  </w:abstractNum>
  <w:abstractNum w:abstractNumId="52">
    <w:nsid w:val="15B5AF5C"/>
    <w:multiLevelType w:val="hybridMultilevel"/>
    <w:lvl w:ilvl="0">
      <w:lvlJc w:val="left"/>
      <w:lvlText w:val="(%1)"/>
      <w:numFmt w:val="lowerRoman"/>
      <w:start w:val="1"/>
    </w:lvl>
    <w:lvl w:ilvl="1">
      <w:lvlJc w:val="left"/>
      <w:lvlText w:val="%2"/>
      <w:numFmt w:val="decimal"/>
      <w:start w:val="1"/>
    </w:lvl>
  </w:abstractNum>
  <w:abstractNum w:abstractNumId="53">
    <w:nsid w:val="741226BB"/>
    <w:multiLevelType w:val="hybridMultilevel"/>
    <w:lvl w:ilvl="0">
      <w:lvlJc w:val="left"/>
      <w:lvlText w:val="(%1)"/>
      <w:numFmt w:val="lowerRoman"/>
      <w:start w:val="4"/>
    </w:lvl>
    <w:lvl w:ilvl="1">
      <w:lvlJc w:val="left"/>
      <w:lvlText w:val="%2."/>
      <w:numFmt w:val="decimal"/>
      <w:start w:val="4"/>
    </w:lvl>
  </w:abstractNum>
  <w:abstractNum w:abstractNumId="54">
    <w:nsid w:val="D34B6A8"/>
    <w:multiLevelType w:val="hybridMultilevel"/>
    <w:lvl w:ilvl="0">
      <w:lvlJc w:val="left"/>
      <w:lvlText w:val="%1."/>
      <w:numFmt w:val="decimal"/>
      <w:start w:val="7"/>
    </w:lvl>
    <w:lvl w:ilvl="1">
      <w:lvlJc w:val="left"/>
      <w:lvlText w:val="%2."/>
      <w:numFmt w:val="lowerLetter"/>
      <w:start w:val="1"/>
    </w:lvl>
  </w:abstractNum>
  <w:abstractNum w:abstractNumId="55">
    <w:nsid w:val="10233C99"/>
    <w:multiLevelType w:val="hybridMultilevel"/>
    <w:lvl w:ilvl="0">
      <w:lvlJc w:val="left"/>
      <w:lvlText w:val="%1"/>
      <w:numFmt w:val="decimal"/>
      <w:start w:val="1"/>
    </w:lvl>
    <w:lvl w:ilvl="1">
      <w:lvlJc w:val="left"/>
      <w:lvlText w:val="%2."/>
      <w:numFmt w:val="lowerLetter"/>
      <w:start w:val="6"/>
    </w:lvl>
  </w:abstractNum>
  <w:abstractNum w:abstractNumId="56">
    <w:nsid w:val="3F6AB60F"/>
    <w:multiLevelType w:val="hybridMultilevel"/>
    <w:lvl w:ilvl="0">
      <w:lvlJc w:val="left"/>
      <w:lvlText w:val="%1."/>
      <w:numFmt w:val="decimal"/>
      <w:start w:val="10"/>
    </w:lvl>
    <w:lvl w:ilvl="1">
      <w:lvlJc w:val="left"/>
      <w:lvlText w:val="%2"/>
      <w:numFmt w:val="lowerLetter"/>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1)"/>
      <w:numFmt w:val="lowerLetter"/>
      <w:start w:val="1"/>
    </w:lvl>
    <w:lvl w:ilvl="1">
      <w:lvlJc w:val="left"/>
      <w:lvlText w:val="-"/>
      <w:numFmt w:val="bullet"/>
      <w:start w:val="1"/>
    </w:lvl>
  </w:abstractNum>
  <w:abstractNum w:abstractNumId="59">
    <w:nsid w:val="77AE35EB"/>
    <w:multiLevelType w:val="hybridMultilevel"/>
    <w:lvl w:ilvl="0">
      <w:lvlJc w:val="left"/>
      <w:lvlText w:val="(%1)"/>
      <w:numFmt w:val="lowerLetter"/>
      <w:start w:val="2"/>
    </w:lvl>
  </w:abstractNum>
  <w:abstractNum w:abstractNumId="60">
    <w:nsid w:val="579BE4F1"/>
    <w:multiLevelType w:val="hybridMultilevel"/>
    <w:lvl w:ilvl="0">
      <w:lvlJc w:val="left"/>
      <w:lvlText w:val="(%1)"/>
      <w:numFmt w:val="lowerLetter"/>
      <w:start w:val="1"/>
    </w:lvl>
    <w:lvl w:ilvl="1">
      <w:lvlJc w:val="left"/>
      <w:lvlText w:val="-"/>
      <w:numFmt w:val="bullet"/>
      <w:start w:val="1"/>
    </w:lvl>
  </w:abstractNum>
  <w:abstractNum w:abstractNumId="61">
    <w:nsid w:val="310C50B3"/>
    <w:multiLevelType w:val="hybridMultilevel"/>
    <w:lvl w:ilvl="0">
      <w:lvlJc w:val="left"/>
      <w:lvlText w:val="(%1)"/>
      <w:numFmt w:val="lowerLetter"/>
      <w:start w:val="2"/>
    </w:lvl>
    <w:lvl w:ilvl="1">
      <w:lvlJc w:val="left"/>
      <w:lvlText w:val="-"/>
      <w:numFmt w:val="bullet"/>
      <w:start w:val="1"/>
    </w:lvl>
  </w:abstractNum>
  <w:abstractNum w:abstractNumId="62">
    <w:nsid w:val="5FF87E0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3">
    <w:nsid w:val="2F305DEF"/>
    <w:multiLevelType w:val="hybridMultilevel"/>
    <w:lvl w:ilvl="0">
      <w:lvlJc w:val="left"/>
      <w:lvlText w:val="(%1)"/>
      <w:numFmt w:val="lowerRoman"/>
      <w:start w:val="4"/>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jpeg"/><Relationship Id="rId110" Type="http://schemas.openxmlformats.org/officeDocument/2006/relationships/image" Target="media/image101.jpeg"/><Relationship Id="rId111" Type="http://schemas.openxmlformats.org/officeDocument/2006/relationships/image" Target="media/image102.png"/><Relationship Id="rId112" Type="http://schemas.openxmlformats.org/officeDocument/2006/relationships/image" Target="media/image103.jpe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jpeg"/><Relationship Id="rId116" Type="http://schemas.openxmlformats.org/officeDocument/2006/relationships/image" Target="media/image107.jpeg"/><Relationship Id="rId117" Type="http://schemas.openxmlformats.org/officeDocument/2006/relationships/image" Target="media/image108.jpeg"/><Relationship Id="rId118" Type="http://schemas.openxmlformats.org/officeDocument/2006/relationships/image" Target="media/image109.jpeg"/><Relationship Id="rId119" Type="http://schemas.openxmlformats.org/officeDocument/2006/relationships/image" Target="media/image110.jpeg"/><Relationship Id="rId120" Type="http://schemas.openxmlformats.org/officeDocument/2006/relationships/image" Target="media/image111.jpeg"/><Relationship Id="rId121" Type="http://schemas.openxmlformats.org/officeDocument/2006/relationships/image" Target="media/image112.jpeg"/><Relationship Id="rId122" Type="http://schemas.openxmlformats.org/officeDocument/2006/relationships/image" Target="media/image113.jpeg"/><Relationship Id="rId123" Type="http://schemas.openxmlformats.org/officeDocument/2006/relationships/image" Target="media/image114.jpeg"/><Relationship Id="rId124" Type="http://schemas.openxmlformats.org/officeDocument/2006/relationships/image" Target="media/image115.jpeg"/><Relationship Id="rId125" Type="http://schemas.openxmlformats.org/officeDocument/2006/relationships/image" Target="media/image116.jpe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03" Type="http://schemas.openxmlformats.org/officeDocument/2006/relationships/hyperlink" Target="https://www.sec.gov/Archives/edgar/data/723125/000110465915004447/a15-3005_2ex99d2.htm" TargetMode="External"/><Relationship Id="rId104" Type="http://schemas.openxmlformats.org/officeDocument/2006/relationships/hyperlink" Target="https://www.sec.gov/Archives/edgar/data/723125/000072312521000018/exhibit31-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2023-12-21T12:16:33Z</dcterms:created>
  <dcterms:modified xsi:type="dcterms:W3CDTF">2023-12-21T12:16:33Z</dcterms:modified>
</cp:coreProperties>
</file>