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20594</w:t>
      </w:r>
    </w:p>
    <w:p>
      <w:pPr>
        <w:spacing w:after="0" w:line="200" w:lineRule="exact"/>
        <w:rPr>
          <w:sz w:val="24"/>
          <w:szCs w:val="24"/>
          <w:color w:val="auto"/>
        </w:rPr>
      </w:pPr>
    </w:p>
    <w:p>
      <w:pPr>
        <w:spacing w:after="0" w:line="204"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1 )*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447" w:right="1440" w:bottom="1440" w:gutter="0" w:footer="0" w:header="0"/>
        </w:sectPr>
      </w:pPr>
    </w:p>
    <w:bookmarkStart w:id="1" w:name="page2"/>
    <w:bookmarkEnd w:id="1"/>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ind w:left="540" w:hanging="427"/>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The Capital Group Companies, Inc.</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86-0206507</w:t>
      </w:r>
    </w:p>
    <w:p>
      <w:pPr>
        <w:spacing w:after="0" w:line="202" w:lineRule="exact"/>
        <w:rPr>
          <w:sz w:val="20"/>
          <w:szCs w:val="20"/>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0" w:lineRule="exact"/>
        <w:rPr>
          <w:sz w:val="20"/>
          <w:szCs w:val="20"/>
          <w:color w:val="auto"/>
        </w:rPr>
      </w:pPr>
    </w:p>
    <w:p>
      <w:pPr>
        <w:spacing w:after="0" w:line="204" w:lineRule="exact"/>
        <w:rPr>
          <w:sz w:val="20"/>
          <w:szCs w:val="20"/>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5899" w:hanging="427"/>
        <w:spacing w:after="0" w:line="470"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14" w:lineRule="exact"/>
        <w:rPr>
          <w:sz w:val="20"/>
          <w:szCs w:val="20"/>
          <w:color w:val="auto"/>
        </w:rPr>
      </w:pPr>
    </w:p>
    <w:p>
      <w:pPr>
        <w:ind w:left="1900" w:right="6519" w:hanging="417"/>
        <w:spacing w:after="0" w:line="470"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7,837,050</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36,314,320</w:t>
      </w:r>
    </w:p>
    <w:p>
      <w:pPr>
        <w:spacing w:after="0"/>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09" w:lineRule="exact"/>
        <w:rPr>
          <w:sz w:val="20"/>
          <w:szCs w:val="20"/>
          <w:color w:val="auto"/>
        </w:rPr>
      </w:pPr>
    </w:p>
    <w:p>
      <w:pPr>
        <w:ind w:left="1900" w:right="5779" w:hanging="417"/>
        <w:spacing w:after="0" w:line="470" w:lineRule="auto"/>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40" w:right="2619" w:hanging="427"/>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36,314,320 Beneficial ownership disclaimed pursuant to Rule 13d-4</w:t>
      </w:r>
    </w:p>
    <w:p>
      <w:pPr>
        <w:spacing w:after="0" w:line="214"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17.1%</w:t>
      </w:r>
    </w:p>
    <w:p>
      <w:pPr>
        <w:spacing w:after="0" w:line="214" w:lineRule="exact"/>
        <w:rPr>
          <w:rFonts w:ascii="Courier New" w:cs="Courier New" w:eastAsia="Courier New" w:hAnsi="Courier New"/>
          <w:sz w:val="18"/>
          <w:szCs w:val="18"/>
          <w:color w:val="auto"/>
        </w:rPr>
      </w:pPr>
    </w:p>
    <w:p>
      <w:pPr>
        <w:ind w:left="540" w:right="705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8"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514" w:right="1440" w:bottom="1440" w:gutter="0" w:footer="0" w:header="0"/>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left="540" w:hanging="427"/>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Research and Management Company 95-1411037</w:t>
      </w:r>
    </w:p>
    <w:p>
      <w:pPr>
        <w:spacing w:after="0" w:line="203" w:lineRule="exact"/>
        <w:rPr>
          <w:sz w:val="20"/>
          <w:szCs w:val="20"/>
          <w:color w:val="auto"/>
        </w:rPr>
      </w:pPr>
    </w:p>
    <w:p>
      <w:pPr>
        <w:ind w:left="540" w:hanging="427"/>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0" w:lineRule="exact"/>
        <w:rPr>
          <w:sz w:val="20"/>
          <w:szCs w:val="20"/>
          <w:color w:val="auto"/>
        </w:rPr>
      </w:pPr>
    </w:p>
    <w:p>
      <w:pPr>
        <w:spacing w:after="0" w:line="204" w:lineRule="exact"/>
        <w:rPr>
          <w:sz w:val="20"/>
          <w:szCs w:val="20"/>
          <w:color w:val="auto"/>
        </w:rPr>
      </w:pPr>
    </w:p>
    <w:p>
      <w:pPr>
        <w:ind w:left="540" w:hanging="427"/>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5899" w:hanging="427"/>
        <w:spacing w:after="0" w:line="470"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14" w:lineRule="exact"/>
        <w:rPr>
          <w:sz w:val="20"/>
          <w:szCs w:val="20"/>
          <w:color w:val="auto"/>
        </w:rPr>
      </w:pPr>
    </w:p>
    <w:p>
      <w:pPr>
        <w:ind w:left="1900" w:right="6519" w:hanging="417"/>
        <w:spacing w:after="0" w:line="470" w:lineRule="auto"/>
        <w:tabs>
          <w:tab w:leader="none" w:pos="19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27,156,540</w:t>
      </w:r>
    </w:p>
    <w:p>
      <w:pPr>
        <w:spacing w:after="0"/>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09" w:lineRule="exact"/>
        <w:rPr>
          <w:sz w:val="20"/>
          <w:szCs w:val="20"/>
          <w:color w:val="auto"/>
        </w:rPr>
      </w:pPr>
    </w:p>
    <w:p>
      <w:pPr>
        <w:ind w:left="1900" w:right="5779" w:hanging="417"/>
        <w:spacing w:after="0" w:line="470" w:lineRule="auto"/>
        <w:tabs>
          <w:tab w:leader="none" w:pos="19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40" w:right="2619" w:hanging="427"/>
        <w:spacing w:after="0" w:line="470"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27,156,540 Beneficial ownership disclaimed pursuant to Rule 13d-4</w:t>
      </w:r>
    </w:p>
    <w:p>
      <w:pPr>
        <w:spacing w:after="0" w:line="214" w:lineRule="exact"/>
        <w:rPr>
          <w:sz w:val="20"/>
          <w:szCs w:val="20"/>
          <w:color w:val="auto"/>
        </w:rPr>
      </w:pPr>
    </w:p>
    <w:p>
      <w:pPr>
        <w:ind w:left="540" w:hanging="427"/>
        <w:spacing w:after="0"/>
        <w:tabs>
          <w:tab w:leader="none" w:pos="5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470"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12.8%</w:t>
      </w:r>
    </w:p>
    <w:p>
      <w:pPr>
        <w:spacing w:after="0" w:line="214" w:lineRule="exact"/>
        <w:rPr>
          <w:rFonts w:ascii="Courier New" w:cs="Courier New" w:eastAsia="Courier New" w:hAnsi="Courier New"/>
          <w:sz w:val="18"/>
          <w:szCs w:val="18"/>
          <w:color w:val="auto"/>
        </w:rPr>
      </w:pPr>
    </w:p>
    <w:p>
      <w:pPr>
        <w:ind w:left="540" w:right="7059" w:hanging="427"/>
        <w:spacing w:after="0" w:line="470"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8"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919" w:right="1440" w:bottom="1440" w:gutter="0" w:footer="0" w:header="0"/>
        </w:sectPr>
      </w:pPr>
    </w:p>
    <w:bookmarkStart w:id="5" w:name="page6"/>
    <w:bookmarkEnd w:id="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4" w:lineRule="exact"/>
        <w:rPr>
          <w:sz w:val="20"/>
          <w:szCs w:val="20"/>
          <w:color w:val="auto"/>
        </w:rPr>
      </w:pPr>
    </w:p>
    <w:p>
      <w:pPr>
        <w:ind w:left="740" w:right="3679"/>
        <w:spacing w:after="0" w:line="235" w:lineRule="auto"/>
        <w:rPr>
          <w:sz w:val="20"/>
          <w:szCs w:val="20"/>
          <w:color w:val="auto"/>
        </w:rPr>
      </w:pPr>
      <w:r>
        <w:rPr>
          <w:rFonts w:ascii="Courier New" w:cs="Courier New" w:eastAsia="Courier New" w:hAnsi="Courier New"/>
          <w:sz w:val="18"/>
          <w:szCs w:val="18"/>
          <w:color w:val="auto"/>
        </w:rPr>
        <w:t>The Capital Group Companies, Inc., Capital Research and Management Company</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ind w:left="74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0" w:lineRule="exact"/>
        <w:rPr>
          <w:sz w:val="20"/>
          <w:szCs w:val="20"/>
          <w:color w:val="auto"/>
        </w:rPr>
      </w:pPr>
    </w:p>
    <w:p>
      <w:pPr>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is(are):</w:t>
      </w:r>
    </w:p>
    <w:p>
      <w:pPr>
        <w:spacing w:after="0" w:line="207" w:lineRule="exact"/>
        <w:rPr>
          <w:sz w:val="20"/>
          <w:szCs w:val="20"/>
          <w:color w:val="auto"/>
        </w:rPr>
      </w:pPr>
    </w:p>
    <w:p>
      <w:pPr>
        <w:ind w:left="1280" w:right="2839" w:hanging="535"/>
        <w:spacing w:after="0" w:line="235" w:lineRule="auto"/>
        <w:tabs>
          <w:tab w:leader="none" w:pos="149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6" w:lineRule="exact"/>
        <w:rPr>
          <w:sz w:val="20"/>
          <w:szCs w:val="20"/>
          <w:color w:val="auto"/>
        </w:rPr>
      </w:pPr>
    </w:p>
    <w:p>
      <w:pPr>
        <w:ind w:left="1280" w:right="2939" w:hanging="535"/>
        <w:spacing w:after="0" w:line="235" w:lineRule="auto"/>
        <w:tabs>
          <w:tab w:leader="none" w:pos="149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Section 240.13d-1(b)(1)(ii)(G).</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739"/>
        <w:spacing w:after="0" w:line="270" w:lineRule="auto"/>
        <w:rPr>
          <w:sz w:val="20"/>
          <w:szCs w:val="20"/>
          <w:color w:val="auto"/>
        </w:rPr>
      </w:pPr>
      <w:r>
        <w:rPr>
          <w:rFonts w:ascii="Courier New" w:cs="Courier New" w:eastAsia="Courier New" w:hAnsi="Courier New"/>
          <w:sz w:val="16"/>
          <w:szCs w:val="16"/>
          <w:color w:val="auto"/>
        </w:rPr>
        <w:t>The Capital Group Companies, Inc. is the parent holding company of a group of investment management companies that hold investment power and, in some cases, voting power over the securities reported in this Schedule 13G. The investment management companies, which include a "bank" as defined in Section 3(a)6 of the Securities Exchange Act of 1934 (the "Act") and several investment advisers registered under Section 203 of the Investment Advisers Act of 1940, provide investment advisory and management services for their respective clients which include registered investment companies and institutional accounts. The Capital Group Companies, Inc. does not have investment power or voting power over any of the securities reported herein; however, The Capital Group Companies, Inc. may</w:t>
      </w:r>
    </w:p>
    <w:p>
      <w:pPr>
        <w:sectPr>
          <w:pgSz w:w="11900" w:h="16838" w:orient="portrait"/>
          <w:cols w:equalWidth="0" w:num="1">
            <w:col w:w="10219"/>
          </w:cols>
          <w:pgMar w:left="240" w:top="717" w:right="1440" w:bottom="0" w:gutter="0" w:footer="0" w:header="0"/>
        </w:sectPr>
      </w:pPr>
    </w:p>
    <w:bookmarkStart w:id="7" w:name="page8"/>
    <w:bookmarkEnd w:id="7"/>
    <w:p>
      <w:pPr>
        <w:ind w:right="2619"/>
        <w:spacing w:after="0" w:line="235" w:lineRule="auto"/>
        <w:rPr>
          <w:sz w:val="20"/>
          <w:szCs w:val="20"/>
          <w:color w:val="auto"/>
        </w:rPr>
      </w:pPr>
      <w:r>
        <w:rPr>
          <w:rFonts w:ascii="Courier New" w:cs="Courier New" w:eastAsia="Courier New" w:hAnsi="Courier New"/>
          <w:sz w:val="18"/>
          <w:szCs w:val="18"/>
          <w:color w:val="auto"/>
        </w:rPr>
        <w:t>be deemed to "beneficially own" such securities by virtue of Rule 13d-3 under the Act.</w:t>
      </w:r>
    </w:p>
    <w:p>
      <w:pPr>
        <w:sectPr>
          <w:pgSz w:w="11900" w:h="16838" w:orient="portrait"/>
          <w:cols w:equalWidth="0" w:num="1">
            <w:col w:w="9479"/>
          </w:cols>
          <w:pgMar w:left="980" w:top="142" w:right="1440" w:bottom="1440" w:gutter="0" w:footer="0" w:header="0"/>
        </w:sectPr>
      </w:pPr>
    </w:p>
    <w:bookmarkStart w:id="8" w:name="page9"/>
    <w:bookmarkEnd w:id="8"/>
    <w:p>
      <w:pPr>
        <w:spacing w:after="0" w:line="235" w:lineRule="auto"/>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ind w:left="740" w:right="2619"/>
        <w:spacing w:after="0" w:line="237" w:lineRule="auto"/>
        <w:rPr>
          <w:sz w:val="20"/>
          <w:szCs w:val="20"/>
          <w:color w:val="auto"/>
        </w:rPr>
      </w:pPr>
      <w:r>
        <w:rPr>
          <w:rFonts w:ascii="Courier New" w:cs="Courier New" w:eastAsia="Courier New" w:hAnsi="Courier New"/>
          <w:sz w:val="18"/>
          <w:szCs w:val="18"/>
          <w:color w:val="auto"/>
        </w:rPr>
        <w:t>Capital Research and Management Company, an investment adviser registered under Section 203 of the Investment Advisers Act of 1940 and wholly owned subsidiary of The Capital Group Companies, Inc., is the beneficial owner of 27,156,540 shares or 12.8% of the 211,348,000 shares of Common Stock believed to be outstanding as a result of acting as investment adviser to various investment companies registered under Section 8 of the Investment Company Act of 1940.</w:t>
      </w:r>
    </w:p>
    <w:p>
      <w:pPr>
        <w:spacing w:after="0" w:line="212" w:lineRule="exact"/>
        <w:rPr>
          <w:sz w:val="20"/>
          <w:szCs w:val="20"/>
          <w:color w:val="auto"/>
        </w:rPr>
      </w:pPr>
    </w:p>
    <w:p>
      <w:pPr>
        <w:ind w:left="740" w:right="2739"/>
        <w:spacing w:after="0" w:line="237" w:lineRule="auto"/>
        <w:rPr>
          <w:sz w:val="20"/>
          <w:szCs w:val="20"/>
          <w:color w:val="auto"/>
        </w:rPr>
      </w:pPr>
      <w:r>
        <w:rPr>
          <w:rFonts w:ascii="Courier New" w:cs="Courier New" w:eastAsia="Courier New" w:hAnsi="Courier New"/>
          <w:sz w:val="18"/>
          <w:szCs w:val="18"/>
          <w:color w:val="auto"/>
        </w:rPr>
        <w:t>The remaining shares reported as being beneficially owned by The Capital Group Companies, Inc. are beneficially owned by other subsidiaries of The Capital Group Companies, Inc. listed under item 7, none of which by itself owns 5% or more of the outstanding securities.</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Shares reported by The Capital Group Companies, Inc., includes</w:t>
      </w:r>
    </w:p>
    <w:p>
      <w:pPr>
        <w:ind w:left="740"/>
        <w:spacing w:after="0" w:line="238" w:lineRule="auto"/>
        <w:rPr>
          <w:sz w:val="20"/>
          <w:szCs w:val="20"/>
          <w:color w:val="auto"/>
        </w:rPr>
      </w:pPr>
      <w:r>
        <w:rPr>
          <w:rFonts w:ascii="Courier New" w:cs="Courier New" w:eastAsia="Courier New" w:hAnsi="Courier New"/>
          <w:sz w:val="18"/>
          <w:szCs w:val="18"/>
          <w:color w:val="auto"/>
        </w:rPr>
        <w:t>1,160,970 shares resulting from the assumed conversion of</w:t>
      </w:r>
    </w:p>
    <w:p>
      <w:pPr>
        <w:ind w:left="740"/>
        <w:spacing w:after="0"/>
        <w:rPr>
          <w:sz w:val="20"/>
          <w:szCs w:val="20"/>
          <w:color w:val="auto"/>
        </w:rPr>
      </w:pPr>
      <w:r>
        <w:rPr>
          <w:rFonts w:ascii="Courier New" w:cs="Courier New" w:eastAsia="Courier New" w:hAnsi="Courier New"/>
          <w:sz w:val="18"/>
          <w:szCs w:val="18"/>
          <w:color w:val="auto"/>
        </w:rPr>
        <w:t>$78,300,000 principal amount of the 7.00% Convertible Note, due</w:t>
      </w:r>
    </w:p>
    <w:p>
      <w:pPr>
        <w:ind w:left="740"/>
        <w:spacing w:after="0" w:line="237" w:lineRule="auto"/>
        <w:rPr>
          <w:sz w:val="20"/>
          <w:szCs w:val="20"/>
          <w:color w:val="auto"/>
        </w:rPr>
      </w:pPr>
      <w:r>
        <w:rPr>
          <w:rFonts w:ascii="Courier New" w:cs="Courier New" w:eastAsia="Courier New" w:hAnsi="Courier New"/>
          <w:sz w:val="18"/>
          <w:szCs w:val="18"/>
          <w:color w:val="auto"/>
        </w:rPr>
        <w:t>2004.</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 [ ]</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7" w:lineRule="exact"/>
        <w:rPr>
          <w:sz w:val="20"/>
          <w:szCs w:val="20"/>
          <w:color w:val="auto"/>
        </w:rPr>
      </w:pPr>
    </w:p>
    <w:p>
      <w:pPr>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0"/>
          <w:szCs w:val="20"/>
          <w:color w:val="auto"/>
        </w:rPr>
      </w:pPr>
    </w:p>
    <w:p>
      <w:pPr>
        <w:ind w:left="1060" w:right="2839"/>
        <w:spacing w:after="0" w:line="237" w:lineRule="auto"/>
        <w:rPr>
          <w:sz w:val="20"/>
          <w:szCs w:val="20"/>
          <w:color w:val="auto"/>
        </w:rPr>
      </w:pPr>
      <w:r>
        <w:rPr>
          <w:rFonts w:ascii="Courier New" w:cs="Courier New" w:eastAsia="Courier New" w:hAnsi="Courier New"/>
          <w:sz w:val="18"/>
          <w:szCs w:val="18"/>
          <w:color w:val="auto"/>
        </w:rPr>
        <w:t>Capital Research and Management Company is an Investment Adviser registered under Section 203 of the Investment Advisers Act of 1940 and is a wholly owned subsidiary of The Capital Group Companies, Inc.</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left="1060" w:right="2619"/>
        <w:spacing w:after="0" w:line="236" w:lineRule="auto"/>
        <w:rPr>
          <w:sz w:val="20"/>
          <w:szCs w:val="20"/>
          <w:color w:val="auto"/>
        </w:rPr>
      </w:pPr>
      <w:r>
        <w:rPr>
          <w:rFonts w:ascii="Courier New" w:cs="Courier New" w:eastAsia="Courier New" w:hAnsi="Courier New"/>
          <w:sz w:val="18"/>
          <w:szCs w:val="18"/>
          <w:color w:val="auto"/>
        </w:rPr>
        <w:t>Capital Guardian Trust Company is a bank as defined in Section 3(a)(6) of the Act and a wholly owned subsidiary of The Capital Group Companies, Inc.</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left="1060" w:right="2619"/>
        <w:spacing w:after="0" w:line="237" w:lineRule="auto"/>
        <w:rPr>
          <w:sz w:val="20"/>
          <w:szCs w:val="20"/>
          <w:color w:val="auto"/>
        </w:rPr>
      </w:pPr>
      <w:r>
        <w:rPr>
          <w:rFonts w:ascii="Courier New" w:cs="Courier New" w:eastAsia="Courier New" w:hAnsi="Courier New"/>
          <w:sz w:val="18"/>
          <w:szCs w:val="18"/>
          <w:color w:val="auto"/>
        </w:rPr>
        <w:t>Capital International Limited (CIL) does not fall within any of the categories described in Rule 13d-1-(b)(ii)(A-F) but its holdings of any reported securities come within the five percent limitation as set forth in a December 15, 1986 no-action letter from the Staff of the Securities and Exchange Commission to The Capital Group Companies, Inc. CIL is a wholly owned subsidiary of Capital Group International, Inc. which is a wholly owned subsidiary of The Capital Group Companies, Inc.</w:t>
      </w:r>
    </w:p>
    <w:p>
      <w:pPr>
        <w:spacing w:after="0" w:line="20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Capital International S.A. (CISA) does not fall within any of the categories described in Rule 13d-1-(b)(ii)(A-F) but its holdings of any reported securities come within the five percent limitation as set forth in a December 15, 1986 no-action letter from the Staff of the Securities and Exchange Commission to The Capital Group Companies, Inc. CISA is a wholly owned subsidiary of Capital Group International, Inc. which is a wholly owned subsidiary of The Capital Group Companies, Inc.</w:t>
      </w:r>
    </w:p>
    <w:p>
      <w:pPr>
        <w:sectPr>
          <w:pgSz w:w="11900" w:h="16838" w:orient="portrait"/>
          <w:cols w:equalWidth="0" w:num="1">
            <w:col w:w="10219"/>
          </w:cols>
          <w:pgMar w:left="240" w:top="925" w:right="1440" w:bottom="1440" w:gutter="0" w:footer="0" w:header="0"/>
        </w:sectPr>
      </w:pPr>
    </w:p>
    <w:bookmarkStart w:id="10" w:name="page11"/>
    <w:bookmarkEnd w:id="10"/>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ind w:left="740"/>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Capital International Research and Management, Inc. dba Capital International, Inc. is an Investment Adviser registered under Section 203 of the Investment Adviser Act of 1940 and is a wholly owned subsidiary of Capital Group International, Inc. which is a wholly owned subsidiary of The Capital Group Companies, Inc.</w:t>
      </w: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 w:leader="none" w:pos="7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940" w:val="left"/>
          <w:tab w:leader="none" w:pos="4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5"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10, 1998</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*Larry P. Clemmensen</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Larry P. Clemmensen, President</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The Capital Group Companies, Inc.</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10, 1998</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*Paul G. Haaga, Jr.</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Paul G. Haaga, Jr., Executive Vice</w:t>
      </w:r>
    </w:p>
    <w:p>
      <w:pPr>
        <w:ind w:left="244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James P. Ryan</w:t>
      </w:r>
    </w:p>
    <w:p>
      <w:pPr>
        <w:ind w:left="158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158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December 4, 1997 included as an Exhibit to Schedule 13G filed with the Securities and Exchange Commission by The Capital Group Companies, Inc. on December 10, 1997 with respect to Viatel Inc.</w:t>
      </w:r>
    </w:p>
    <w:p>
      <w:pPr>
        <w:sectPr>
          <w:pgSz w:w="11900" w:h="16838" w:orient="portrait"/>
          <w:cols w:equalWidth="0" w:num="1">
            <w:col w:w="10219"/>
          </w:cols>
          <w:pgMar w:left="240" w:top="919" w:right="1440" w:bottom="1440" w:gutter="0" w:footer="0" w:header="0"/>
        </w:sectPr>
      </w:pPr>
    </w:p>
    <w:bookmarkStart w:id="12" w:name="page13"/>
    <w:bookmarkEnd w:id="12"/>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jc w:val="center"/>
        <w:ind w:right="2719"/>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8"/>
          <w:szCs w:val="18"/>
          <w:color w:val="auto"/>
        </w:rPr>
        <w:t>Los Angeles, CA</w:t>
      </w:r>
    </w:p>
    <w:p>
      <w:pPr>
        <w:jc w:val="center"/>
        <w:ind w:right="2719"/>
        <w:spacing w:after="0" w:line="238" w:lineRule="auto"/>
        <w:rPr>
          <w:sz w:val="20"/>
          <w:szCs w:val="20"/>
          <w:color w:val="auto"/>
        </w:rPr>
      </w:pPr>
      <w:r>
        <w:rPr>
          <w:rFonts w:ascii="Courier New" w:cs="Courier New" w:eastAsia="Courier New" w:hAnsi="Courier New"/>
          <w:sz w:val="18"/>
          <w:szCs w:val="18"/>
          <w:color w:val="auto"/>
        </w:rPr>
        <w:t>February 10, 1998</w:t>
      </w:r>
    </w:p>
    <w:p>
      <w:pPr>
        <w:spacing w:after="0" w:line="207" w:lineRule="exact"/>
        <w:rPr>
          <w:sz w:val="20"/>
          <w:szCs w:val="20"/>
          <w:color w:val="auto"/>
        </w:rPr>
      </w:pPr>
    </w:p>
    <w:p>
      <w:pPr>
        <w:ind w:right="2939" w:firstLine="211"/>
        <w:spacing w:after="0" w:line="237" w:lineRule="auto"/>
        <w:rPr>
          <w:sz w:val="20"/>
          <w:szCs w:val="20"/>
          <w:color w:val="auto"/>
        </w:rPr>
      </w:pPr>
      <w:r>
        <w:rPr>
          <w:rFonts w:ascii="Courier New" w:cs="Courier New" w:eastAsia="Courier New" w:hAnsi="Courier New"/>
          <w:sz w:val="18"/>
          <w:szCs w:val="18"/>
          <w:color w:val="auto"/>
        </w:rPr>
        <w:t>The Capital Group Companies, Inc. ("CGC") and Capital Research and Management Company ("CRMC") hereby agree to file a joint statement on Schedule 13G under the Securities Exchange Act of 1934 (the "Act") in connection with their beneficial ownership of Common Stock issued by Micron Technology, Inc.</w:t>
      </w:r>
    </w:p>
    <w:p>
      <w:pPr>
        <w:spacing w:after="0" w:line="209" w:lineRule="exact"/>
        <w:rPr>
          <w:sz w:val="20"/>
          <w:szCs w:val="20"/>
          <w:color w:val="auto"/>
        </w:rPr>
      </w:pPr>
    </w:p>
    <w:p>
      <w:pPr>
        <w:ind w:right="3039" w:firstLine="211"/>
        <w:spacing w:after="0" w:line="235" w:lineRule="auto"/>
        <w:rPr>
          <w:sz w:val="20"/>
          <w:szCs w:val="20"/>
          <w:color w:val="auto"/>
        </w:rPr>
      </w:pPr>
      <w:r>
        <w:rPr>
          <w:rFonts w:ascii="Courier New" w:cs="Courier New" w:eastAsia="Courier New" w:hAnsi="Courier New"/>
          <w:sz w:val="18"/>
          <w:szCs w:val="18"/>
          <w:color w:val="auto"/>
        </w:rPr>
        <w:t>CGC and CRMC state that they are each entitled to individually use Schedule 13G pursuant to Rule 13d-1(c) of the Act.</w:t>
      </w:r>
    </w:p>
    <w:p>
      <w:pPr>
        <w:spacing w:after="0" w:line="208" w:lineRule="exact"/>
        <w:rPr>
          <w:sz w:val="20"/>
          <w:szCs w:val="20"/>
          <w:color w:val="auto"/>
        </w:rPr>
      </w:pPr>
    </w:p>
    <w:p>
      <w:pPr>
        <w:ind w:right="2939" w:firstLine="211"/>
        <w:spacing w:after="0" w:line="237" w:lineRule="auto"/>
        <w:rPr>
          <w:sz w:val="20"/>
          <w:szCs w:val="20"/>
          <w:color w:val="auto"/>
        </w:rPr>
      </w:pPr>
      <w:r>
        <w:rPr>
          <w:rFonts w:ascii="Courier New" w:cs="Courier New" w:eastAsia="Courier New" w:hAnsi="Courier New"/>
          <w:sz w:val="18"/>
          <w:szCs w:val="18"/>
          <w:color w:val="auto"/>
        </w:rPr>
        <w:t>CGC and CRMC are each responsible for the timely filing of the statement and any amendments thereto, and for the completeness and accuracy of the information concerning each of them contained therein but are not responsible for the completeness or accuracy of the information concerning the others.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THE CAPITAL GROUP COMPANIES, INC.</w:t>
      </w:r>
    </w:p>
    <w:p>
      <w:pPr>
        <w:spacing w:after="0" w:line="201" w:lineRule="exact"/>
        <w:rPr>
          <w:sz w:val="20"/>
          <w:szCs w:val="20"/>
          <w:color w:val="auto"/>
        </w:rPr>
      </w:pPr>
    </w:p>
    <w:p>
      <w:pPr>
        <w:ind w:left="180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*Larry P. Clemmensen</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Larry P. Clemmensen, President</w:t>
      </w:r>
    </w:p>
    <w:p>
      <w:pPr>
        <w:ind w:left="3700"/>
        <w:spacing w:after="0" w:line="238" w:lineRule="auto"/>
        <w:rPr>
          <w:sz w:val="20"/>
          <w:szCs w:val="20"/>
          <w:color w:val="auto"/>
        </w:rPr>
      </w:pPr>
      <w:r>
        <w:rPr>
          <w:rFonts w:ascii="Courier New" w:cs="Courier New" w:eastAsia="Courier New" w:hAnsi="Courier New"/>
          <w:sz w:val="18"/>
          <w:szCs w:val="18"/>
          <w:color w:val="auto"/>
        </w:rPr>
        <w:t>The Capital Group Companies,</w:t>
      </w:r>
    </w:p>
    <w:p>
      <w:pPr>
        <w:ind w:left="3700"/>
        <w:spacing w:after="0"/>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201" w:lineRule="exact"/>
        <w:rPr>
          <w:sz w:val="20"/>
          <w:szCs w:val="20"/>
          <w:color w:val="auto"/>
        </w:rPr>
      </w:pPr>
    </w:p>
    <w:p>
      <w:pPr>
        <w:ind w:left="180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*Paul G. Haaga, Jr.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Paul G. Haaga, Jr., Executive</w:t>
      </w:r>
    </w:p>
    <w:p>
      <w:pPr>
        <w:ind w:left="3700"/>
        <w:spacing w:after="0" w:line="238" w:lineRule="auto"/>
        <w:rPr>
          <w:sz w:val="20"/>
          <w:szCs w:val="20"/>
          <w:color w:val="auto"/>
        </w:rPr>
      </w:pPr>
      <w:r>
        <w:rPr>
          <w:rFonts w:ascii="Courier New" w:cs="Courier New" w:eastAsia="Courier New" w:hAnsi="Courier New"/>
          <w:sz w:val="18"/>
          <w:szCs w:val="18"/>
          <w:color w:val="auto"/>
        </w:rPr>
        <w:t>Vice President</w:t>
      </w:r>
    </w:p>
    <w:p>
      <w:pPr>
        <w:ind w:left="3700"/>
        <w:spacing w:after="0"/>
        <w:rPr>
          <w:sz w:val="20"/>
          <w:szCs w:val="20"/>
          <w:color w:val="auto"/>
        </w:rPr>
      </w:pPr>
      <w:r>
        <w:rPr>
          <w:rFonts w:ascii="Courier New" w:cs="Courier New" w:eastAsia="Courier New" w:hAnsi="Courier New"/>
          <w:sz w:val="18"/>
          <w:szCs w:val="18"/>
          <w:color w:val="auto"/>
        </w:rPr>
        <w:t>Capital Research and Management</w:t>
      </w:r>
    </w:p>
    <w:p>
      <w:pPr>
        <w:ind w:left="3700"/>
        <w:spacing w:after="0" w:line="237" w:lineRule="auto"/>
        <w:rPr>
          <w:sz w:val="20"/>
          <w:szCs w:val="20"/>
          <w:color w:val="auto"/>
        </w:rPr>
      </w:pPr>
      <w:r>
        <w:rPr>
          <w:rFonts w:ascii="Courier New" w:cs="Courier New" w:eastAsia="Courier New" w:hAnsi="Courier New"/>
          <w:sz w:val="18"/>
          <w:szCs w:val="18"/>
          <w:color w:val="auto"/>
        </w:rPr>
        <w:t>Company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James P. Ryan</w:t>
      </w:r>
    </w:p>
    <w:p>
      <w:pPr>
        <w:ind w:left="54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540" w:right="2939"/>
        <w:spacing w:after="0" w:line="275" w:lineRule="auto"/>
        <w:rPr>
          <w:sz w:val="20"/>
          <w:szCs w:val="20"/>
          <w:color w:val="auto"/>
        </w:rPr>
      </w:pPr>
      <w:r>
        <w:rPr>
          <w:rFonts w:ascii="Courier New" w:cs="Courier New" w:eastAsia="Courier New" w:hAnsi="Courier New"/>
          <w:sz w:val="16"/>
          <w:szCs w:val="16"/>
          <w:color w:val="auto"/>
        </w:rPr>
        <w:t>Signed pursuant to a Power of Attorney dated December 4, 1997 included as an Exhibit to Schedule 13G filed with the Securities and Exchange Commission by The Capital Group Companies, Inc. on December 10, 1997 with respect to Viatel Inc.</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bullet"/>
      <w:start w:val="1"/>
    </w:lvl>
  </w:abstractNum>
  <w:abstractNum w:abstractNumId="1">
    <w:nsid w:val="4DB127F8"/>
    <w:multiLevelType w:val="hybridMultilevel"/>
    <w:lvl w:ilvl="0">
      <w:lvlJc w:val="left"/>
      <w:lvlText w:val="2"/>
      <w:numFmt w:val="bullet"/>
      <w:start w:val="1"/>
    </w:lvl>
  </w:abstractNum>
  <w:abstractNum w:abstractNumId="2">
    <w:nsid w:val="216231B"/>
    <w:multiLevelType w:val="hybridMultilevel"/>
    <w:lvl w:ilvl="0">
      <w:lvlJc w:val="left"/>
      <w:lvlText w:val="3"/>
      <w:numFmt w:val="bullet"/>
      <w:start w:val="1"/>
    </w:lvl>
  </w:abstractNum>
  <w:abstractNum w:abstractNumId="3">
    <w:nsid w:val="1F16E9E8"/>
    <w:multiLevelType w:val="hybridMultilevel"/>
    <w:lvl w:ilvl="0">
      <w:lvlJc w:val="left"/>
      <w:lvlText w:val="4"/>
      <w:numFmt w:val="bullet"/>
      <w:start w:val="1"/>
    </w:lvl>
  </w:abstractNum>
  <w:abstractNum w:abstractNumId="4">
    <w:nsid w:val="1190CDE7"/>
    <w:multiLevelType w:val="hybridMultilevel"/>
    <w:lvl w:ilvl="0">
      <w:lvlJc w:val="left"/>
      <w:lvlText w:val="5"/>
      <w:numFmt w:val="bullet"/>
      <w:start w:val="1"/>
    </w:lvl>
  </w:abstractNum>
  <w:abstractNum w:abstractNumId="5">
    <w:nsid w:val="66EF438D"/>
    <w:multiLevelType w:val="hybridMultilevel"/>
    <w:lvl w:ilvl="0">
      <w:lvlJc w:val="left"/>
      <w:lvlText w:val="8"/>
      <w:numFmt w:val="bullet"/>
      <w:start w:val="1"/>
    </w:lvl>
  </w:abstractNum>
  <w:abstractNum w:abstractNumId="6">
    <w:nsid w:val="140E0F76"/>
    <w:multiLevelType w:val="hybridMultilevel"/>
    <w:lvl w:ilvl="0">
      <w:lvlJc w:val="left"/>
      <w:lvlText w:val="9"/>
      <w:numFmt w:val="bullet"/>
      <w:start w:val="1"/>
    </w:lvl>
  </w:abstractNum>
  <w:abstractNum w:abstractNumId="7">
    <w:nsid w:val="3352255A"/>
    <w:multiLevelType w:val="hybridMultilevel"/>
    <w:lvl w:ilvl="0">
      <w:lvlJc w:val="left"/>
      <w:lvlText w:val="%1"/>
      <w:numFmt w:val="decimal"/>
      <w:start w:val="10"/>
    </w:lvl>
    <w:lvl w:ilvl="1">
      <w:lvlJc w:val="left"/>
      <w:lvlText w:val="*"/>
      <w:numFmt w:val="bullet"/>
      <w:start w:val="1"/>
    </w:lvl>
  </w:abstractNum>
  <w:abstractNum w:abstractNumId="8">
    <w:nsid w:val="109CF92E"/>
    <w:multiLevelType w:val="hybridMultilevel"/>
    <w:lvl w:ilvl="0">
      <w:lvlJc w:val="left"/>
      <w:lvlText w:val="1"/>
      <w:numFmt w:val="bullet"/>
      <w:start w:val="1"/>
    </w:lvl>
  </w:abstractNum>
  <w:abstractNum w:abstractNumId="9">
    <w:nsid w:val="DED7263"/>
    <w:multiLevelType w:val="hybridMultilevel"/>
    <w:lvl w:ilvl="0">
      <w:lvlJc w:val="left"/>
      <w:lvlText w:val="2"/>
      <w:numFmt w:val="bullet"/>
      <w:start w:val="1"/>
    </w:lvl>
  </w:abstractNum>
  <w:abstractNum w:abstractNumId="10">
    <w:nsid w:val="7FDCC233"/>
    <w:multiLevelType w:val="hybridMultilevel"/>
    <w:lvl w:ilvl="0">
      <w:lvlJc w:val="left"/>
      <w:lvlText w:val="3"/>
      <w:numFmt w:val="bullet"/>
      <w:start w:val="1"/>
    </w:lvl>
  </w:abstractNum>
  <w:abstractNum w:abstractNumId="11">
    <w:nsid w:val="1BEFD79F"/>
    <w:multiLevelType w:val="hybridMultilevel"/>
    <w:lvl w:ilvl="0">
      <w:lvlJc w:val="left"/>
      <w:lvlText w:val="4"/>
      <w:numFmt w:val="bullet"/>
      <w:start w:val="1"/>
    </w:lvl>
  </w:abstractNum>
  <w:abstractNum w:abstractNumId="12">
    <w:nsid w:val="41A7C4C9"/>
    <w:multiLevelType w:val="hybridMultilevel"/>
    <w:lvl w:ilvl="0">
      <w:lvlJc w:val="left"/>
      <w:lvlText w:val="5"/>
      <w:numFmt w:val="bullet"/>
      <w:start w:val="1"/>
    </w:lvl>
  </w:abstractNum>
  <w:abstractNum w:abstractNumId="13">
    <w:nsid w:val="6B68079A"/>
    <w:multiLevelType w:val="hybridMultilevel"/>
    <w:lvl w:ilvl="0">
      <w:lvlJc w:val="left"/>
      <w:lvlText w:val="8"/>
      <w:numFmt w:val="bullet"/>
      <w:start w:val="1"/>
    </w:lvl>
  </w:abstractNum>
  <w:abstractNum w:abstractNumId="14">
    <w:nsid w:val="4E6AFB66"/>
    <w:multiLevelType w:val="hybridMultilevel"/>
    <w:lvl w:ilvl="0">
      <w:lvlJc w:val="left"/>
      <w:lvlText w:val="9"/>
      <w:numFmt w:val="bullet"/>
      <w:start w:val="1"/>
    </w:lvl>
  </w:abstractNum>
  <w:abstractNum w:abstractNumId="15">
    <w:nsid w:val="25E45D32"/>
    <w:multiLevelType w:val="hybridMultilevel"/>
    <w:lvl w:ilvl="0">
      <w:lvlJc w:val="left"/>
      <w:lvlText w:val="%1"/>
      <w:numFmt w:val="decimal"/>
      <w:start w:val="10"/>
    </w:lvl>
    <w:lvl w:ilvl="1">
      <w:lvlJc w:val="left"/>
      <w:lvlText w:val="*"/>
      <w:numFmt w:val="bullet"/>
      <w:start w:val="1"/>
    </w:lvl>
  </w:abstractNum>
  <w:abstractNum w:abstractNumId="16">
    <w:nsid w:val="519B500D"/>
    <w:multiLevelType w:val="hybridMultilevel"/>
    <w:lvl w:ilvl="0">
      <w:lvlJc w:val="left"/>
      <w:lvlText w:val="(%1)"/>
      <w:numFmt w:val="lowerLetter"/>
      <w:start w:val="5"/>
    </w:lvl>
  </w:abstractNum>
  <w:abstractNum w:abstractNumId="17">
    <w:nsid w:val="431BD7B7"/>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2019-12-13T13:09:19Z</dcterms:created>
  <dcterms:modified xsi:type="dcterms:W3CDTF">2019-12-13T13:09:19Z</dcterms:modified>
</cp:coreProperties>
</file>