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340" w:firstLine="324"/>
        <w:spacing w:after="0" w:line="264" w:lineRule="auto"/>
        <w:rPr>
          <w:sz w:val="20"/>
          <w:szCs w:val="20"/>
          <w:color w:val="auto"/>
        </w:rPr>
      </w:pPr>
      <w:r>
        <w:rPr>
          <w:rFonts w:ascii="Arial" w:cs="Arial" w:eastAsia="Arial" w:hAnsi="Arial"/>
          <w:sz w:val="18"/>
          <w:szCs w:val="18"/>
          <w:color w:val="auto"/>
        </w:rPr>
        <w:t>On July 2, 2010, Micron Technology, Inc. (“Micron”), and Nanya Technology Corporation (“NTC”) entered into a Second Amended and Restated Technology Transfer and License Agreement with an effective date of April 9, 2010, pursuant to which the royalty payable by NTC to Micron on NTC’s sales Stack DRAM Products manufactured on JDP Process Nodes of less than 50nm was eliminated.</w:t>
      </w:r>
    </w:p>
    <w:p>
      <w:pPr>
        <w:spacing w:after="0" w:line="208" w:lineRule="exact"/>
        <w:rPr>
          <w:sz w:val="20"/>
          <w:szCs w:val="20"/>
          <w:color w:val="auto"/>
        </w:rPr>
      </w:pPr>
    </w:p>
    <w:p>
      <w:pPr>
        <w:ind w:left="340" w:right="40" w:firstLine="324"/>
        <w:spacing w:after="0" w:line="257" w:lineRule="auto"/>
        <w:rPr>
          <w:sz w:val="20"/>
          <w:szCs w:val="20"/>
          <w:color w:val="auto"/>
        </w:rPr>
      </w:pPr>
      <w:r>
        <w:rPr>
          <w:rFonts w:ascii="Arial" w:cs="Arial" w:eastAsia="Arial" w:hAnsi="Arial"/>
          <w:sz w:val="18"/>
          <w:szCs w:val="18"/>
          <w:color w:val="auto"/>
        </w:rPr>
        <w:t>On July 2, 2010, Micron and NTC entered into a Joint Development Program and Cost Sharing Agreement (“JDP-CSA”) with an effective date of April 9, 2010. The JDP-CSA applies to joint development of Stack DRAM Designs and Process Technology for process nodes of less than 50nm and supersedes the Amended and Restated Joint Development Program Agreement entered into by Micron and NTC on November 26, 2008, with respect to such design and development work on process nodes of less than 50nm. In addition, the JPD-CSA provides for sharing of certain Micron research and development costs through 2017.</w:t>
      </w: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56" w:right="3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33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560" w:type="dxa"/>
            <w:vAlign w:val="bottom"/>
          </w:tcPr>
          <w:p>
            <w:pPr>
              <w:spacing w:after="0"/>
              <w:rPr>
                <w:sz w:val="20"/>
                <w:szCs w:val="20"/>
                <w:color w:val="auto"/>
              </w:rPr>
            </w:pPr>
            <w:r>
              <w:rPr>
                <w:rFonts w:ascii="Arial" w:cs="Arial" w:eastAsia="Arial" w:hAnsi="Arial"/>
                <w:sz w:val="18"/>
                <w:szCs w:val="18"/>
                <w:color w:val="auto"/>
              </w:rPr>
              <w:t>Date:  July 6, 2010</w:t>
            </w:r>
          </w:p>
        </w:tc>
        <w:tc>
          <w:tcPr>
            <w:tcW w:w="4220" w:type="dxa"/>
            <w:vAlign w:val="bottom"/>
          </w:tcPr>
          <w:p>
            <w:pPr>
              <w:ind w:left="33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3560" w:type="dxa"/>
            <w:vAlign w:val="bottom"/>
          </w:tcPr>
          <w:p>
            <w:pPr>
              <w:spacing w:after="0"/>
              <w:rPr>
                <w:sz w:val="17"/>
                <w:szCs w:val="17"/>
                <w:color w:val="auto"/>
              </w:rPr>
            </w:pPr>
          </w:p>
        </w:tc>
        <w:tc>
          <w:tcPr>
            <w:tcW w:w="4220" w:type="dxa"/>
            <w:vAlign w:val="bottom"/>
          </w:tcPr>
          <w:p>
            <w:pPr>
              <w:ind w:left="33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16"/>
        </w:trPr>
        <w:tc>
          <w:tcPr>
            <w:tcW w:w="3560" w:type="dxa"/>
            <w:vAlign w:val="bottom"/>
          </w:tcPr>
          <w:p>
            <w:pPr>
              <w:spacing w:after="0"/>
              <w:rPr>
                <w:sz w:val="18"/>
                <w:szCs w:val="18"/>
                <w:color w:val="auto"/>
              </w:rPr>
            </w:pPr>
          </w:p>
        </w:tc>
        <w:tc>
          <w:tcPr>
            <w:tcW w:w="4220" w:type="dxa"/>
            <w:vAlign w:val="bottom"/>
          </w:tcPr>
          <w:p>
            <w:pPr>
              <w:ind w:left="33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President and</w:t>
            </w:r>
          </w:p>
        </w:tc>
      </w:tr>
      <w:tr>
        <w:trPr>
          <w:trHeight w:val="230"/>
        </w:trPr>
        <w:tc>
          <w:tcPr>
            <w:tcW w:w="35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851"/>
        </w:trPr>
        <w:tc>
          <w:tcPr>
            <w:tcW w:w="3560" w:type="dxa"/>
            <w:vAlign w:val="bottom"/>
          </w:tcPr>
          <w:p>
            <w:pPr>
              <w:spacing w:after="0"/>
              <w:rPr>
                <w:sz w:val="24"/>
                <w:szCs w:val="24"/>
                <w:color w:val="auto"/>
              </w:rPr>
            </w:pPr>
          </w:p>
        </w:tc>
        <w:tc>
          <w:tcPr>
            <w:tcW w:w="4220" w:type="dxa"/>
            <w:vAlign w:val="bottom"/>
          </w:tcPr>
          <w:p>
            <w:pPr>
              <w:ind w:left="2100"/>
              <w:spacing w:after="0"/>
              <w:rPr>
                <w:sz w:val="20"/>
                <w:szCs w:val="20"/>
                <w:color w:val="auto"/>
              </w:rPr>
            </w:pPr>
            <w:r>
              <w:rPr>
                <w:rFonts w:ascii="Arial" w:cs="Arial" w:eastAsia="Arial" w:hAnsi="Arial"/>
                <w:sz w:val="18"/>
                <w:szCs w:val="18"/>
                <w:color w:val="auto"/>
              </w:rPr>
              <w:t>3</w:t>
            </w:r>
          </w:p>
        </w:tc>
        <w:tc>
          <w:tcPr>
            <w:tcW w:w="3640" w:type="dxa"/>
            <w:vAlign w:val="bottom"/>
          </w:tcPr>
          <w:p>
            <w:pPr>
              <w:spacing w:after="0"/>
              <w:rPr>
                <w:sz w:val="24"/>
                <w:szCs w:val="24"/>
                <w:color w:val="auto"/>
              </w:rPr>
            </w:pPr>
          </w:p>
        </w:tc>
      </w:tr>
      <w:tr>
        <w:trPr>
          <w:trHeight w:val="118"/>
        </w:trPr>
        <w:tc>
          <w:tcPr>
            <w:tcW w:w="3560" w:type="dxa"/>
            <w:vAlign w:val="bottom"/>
            <w:tcBorders>
              <w:bottom w:val="single" w:sz="8" w:color="808080"/>
            </w:tcBorders>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2019-12-10T04:18:33Z</dcterms:created>
  <dcterms:modified xsi:type="dcterms:W3CDTF">2019-12-10T04:18:33Z</dcterms:modified>
</cp:coreProperties>
</file>