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65" w:lineRule="exact"/>
        <w:rPr>
          <w:sz w:val="24"/>
          <w:szCs w:val="24"/>
          <w:color w:val="auto"/>
        </w:rPr>
      </w:pPr>
    </w:p>
    <w:p>
      <w:pPr>
        <w:ind w:left="540"/>
        <w:spacing w:after="0"/>
        <w:rPr>
          <w:sz w:val="20"/>
          <w:szCs w:val="20"/>
          <w:color w:val="auto"/>
        </w:rPr>
      </w:pPr>
      <w:r>
        <w:rPr>
          <w:rFonts w:ascii="Arial" w:cs="Arial" w:eastAsia="Arial" w:hAnsi="Arial"/>
          <w:sz w:val="12"/>
          <w:szCs w:val="12"/>
          <w:b w:val="1"/>
          <w:bCs w:val="1"/>
          <w:color w:val="auto"/>
        </w:rPr>
        <w:t>(Mark One)</w:t>
      </w:r>
    </w:p>
    <w:p>
      <w:pPr>
        <w:spacing w:after="0" w:line="12" w:lineRule="exact"/>
        <w:rPr>
          <w:sz w:val="24"/>
          <w:szCs w:val="24"/>
          <w:color w:val="auto"/>
        </w:rPr>
      </w:pPr>
    </w:p>
    <w:p>
      <w:pPr>
        <w:ind w:left="4260" w:right="3440" w:hanging="3467"/>
        <w:spacing w:after="0" w:line="320" w:lineRule="auto"/>
        <w:tabs>
          <w:tab w:leader="none" w:pos="1705"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QUARTERLY REPORT PURSUANT TO SECTION 13 OR 15(d) OF THE SECURITIES EXCHANGE ACT OF 1934 For the quarterly period ended February 29, 2024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OR</w:t>
      </w:r>
    </w:p>
    <w:p>
      <w:pPr>
        <w:spacing w:after="0" w:line="33" w:lineRule="exact"/>
        <w:rPr>
          <w:sz w:val="24"/>
          <w:szCs w:val="24"/>
          <w:color w:val="auto"/>
        </w:rPr>
      </w:pPr>
    </w:p>
    <w:p>
      <w:pPr>
        <w:ind w:left="1700" w:hanging="907"/>
        <w:spacing w:after="0"/>
        <w:tabs>
          <w:tab w:leader="none" w:pos="1700" w:val="left"/>
        </w:tabs>
        <w:numPr>
          <w:ilvl w:val="0"/>
          <w:numId w:val="2"/>
        </w:numPr>
        <w:rPr>
          <w:rFonts w:ascii="MS PGothic" w:cs="MS PGothic" w:eastAsia="MS PGothic" w:hAnsi="MS PGothic"/>
          <w:sz w:val="11"/>
          <w:szCs w:val="11"/>
          <w:color w:val="auto"/>
        </w:rPr>
      </w:pPr>
      <w:r>
        <w:rPr>
          <w:rFonts w:ascii="Arial" w:cs="Arial" w:eastAsia="Arial" w:hAnsi="Arial"/>
          <w:sz w:val="11"/>
          <w:szCs w:val="11"/>
          <w:b w:val="1"/>
          <w:bCs w:val="1"/>
          <w:color w:val="auto"/>
        </w:rPr>
        <w:t>TRANSITION REPORT PURSUANT TO SECTION 13 OR 15(d) OF THE SECURITIES EXCHANGE ACT OF 1934</w:t>
      </w:r>
    </w:p>
    <w:p>
      <w:pPr>
        <w:sectPr>
          <w:pgSz w:w="11900" w:h="16838" w:orient="portrait"/>
          <w:cols w:equalWidth="0" w:num="1">
            <w:col w:w="11280"/>
          </w:cols>
          <w:pgMar w:left="300" w:top="737" w:right="319" w:bottom="1440" w:gutter="0" w:footer="0" w:header="0"/>
        </w:sectPr>
      </w:pPr>
    </w:p>
    <w:p>
      <w:pPr>
        <w:spacing w:after="0" w:line="81" w:lineRule="exact"/>
        <w:rPr>
          <w:sz w:val="24"/>
          <w:szCs w:val="24"/>
          <w:color w:val="auto"/>
        </w:rPr>
      </w:pPr>
    </w:p>
    <w:p>
      <w:pPr>
        <w:ind w:left="4540"/>
        <w:spacing w:after="0"/>
        <w:rPr>
          <w:sz w:val="20"/>
          <w:szCs w:val="20"/>
          <w:color w:val="auto"/>
        </w:rPr>
      </w:pPr>
      <w:r>
        <w:rPr>
          <w:rFonts w:ascii="Arial" w:cs="Arial" w:eastAsia="Arial" w:hAnsi="Arial"/>
          <w:sz w:val="12"/>
          <w:szCs w:val="12"/>
          <w:b w:val="1"/>
          <w:bCs w:val="1"/>
          <w:color w:val="auto"/>
        </w:rPr>
        <w:t>For the transition period from</w:t>
      </w:r>
    </w:p>
    <w:p>
      <w:pPr>
        <w:spacing w:after="0" w:line="18" w:lineRule="exact"/>
        <w:rPr>
          <w:sz w:val="24"/>
          <w:szCs w:val="24"/>
          <w:color w:val="auto"/>
        </w:rPr>
      </w:pPr>
    </w:p>
    <w:p>
      <w:pPr>
        <w:ind w:left="4700"/>
        <w:spacing w:after="0"/>
        <w:rPr>
          <w:sz w:val="20"/>
          <w:szCs w:val="20"/>
          <w:color w:val="auto"/>
        </w:rPr>
      </w:pPr>
      <w:r>
        <w:rPr>
          <w:rFonts w:ascii="Arial" w:cs="Arial" w:eastAsia="Arial" w:hAnsi="Arial"/>
          <w:sz w:val="12"/>
          <w:szCs w:val="12"/>
          <w:b w:val="1"/>
          <w:bCs w:val="1"/>
          <w:color w:val="auto"/>
        </w:rPr>
        <w:t>Commission file number 1-10658</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to</w:t>
      </w:r>
    </w:p>
    <w:p>
      <w:pPr>
        <w:spacing w:after="0" w:line="327" w:lineRule="exact"/>
        <w:rPr>
          <w:sz w:val="24"/>
          <w:szCs w:val="24"/>
          <w:color w:val="auto"/>
        </w:rPr>
      </w:pPr>
    </w:p>
    <w:p>
      <w:pPr>
        <w:sectPr>
          <w:pgSz w:w="11900" w:h="16838" w:orient="portrait"/>
          <w:cols w:equalWidth="0" w:num="2">
            <w:col w:w="6580" w:space="60"/>
            <w:col w:w="4640"/>
          </w:cols>
          <w:pgMar w:left="300" w:top="737" w:right="319" w:bottom="1440" w:gutter="0" w:footer="0" w:header="0"/>
          <w:type w:val="continuous"/>
        </w:sectPr>
      </w:pPr>
    </w:p>
    <w:tbl>
      <w:tblPr>
        <w:tblLayout w:type="fixed"/>
        <w:tblInd w:w="0" w:type="dxa"/>
        <w:tblCellMar>
          <w:top w:w="0" w:type="dxa"/>
          <w:left w:w="0" w:type="dxa"/>
          <w:bottom w:w="0" w:type="dxa"/>
          <w:right w:w="0" w:type="dxa"/>
        </w:tblCellMar>
      </w:tblPr>
      <w:tr>
        <w:trPr>
          <w:trHeight w:val="272"/>
        </w:trPr>
        <w:tc>
          <w:tcPr>
            <w:tcW w:w="2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3420" w:type="dxa"/>
            <w:vAlign w:val="bottom"/>
            <w:gridSpan w:val="5"/>
          </w:tcPr>
          <w:p>
            <w:pPr>
              <w:jc w:val="center"/>
              <w:ind w:right="100"/>
              <w:spacing w:after="0"/>
              <w:rPr>
                <w:sz w:val="20"/>
                <w:szCs w:val="20"/>
                <w:color w:val="auto"/>
              </w:rPr>
            </w:pPr>
            <w:r>
              <w:rPr>
                <w:rFonts w:ascii="Arial" w:cs="Arial" w:eastAsia="Arial" w:hAnsi="Arial"/>
                <w:sz w:val="22"/>
                <w:szCs w:val="22"/>
                <w:b w:val="1"/>
                <w:bCs w:val="1"/>
                <w:color w:val="auto"/>
                <w:w w:val="96"/>
              </w:rPr>
              <w:t>Micron Technology, Inc.</w:t>
            </w:r>
          </w:p>
        </w:tc>
        <w:tc>
          <w:tcPr>
            <w:tcW w:w="2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420" w:type="dxa"/>
            <w:vAlign w:val="bottom"/>
            <w:gridSpan w:val="5"/>
          </w:tcPr>
          <w:p>
            <w:pPr>
              <w:jc w:val="center"/>
              <w:ind w:right="80"/>
              <w:spacing w:after="0"/>
              <w:rPr>
                <w:sz w:val="20"/>
                <w:szCs w:val="20"/>
                <w:color w:val="auto"/>
              </w:rPr>
            </w:pPr>
            <w:r>
              <w:rPr>
                <w:rFonts w:ascii="Arial" w:cs="Arial" w:eastAsia="Arial" w:hAnsi="Arial"/>
                <w:sz w:val="11"/>
                <w:szCs w:val="11"/>
                <w:color w:val="auto"/>
                <w:w w:val="98"/>
              </w:rPr>
              <w:t>(Exact name of registrant as specified in its charter)</w:t>
            </w:r>
          </w:p>
        </w:tc>
        <w:tc>
          <w:tcPr>
            <w:tcW w:w="2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4"/>
        </w:trPr>
        <w:tc>
          <w:tcPr>
            <w:tcW w:w="20" w:type="dxa"/>
            <w:vAlign w:val="bottom"/>
          </w:tcPr>
          <w:p>
            <w:pPr>
              <w:spacing w:after="0"/>
              <w:rPr>
                <w:sz w:val="14"/>
                <w:szCs w:val="14"/>
                <w:color w:val="auto"/>
              </w:rPr>
            </w:pPr>
          </w:p>
        </w:tc>
        <w:tc>
          <w:tcPr>
            <w:tcW w:w="3960" w:type="dxa"/>
            <w:vAlign w:val="bottom"/>
          </w:tcPr>
          <w:p>
            <w:pPr>
              <w:jc w:val="center"/>
              <w:ind w:left="843"/>
              <w:spacing w:after="0"/>
              <w:rPr>
                <w:sz w:val="20"/>
                <w:szCs w:val="20"/>
                <w:color w:val="auto"/>
              </w:rPr>
            </w:pPr>
            <w:r>
              <w:rPr>
                <w:rFonts w:ascii="Arial" w:cs="Arial" w:eastAsia="Arial" w:hAnsi="Arial"/>
                <w:sz w:val="12"/>
                <w:szCs w:val="12"/>
                <w:b w:val="1"/>
                <w:bCs w:val="1"/>
                <w:color w:val="auto"/>
              </w:rPr>
              <w:t>Delaware</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40" w:type="dxa"/>
            <w:vAlign w:val="bottom"/>
          </w:tcPr>
          <w:p>
            <w:pPr>
              <w:jc w:val="right"/>
              <w:ind w:right="521"/>
              <w:spacing w:after="0"/>
              <w:rPr>
                <w:sz w:val="20"/>
                <w:szCs w:val="20"/>
                <w:color w:val="auto"/>
              </w:rPr>
            </w:pPr>
            <w:r>
              <w:rPr>
                <w:rFonts w:ascii="Arial" w:cs="Arial" w:eastAsia="Arial" w:hAnsi="Arial"/>
                <w:sz w:val="12"/>
                <w:szCs w:val="12"/>
                <w:b w:val="1"/>
                <w:bCs w:val="1"/>
                <w:color w:val="auto"/>
              </w:rPr>
              <w:t>75-1618004</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3960" w:type="dxa"/>
            <w:vAlign w:val="bottom"/>
          </w:tcPr>
          <w:p>
            <w:pPr>
              <w:jc w:val="center"/>
              <w:ind w:left="843"/>
              <w:spacing w:after="0"/>
              <w:rPr>
                <w:sz w:val="20"/>
                <w:szCs w:val="20"/>
                <w:color w:val="auto"/>
              </w:rPr>
            </w:pPr>
            <w:r>
              <w:rPr>
                <w:rFonts w:ascii="Arial" w:cs="Arial" w:eastAsia="Arial" w:hAnsi="Arial"/>
                <w:sz w:val="11"/>
                <w:szCs w:val="11"/>
                <w:color w:val="auto"/>
                <w:w w:val="97"/>
              </w:rPr>
              <w:t>(State or other jurisdiction of incorporation or organization)</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40" w:type="dxa"/>
            <w:vAlign w:val="bottom"/>
          </w:tcPr>
          <w:p>
            <w:pPr>
              <w:jc w:val="center"/>
              <w:ind w:left="561"/>
              <w:spacing w:after="0"/>
              <w:rPr>
                <w:sz w:val="20"/>
                <w:szCs w:val="20"/>
                <w:color w:val="auto"/>
              </w:rPr>
            </w:pPr>
            <w:r>
              <w:rPr>
                <w:rFonts w:ascii="Arial" w:cs="Arial" w:eastAsia="Arial" w:hAnsi="Arial"/>
                <w:sz w:val="11"/>
                <w:szCs w:val="11"/>
                <w:color w:val="auto"/>
                <w:w w:val="98"/>
              </w:rPr>
              <w:t>(IRS Employer Identification No.)</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3960" w:type="dxa"/>
            <w:vAlign w:val="bottom"/>
          </w:tcPr>
          <w:p>
            <w:pPr>
              <w:jc w:val="center"/>
              <w:ind w:left="843"/>
              <w:spacing w:after="0"/>
              <w:rPr>
                <w:sz w:val="20"/>
                <w:szCs w:val="20"/>
                <w:color w:val="auto"/>
              </w:rPr>
            </w:pPr>
            <w:r>
              <w:rPr>
                <w:rFonts w:ascii="Arial" w:cs="Arial" w:eastAsia="Arial" w:hAnsi="Arial"/>
                <w:sz w:val="11"/>
                <w:szCs w:val="11"/>
                <w:color w:val="auto"/>
                <w:w w:val="98"/>
              </w:rPr>
              <w:t>Address of principal executive offices, including zip code</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1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8000 S. Federal Way, Boise, Idaho 83716-9632</w:t>
            </w:r>
          </w:p>
        </w:tc>
        <w:tc>
          <w:tcPr>
            <w:tcW w:w="74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3960" w:type="dxa"/>
            <w:vAlign w:val="bottom"/>
          </w:tcPr>
          <w:p>
            <w:pPr>
              <w:jc w:val="center"/>
              <w:ind w:left="843"/>
              <w:spacing w:after="0"/>
              <w:rPr>
                <w:sz w:val="20"/>
                <w:szCs w:val="20"/>
                <w:color w:val="auto"/>
              </w:rPr>
            </w:pPr>
            <w:r>
              <w:rPr>
                <w:rFonts w:ascii="Arial" w:cs="Arial" w:eastAsia="Arial" w:hAnsi="Arial"/>
                <w:sz w:val="11"/>
                <w:szCs w:val="11"/>
                <w:color w:val="auto"/>
                <w:w w:val="97"/>
              </w:rPr>
              <w:t>Registrant’s telephone number, including area code</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40" w:type="dxa"/>
            <w:vAlign w:val="bottom"/>
          </w:tcPr>
          <w:p>
            <w:pPr>
              <w:jc w:val="right"/>
              <w:ind w:right="441"/>
              <w:spacing w:after="0"/>
              <w:rPr>
                <w:sz w:val="20"/>
                <w:szCs w:val="20"/>
                <w:color w:val="auto"/>
              </w:rPr>
            </w:pPr>
            <w:r>
              <w:rPr>
                <w:rFonts w:ascii="Arial" w:cs="Arial" w:eastAsia="Arial" w:hAnsi="Arial"/>
                <w:sz w:val="12"/>
                <w:szCs w:val="12"/>
                <w:b w:val="1"/>
                <w:bCs w:val="1"/>
                <w:color w:val="auto"/>
              </w:rPr>
              <w:t>(208) 368-4000</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12"/>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420" w:type="dxa"/>
            <w:vAlign w:val="bottom"/>
            <w:gridSpan w:val="5"/>
          </w:tcPr>
          <w:p>
            <w:pPr>
              <w:jc w:val="center"/>
              <w:ind w:right="100"/>
              <w:spacing w:after="0"/>
              <w:rPr>
                <w:sz w:val="20"/>
                <w:szCs w:val="20"/>
                <w:color w:val="auto"/>
              </w:rPr>
            </w:pPr>
            <w:r>
              <w:rPr>
                <w:rFonts w:ascii="Arial" w:cs="Arial" w:eastAsia="Arial" w:hAnsi="Arial"/>
                <w:sz w:val="12"/>
                <w:szCs w:val="12"/>
                <w:color w:val="auto"/>
                <w:w w:val="99"/>
              </w:rPr>
              <w:t>Securities registered pursuant to Section 12(b) of the Act:</w:t>
            </w:r>
          </w:p>
        </w:tc>
        <w:tc>
          <w:tcPr>
            <w:tcW w:w="2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57"/>
        </w:trPr>
        <w:tc>
          <w:tcPr>
            <w:tcW w:w="20" w:type="dxa"/>
            <w:vAlign w:val="bottom"/>
          </w:tcPr>
          <w:p>
            <w:pPr>
              <w:spacing w:after="0"/>
              <w:rPr>
                <w:sz w:val="13"/>
                <w:szCs w:val="13"/>
                <w:color w:val="auto"/>
              </w:rPr>
            </w:pPr>
          </w:p>
        </w:tc>
        <w:tc>
          <w:tcPr>
            <w:tcW w:w="3960" w:type="dxa"/>
            <w:vAlign w:val="bottom"/>
          </w:tcPr>
          <w:p>
            <w:pPr>
              <w:jc w:val="center"/>
              <w:ind w:left="843"/>
              <w:spacing w:after="0"/>
              <w:rPr>
                <w:sz w:val="20"/>
                <w:szCs w:val="20"/>
                <w:color w:val="auto"/>
              </w:rPr>
            </w:pPr>
            <w:r>
              <w:rPr>
                <w:rFonts w:ascii="Arial" w:cs="Arial" w:eastAsia="Arial" w:hAnsi="Arial"/>
                <w:sz w:val="12"/>
                <w:szCs w:val="12"/>
                <w:b w:val="1"/>
                <w:bCs w:val="1"/>
                <w:color w:val="auto"/>
                <w:w w:val="98"/>
              </w:rPr>
              <w:t>Title of each class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gridSpan w:val="3"/>
          </w:tcPr>
          <w:p>
            <w:pPr>
              <w:jc w:val="center"/>
              <w:ind w:right="920"/>
              <w:spacing w:after="0"/>
              <w:rPr>
                <w:sz w:val="20"/>
                <w:szCs w:val="20"/>
                <w:color w:val="auto"/>
              </w:rPr>
            </w:pPr>
            <w:r>
              <w:rPr>
                <w:rFonts w:ascii="Arial" w:cs="Arial" w:eastAsia="Arial" w:hAnsi="Arial"/>
                <w:sz w:val="12"/>
                <w:szCs w:val="12"/>
                <w:b w:val="1"/>
                <w:bCs w:val="1"/>
                <w:color w:val="auto"/>
                <w:w w:val="99"/>
              </w:rPr>
              <w:t>Trading Symbol</w:t>
            </w:r>
          </w:p>
        </w:tc>
        <w:tc>
          <w:tcPr>
            <w:tcW w:w="31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rPr>
              <w:t>Name of each exchange on which registered</w:t>
            </w:r>
          </w:p>
        </w:tc>
        <w:tc>
          <w:tcPr>
            <w:tcW w:w="74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3960" w:type="dxa"/>
            <w:vAlign w:val="bottom"/>
            <w:tcBorders>
              <w:top w:val="single" w:sz="8" w:color="auto"/>
            </w:tcBorders>
          </w:tcPr>
          <w:p>
            <w:pPr>
              <w:jc w:val="center"/>
              <w:ind w:left="843"/>
              <w:spacing w:after="0"/>
              <w:rPr>
                <w:sz w:val="20"/>
                <w:szCs w:val="20"/>
                <w:color w:val="auto"/>
              </w:rPr>
            </w:pPr>
            <w:r>
              <w:rPr>
                <w:rFonts w:ascii="Arial" w:cs="Arial" w:eastAsia="Arial" w:hAnsi="Arial"/>
                <w:sz w:val="12"/>
                <w:szCs w:val="12"/>
                <w:color w:val="auto"/>
              </w:rPr>
              <w:t>Common Stock, par value $0.10 per share</w:t>
            </w: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rPr>
              <w:t>MU</w:t>
            </w: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tcPr>
          <w:p>
            <w:pPr>
              <w:jc w:val="center"/>
              <w:ind w:left="581"/>
              <w:spacing w:after="0"/>
              <w:rPr>
                <w:sz w:val="20"/>
                <w:szCs w:val="20"/>
                <w:color w:val="auto"/>
              </w:rPr>
            </w:pPr>
            <w:r>
              <w:rPr>
                <w:rFonts w:ascii="Arial" w:cs="Arial" w:eastAsia="Arial" w:hAnsi="Arial"/>
                <w:sz w:val="12"/>
                <w:szCs w:val="12"/>
                <w:color w:val="auto"/>
                <w:w w:val="99"/>
              </w:rPr>
              <w:t>Nasdaq Global Select Market</w:t>
            </w:r>
          </w:p>
        </w:tc>
        <w:tc>
          <w:tcPr>
            <w:tcW w:w="7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r>
      <w:tr>
        <w:trPr>
          <w:trHeight w:val="228"/>
        </w:trPr>
        <w:tc>
          <w:tcPr>
            <w:tcW w:w="9840" w:type="dxa"/>
            <w:vAlign w:val="bottom"/>
            <w:gridSpan w:val="8"/>
          </w:tcPr>
          <w:p>
            <w:pPr>
              <w:spacing w:after="0"/>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w:t>
            </w:r>
          </w:p>
        </w:tc>
        <w:tc>
          <w:tcPr>
            <w:tcW w:w="700" w:type="dxa"/>
            <w:vAlign w:val="bottom"/>
          </w:tcPr>
          <w:p>
            <w:pPr>
              <w:ind w:left="120"/>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p>
        </w:tc>
        <w:tc>
          <w:tcPr>
            <w:tcW w:w="740" w:type="dxa"/>
            <w:vAlign w:val="bottom"/>
          </w:tcPr>
          <w:p>
            <w:pPr>
              <w:ind w:left="240"/>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tc>
      </w:tr>
      <w:tr>
        <w:trPr>
          <w:trHeight w:val="159"/>
        </w:trPr>
        <w:tc>
          <w:tcPr>
            <w:tcW w:w="9840" w:type="dxa"/>
            <w:vAlign w:val="bottom"/>
            <w:gridSpan w:val="8"/>
          </w:tcPr>
          <w:p>
            <w:pPr>
              <w:spacing w:after="0"/>
              <w:rPr>
                <w:sz w:val="20"/>
                <w:szCs w:val="20"/>
                <w:color w:val="auto"/>
              </w:rPr>
            </w:pPr>
            <w:r>
              <w:rPr>
                <w:rFonts w:ascii="Arial" w:cs="Arial" w:eastAsia="Arial" w:hAnsi="Arial"/>
                <w:sz w:val="12"/>
                <w:szCs w:val="12"/>
                <w:color w:val="auto"/>
              </w:rPr>
              <w:t>(or for such shorter period that the registrant was required to file such reports), and (2) has been subject to such filing requirements for the past 90 days.</w:t>
            </w: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97"/>
        </w:trPr>
        <w:tc>
          <w:tcPr>
            <w:tcW w:w="9840" w:type="dxa"/>
            <w:vAlign w:val="bottom"/>
            <w:gridSpan w:val="8"/>
          </w:tcPr>
          <w:p>
            <w:pPr>
              <w:spacing w:after="0"/>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 232.405 of</w:t>
            </w:r>
          </w:p>
        </w:tc>
        <w:tc>
          <w:tcPr>
            <w:tcW w:w="700" w:type="dxa"/>
            <w:vAlign w:val="bottom"/>
          </w:tcPr>
          <w:p>
            <w:pPr>
              <w:ind w:left="120"/>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p>
        </w:tc>
        <w:tc>
          <w:tcPr>
            <w:tcW w:w="740" w:type="dxa"/>
            <w:vAlign w:val="bottom"/>
          </w:tcPr>
          <w:p>
            <w:pPr>
              <w:ind w:left="240"/>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tc>
      </w:tr>
      <w:tr>
        <w:trPr>
          <w:trHeight w:val="159"/>
        </w:trPr>
        <w:tc>
          <w:tcPr>
            <w:tcW w:w="7400" w:type="dxa"/>
            <w:vAlign w:val="bottom"/>
            <w:gridSpan w:val="7"/>
          </w:tcPr>
          <w:p>
            <w:pPr>
              <w:spacing w:after="0"/>
              <w:rPr>
                <w:sz w:val="20"/>
                <w:szCs w:val="20"/>
                <w:color w:val="auto"/>
              </w:rPr>
            </w:pPr>
            <w:r>
              <w:rPr>
                <w:rFonts w:ascii="Arial" w:cs="Arial" w:eastAsia="Arial" w:hAnsi="Arial"/>
                <w:sz w:val="12"/>
                <w:szCs w:val="12"/>
                <w:color w:val="auto"/>
              </w:rPr>
              <w:t>this chapter) during the preceding 12 months (or for such shorter period that the registrant was required to submit such files).</w:t>
            </w:r>
          </w:p>
        </w:tc>
        <w:tc>
          <w:tcPr>
            <w:tcW w:w="2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r>
    </w:tbl>
    <w:p>
      <w:pPr>
        <w:spacing w:after="0" w:line="237" w:lineRule="exact"/>
        <w:rPr>
          <w:sz w:val="24"/>
          <w:szCs w:val="24"/>
          <w:color w:val="auto"/>
        </w:rPr>
      </w:pPr>
    </w:p>
    <w:p>
      <w:pPr>
        <w:ind w:right="260"/>
        <w:spacing w:after="0" w:line="28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131"/>
        </w:trPr>
        <w:tc>
          <w:tcPr>
            <w:tcW w:w="2760" w:type="dxa"/>
            <w:vAlign w:val="bottom"/>
          </w:tcPr>
          <w:p>
            <w:pPr>
              <w:jc w:val="center"/>
              <w:ind w:right="421"/>
              <w:spacing w:after="0"/>
              <w:rPr>
                <w:sz w:val="20"/>
                <w:szCs w:val="20"/>
                <w:color w:val="auto"/>
              </w:rPr>
            </w:pPr>
            <w:r>
              <w:rPr>
                <w:rFonts w:ascii="Arial" w:cs="Arial" w:eastAsia="Arial" w:hAnsi="Arial"/>
                <w:sz w:val="11"/>
                <w:szCs w:val="11"/>
                <w:color w:val="auto"/>
                <w:w w:val="98"/>
              </w:rPr>
              <w:t>Large Accelerated Filer</w:t>
            </w:r>
          </w:p>
        </w:tc>
        <w:tc>
          <w:tcPr>
            <w:tcW w:w="1760" w:type="dxa"/>
            <w:vAlign w:val="bottom"/>
          </w:tcPr>
          <w:p>
            <w:pPr>
              <w:jc w:val="center"/>
              <w:ind w:right="363"/>
              <w:spacing w:after="0"/>
              <w:rPr>
                <w:sz w:val="20"/>
                <w:szCs w:val="20"/>
                <w:color w:val="auto"/>
              </w:rPr>
            </w:pPr>
            <w:r>
              <w:rPr>
                <w:rFonts w:ascii="Arial" w:cs="Arial" w:eastAsia="Arial" w:hAnsi="Arial"/>
                <w:sz w:val="11"/>
                <w:szCs w:val="11"/>
                <w:color w:val="auto"/>
                <w:w w:val="99"/>
              </w:rPr>
              <w:t>Accelerated Filer</w:t>
            </w:r>
          </w:p>
        </w:tc>
        <w:tc>
          <w:tcPr>
            <w:tcW w:w="2280" w:type="dxa"/>
            <w:vAlign w:val="bottom"/>
          </w:tcPr>
          <w:p>
            <w:pPr>
              <w:jc w:val="center"/>
              <w:ind w:left="83"/>
              <w:spacing w:after="0"/>
              <w:rPr>
                <w:sz w:val="20"/>
                <w:szCs w:val="20"/>
                <w:color w:val="auto"/>
              </w:rPr>
            </w:pPr>
            <w:r>
              <w:rPr>
                <w:rFonts w:ascii="Arial" w:cs="Arial" w:eastAsia="Arial" w:hAnsi="Arial"/>
                <w:sz w:val="11"/>
                <w:szCs w:val="11"/>
                <w:color w:val="auto"/>
                <w:w w:val="99"/>
              </w:rPr>
              <w:t>Non-Accelerated Filer</w:t>
            </w:r>
          </w:p>
        </w:tc>
        <w:tc>
          <w:tcPr>
            <w:tcW w:w="2320" w:type="dxa"/>
            <w:vAlign w:val="bottom"/>
          </w:tcPr>
          <w:p>
            <w:pPr>
              <w:jc w:val="center"/>
              <w:ind w:left="63"/>
              <w:spacing w:after="0"/>
              <w:rPr>
                <w:sz w:val="20"/>
                <w:szCs w:val="20"/>
                <w:color w:val="auto"/>
              </w:rPr>
            </w:pPr>
            <w:r>
              <w:rPr>
                <w:rFonts w:ascii="Arial" w:cs="Arial" w:eastAsia="Arial" w:hAnsi="Arial"/>
                <w:sz w:val="11"/>
                <w:szCs w:val="11"/>
                <w:color w:val="auto"/>
                <w:w w:val="98"/>
              </w:rPr>
              <w:t>Smaller Reporting Company</w:t>
            </w:r>
          </w:p>
        </w:tc>
        <w:tc>
          <w:tcPr>
            <w:tcW w:w="1960" w:type="dxa"/>
            <w:vAlign w:val="bottom"/>
            <w:gridSpan w:val="2"/>
          </w:tcPr>
          <w:p>
            <w:pPr>
              <w:jc w:val="center"/>
              <w:ind w:left="202"/>
              <w:spacing w:after="0"/>
              <w:rPr>
                <w:sz w:val="20"/>
                <w:szCs w:val="20"/>
                <w:color w:val="auto"/>
              </w:rPr>
            </w:pPr>
            <w:r>
              <w:rPr>
                <w:rFonts w:ascii="Arial" w:cs="Arial" w:eastAsia="Arial" w:hAnsi="Arial"/>
                <w:sz w:val="11"/>
                <w:szCs w:val="11"/>
                <w:color w:val="auto"/>
                <w:w w:val="98"/>
              </w:rPr>
              <w:t>Emerging Growth Company</w:t>
            </w:r>
          </w:p>
        </w:tc>
        <w:tc>
          <w:tcPr>
            <w:tcW w:w="0" w:type="dxa"/>
            <w:vAlign w:val="bottom"/>
          </w:tcPr>
          <w:p>
            <w:pPr>
              <w:spacing w:after="0"/>
              <w:rPr>
                <w:sz w:val="1"/>
                <w:szCs w:val="1"/>
                <w:color w:val="auto"/>
              </w:rPr>
            </w:pPr>
          </w:p>
        </w:tc>
      </w:tr>
      <w:tr>
        <w:trPr>
          <w:trHeight w:val="201"/>
        </w:trPr>
        <w:tc>
          <w:tcPr>
            <w:tcW w:w="2760" w:type="dxa"/>
            <w:vAlign w:val="bottom"/>
          </w:tcPr>
          <w:p>
            <w:pPr>
              <w:jc w:val="center"/>
              <w:ind w:right="421"/>
              <w:spacing w:after="0" w:line="121" w:lineRule="exact"/>
              <w:rPr>
                <w:sz w:val="20"/>
                <w:szCs w:val="20"/>
                <w:color w:val="auto"/>
              </w:rPr>
            </w:pPr>
            <w:r>
              <w:rPr>
                <w:rFonts w:ascii="MS PGothic" w:cs="MS PGothic" w:eastAsia="MS PGothic" w:hAnsi="MS PGothic"/>
                <w:sz w:val="12"/>
                <w:szCs w:val="12"/>
                <w:color w:val="auto"/>
                <w:w w:val="99"/>
              </w:rPr>
              <w:t>☒</w:t>
            </w:r>
          </w:p>
        </w:tc>
        <w:tc>
          <w:tcPr>
            <w:tcW w:w="1760" w:type="dxa"/>
            <w:vAlign w:val="bottom"/>
          </w:tcPr>
          <w:p>
            <w:pPr>
              <w:jc w:val="center"/>
              <w:ind w:right="363"/>
              <w:spacing w:after="0" w:line="121" w:lineRule="exact"/>
              <w:rPr>
                <w:sz w:val="20"/>
                <w:szCs w:val="20"/>
                <w:color w:val="auto"/>
              </w:rPr>
            </w:pPr>
            <w:r>
              <w:rPr>
                <w:rFonts w:ascii="MS PGothic" w:cs="MS PGothic" w:eastAsia="MS PGothic" w:hAnsi="MS PGothic"/>
                <w:sz w:val="12"/>
                <w:szCs w:val="12"/>
                <w:color w:val="auto"/>
                <w:w w:val="82"/>
              </w:rPr>
              <w:t>☐</w:t>
            </w:r>
          </w:p>
        </w:tc>
        <w:tc>
          <w:tcPr>
            <w:tcW w:w="2280" w:type="dxa"/>
            <w:vAlign w:val="bottom"/>
          </w:tcPr>
          <w:p>
            <w:pPr>
              <w:jc w:val="center"/>
              <w:ind w:left="83"/>
              <w:spacing w:after="0" w:line="121" w:lineRule="exact"/>
              <w:rPr>
                <w:sz w:val="20"/>
                <w:szCs w:val="20"/>
                <w:color w:val="auto"/>
              </w:rPr>
            </w:pPr>
            <w:r>
              <w:rPr>
                <w:rFonts w:ascii="MS PGothic" w:cs="MS PGothic" w:eastAsia="MS PGothic" w:hAnsi="MS PGothic"/>
                <w:sz w:val="12"/>
                <w:szCs w:val="12"/>
                <w:color w:val="auto"/>
                <w:w w:val="82"/>
              </w:rPr>
              <w:t>☐</w:t>
            </w:r>
          </w:p>
        </w:tc>
        <w:tc>
          <w:tcPr>
            <w:tcW w:w="2320" w:type="dxa"/>
            <w:vAlign w:val="bottom"/>
          </w:tcPr>
          <w:p>
            <w:pPr>
              <w:jc w:val="center"/>
              <w:ind w:left="43"/>
              <w:spacing w:after="0" w:line="121" w:lineRule="exact"/>
              <w:rPr>
                <w:sz w:val="20"/>
                <w:szCs w:val="20"/>
                <w:color w:val="auto"/>
              </w:rPr>
            </w:pPr>
            <w:r>
              <w:rPr>
                <w:rFonts w:ascii="MS PGothic" w:cs="MS PGothic" w:eastAsia="MS PGothic" w:hAnsi="MS PGothic"/>
                <w:sz w:val="12"/>
                <w:szCs w:val="12"/>
                <w:color w:val="auto"/>
                <w:w w:val="82"/>
              </w:rPr>
              <w:t>☐</w:t>
            </w:r>
          </w:p>
        </w:tc>
        <w:tc>
          <w:tcPr>
            <w:tcW w:w="1660" w:type="dxa"/>
            <w:vAlign w:val="bottom"/>
          </w:tcPr>
          <w:p>
            <w:pPr>
              <w:jc w:val="center"/>
              <w:ind w:left="502"/>
              <w:spacing w:after="0" w:line="121" w:lineRule="exact"/>
              <w:rPr>
                <w:sz w:val="20"/>
                <w:szCs w:val="20"/>
                <w:color w:val="auto"/>
              </w:rPr>
            </w:pPr>
            <w:r>
              <w:rPr>
                <w:rFonts w:ascii="MS PGothic" w:cs="MS PGothic" w:eastAsia="MS PGothic" w:hAnsi="MS PGothic"/>
                <w:sz w:val="12"/>
                <w:szCs w:val="12"/>
                <w:color w:val="auto"/>
                <w:w w:val="82"/>
              </w:rPr>
              <w:t>☐</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0780" w:type="dxa"/>
            <w:vAlign w:val="bottom"/>
            <w:gridSpan w:val="5"/>
          </w:tcPr>
          <w:p>
            <w:pPr>
              <w:spacing w:after="0"/>
              <w:rPr>
                <w:sz w:val="20"/>
                <w:szCs w:val="20"/>
                <w:color w:val="auto"/>
              </w:rPr>
            </w:pPr>
            <w:r>
              <w:rPr>
                <w:rFonts w:ascii="Arial" w:cs="Arial" w:eastAsia="Arial" w:hAnsi="Arial"/>
                <w:sz w:val="12"/>
                <w:szCs w:val="12"/>
                <w:color w:val="auto"/>
                <w:w w:val="99"/>
              </w:rPr>
              <w:t>If an emerging growth company, indicate by check mark if the registrant has elected not to use the extended transition period for complying with any new or revised financial accounting standards provided</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2760" w:type="dxa"/>
            <w:vAlign w:val="bottom"/>
          </w:tcPr>
          <w:p>
            <w:pPr>
              <w:spacing w:after="0"/>
              <w:rPr>
                <w:sz w:val="20"/>
                <w:szCs w:val="20"/>
                <w:color w:val="auto"/>
              </w:rPr>
            </w:pPr>
            <w:r>
              <w:rPr>
                <w:rFonts w:ascii="Arial" w:cs="Arial" w:eastAsia="Arial" w:hAnsi="Arial"/>
                <w:sz w:val="12"/>
                <w:szCs w:val="12"/>
                <w:color w:val="auto"/>
              </w:rPr>
              <w:t>pursuant to Section 13(a) of the Exchange Act.</w:t>
            </w:r>
          </w:p>
        </w:tc>
        <w:tc>
          <w:tcPr>
            <w:tcW w:w="1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00" w:type="dxa"/>
            <w:vAlign w:val="bottom"/>
            <w:vMerge w:val="restart"/>
          </w:tcPr>
          <w:p>
            <w:pPr>
              <w:jc w:val="right"/>
              <w:spacing w:after="0" w:line="121" w:lineRule="exact"/>
              <w:rPr>
                <w:sz w:val="20"/>
                <w:szCs w:val="20"/>
                <w:color w:val="auto"/>
              </w:rPr>
            </w:pP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106"/>
        </w:trPr>
        <w:tc>
          <w:tcPr>
            <w:tcW w:w="27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6800" w:type="dxa"/>
            <w:vAlign w:val="bottom"/>
            <w:gridSpan w:val="3"/>
          </w:tcPr>
          <w:p>
            <w:pPr>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p>
        </w:tc>
        <w:tc>
          <w:tcPr>
            <w:tcW w:w="2320" w:type="dxa"/>
            <w:vAlign w:val="bottom"/>
          </w:tcPr>
          <w:p>
            <w:pPr>
              <w:spacing w:after="0"/>
              <w:rPr>
                <w:sz w:val="24"/>
                <w:szCs w:val="24"/>
                <w:color w:val="auto"/>
              </w:rPr>
            </w:pPr>
          </w:p>
        </w:tc>
        <w:tc>
          <w:tcPr>
            <w:tcW w:w="1660" w:type="dxa"/>
            <w:vAlign w:val="bottom"/>
            <w:vMerge w:val="restart"/>
          </w:tcPr>
          <w:p>
            <w:pPr>
              <w:ind w:left="840"/>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p>
        </w:tc>
        <w:tc>
          <w:tcPr>
            <w:tcW w:w="300" w:type="dxa"/>
            <w:vAlign w:val="bottom"/>
            <w:vMerge w:val="restart"/>
          </w:tcPr>
          <w:p>
            <w:pPr>
              <w:jc w:val="right"/>
              <w:spacing w:after="0" w:line="138" w:lineRule="exact"/>
              <w:rPr>
                <w:sz w:val="20"/>
                <w:szCs w:val="20"/>
                <w:color w:val="auto"/>
              </w:rPr>
            </w:pPr>
            <w:r>
              <w:rPr>
                <w:rFonts w:ascii="Arial" w:cs="Arial" w:eastAsia="Arial" w:hAnsi="Arial"/>
                <w:sz w:val="12"/>
                <w:szCs w:val="12"/>
                <w:color w:val="auto"/>
                <w:w w:val="91"/>
              </w:rPr>
              <w:t xml:space="preserve">No </w:t>
            </w:r>
            <w:r>
              <w:rPr>
                <w:rFonts w:ascii="MS PGothic" w:cs="MS PGothic" w:eastAsia="MS PGothic" w:hAnsi="MS PGothic"/>
                <w:sz w:val="12"/>
                <w:szCs w:val="12"/>
                <w:color w:val="auto"/>
                <w:w w:val="91"/>
              </w:rPr>
              <w:t>☒</w:t>
            </w:r>
          </w:p>
        </w:tc>
        <w:tc>
          <w:tcPr>
            <w:tcW w:w="0" w:type="dxa"/>
            <w:vAlign w:val="bottom"/>
          </w:tcPr>
          <w:p>
            <w:pPr>
              <w:spacing w:after="0"/>
              <w:rPr>
                <w:sz w:val="1"/>
                <w:szCs w:val="1"/>
                <w:color w:val="auto"/>
              </w:rPr>
            </w:pPr>
          </w:p>
        </w:tc>
      </w:tr>
      <w:tr>
        <w:trPr>
          <w:trHeight w:val="106"/>
        </w:trPr>
        <w:tc>
          <w:tcPr>
            <w:tcW w:w="27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The number of outstanding shares of the registrant’s common stock as of March 14, 2024 was 1,107,368,110.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536575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7"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6"/>
          <w:szCs w:val="26"/>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500" w:type="dxa"/>
            <w:vAlign w:val="bottom"/>
            <w:shd w:val="clear" w:color="auto" w:fill="D1D2D4"/>
          </w:tcPr>
          <w:p>
            <w:pPr>
              <w:spacing w:after="0"/>
              <w:rPr>
                <w:sz w:val="20"/>
                <w:szCs w:val="20"/>
                <w:color w:val="auto"/>
              </w:rPr>
            </w:pPr>
            <w:r>
              <w:rPr>
                <w:rFonts w:ascii="Arial" w:cs="Arial" w:eastAsia="Arial" w:hAnsi="Arial"/>
                <w:sz w:val="12"/>
                <w:szCs w:val="12"/>
                <w:color w:val="auto"/>
              </w:rPr>
              <w:t>Introduction</w:t>
            </w:r>
          </w:p>
        </w:tc>
        <w:tc>
          <w:tcPr>
            <w:tcW w:w="7200" w:type="dxa"/>
            <w:vAlign w:val="bottom"/>
            <w:shd w:val="clear" w:color="auto" w:fill="D1D2D4"/>
          </w:tcPr>
          <w:p>
            <w:pPr>
              <w:spacing w:after="0"/>
              <w:rPr>
                <w:sz w:val="13"/>
                <w:szCs w:val="13"/>
                <w:color w:val="auto"/>
              </w:rPr>
            </w:pPr>
          </w:p>
        </w:tc>
        <w:tc>
          <w:tcPr>
            <w:tcW w:w="2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w:t>
            </w:r>
          </w:p>
        </w:tc>
      </w:tr>
      <w:tr>
        <w:trPr>
          <w:trHeight w:val="153"/>
        </w:trPr>
        <w:tc>
          <w:tcPr>
            <w:tcW w:w="8700" w:type="dxa"/>
            <w:vAlign w:val="bottom"/>
            <w:gridSpan w:val="2"/>
          </w:tcPr>
          <w:p>
            <w:pPr>
              <w:spacing w:after="0"/>
              <w:rPr>
                <w:sz w:val="20"/>
                <w:szCs w:val="20"/>
                <w:color w:val="auto"/>
              </w:rPr>
            </w:pPr>
            <w:r>
              <w:rPr>
                <w:rFonts w:ascii="Arial" w:cs="Arial" w:eastAsia="Arial" w:hAnsi="Arial"/>
                <w:sz w:val="12"/>
                <w:szCs w:val="12"/>
                <w:b w:val="1"/>
                <w:bCs w:val="1"/>
                <w:color w:val="auto"/>
              </w:rPr>
              <w:t>PART I. Financial Information</w:t>
            </w:r>
          </w:p>
        </w:tc>
        <w:tc>
          <w:tcPr>
            <w:tcW w:w="2600" w:type="dxa"/>
            <w:vAlign w:val="bottom"/>
          </w:tcPr>
          <w:p>
            <w:pPr>
              <w:spacing w:after="0"/>
              <w:rPr>
                <w:sz w:val="13"/>
                <w:szCs w:val="13"/>
                <w:color w:val="auto"/>
              </w:rPr>
            </w:pPr>
          </w:p>
        </w:tc>
      </w:tr>
      <w:tr>
        <w:trPr>
          <w:trHeight w:val="153"/>
        </w:trPr>
        <w:tc>
          <w:tcPr>
            <w:tcW w:w="1500" w:type="dxa"/>
            <w:vAlign w:val="bottom"/>
            <w:shd w:val="clear" w:color="auto" w:fill="D1D2D4"/>
          </w:tcPr>
          <w:p>
            <w:pPr>
              <w:ind w:left="80"/>
              <w:spacing w:after="0"/>
              <w:rPr>
                <w:sz w:val="20"/>
                <w:szCs w:val="20"/>
                <w:color w:val="auto"/>
              </w:rPr>
            </w:pPr>
            <w:r>
              <w:rPr>
                <w:rFonts w:ascii="Arial" w:cs="Arial" w:eastAsia="Arial" w:hAnsi="Arial"/>
                <w:sz w:val="12"/>
                <w:szCs w:val="12"/>
                <w:color w:val="auto"/>
              </w:rPr>
              <w:t>Item 1.</w:t>
            </w:r>
          </w:p>
        </w:tc>
        <w:tc>
          <w:tcPr>
            <w:tcW w:w="7200" w:type="dxa"/>
            <w:vAlign w:val="bottom"/>
            <w:shd w:val="clear" w:color="auto" w:fill="D1D2D4"/>
          </w:tcPr>
          <w:p>
            <w:pPr>
              <w:ind w:left="20"/>
              <w:spacing w:after="0"/>
              <w:rPr>
                <w:sz w:val="20"/>
                <w:szCs w:val="20"/>
                <w:color w:val="auto"/>
              </w:rPr>
            </w:pPr>
            <w:r>
              <w:rPr>
                <w:rFonts w:ascii="Arial" w:cs="Arial" w:eastAsia="Arial" w:hAnsi="Arial"/>
                <w:sz w:val="12"/>
                <w:szCs w:val="12"/>
                <w:color w:val="auto"/>
              </w:rPr>
              <w:t>Financial Statements:</w:t>
            </w:r>
          </w:p>
        </w:tc>
        <w:tc>
          <w:tcPr>
            <w:tcW w:w="2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w:t>
            </w:r>
          </w:p>
        </w:tc>
      </w:tr>
      <w:tr>
        <w:trPr>
          <w:trHeight w:val="153"/>
        </w:trPr>
        <w:tc>
          <w:tcPr>
            <w:tcW w:w="1500" w:type="dxa"/>
            <w:vAlign w:val="bottom"/>
          </w:tcPr>
          <w:p>
            <w:pPr>
              <w:spacing w:after="0"/>
              <w:rPr>
                <w:sz w:val="13"/>
                <w:szCs w:val="13"/>
                <w:color w:val="auto"/>
              </w:rPr>
            </w:pPr>
          </w:p>
        </w:tc>
        <w:tc>
          <w:tcPr>
            <w:tcW w:w="7200" w:type="dxa"/>
            <w:vAlign w:val="bottom"/>
          </w:tcPr>
          <w:p>
            <w:pPr>
              <w:ind w:left="100"/>
              <w:spacing w:after="0"/>
              <w:rPr>
                <w:sz w:val="20"/>
                <w:szCs w:val="20"/>
                <w:color w:val="auto"/>
              </w:rPr>
            </w:pPr>
            <w:r>
              <w:rPr>
                <w:rFonts w:ascii="Arial" w:cs="Arial" w:eastAsia="Arial" w:hAnsi="Arial"/>
                <w:sz w:val="12"/>
                <w:szCs w:val="12"/>
                <w:color w:val="auto"/>
              </w:rPr>
              <w:t>Consolidated Statements of Operations</w:t>
            </w:r>
          </w:p>
        </w:tc>
        <w:tc>
          <w:tcPr>
            <w:tcW w:w="260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53"/>
        </w:trPr>
        <w:tc>
          <w:tcPr>
            <w:tcW w:w="1500" w:type="dxa"/>
            <w:vAlign w:val="bottom"/>
            <w:shd w:val="clear" w:color="auto" w:fill="D1D2D4"/>
          </w:tcPr>
          <w:p>
            <w:pPr>
              <w:spacing w:after="0"/>
              <w:rPr>
                <w:sz w:val="13"/>
                <w:szCs w:val="13"/>
                <w:color w:val="auto"/>
              </w:rPr>
            </w:pPr>
          </w:p>
        </w:tc>
        <w:tc>
          <w:tcPr>
            <w:tcW w:w="7200" w:type="dxa"/>
            <w:vAlign w:val="bottom"/>
            <w:shd w:val="clear" w:color="auto" w:fill="D1D2D4"/>
          </w:tcPr>
          <w:p>
            <w:pPr>
              <w:ind w:left="100"/>
              <w:spacing w:after="0"/>
              <w:rPr>
                <w:sz w:val="20"/>
                <w:szCs w:val="20"/>
                <w:color w:val="auto"/>
              </w:rPr>
            </w:pPr>
            <w:r>
              <w:rPr>
                <w:rFonts w:ascii="Arial" w:cs="Arial" w:eastAsia="Arial" w:hAnsi="Arial"/>
                <w:sz w:val="12"/>
                <w:szCs w:val="12"/>
                <w:color w:val="auto"/>
              </w:rPr>
              <w:t>Consolidated Statements of Comprehensive Income (Loss)</w:t>
            </w:r>
          </w:p>
        </w:tc>
        <w:tc>
          <w:tcPr>
            <w:tcW w:w="2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w:t>
            </w:r>
          </w:p>
        </w:tc>
      </w:tr>
      <w:tr>
        <w:trPr>
          <w:trHeight w:val="153"/>
        </w:trPr>
        <w:tc>
          <w:tcPr>
            <w:tcW w:w="1500" w:type="dxa"/>
            <w:vAlign w:val="bottom"/>
          </w:tcPr>
          <w:p>
            <w:pPr>
              <w:spacing w:after="0"/>
              <w:rPr>
                <w:sz w:val="13"/>
                <w:szCs w:val="13"/>
                <w:color w:val="auto"/>
              </w:rPr>
            </w:pPr>
          </w:p>
        </w:tc>
        <w:tc>
          <w:tcPr>
            <w:tcW w:w="7200" w:type="dxa"/>
            <w:vAlign w:val="bottom"/>
          </w:tcPr>
          <w:p>
            <w:pPr>
              <w:ind w:left="100"/>
              <w:spacing w:after="0"/>
              <w:rPr>
                <w:sz w:val="20"/>
                <w:szCs w:val="20"/>
                <w:color w:val="auto"/>
              </w:rPr>
            </w:pPr>
            <w:r>
              <w:rPr>
                <w:rFonts w:ascii="Arial" w:cs="Arial" w:eastAsia="Arial" w:hAnsi="Arial"/>
                <w:sz w:val="12"/>
                <w:szCs w:val="12"/>
                <w:color w:val="auto"/>
              </w:rPr>
              <w:t>Consolidated Balance Sheets</w:t>
            </w:r>
          </w:p>
        </w:tc>
        <w:tc>
          <w:tcPr>
            <w:tcW w:w="260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153"/>
        </w:trPr>
        <w:tc>
          <w:tcPr>
            <w:tcW w:w="1500" w:type="dxa"/>
            <w:vAlign w:val="bottom"/>
            <w:shd w:val="clear" w:color="auto" w:fill="D1D2D4"/>
          </w:tcPr>
          <w:p>
            <w:pPr>
              <w:spacing w:after="0"/>
              <w:rPr>
                <w:sz w:val="13"/>
                <w:szCs w:val="13"/>
                <w:color w:val="auto"/>
              </w:rPr>
            </w:pPr>
          </w:p>
        </w:tc>
        <w:tc>
          <w:tcPr>
            <w:tcW w:w="7200" w:type="dxa"/>
            <w:vAlign w:val="bottom"/>
            <w:shd w:val="clear" w:color="auto" w:fill="D1D2D4"/>
          </w:tcPr>
          <w:p>
            <w:pPr>
              <w:ind w:left="100"/>
              <w:spacing w:after="0"/>
              <w:rPr>
                <w:sz w:val="20"/>
                <w:szCs w:val="20"/>
                <w:color w:val="auto"/>
              </w:rPr>
            </w:pPr>
            <w:r>
              <w:rPr>
                <w:rFonts w:ascii="Arial" w:cs="Arial" w:eastAsia="Arial" w:hAnsi="Arial"/>
                <w:sz w:val="12"/>
                <w:szCs w:val="12"/>
                <w:color w:val="auto"/>
              </w:rPr>
              <w:t>Consolidated Statements of Changes in Equity</w:t>
            </w:r>
          </w:p>
        </w:tc>
        <w:tc>
          <w:tcPr>
            <w:tcW w:w="2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w:t>
            </w:r>
          </w:p>
        </w:tc>
      </w:tr>
      <w:tr>
        <w:trPr>
          <w:trHeight w:val="153"/>
        </w:trPr>
        <w:tc>
          <w:tcPr>
            <w:tcW w:w="1500" w:type="dxa"/>
            <w:vAlign w:val="bottom"/>
          </w:tcPr>
          <w:p>
            <w:pPr>
              <w:spacing w:after="0"/>
              <w:rPr>
                <w:sz w:val="13"/>
                <w:szCs w:val="13"/>
                <w:color w:val="auto"/>
              </w:rPr>
            </w:pPr>
          </w:p>
        </w:tc>
        <w:tc>
          <w:tcPr>
            <w:tcW w:w="7200" w:type="dxa"/>
            <w:vAlign w:val="bottom"/>
          </w:tcPr>
          <w:p>
            <w:pPr>
              <w:ind w:left="100"/>
              <w:spacing w:after="0"/>
              <w:rPr>
                <w:sz w:val="20"/>
                <w:szCs w:val="20"/>
                <w:color w:val="auto"/>
              </w:rPr>
            </w:pPr>
            <w:r>
              <w:rPr>
                <w:rFonts w:ascii="Arial" w:cs="Arial" w:eastAsia="Arial" w:hAnsi="Arial"/>
                <w:sz w:val="12"/>
                <w:szCs w:val="12"/>
                <w:color w:val="auto"/>
              </w:rPr>
              <w:t>Consolidated Statements of Cash Flows</w:t>
            </w:r>
          </w:p>
        </w:tc>
        <w:tc>
          <w:tcPr>
            <w:tcW w:w="260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153"/>
        </w:trPr>
        <w:tc>
          <w:tcPr>
            <w:tcW w:w="1500" w:type="dxa"/>
            <w:vAlign w:val="bottom"/>
            <w:shd w:val="clear" w:color="auto" w:fill="D1D2D4"/>
          </w:tcPr>
          <w:p>
            <w:pPr>
              <w:spacing w:after="0"/>
              <w:rPr>
                <w:sz w:val="13"/>
                <w:szCs w:val="13"/>
                <w:color w:val="auto"/>
              </w:rPr>
            </w:pPr>
          </w:p>
        </w:tc>
        <w:tc>
          <w:tcPr>
            <w:tcW w:w="7200" w:type="dxa"/>
            <w:vAlign w:val="bottom"/>
            <w:shd w:val="clear" w:color="auto" w:fill="D1D2D4"/>
          </w:tcPr>
          <w:p>
            <w:pPr>
              <w:ind w:left="100"/>
              <w:spacing w:after="0"/>
              <w:rPr>
                <w:sz w:val="20"/>
                <w:szCs w:val="20"/>
                <w:color w:val="auto"/>
              </w:rPr>
            </w:pPr>
            <w:r>
              <w:rPr>
                <w:rFonts w:ascii="Arial" w:cs="Arial" w:eastAsia="Arial" w:hAnsi="Arial"/>
                <w:sz w:val="12"/>
                <w:szCs w:val="12"/>
                <w:color w:val="auto"/>
              </w:rPr>
              <w:t>Notes to Consolidated Financial Statements</w:t>
            </w:r>
          </w:p>
        </w:tc>
        <w:tc>
          <w:tcPr>
            <w:tcW w:w="2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w:t>
            </w:r>
          </w:p>
        </w:tc>
      </w:tr>
      <w:tr>
        <w:trPr>
          <w:trHeight w:val="153"/>
        </w:trPr>
        <w:tc>
          <w:tcPr>
            <w:tcW w:w="1500" w:type="dxa"/>
            <w:vAlign w:val="bottom"/>
          </w:tcPr>
          <w:p>
            <w:pPr>
              <w:ind w:left="80"/>
              <w:spacing w:after="0"/>
              <w:rPr>
                <w:sz w:val="20"/>
                <w:szCs w:val="20"/>
                <w:color w:val="auto"/>
              </w:rPr>
            </w:pPr>
            <w:r>
              <w:rPr>
                <w:rFonts w:ascii="Arial" w:cs="Arial" w:eastAsia="Arial" w:hAnsi="Arial"/>
                <w:sz w:val="12"/>
                <w:szCs w:val="12"/>
                <w:color w:val="auto"/>
              </w:rPr>
              <w:t>Item 2.</w:t>
            </w:r>
          </w:p>
        </w:tc>
        <w:tc>
          <w:tcPr>
            <w:tcW w:w="7200" w:type="dxa"/>
            <w:vAlign w:val="bottom"/>
          </w:tcPr>
          <w:p>
            <w:pPr>
              <w:ind w:left="20"/>
              <w:spacing w:after="0"/>
              <w:rPr>
                <w:sz w:val="20"/>
                <w:szCs w:val="20"/>
                <w:color w:val="auto"/>
              </w:rPr>
            </w:pPr>
            <w:r>
              <w:rPr>
                <w:rFonts w:ascii="Arial" w:cs="Arial" w:eastAsia="Arial" w:hAnsi="Arial"/>
                <w:sz w:val="12"/>
                <w:szCs w:val="12"/>
                <w:color w:val="auto"/>
              </w:rPr>
              <w:t>Management’s Discussion and Analysis of Financial Condition and Results of Operations</w:t>
            </w:r>
          </w:p>
        </w:tc>
        <w:tc>
          <w:tcPr>
            <w:tcW w:w="260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153"/>
        </w:trPr>
        <w:tc>
          <w:tcPr>
            <w:tcW w:w="1500" w:type="dxa"/>
            <w:vAlign w:val="bottom"/>
            <w:shd w:val="clear" w:color="auto" w:fill="D1D2D4"/>
          </w:tcPr>
          <w:p>
            <w:pPr>
              <w:spacing w:after="0"/>
              <w:rPr>
                <w:sz w:val="13"/>
                <w:szCs w:val="13"/>
                <w:color w:val="auto"/>
              </w:rPr>
            </w:pPr>
          </w:p>
        </w:tc>
        <w:tc>
          <w:tcPr>
            <w:tcW w:w="7200" w:type="dxa"/>
            <w:vAlign w:val="bottom"/>
            <w:shd w:val="clear" w:color="auto" w:fill="D1D2D4"/>
          </w:tcPr>
          <w:p>
            <w:pPr>
              <w:ind w:left="100"/>
              <w:spacing w:after="0"/>
              <w:rPr>
                <w:sz w:val="20"/>
                <w:szCs w:val="20"/>
                <w:color w:val="auto"/>
              </w:rPr>
            </w:pPr>
            <w:r>
              <w:rPr>
                <w:rFonts w:ascii="Arial" w:cs="Arial" w:eastAsia="Arial" w:hAnsi="Arial"/>
                <w:sz w:val="12"/>
                <w:szCs w:val="12"/>
                <w:color w:val="auto"/>
              </w:rPr>
              <w:t>Results of Operations</w:t>
            </w:r>
          </w:p>
        </w:tc>
        <w:tc>
          <w:tcPr>
            <w:tcW w:w="2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29</w:t>
            </w:r>
          </w:p>
        </w:tc>
      </w:tr>
      <w:tr>
        <w:trPr>
          <w:trHeight w:val="153"/>
        </w:trPr>
        <w:tc>
          <w:tcPr>
            <w:tcW w:w="1500" w:type="dxa"/>
            <w:vAlign w:val="bottom"/>
          </w:tcPr>
          <w:p>
            <w:pPr>
              <w:spacing w:after="0"/>
              <w:rPr>
                <w:sz w:val="13"/>
                <w:szCs w:val="13"/>
                <w:color w:val="auto"/>
              </w:rPr>
            </w:pPr>
          </w:p>
        </w:tc>
        <w:tc>
          <w:tcPr>
            <w:tcW w:w="7200" w:type="dxa"/>
            <w:vAlign w:val="bottom"/>
          </w:tcPr>
          <w:p>
            <w:pPr>
              <w:ind w:left="100"/>
              <w:spacing w:after="0"/>
              <w:rPr>
                <w:sz w:val="20"/>
                <w:szCs w:val="20"/>
                <w:color w:val="auto"/>
              </w:rPr>
            </w:pPr>
            <w:r>
              <w:rPr>
                <w:rFonts w:ascii="Arial" w:cs="Arial" w:eastAsia="Arial" w:hAnsi="Arial"/>
                <w:sz w:val="12"/>
                <w:szCs w:val="12"/>
                <w:color w:val="auto"/>
              </w:rPr>
              <w:t>Liquidity and Capital Resources</w:t>
            </w:r>
          </w:p>
        </w:tc>
        <w:tc>
          <w:tcPr>
            <w:tcW w:w="2600" w:type="dxa"/>
            <w:vAlign w:val="bottom"/>
          </w:tcPr>
          <w:p>
            <w:pPr>
              <w:jc w:val="right"/>
              <w:spacing w:after="0"/>
              <w:rPr>
                <w:sz w:val="20"/>
                <w:szCs w:val="20"/>
                <w:color w:val="auto"/>
              </w:rPr>
            </w:pPr>
            <w:r>
              <w:rPr>
                <w:rFonts w:ascii="Arial" w:cs="Arial" w:eastAsia="Arial" w:hAnsi="Arial"/>
                <w:sz w:val="12"/>
                <w:szCs w:val="12"/>
                <w:color w:val="auto"/>
              </w:rPr>
              <w:t>33</w:t>
            </w:r>
          </w:p>
        </w:tc>
      </w:tr>
      <w:tr>
        <w:trPr>
          <w:trHeight w:val="153"/>
        </w:trPr>
        <w:tc>
          <w:tcPr>
            <w:tcW w:w="1500" w:type="dxa"/>
            <w:vAlign w:val="bottom"/>
            <w:shd w:val="clear" w:color="auto" w:fill="D1D2D4"/>
          </w:tcPr>
          <w:p>
            <w:pPr>
              <w:ind w:left="80"/>
              <w:spacing w:after="0"/>
              <w:rPr>
                <w:sz w:val="20"/>
                <w:szCs w:val="20"/>
                <w:color w:val="auto"/>
              </w:rPr>
            </w:pPr>
            <w:r>
              <w:rPr>
                <w:rFonts w:ascii="Arial" w:cs="Arial" w:eastAsia="Arial" w:hAnsi="Arial"/>
                <w:sz w:val="12"/>
                <w:szCs w:val="12"/>
                <w:color w:val="auto"/>
              </w:rPr>
              <w:t>Item 3.</w:t>
            </w:r>
          </w:p>
        </w:tc>
        <w:tc>
          <w:tcPr>
            <w:tcW w:w="7200" w:type="dxa"/>
            <w:vAlign w:val="bottom"/>
            <w:shd w:val="clear" w:color="auto" w:fill="D1D2D4"/>
          </w:tcPr>
          <w:p>
            <w:pPr>
              <w:ind w:left="20"/>
              <w:spacing w:after="0"/>
              <w:rPr>
                <w:sz w:val="20"/>
                <w:szCs w:val="20"/>
                <w:color w:val="auto"/>
              </w:rPr>
            </w:pPr>
            <w:r>
              <w:rPr>
                <w:rFonts w:ascii="Arial" w:cs="Arial" w:eastAsia="Arial" w:hAnsi="Arial"/>
                <w:sz w:val="12"/>
                <w:szCs w:val="12"/>
                <w:color w:val="auto"/>
              </w:rPr>
              <w:t>Quantitative and Qualitative Disclosures about Market Risk</w:t>
            </w:r>
          </w:p>
        </w:tc>
        <w:tc>
          <w:tcPr>
            <w:tcW w:w="2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35</w:t>
            </w:r>
          </w:p>
        </w:tc>
      </w:tr>
      <w:tr>
        <w:trPr>
          <w:trHeight w:val="153"/>
        </w:trPr>
        <w:tc>
          <w:tcPr>
            <w:tcW w:w="1500" w:type="dxa"/>
            <w:vAlign w:val="bottom"/>
          </w:tcPr>
          <w:p>
            <w:pPr>
              <w:ind w:left="80"/>
              <w:spacing w:after="0"/>
              <w:rPr>
                <w:sz w:val="20"/>
                <w:szCs w:val="20"/>
                <w:color w:val="auto"/>
              </w:rPr>
            </w:pPr>
            <w:r>
              <w:rPr>
                <w:rFonts w:ascii="Arial" w:cs="Arial" w:eastAsia="Arial" w:hAnsi="Arial"/>
                <w:sz w:val="12"/>
                <w:szCs w:val="12"/>
                <w:color w:val="auto"/>
              </w:rPr>
              <w:t>Item 4.</w:t>
            </w:r>
          </w:p>
        </w:tc>
        <w:tc>
          <w:tcPr>
            <w:tcW w:w="7200" w:type="dxa"/>
            <w:vAlign w:val="bottom"/>
          </w:tcPr>
          <w:p>
            <w:pPr>
              <w:ind w:left="20"/>
              <w:spacing w:after="0"/>
              <w:rPr>
                <w:sz w:val="20"/>
                <w:szCs w:val="20"/>
                <w:color w:val="auto"/>
              </w:rPr>
            </w:pPr>
            <w:r>
              <w:rPr>
                <w:rFonts w:ascii="Arial" w:cs="Arial" w:eastAsia="Arial" w:hAnsi="Arial"/>
                <w:sz w:val="12"/>
                <w:szCs w:val="12"/>
                <w:color w:val="auto"/>
              </w:rPr>
              <w:t>Controls and Procedures</w:t>
            </w:r>
          </w:p>
        </w:tc>
        <w:tc>
          <w:tcPr>
            <w:tcW w:w="2600" w:type="dxa"/>
            <w:vAlign w:val="bottom"/>
          </w:tcPr>
          <w:p>
            <w:pPr>
              <w:jc w:val="right"/>
              <w:spacing w:after="0"/>
              <w:rPr>
                <w:sz w:val="20"/>
                <w:szCs w:val="20"/>
                <w:color w:val="auto"/>
              </w:rPr>
            </w:pPr>
            <w:r>
              <w:rPr>
                <w:rFonts w:ascii="Arial" w:cs="Arial" w:eastAsia="Arial" w:hAnsi="Arial"/>
                <w:sz w:val="12"/>
                <w:szCs w:val="12"/>
                <w:color w:val="auto"/>
              </w:rPr>
              <w:t>35</w:t>
            </w:r>
          </w:p>
        </w:tc>
      </w:tr>
      <w:tr>
        <w:trPr>
          <w:trHeight w:val="153"/>
        </w:trPr>
        <w:tc>
          <w:tcPr>
            <w:tcW w:w="1500" w:type="dxa"/>
            <w:vAlign w:val="bottom"/>
            <w:shd w:val="clear" w:color="auto" w:fill="D1D2D4"/>
          </w:tcPr>
          <w:p>
            <w:pPr>
              <w:spacing w:after="0"/>
              <w:rPr>
                <w:sz w:val="20"/>
                <w:szCs w:val="20"/>
                <w:color w:val="auto"/>
              </w:rPr>
            </w:pPr>
            <w:r>
              <w:rPr>
                <w:rFonts w:ascii="Arial" w:cs="Arial" w:eastAsia="Arial" w:hAnsi="Arial"/>
                <w:sz w:val="12"/>
                <w:szCs w:val="12"/>
                <w:b w:val="1"/>
                <w:bCs w:val="1"/>
                <w:color w:val="auto"/>
                <w:w w:val="98"/>
              </w:rPr>
              <w:t>PART II. Other Information</w:t>
            </w:r>
          </w:p>
        </w:tc>
        <w:tc>
          <w:tcPr>
            <w:tcW w:w="7200" w:type="dxa"/>
            <w:vAlign w:val="bottom"/>
            <w:shd w:val="clear" w:color="auto" w:fill="D1D2D4"/>
          </w:tcPr>
          <w:p>
            <w:pPr>
              <w:spacing w:after="0"/>
              <w:rPr>
                <w:sz w:val="13"/>
                <w:szCs w:val="13"/>
                <w:color w:val="auto"/>
              </w:rPr>
            </w:pPr>
          </w:p>
        </w:tc>
        <w:tc>
          <w:tcPr>
            <w:tcW w:w="2600" w:type="dxa"/>
            <w:vAlign w:val="bottom"/>
            <w:shd w:val="clear" w:color="auto" w:fill="D1D2D4"/>
          </w:tcPr>
          <w:p>
            <w:pPr>
              <w:spacing w:after="0"/>
              <w:rPr>
                <w:sz w:val="13"/>
                <w:szCs w:val="13"/>
                <w:color w:val="auto"/>
              </w:rPr>
            </w:pPr>
          </w:p>
        </w:tc>
      </w:tr>
      <w:tr>
        <w:trPr>
          <w:trHeight w:val="153"/>
        </w:trPr>
        <w:tc>
          <w:tcPr>
            <w:tcW w:w="1500" w:type="dxa"/>
            <w:vAlign w:val="bottom"/>
          </w:tcPr>
          <w:p>
            <w:pPr>
              <w:ind w:left="80"/>
              <w:spacing w:after="0"/>
              <w:rPr>
                <w:sz w:val="20"/>
                <w:szCs w:val="20"/>
                <w:color w:val="auto"/>
              </w:rPr>
            </w:pPr>
            <w:r>
              <w:rPr>
                <w:rFonts w:ascii="Arial" w:cs="Arial" w:eastAsia="Arial" w:hAnsi="Arial"/>
                <w:sz w:val="12"/>
                <w:szCs w:val="12"/>
                <w:color w:val="auto"/>
              </w:rPr>
              <w:t>Item 1.</w:t>
            </w:r>
          </w:p>
        </w:tc>
        <w:tc>
          <w:tcPr>
            <w:tcW w:w="7200" w:type="dxa"/>
            <w:vAlign w:val="bottom"/>
          </w:tcPr>
          <w:p>
            <w:pPr>
              <w:ind w:left="20"/>
              <w:spacing w:after="0"/>
              <w:rPr>
                <w:sz w:val="20"/>
                <w:szCs w:val="20"/>
                <w:color w:val="auto"/>
              </w:rPr>
            </w:pPr>
            <w:r>
              <w:rPr>
                <w:rFonts w:ascii="Arial" w:cs="Arial" w:eastAsia="Arial" w:hAnsi="Arial"/>
                <w:sz w:val="12"/>
                <w:szCs w:val="12"/>
                <w:color w:val="auto"/>
              </w:rPr>
              <w:t>Legal Proceedings</w:t>
            </w:r>
          </w:p>
        </w:tc>
        <w:tc>
          <w:tcPr>
            <w:tcW w:w="260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153"/>
        </w:trPr>
        <w:tc>
          <w:tcPr>
            <w:tcW w:w="1500" w:type="dxa"/>
            <w:vAlign w:val="bottom"/>
            <w:shd w:val="clear" w:color="auto" w:fill="D1D2D4"/>
          </w:tcPr>
          <w:p>
            <w:pPr>
              <w:ind w:left="80"/>
              <w:spacing w:after="0"/>
              <w:rPr>
                <w:sz w:val="20"/>
                <w:szCs w:val="20"/>
                <w:color w:val="auto"/>
              </w:rPr>
            </w:pPr>
            <w:r>
              <w:rPr>
                <w:rFonts w:ascii="Arial" w:cs="Arial" w:eastAsia="Arial" w:hAnsi="Arial"/>
                <w:sz w:val="12"/>
                <w:szCs w:val="12"/>
                <w:color w:val="auto"/>
              </w:rPr>
              <w:t>Item 1A.</w:t>
            </w:r>
          </w:p>
        </w:tc>
        <w:tc>
          <w:tcPr>
            <w:tcW w:w="7200" w:type="dxa"/>
            <w:vAlign w:val="bottom"/>
            <w:shd w:val="clear" w:color="auto" w:fill="D1D2D4"/>
          </w:tcPr>
          <w:p>
            <w:pPr>
              <w:ind w:left="20"/>
              <w:spacing w:after="0"/>
              <w:rPr>
                <w:sz w:val="20"/>
                <w:szCs w:val="20"/>
                <w:color w:val="auto"/>
              </w:rPr>
            </w:pPr>
            <w:r>
              <w:rPr>
                <w:rFonts w:ascii="Arial" w:cs="Arial" w:eastAsia="Arial" w:hAnsi="Arial"/>
                <w:sz w:val="12"/>
                <w:szCs w:val="12"/>
                <w:color w:val="auto"/>
              </w:rPr>
              <w:t>Risk Factors</w:t>
            </w:r>
          </w:p>
        </w:tc>
        <w:tc>
          <w:tcPr>
            <w:tcW w:w="2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37</w:t>
            </w:r>
          </w:p>
        </w:tc>
      </w:tr>
      <w:tr>
        <w:trPr>
          <w:trHeight w:val="153"/>
        </w:trPr>
        <w:tc>
          <w:tcPr>
            <w:tcW w:w="1500" w:type="dxa"/>
            <w:vAlign w:val="bottom"/>
          </w:tcPr>
          <w:p>
            <w:pPr>
              <w:ind w:left="80"/>
              <w:spacing w:after="0"/>
              <w:rPr>
                <w:sz w:val="20"/>
                <w:szCs w:val="20"/>
                <w:color w:val="auto"/>
              </w:rPr>
            </w:pPr>
            <w:r>
              <w:rPr>
                <w:rFonts w:ascii="Arial" w:cs="Arial" w:eastAsia="Arial" w:hAnsi="Arial"/>
                <w:sz w:val="12"/>
                <w:szCs w:val="12"/>
                <w:color w:val="auto"/>
              </w:rPr>
              <w:t>Item 2.</w:t>
            </w:r>
          </w:p>
        </w:tc>
        <w:tc>
          <w:tcPr>
            <w:tcW w:w="7200" w:type="dxa"/>
            <w:vAlign w:val="bottom"/>
          </w:tcPr>
          <w:p>
            <w:pPr>
              <w:ind w:left="20"/>
              <w:spacing w:after="0"/>
              <w:rPr>
                <w:sz w:val="20"/>
                <w:szCs w:val="20"/>
                <w:color w:val="auto"/>
              </w:rPr>
            </w:pPr>
            <w:r>
              <w:rPr>
                <w:rFonts w:ascii="Arial" w:cs="Arial" w:eastAsia="Arial" w:hAnsi="Arial"/>
                <w:sz w:val="12"/>
                <w:szCs w:val="12"/>
                <w:color w:val="auto"/>
              </w:rPr>
              <w:t>Unregistered Sales of Equity Securities and Use of Proceeds</w:t>
            </w:r>
          </w:p>
        </w:tc>
        <w:tc>
          <w:tcPr>
            <w:tcW w:w="260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153"/>
        </w:trPr>
        <w:tc>
          <w:tcPr>
            <w:tcW w:w="1500" w:type="dxa"/>
            <w:vAlign w:val="bottom"/>
            <w:shd w:val="clear" w:color="auto" w:fill="D1D2D4"/>
          </w:tcPr>
          <w:p>
            <w:pPr>
              <w:ind w:left="80"/>
              <w:spacing w:after="0"/>
              <w:rPr>
                <w:sz w:val="20"/>
                <w:szCs w:val="20"/>
                <w:color w:val="auto"/>
              </w:rPr>
            </w:pPr>
            <w:r>
              <w:rPr>
                <w:rFonts w:ascii="Arial" w:cs="Arial" w:eastAsia="Arial" w:hAnsi="Arial"/>
                <w:sz w:val="12"/>
                <w:szCs w:val="12"/>
                <w:color w:val="auto"/>
              </w:rPr>
              <w:t>Item 5.</w:t>
            </w:r>
          </w:p>
        </w:tc>
        <w:tc>
          <w:tcPr>
            <w:tcW w:w="7200" w:type="dxa"/>
            <w:vAlign w:val="bottom"/>
            <w:shd w:val="clear" w:color="auto" w:fill="D1D2D4"/>
          </w:tcPr>
          <w:p>
            <w:pPr>
              <w:ind w:left="20"/>
              <w:spacing w:after="0"/>
              <w:rPr>
                <w:sz w:val="20"/>
                <w:szCs w:val="20"/>
                <w:color w:val="auto"/>
              </w:rPr>
            </w:pPr>
            <w:r>
              <w:rPr>
                <w:rFonts w:ascii="Arial" w:cs="Arial" w:eastAsia="Arial" w:hAnsi="Arial"/>
                <w:sz w:val="12"/>
                <w:szCs w:val="12"/>
                <w:color w:val="auto"/>
              </w:rPr>
              <w:t>Other Information</w:t>
            </w:r>
          </w:p>
        </w:tc>
        <w:tc>
          <w:tcPr>
            <w:tcW w:w="2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57</w:t>
            </w:r>
          </w:p>
        </w:tc>
      </w:tr>
      <w:tr>
        <w:trPr>
          <w:trHeight w:val="153"/>
        </w:trPr>
        <w:tc>
          <w:tcPr>
            <w:tcW w:w="1500" w:type="dxa"/>
            <w:vAlign w:val="bottom"/>
          </w:tcPr>
          <w:p>
            <w:pPr>
              <w:ind w:left="80"/>
              <w:spacing w:after="0"/>
              <w:rPr>
                <w:sz w:val="20"/>
                <w:szCs w:val="20"/>
                <w:color w:val="auto"/>
              </w:rPr>
            </w:pPr>
            <w:r>
              <w:rPr>
                <w:rFonts w:ascii="Arial" w:cs="Arial" w:eastAsia="Arial" w:hAnsi="Arial"/>
                <w:sz w:val="12"/>
                <w:szCs w:val="12"/>
                <w:color w:val="auto"/>
              </w:rPr>
              <w:t>Item 6.</w:t>
            </w:r>
          </w:p>
        </w:tc>
        <w:tc>
          <w:tcPr>
            <w:tcW w:w="7200" w:type="dxa"/>
            <w:vAlign w:val="bottom"/>
          </w:tcPr>
          <w:p>
            <w:pPr>
              <w:ind w:left="20"/>
              <w:spacing w:after="0"/>
              <w:rPr>
                <w:sz w:val="20"/>
                <w:szCs w:val="20"/>
                <w:color w:val="auto"/>
              </w:rPr>
            </w:pPr>
            <w:r>
              <w:rPr>
                <w:rFonts w:ascii="Arial" w:cs="Arial" w:eastAsia="Arial" w:hAnsi="Arial"/>
                <w:sz w:val="12"/>
                <w:szCs w:val="12"/>
                <w:color w:val="auto"/>
              </w:rPr>
              <w:t>Exhibits</w:t>
            </w:r>
          </w:p>
        </w:tc>
        <w:tc>
          <w:tcPr>
            <w:tcW w:w="260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153"/>
        </w:trPr>
        <w:tc>
          <w:tcPr>
            <w:tcW w:w="1500" w:type="dxa"/>
            <w:vAlign w:val="bottom"/>
            <w:shd w:val="clear" w:color="auto" w:fill="D1D2D4"/>
          </w:tcPr>
          <w:p>
            <w:pPr>
              <w:spacing w:after="0"/>
              <w:rPr>
                <w:sz w:val="20"/>
                <w:szCs w:val="20"/>
                <w:color w:val="auto"/>
              </w:rPr>
            </w:pPr>
            <w:r>
              <w:rPr>
                <w:rFonts w:ascii="Arial" w:cs="Arial" w:eastAsia="Arial" w:hAnsi="Arial"/>
                <w:sz w:val="12"/>
                <w:szCs w:val="12"/>
                <w:color w:val="auto"/>
              </w:rPr>
              <w:t>Signatures</w:t>
            </w:r>
          </w:p>
        </w:tc>
        <w:tc>
          <w:tcPr>
            <w:tcW w:w="7200" w:type="dxa"/>
            <w:vAlign w:val="bottom"/>
            <w:shd w:val="clear" w:color="auto" w:fill="D1D2D4"/>
          </w:tcPr>
          <w:p>
            <w:pPr>
              <w:spacing w:after="0"/>
              <w:rPr>
                <w:sz w:val="13"/>
                <w:szCs w:val="13"/>
                <w:color w:val="auto"/>
              </w:rPr>
            </w:pPr>
          </w:p>
        </w:tc>
        <w:tc>
          <w:tcPr>
            <w:tcW w:w="2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59</w:t>
            </w:r>
          </w:p>
        </w:tc>
      </w:tr>
      <w:tr>
        <w:trPr>
          <w:trHeight w:val="769"/>
        </w:trPr>
        <w:tc>
          <w:tcPr>
            <w:tcW w:w="150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1"/>
                <w:szCs w:val="11"/>
                <w:b w:val="1"/>
                <w:bCs w:val="1"/>
                <w:color w:val="auto"/>
              </w:rPr>
              <w:t>2</w:t>
            </w:r>
          </w:p>
        </w:tc>
      </w:tr>
      <w:tr>
        <w:trPr>
          <w:trHeight w:val="68"/>
        </w:trPr>
        <w:tc>
          <w:tcPr>
            <w:tcW w:w="1500" w:type="dxa"/>
            <w:vAlign w:val="bottom"/>
            <w:tcBorders>
              <w:bottom w:val="single" w:sz="8" w:color="9A9A9A"/>
            </w:tcBorders>
          </w:tcPr>
          <w:p>
            <w:pPr>
              <w:spacing w:after="0"/>
              <w:rPr>
                <w:sz w:val="5"/>
                <w:szCs w:val="5"/>
                <w:color w:val="auto"/>
              </w:rPr>
            </w:pPr>
          </w:p>
        </w:tc>
        <w:tc>
          <w:tcPr>
            <w:tcW w:w="7200" w:type="dxa"/>
            <w:vAlign w:val="bottom"/>
            <w:tcBorders>
              <w:bottom w:val="single" w:sz="8" w:color="9A9A9A"/>
            </w:tcBorders>
          </w:tcPr>
          <w:p>
            <w:pPr>
              <w:spacing w:after="0"/>
              <w:rPr>
                <w:sz w:val="5"/>
                <w:szCs w:val="5"/>
                <w:color w:val="auto"/>
              </w:rPr>
            </w:pPr>
          </w:p>
        </w:tc>
        <w:tc>
          <w:tcPr>
            <w:tcW w:w="260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6675755</wp:posOffset>
            </wp:positionH>
            <wp:positionV relativeFrom="paragraph">
              <wp:posOffset>-216535</wp:posOffset>
            </wp:positionV>
            <wp:extent cx="440055" cy="120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0055" cy="120015"/>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2" w:name="page3"/>
    <w:bookmarkEnd w:id="2"/>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40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Definitions of Commonly Used Terms</w:t>
      </w:r>
    </w:p>
    <w:p>
      <w:pPr>
        <w:spacing w:after="0" w:line="178" w:lineRule="exact"/>
        <w:rPr>
          <w:sz w:val="20"/>
          <w:szCs w:val="20"/>
          <w:color w:val="auto"/>
        </w:rPr>
      </w:pPr>
    </w:p>
    <w:p>
      <w:pPr>
        <w:ind w:right="120"/>
        <w:spacing w:after="0" w:line="273" w:lineRule="auto"/>
        <w:rPr>
          <w:sz w:val="20"/>
          <w:szCs w:val="20"/>
          <w:color w:val="auto"/>
        </w:rPr>
      </w:pPr>
      <w:r>
        <w:rPr>
          <w:rFonts w:ascii="Arial" w:cs="Arial" w:eastAsia="Arial" w:hAnsi="Arial"/>
          <w:sz w:val="12"/>
          <w:szCs w:val="12"/>
          <w:color w:val="auto"/>
        </w:rPr>
        <w:t>As used herein, “we,” “our,” “us,” and similar terms include Micron Technology, Inc. and its consolidated subsidiaries, unless the context indicates otherwise. Abbreviations, terms, or acronyms are commonly used or found in multiple locations throughout this report and include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460"/>
              <w:spacing w:after="0"/>
              <w:rPr>
                <w:sz w:val="20"/>
                <w:szCs w:val="20"/>
                <w:color w:val="auto"/>
              </w:rPr>
            </w:pPr>
            <w:r>
              <w:rPr>
                <w:rFonts w:ascii="Arial" w:cs="Arial" w:eastAsia="Arial" w:hAnsi="Arial"/>
                <w:sz w:val="12"/>
                <w:szCs w:val="12"/>
                <w:b w:val="1"/>
                <w:bCs w:val="1"/>
                <w:color w:val="auto"/>
              </w:rPr>
              <w:t>Term</w:t>
            </w:r>
          </w:p>
        </w:tc>
        <w:tc>
          <w:tcPr>
            <w:tcW w:w="8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tcPr>
          <w:p>
            <w:pPr>
              <w:ind w:left="1180"/>
              <w:spacing w:after="0"/>
              <w:rPr>
                <w:sz w:val="20"/>
                <w:szCs w:val="20"/>
                <w:color w:val="auto"/>
              </w:rPr>
            </w:pPr>
            <w:r>
              <w:rPr>
                <w:rFonts w:ascii="Arial" w:cs="Arial" w:eastAsia="Arial" w:hAnsi="Arial"/>
                <w:sz w:val="12"/>
                <w:szCs w:val="12"/>
                <w:b w:val="1"/>
                <w:bCs w:val="1"/>
                <w:color w:val="auto"/>
              </w:rPr>
              <w:t>Definition</w:t>
            </w:r>
          </w:p>
        </w:tc>
        <w:tc>
          <w:tcPr>
            <w:tcW w:w="80" w:type="dxa"/>
            <w:vAlign w:val="bottom"/>
          </w:tcPr>
          <w:p>
            <w:pPr>
              <w:spacing w:after="0"/>
              <w:rPr>
                <w:sz w:val="14"/>
                <w:szCs w:val="14"/>
                <w:color w:val="auto"/>
              </w:rPr>
            </w:pPr>
          </w:p>
        </w:tc>
        <w:tc>
          <w:tcPr>
            <w:tcW w:w="1560" w:type="dxa"/>
            <w:vAlign w:val="bottom"/>
            <w:tcBorders>
              <w:bottom w:val="single" w:sz="8" w:color="auto"/>
            </w:tcBorders>
          </w:tcPr>
          <w:p>
            <w:pPr>
              <w:ind w:left="760"/>
              <w:spacing w:after="0"/>
              <w:rPr>
                <w:sz w:val="20"/>
                <w:szCs w:val="20"/>
                <w:color w:val="auto"/>
              </w:rPr>
            </w:pPr>
            <w:r>
              <w:rPr>
                <w:rFonts w:ascii="Arial" w:cs="Arial" w:eastAsia="Arial" w:hAnsi="Arial"/>
                <w:sz w:val="12"/>
                <w:szCs w:val="12"/>
                <w:b w:val="1"/>
                <w:bCs w:val="1"/>
                <w:color w:val="auto"/>
              </w:rPr>
              <w:t>Term</w:t>
            </w:r>
          </w:p>
        </w:tc>
        <w:tc>
          <w:tcPr>
            <w:tcW w:w="4120" w:type="dxa"/>
            <w:vAlign w:val="bottom"/>
            <w:tcBorders>
              <w:bottom w:val="single" w:sz="8" w:color="auto"/>
            </w:tcBorders>
          </w:tcPr>
          <w:p>
            <w:pPr>
              <w:ind w:left="1900"/>
              <w:spacing w:after="0"/>
              <w:rPr>
                <w:sz w:val="20"/>
                <w:szCs w:val="20"/>
                <w:color w:val="auto"/>
              </w:rPr>
            </w:pPr>
            <w:r>
              <w:rPr>
                <w:rFonts w:ascii="Arial" w:cs="Arial" w:eastAsia="Arial" w:hAnsi="Arial"/>
                <w:sz w:val="12"/>
                <w:szCs w:val="12"/>
                <w:b w:val="1"/>
                <w:bCs w:val="1"/>
                <w:color w:val="auto"/>
              </w:rPr>
              <w:t>Definition</w:t>
            </w:r>
          </w:p>
        </w:tc>
      </w:tr>
      <w:tr>
        <w:trPr>
          <w:trHeight w:val="161"/>
        </w:trPr>
        <w:tc>
          <w:tcPr>
            <w:tcW w:w="280" w:type="dxa"/>
            <w:vAlign w:val="bottom"/>
            <w:shd w:val="clear" w:color="auto" w:fill="DBDBDB"/>
          </w:tcPr>
          <w:p>
            <w:pPr>
              <w:spacing w:after="0"/>
              <w:rPr>
                <w:sz w:val="20"/>
                <w:szCs w:val="20"/>
                <w:color w:val="auto"/>
              </w:rPr>
            </w:pPr>
            <w:r>
              <w:rPr>
                <w:rFonts w:ascii="Arial" w:cs="Arial" w:eastAsia="Arial" w:hAnsi="Arial"/>
                <w:sz w:val="12"/>
                <w:szCs w:val="12"/>
                <w:color w:val="auto"/>
                <w:w w:val="97"/>
              </w:rPr>
              <w:t>2024</w:t>
            </w:r>
          </w:p>
        </w:tc>
        <w:tc>
          <w:tcPr>
            <w:tcW w:w="1120" w:type="dxa"/>
            <w:vAlign w:val="bottom"/>
            <w:shd w:val="clear" w:color="auto" w:fill="DBDBDB"/>
          </w:tcPr>
          <w:p>
            <w:pPr>
              <w:ind w:left="20"/>
              <w:spacing w:after="0"/>
              <w:rPr>
                <w:sz w:val="20"/>
                <w:szCs w:val="20"/>
                <w:color w:val="auto"/>
              </w:rPr>
            </w:pPr>
            <w:r>
              <w:rPr>
                <w:rFonts w:ascii="Arial" w:cs="Arial" w:eastAsia="Arial" w:hAnsi="Arial"/>
                <w:sz w:val="12"/>
                <w:szCs w:val="12"/>
                <w:color w:val="auto"/>
              </w:rPr>
              <w:t>Term Loan A</w:t>
            </w:r>
          </w:p>
        </w:tc>
        <w:tc>
          <w:tcPr>
            <w:tcW w:w="4220" w:type="dxa"/>
            <w:vAlign w:val="bottom"/>
            <w:gridSpan w:val="3"/>
            <w:shd w:val="clear" w:color="auto" w:fill="DBDBDB"/>
          </w:tcPr>
          <w:p>
            <w:pPr>
              <w:ind w:left="380"/>
              <w:spacing w:after="0"/>
              <w:rPr>
                <w:sz w:val="20"/>
                <w:szCs w:val="20"/>
                <w:color w:val="auto"/>
              </w:rPr>
            </w:pPr>
            <w:r>
              <w:rPr>
                <w:rFonts w:ascii="Arial" w:cs="Arial" w:eastAsia="Arial" w:hAnsi="Arial"/>
                <w:sz w:val="12"/>
                <w:szCs w:val="12"/>
                <w:color w:val="auto"/>
              </w:rPr>
              <w:t>Senior Term Loan A due October 2024, repaid January 12, 2024</w:t>
            </w:r>
          </w:p>
        </w:tc>
        <w:tc>
          <w:tcPr>
            <w:tcW w:w="1560" w:type="dxa"/>
            <w:vAlign w:val="bottom"/>
            <w:shd w:val="clear" w:color="auto" w:fill="DBDBDB"/>
          </w:tcPr>
          <w:p>
            <w:pPr>
              <w:ind w:left="20"/>
              <w:spacing w:after="0"/>
              <w:rPr>
                <w:sz w:val="20"/>
                <w:szCs w:val="20"/>
                <w:color w:val="auto"/>
              </w:rPr>
            </w:pPr>
            <w:r>
              <w:rPr>
                <w:rFonts w:ascii="Arial" w:cs="Arial" w:eastAsia="Arial" w:hAnsi="Arial"/>
                <w:sz w:val="12"/>
                <w:szCs w:val="12"/>
                <w:color w:val="auto"/>
              </w:rPr>
              <w:t>2041 Notes</w:t>
            </w:r>
          </w:p>
        </w:tc>
        <w:tc>
          <w:tcPr>
            <w:tcW w:w="4120" w:type="dxa"/>
            <w:vAlign w:val="bottom"/>
            <w:shd w:val="clear" w:color="auto" w:fill="DBDBDB"/>
          </w:tcPr>
          <w:p>
            <w:pPr>
              <w:ind w:left="260"/>
              <w:spacing w:after="0"/>
              <w:rPr>
                <w:sz w:val="20"/>
                <w:szCs w:val="20"/>
                <w:color w:val="auto"/>
              </w:rPr>
            </w:pPr>
            <w:r>
              <w:rPr>
                <w:rFonts w:ascii="Arial" w:cs="Arial" w:eastAsia="Arial" w:hAnsi="Arial"/>
                <w:sz w:val="12"/>
                <w:szCs w:val="12"/>
                <w:color w:val="auto"/>
              </w:rPr>
              <w:t>3.366% Senior Notes due November 2041</w:t>
            </w:r>
          </w:p>
        </w:tc>
      </w:tr>
      <w:tr>
        <w:trPr>
          <w:trHeight w:val="153"/>
        </w:trPr>
        <w:tc>
          <w:tcPr>
            <w:tcW w:w="280" w:type="dxa"/>
            <w:vAlign w:val="bottom"/>
          </w:tcPr>
          <w:p>
            <w:pPr>
              <w:spacing w:after="0"/>
              <w:rPr>
                <w:sz w:val="20"/>
                <w:szCs w:val="20"/>
                <w:color w:val="auto"/>
              </w:rPr>
            </w:pPr>
            <w:r>
              <w:rPr>
                <w:rFonts w:ascii="Arial" w:cs="Arial" w:eastAsia="Arial" w:hAnsi="Arial"/>
                <w:sz w:val="12"/>
                <w:szCs w:val="12"/>
                <w:color w:val="auto"/>
                <w:w w:val="97"/>
              </w:rPr>
              <w:t>2025</w:t>
            </w:r>
          </w:p>
        </w:tc>
        <w:tc>
          <w:tcPr>
            <w:tcW w:w="1120" w:type="dxa"/>
            <w:vAlign w:val="bottom"/>
          </w:tcPr>
          <w:p>
            <w:pPr>
              <w:ind w:left="20"/>
              <w:spacing w:after="0"/>
              <w:rPr>
                <w:sz w:val="20"/>
                <w:szCs w:val="20"/>
                <w:color w:val="auto"/>
              </w:rPr>
            </w:pPr>
            <w:r>
              <w:rPr>
                <w:rFonts w:ascii="Arial" w:cs="Arial" w:eastAsia="Arial" w:hAnsi="Arial"/>
                <w:sz w:val="12"/>
                <w:szCs w:val="12"/>
                <w:color w:val="auto"/>
              </w:rPr>
              <w:t>Term Loan A</w:t>
            </w:r>
          </w:p>
        </w:tc>
        <w:tc>
          <w:tcPr>
            <w:tcW w:w="4220" w:type="dxa"/>
            <w:vAlign w:val="bottom"/>
            <w:gridSpan w:val="3"/>
          </w:tcPr>
          <w:p>
            <w:pPr>
              <w:ind w:left="380"/>
              <w:spacing w:after="0"/>
              <w:rPr>
                <w:sz w:val="20"/>
                <w:szCs w:val="20"/>
                <w:color w:val="auto"/>
              </w:rPr>
            </w:pPr>
            <w:r>
              <w:rPr>
                <w:rFonts w:ascii="Arial" w:cs="Arial" w:eastAsia="Arial" w:hAnsi="Arial"/>
                <w:sz w:val="12"/>
                <w:szCs w:val="12"/>
                <w:color w:val="auto"/>
              </w:rPr>
              <w:t>Senior Term Loan A due November 2025</w:t>
            </w:r>
          </w:p>
        </w:tc>
        <w:tc>
          <w:tcPr>
            <w:tcW w:w="1560" w:type="dxa"/>
            <w:vAlign w:val="bottom"/>
          </w:tcPr>
          <w:p>
            <w:pPr>
              <w:ind w:left="20"/>
              <w:spacing w:after="0"/>
              <w:rPr>
                <w:sz w:val="20"/>
                <w:szCs w:val="20"/>
                <w:color w:val="auto"/>
              </w:rPr>
            </w:pPr>
            <w:r>
              <w:rPr>
                <w:rFonts w:ascii="Arial" w:cs="Arial" w:eastAsia="Arial" w:hAnsi="Arial"/>
                <w:sz w:val="12"/>
                <w:szCs w:val="12"/>
                <w:color w:val="auto"/>
              </w:rPr>
              <w:t>2051 Notes</w:t>
            </w:r>
          </w:p>
        </w:tc>
        <w:tc>
          <w:tcPr>
            <w:tcW w:w="4120" w:type="dxa"/>
            <w:vAlign w:val="bottom"/>
          </w:tcPr>
          <w:p>
            <w:pPr>
              <w:ind w:left="260"/>
              <w:spacing w:after="0"/>
              <w:rPr>
                <w:sz w:val="20"/>
                <w:szCs w:val="20"/>
                <w:color w:val="auto"/>
              </w:rPr>
            </w:pPr>
            <w:r>
              <w:rPr>
                <w:rFonts w:ascii="Arial" w:cs="Arial" w:eastAsia="Arial" w:hAnsi="Arial"/>
                <w:sz w:val="12"/>
                <w:szCs w:val="12"/>
                <w:color w:val="auto"/>
              </w:rPr>
              <w:t>3.477% Senior Notes due November 2051</w:t>
            </w:r>
          </w:p>
        </w:tc>
      </w:tr>
      <w:tr>
        <w:trPr>
          <w:trHeight w:val="153"/>
        </w:trPr>
        <w:tc>
          <w:tcPr>
            <w:tcW w:w="280" w:type="dxa"/>
            <w:vAlign w:val="bottom"/>
            <w:shd w:val="clear" w:color="auto" w:fill="DBDBDB"/>
          </w:tcPr>
          <w:p>
            <w:pPr>
              <w:spacing w:after="0"/>
              <w:rPr>
                <w:sz w:val="20"/>
                <w:szCs w:val="20"/>
                <w:color w:val="auto"/>
              </w:rPr>
            </w:pPr>
            <w:r>
              <w:rPr>
                <w:rFonts w:ascii="Arial" w:cs="Arial" w:eastAsia="Arial" w:hAnsi="Arial"/>
                <w:sz w:val="12"/>
                <w:szCs w:val="12"/>
                <w:color w:val="auto"/>
                <w:w w:val="97"/>
              </w:rPr>
              <w:t>2026</w:t>
            </w:r>
          </w:p>
        </w:tc>
        <w:tc>
          <w:tcPr>
            <w:tcW w:w="1120" w:type="dxa"/>
            <w:vAlign w:val="bottom"/>
            <w:shd w:val="clear" w:color="auto" w:fill="DBDBDB"/>
          </w:tcPr>
          <w:p>
            <w:pPr>
              <w:ind w:left="20"/>
              <w:spacing w:after="0"/>
              <w:rPr>
                <w:sz w:val="20"/>
                <w:szCs w:val="20"/>
                <w:color w:val="auto"/>
              </w:rPr>
            </w:pPr>
            <w:r>
              <w:rPr>
                <w:rFonts w:ascii="Arial" w:cs="Arial" w:eastAsia="Arial" w:hAnsi="Arial"/>
                <w:sz w:val="12"/>
                <w:szCs w:val="12"/>
                <w:color w:val="auto"/>
              </w:rPr>
              <w:t>Term Loan A</w:t>
            </w:r>
          </w:p>
        </w:tc>
        <w:tc>
          <w:tcPr>
            <w:tcW w:w="4220" w:type="dxa"/>
            <w:vAlign w:val="bottom"/>
            <w:gridSpan w:val="3"/>
            <w:shd w:val="clear" w:color="auto" w:fill="DBDBDB"/>
          </w:tcPr>
          <w:p>
            <w:pPr>
              <w:ind w:left="380"/>
              <w:spacing w:after="0"/>
              <w:rPr>
                <w:sz w:val="20"/>
                <w:szCs w:val="20"/>
                <w:color w:val="auto"/>
              </w:rPr>
            </w:pPr>
            <w:r>
              <w:rPr>
                <w:rFonts w:ascii="Arial" w:cs="Arial" w:eastAsia="Arial" w:hAnsi="Arial"/>
                <w:sz w:val="12"/>
                <w:szCs w:val="12"/>
                <w:color w:val="auto"/>
              </w:rPr>
              <w:t>Senior Term Loan A due November 2026</w:t>
            </w:r>
          </w:p>
        </w:tc>
        <w:tc>
          <w:tcPr>
            <w:tcW w:w="1560" w:type="dxa"/>
            <w:vAlign w:val="bottom"/>
            <w:shd w:val="clear" w:color="auto" w:fill="DBDBDB"/>
          </w:tcPr>
          <w:p>
            <w:pPr>
              <w:ind w:left="20"/>
              <w:spacing w:after="0"/>
              <w:rPr>
                <w:sz w:val="20"/>
                <w:szCs w:val="20"/>
                <w:color w:val="auto"/>
              </w:rPr>
            </w:pPr>
            <w:r>
              <w:rPr>
                <w:rFonts w:ascii="Arial" w:cs="Arial" w:eastAsia="Arial" w:hAnsi="Arial"/>
                <w:sz w:val="12"/>
                <w:szCs w:val="12"/>
                <w:color w:val="auto"/>
              </w:rPr>
              <w:t>CAC</w:t>
            </w:r>
          </w:p>
        </w:tc>
        <w:tc>
          <w:tcPr>
            <w:tcW w:w="4120" w:type="dxa"/>
            <w:vAlign w:val="bottom"/>
            <w:shd w:val="clear" w:color="auto" w:fill="DBDBDB"/>
          </w:tcPr>
          <w:p>
            <w:pPr>
              <w:ind w:left="260"/>
              <w:spacing w:after="0"/>
              <w:rPr>
                <w:sz w:val="20"/>
                <w:szCs w:val="20"/>
                <w:color w:val="auto"/>
              </w:rPr>
            </w:pPr>
            <w:r>
              <w:rPr>
                <w:rFonts w:ascii="Arial" w:cs="Arial" w:eastAsia="Arial" w:hAnsi="Arial"/>
                <w:sz w:val="12"/>
                <w:szCs w:val="12"/>
                <w:color w:val="auto"/>
              </w:rPr>
              <w:t>China’s Cyberspace Administration</w:t>
            </w:r>
          </w:p>
        </w:tc>
      </w:tr>
      <w:tr>
        <w:trPr>
          <w:trHeight w:val="153"/>
        </w:trPr>
        <w:tc>
          <w:tcPr>
            <w:tcW w:w="1400" w:type="dxa"/>
            <w:vAlign w:val="bottom"/>
            <w:gridSpan w:val="2"/>
          </w:tcPr>
          <w:p>
            <w:pPr>
              <w:spacing w:after="0"/>
              <w:rPr>
                <w:sz w:val="20"/>
                <w:szCs w:val="20"/>
                <w:color w:val="auto"/>
              </w:rPr>
            </w:pPr>
            <w:r>
              <w:rPr>
                <w:rFonts w:ascii="Arial" w:cs="Arial" w:eastAsia="Arial" w:hAnsi="Arial"/>
                <w:sz w:val="12"/>
                <w:szCs w:val="12"/>
                <w:color w:val="auto"/>
              </w:rPr>
              <w:t>2027 Term Loan A</w:t>
            </w:r>
          </w:p>
        </w:tc>
        <w:tc>
          <w:tcPr>
            <w:tcW w:w="4220" w:type="dxa"/>
            <w:vAlign w:val="bottom"/>
            <w:gridSpan w:val="3"/>
          </w:tcPr>
          <w:p>
            <w:pPr>
              <w:ind w:left="380"/>
              <w:spacing w:after="0"/>
              <w:rPr>
                <w:sz w:val="20"/>
                <w:szCs w:val="20"/>
                <w:color w:val="auto"/>
              </w:rPr>
            </w:pPr>
            <w:r>
              <w:rPr>
                <w:rFonts w:ascii="Arial" w:cs="Arial" w:eastAsia="Arial" w:hAnsi="Arial"/>
                <w:sz w:val="12"/>
                <w:szCs w:val="12"/>
                <w:color w:val="auto"/>
              </w:rPr>
              <w:t>Senior Term Loan A due November 2027</w:t>
            </w:r>
          </w:p>
        </w:tc>
        <w:tc>
          <w:tcPr>
            <w:tcW w:w="1560" w:type="dxa"/>
            <w:vAlign w:val="bottom"/>
          </w:tcPr>
          <w:p>
            <w:pPr>
              <w:ind w:left="20"/>
              <w:spacing w:after="0"/>
              <w:rPr>
                <w:sz w:val="20"/>
                <w:szCs w:val="20"/>
                <w:color w:val="auto"/>
              </w:rPr>
            </w:pPr>
            <w:r>
              <w:rPr>
                <w:rFonts w:ascii="Arial" w:cs="Arial" w:eastAsia="Arial" w:hAnsi="Arial"/>
                <w:sz w:val="12"/>
                <w:szCs w:val="12"/>
                <w:color w:val="auto"/>
              </w:rPr>
              <w:t>DDR</w:t>
            </w:r>
          </w:p>
        </w:tc>
        <w:tc>
          <w:tcPr>
            <w:tcW w:w="4120" w:type="dxa"/>
            <w:vAlign w:val="bottom"/>
          </w:tcPr>
          <w:p>
            <w:pPr>
              <w:ind w:left="260"/>
              <w:spacing w:after="0"/>
              <w:rPr>
                <w:sz w:val="20"/>
                <w:szCs w:val="20"/>
                <w:color w:val="auto"/>
              </w:rPr>
            </w:pPr>
            <w:r>
              <w:rPr>
                <w:rFonts w:ascii="Arial" w:cs="Arial" w:eastAsia="Arial" w:hAnsi="Arial"/>
                <w:sz w:val="12"/>
                <w:szCs w:val="12"/>
                <w:color w:val="auto"/>
              </w:rPr>
              <w:t>Double data rate DRAM</w:t>
            </w:r>
          </w:p>
        </w:tc>
      </w:tr>
      <w:tr>
        <w:trPr>
          <w:trHeight w:val="153"/>
        </w:trPr>
        <w:tc>
          <w:tcPr>
            <w:tcW w:w="280" w:type="dxa"/>
            <w:vAlign w:val="bottom"/>
            <w:shd w:val="clear" w:color="auto" w:fill="DBDBDB"/>
          </w:tcPr>
          <w:p>
            <w:pPr>
              <w:spacing w:after="0"/>
              <w:rPr>
                <w:sz w:val="20"/>
                <w:szCs w:val="20"/>
                <w:color w:val="auto"/>
              </w:rPr>
            </w:pPr>
            <w:r>
              <w:rPr>
                <w:rFonts w:ascii="Arial" w:cs="Arial" w:eastAsia="Arial" w:hAnsi="Arial"/>
                <w:sz w:val="12"/>
                <w:szCs w:val="12"/>
                <w:color w:val="auto"/>
                <w:w w:val="97"/>
              </w:rPr>
              <w:t>2026</w:t>
            </w:r>
          </w:p>
        </w:tc>
        <w:tc>
          <w:tcPr>
            <w:tcW w:w="1120" w:type="dxa"/>
            <w:vAlign w:val="bottom"/>
            <w:shd w:val="clear" w:color="auto" w:fill="DBDBDB"/>
          </w:tcPr>
          <w:p>
            <w:pPr>
              <w:ind w:left="20"/>
              <w:spacing w:after="0"/>
              <w:rPr>
                <w:sz w:val="20"/>
                <w:szCs w:val="20"/>
                <w:color w:val="auto"/>
              </w:rPr>
            </w:pPr>
            <w:r>
              <w:rPr>
                <w:rFonts w:ascii="Arial" w:cs="Arial" w:eastAsia="Arial" w:hAnsi="Arial"/>
                <w:sz w:val="12"/>
                <w:szCs w:val="12"/>
                <w:color w:val="auto"/>
              </w:rPr>
              <w:t>Notes</w:t>
            </w:r>
          </w:p>
        </w:tc>
        <w:tc>
          <w:tcPr>
            <w:tcW w:w="800" w:type="dxa"/>
            <w:vAlign w:val="bottom"/>
            <w:shd w:val="clear" w:color="auto" w:fill="DBDBDB"/>
          </w:tcPr>
          <w:p>
            <w:pPr>
              <w:ind w:left="380"/>
              <w:spacing w:after="0"/>
              <w:rPr>
                <w:sz w:val="20"/>
                <w:szCs w:val="20"/>
                <w:color w:val="auto"/>
              </w:rPr>
            </w:pPr>
            <w:r>
              <w:rPr>
                <w:rFonts w:ascii="Arial" w:cs="Arial" w:eastAsia="Arial" w:hAnsi="Arial"/>
                <w:sz w:val="12"/>
                <w:szCs w:val="12"/>
                <w:color w:val="auto"/>
                <w:w w:val="98"/>
              </w:rPr>
              <w:t>4.975%</w:t>
            </w:r>
          </w:p>
        </w:tc>
        <w:tc>
          <w:tcPr>
            <w:tcW w:w="3420" w:type="dxa"/>
            <w:vAlign w:val="bottom"/>
            <w:gridSpan w:val="2"/>
            <w:shd w:val="clear" w:color="auto" w:fill="DBDBDB"/>
          </w:tcPr>
          <w:p>
            <w:pPr>
              <w:ind w:left="20"/>
              <w:spacing w:after="0"/>
              <w:rPr>
                <w:sz w:val="20"/>
                <w:szCs w:val="20"/>
                <w:color w:val="auto"/>
              </w:rPr>
            </w:pPr>
            <w:r>
              <w:rPr>
                <w:rFonts w:ascii="Arial" w:cs="Arial" w:eastAsia="Arial" w:hAnsi="Arial"/>
                <w:sz w:val="12"/>
                <w:szCs w:val="12"/>
                <w:color w:val="auto"/>
              </w:rPr>
              <w:t>Senior Notes due February 2026</w:t>
            </w:r>
          </w:p>
        </w:tc>
        <w:tc>
          <w:tcPr>
            <w:tcW w:w="1560" w:type="dxa"/>
            <w:vAlign w:val="bottom"/>
            <w:shd w:val="clear" w:color="auto" w:fill="DBDBDB"/>
          </w:tcPr>
          <w:p>
            <w:pPr>
              <w:ind w:left="20"/>
              <w:spacing w:after="0"/>
              <w:rPr>
                <w:sz w:val="20"/>
                <w:szCs w:val="20"/>
                <w:color w:val="auto"/>
              </w:rPr>
            </w:pPr>
            <w:r>
              <w:rPr>
                <w:rFonts w:ascii="Arial" w:cs="Arial" w:eastAsia="Arial" w:hAnsi="Arial"/>
                <w:sz w:val="12"/>
                <w:szCs w:val="12"/>
                <w:color w:val="auto"/>
              </w:rPr>
              <w:t>EBITDA</w:t>
            </w:r>
          </w:p>
        </w:tc>
        <w:tc>
          <w:tcPr>
            <w:tcW w:w="4120" w:type="dxa"/>
            <w:vAlign w:val="bottom"/>
            <w:shd w:val="clear" w:color="auto" w:fill="DBDBDB"/>
          </w:tcPr>
          <w:p>
            <w:pPr>
              <w:ind w:left="260"/>
              <w:spacing w:after="0"/>
              <w:rPr>
                <w:sz w:val="20"/>
                <w:szCs w:val="20"/>
                <w:color w:val="auto"/>
              </w:rPr>
            </w:pPr>
            <w:r>
              <w:rPr>
                <w:rFonts w:ascii="Arial" w:cs="Arial" w:eastAsia="Arial" w:hAnsi="Arial"/>
                <w:sz w:val="12"/>
                <w:szCs w:val="12"/>
                <w:color w:val="auto"/>
              </w:rPr>
              <w:t>Earnings before interest, taxes, depreciation, and amortization</w:t>
            </w:r>
          </w:p>
        </w:tc>
      </w:tr>
      <w:tr>
        <w:trPr>
          <w:trHeight w:val="153"/>
        </w:trPr>
        <w:tc>
          <w:tcPr>
            <w:tcW w:w="280" w:type="dxa"/>
            <w:vAlign w:val="bottom"/>
          </w:tcPr>
          <w:p>
            <w:pPr>
              <w:spacing w:after="0"/>
              <w:rPr>
                <w:sz w:val="20"/>
                <w:szCs w:val="20"/>
                <w:color w:val="auto"/>
              </w:rPr>
            </w:pPr>
            <w:r>
              <w:rPr>
                <w:rFonts w:ascii="Arial" w:cs="Arial" w:eastAsia="Arial" w:hAnsi="Arial"/>
                <w:sz w:val="12"/>
                <w:szCs w:val="12"/>
                <w:color w:val="auto"/>
                <w:w w:val="97"/>
              </w:rPr>
              <w:t>2027</w:t>
            </w:r>
          </w:p>
        </w:tc>
        <w:tc>
          <w:tcPr>
            <w:tcW w:w="1120" w:type="dxa"/>
            <w:vAlign w:val="bottom"/>
          </w:tcPr>
          <w:p>
            <w:pPr>
              <w:ind w:left="20"/>
              <w:spacing w:after="0"/>
              <w:rPr>
                <w:sz w:val="20"/>
                <w:szCs w:val="20"/>
                <w:color w:val="auto"/>
              </w:rPr>
            </w:pPr>
            <w:r>
              <w:rPr>
                <w:rFonts w:ascii="Arial" w:cs="Arial" w:eastAsia="Arial" w:hAnsi="Arial"/>
                <w:sz w:val="12"/>
                <w:szCs w:val="12"/>
                <w:color w:val="auto"/>
              </w:rPr>
              <w:t>Notes</w:t>
            </w:r>
          </w:p>
        </w:tc>
        <w:tc>
          <w:tcPr>
            <w:tcW w:w="800" w:type="dxa"/>
            <w:vAlign w:val="bottom"/>
          </w:tcPr>
          <w:p>
            <w:pPr>
              <w:ind w:left="380"/>
              <w:spacing w:after="0"/>
              <w:rPr>
                <w:sz w:val="20"/>
                <w:szCs w:val="20"/>
                <w:color w:val="auto"/>
              </w:rPr>
            </w:pPr>
            <w:r>
              <w:rPr>
                <w:rFonts w:ascii="Arial" w:cs="Arial" w:eastAsia="Arial" w:hAnsi="Arial"/>
                <w:sz w:val="12"/>
                <w:szCs w:val="12"/>
                <w:color w:val="auto"/>
                <w:w w:val="98"/>
              </w:rPr>
              <w:t>4.185%</w:t>
            </w:r>
          </w:p>
        </w:tc>
        <w:tc>
          <w:tcPr>
            <w:tcW w:w="3420" w:type="dxa"/>
            <w:vAlign w:val="bottom"/>
            <w:gridSpan w:val="2"/>
          </w:tcPr>
          <w:p>
            <w:pPr>
              <w:ind w:left="20"/>
              <w:spacing w:after="0"/>
              <w:rPr>
                <w:sz w:val="20"/>
                <w:szCs w:val="20"/>
                <w:color w:val="auto"/>
              </w:rPr>
            </w:pPr>
            <w:r>
              <w:rPr>
                <w:rFonts w:ascii="Arial" w:cs="Arial" w:eastAsia="Arial" w:hAnsi="Arial"/>
                <w:sz w:val="12"/>
                <w:szCs w:val="12"/>
                <w:color w:val="auto"/>
              </w:rPr>
              <w:t>Senior Notes due February 2027</w:t>
            </w:r>
          </w:p>
        </w:tc>
        <w:tc>
          <w:tcPr>
            <w:tcW w:w="1560" w:type="dxa"/>
            <w:vAlign w:val="bottom"/>
          </w:tcPr>
          <w:p>
            <w:pPr>
              <w:ind w:left="20"/>
              <w:spacing w:after="0"/>
              <w:rPr>
                <w:sz w:val="20"/>
                <w:szCs w:val="20"/>
                <w:color w:val="auto"/>
              </w:rPr>
            </w:pPr>
            <w:r>
              <w:rPr>
                <w:rFonts w:ascii="Arial" w:cs="Arial" w:eastAsia="Arial" w:hAnsi="Arial"/>
                <w:sz w:val="12"/>
                <w:szCs w:val="12"/>
                <w:color w:val="auto"/>
              </w:rPr>
              <w:t>EUV</w:t>
            </w:r>
          </w:p>
        </w:tc>
        <w:tc>
          <w:tcPr>
            <w:tcW w:w="4120" w:type="dxa"/>
            <w:vAlign w:val="bottom"/>
          </w:tcPr>
          <w:p>
            <w:pPr>
              <w:ind w:left="260"/>
              <w:spacing w:after="0"/>
              <w:rPr>
                <w:sz w:val="20"/>
                <w:szCs w:val="20"/>
                <w:color w:val="auto"/>
              </w:rPr>
            </w:pPr>
            <w:r>
              <w:rPr>
                <w:rFonts w:ascii="Arial" w:cs="Arial" w:eastAsia="Arial" w:hAnsi="Arial"/>
                <w:sz w:val="12"/>
                <w:szCs w:val="12"/>
                <w:color w:val="auto"/>
              </w:rPr>
              <w:t>Extreme ultraviolet lithography</w:t>
            </w:r>
          </w:p>
        </w:tc>
      </w:tr>
      <w:tr>
        <w:trPr>
          <w:trHeight w:val="117"/>
        </w:trPr>
        <w:tc>
          <w:tcPr>
            <w:tcW w:w="280" w:type="dxa"/>
            <w:vAlign w:val="bottom"/>
            <w:shd w:val="clear" w:color="auto" w:fill="DBDBDB"/>
          </w:tcPr>
          <w:p>
            <w:pPr>
              <w:spacing w:after="0" w:line="117" w:lineRule="exact"/>
              <w:rPr>
                <w:sz w:val="20"/>
                <w:szCs w:val="20"/>
                <w:color w:val="auto"/>
              </w:rPr>
            </w:pPr>
            <w:r>
              <w:rPr>
                <w:rFonts w:ascii="Arial" w:cs="Arial" w:eastAsia="Arial" w:hAnsi="Arial"/>
                <w:sz w:val="12"/>
                <w:szCs w:val="12"/>
                <w:color w:val="auto"/>
                <w:w w:val="97"/>
              </w:rPr>
              <w:t>2028</w:t>
            </w:r>
          </w:p>
        </w:tc>
        <w:tc>
          <w:tcPr>
            <w:tcW w:w="1120" w:type="dxa"/>
            <w:vAlign w:val="bottom"/>
            <w:shd w:val="clear" w:color="auto" w:fill="DBDBDB"/>
          </w:tcPr>
          <w:p>
            <w:pPr>
              <w:ind w:left="20"/>
              <w:spacing w:after="0" w:line="117" w:lineRule="exact"/>
              <w:rPr>
                <w:sz w:val="20"/>
                <w:szCs w:val="20"/>
                <w:color w:val="auto"/>
              </w:rPr>
            </w:pPr>
            <w:r>
              <w:rPr>
                <w:rFonts w:ascii="Arial" w:cs="Arial" w:eastAsia="Arial" w:hAnsi="Arial"/>
                <w:sz w:val="12"/>
                <w:szCs w:val="12"/>
                <w:color w:val="auto"/>
              </w:rPr>
              <w:t>Notes</w:t>
            </w:r>
          </w:p>
        </w:tc>
        <w:tc>
          <w:tcPr>
            <w:tcW w:w="800" w:type="dxa"/>
            <w:vAlign w:val="bottom"/>
            <w:shd w:val="clear" w:color="auto" w:fill="DBDBDB"/>
          </w:tcPr>
          <w:p>
            <w:pPr>
              <w:ind w:left="380"/>
              <w:spacing w:after="0" w:line="117" w:lineRule="exact"/>
              <w:rPr>
                <w:sz w:val="20"/>
                <w:szCs w:val="20"/>
                <w:color w:val="auto"/>
              </w:rPr>
            </w:pPr>
            <w:r>
              <w:rPr>
                <w:rFonts w:ascii="Arial" w:cs="Arial" w:eastAsia="Arial" w:hAnsi="Arial"/>
                <w:sz w:val="12"/>
                <w:szCs w:val="12"/>
                <w:color w:val="auto"/>
                <w:w w:val="98"/>
              </w:rPr>
              <w:t>5.375%</w:t>
            </w:r>
          </w:p>
        </w:tc>
        <w:tc>
          <w:tcPr>
            <w:tcW w:w="3420" w:type="dxa"/>
            <w:vAlign w:val="bottom"/>
            <w:gridSpan w:val="2"/>
            <w:shd w:val="clear" w:color="auto" w:fill="DBDBDB"/>
          </w:tcPr>
          <w:p>
            <w:pPr>
              <w:ind w:left="20"/>
              <w:spacing w:after="0" w:line="117" w:lineRule="exact"/>
              <w:rPr>
                <w:sz w:val="20"/>
                <w:szCs w:val="20"/>
                <w:color w:val="auto"/>
              </w:rPr>
            </w:pPr>
            <w:r>
              <w:rPr>
                <w:rFonts w:ascii="Arial" w:cs="Arial" w:eastAsia="Arial" w:hAnsi="Arial"/>
                <w:sz w:val="12"/>
                <w:szCs w:val="12"/>
                <w:color w:val="auto"/>
              </w:rPr>
              <w:t>Senior Notes due April 2028</w:t>
            </w:r>
          </w:p>
        </w:tc>
        <w:tc>
          <w:tcPr>
            <w:tcW w:w="1560" w:type="dxa"/>
            <w:vAlign w:val="bottom"/>
            <w:shd w:val="clear" w:color="auto" w:fill="DBDBDB"/>
          </w:tcPr>
          <w:p>
            <w:pPr>
              <w:ind w:left="20"/>
              <w:spacing w:after="0" w:line="117" w:lineRule="exact"/>
              <w:rPr>
                <w:sz w:val="20"/>
                <w:szCs w:val="20"/>
                <w:color w:val="auto"/>
              </w:rPr>
            </w:pPr>
            <w:r>
              <w:rPr>
                <w:rFonts w:ascii="Arial" w:cs="Arial" w:eastAsia="Arial" w:hAnsi="Arial"/>
                <w:sz w:val="12"/>
                <w:szCs w:val="12"/>
                <w:color w:val="auto"/>
              </w:rPr>
              <w:t>HBM</w:t>
            </w:r>
          </w:p>
        </w:tc>
        <w:tc>
          <w:tcPr>
            <w:tcW w:w="4120" w:type="dxa"/>
            <w:vAlign w:val="bottom"/>
            <w:shd w:val="clear" w:color="auto" w:fill="DBDBDB"/>
          </w:tcPr>
          <w:p>
            <w:pPr>
              <w:ind w:left="260"/>
              <w:spacing w:after="0" w:line="117" w:lineRule="exact"/>
              <w:rPr>
                <w:sz w:val="20"/>
                <w:szCs w:val="20"/>
                <w:color w:val="auto"/>
              </w:rPr>
            </w:pPr>
            <w:r>
              <w:rPr>
                <w:rFonts w:ascii="Arial" w:cs="Arial" w:eastAsia="Arial" w:hAnsi="Arial"/>
                <w:sz w:val="12"/>
                <w:szCs w:val="12"/>
                <w:color w:val="auto"/>
              </w:rPr>
              <w:t>High-bandwidth memory, a stacked DRAM technology optimized for</w:t>
            </w:r>
          </w:p>
        </w:tc>
      </w:tr>
      <w:tr>
        <w:trPr>
          <w:trHeight w:val="162"/>
        </w:trPr>
        <w:tc>
          <w:tcPr>
            <w:tcW w:w="28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800" w:type="dxa"/>
            <w:vAlign w:val="bottom"/>
            <w:shd w:val="clear" w:color="auto" w:fill="DBDBDB"/>
          </w:tcPr>
          <w:p>
            <w:pPr>
              <w:spacing w:after="0"/>
              <w:rPr>
                <w:sz w:val="14"/>
                <w:szCs w:val="14"/>
                <w:color w:val="auto"/>
              </w:rPr>
            </w:pPr>
          </w:p>
        </w:tc>
        <w:tc>
          <w:tcPr>
            <w:tcW w:w="33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560" w:type="dxa"/>
            <w:vAlign w:val="bottom"/>
            <w:shd w:val="clear" w:color="auto" w:fill="DBDBDB"/>
          </w:tcPr>
          <w:p>
            <w:pPr>
              <w:spacing w:after="0"/>
              <w:rPr>
                <w:sz w:val="14"/>
                <w:szCs w:val="14"/>
                <w:color w:val="auto"/>
              </w:rPr>
            </w:pPr>
          </w:p>
        </w:tc>
        <w:tc>
          <w:tcPr>
            <w:tcW w:w="4120" w:type="dxa"/>
            <w:vAlign w:val="bottom"/>
            <w:shd w:val="clear" w:color="auto" w:fill="DBDBDB"/>
          </w:tcPr>
          <w:p>
            <w:pPr>
              <w:ind w:left="260"/>
              <w:spacing w:after="0"/>
              <w:rPr>
                <w:sz w:val="20"/>
                <w:szCs w:val="20"/>
                <w:color w:val="auto"/>
              </w:rPr>
            </w:pPr>
            <w:r>
              <w:rPr>
                <w:rFonts w:ascii="Arial" w:cs="Arial" w:eastAsia="Arial" w:hAnsi="Arial"/>
                <w:sz w:val="12"/>
                <w:szCs w:val="12"/>
                <w:color w:val="auto"/>
              </w:rPr>
              <w:t>memory-bandwidth intensive applications</w:t>
            </w:r>
          </w:p>
        </w:tc>
      </w:tr>
      <w:tr>
        <w:trPr>
          <w:trHeight w:val="153"/>
        </w:trPr>
        <w:tc>
          <w:tcPr>
            <w:tcW w:w="1400" w:type="dxa"/>
            <w:vAlign w:val="bottom"/>
            <w:gridSpan w:val="2"/>
          </w:tcPr>
          <w:p>
            <w:pPr>
              <w:spacing w:after="0"/>
              <w:rPr>
                <w:sz w:val="20"/>
                <w:szCs w:val="20"/>
                <w:color w:val="auto"/>
              </w:rPr>
            </w:pPr>
            <w:r>
              <w:rPr>
                <w:rFonts w:ascii="Arial" w:cs="Arial" w:eastAsia="Arial" w:hAnsi="Arial"/>
                <w:sz w:val="12"/>
                <w:szCs w:val="12"/>
                <w:color w:val="auto"/>
              </w:rPr>
              <w:t>2029 A Notes</w:t>
            </w:r>
          </w:p>
        </w:tc>
        <w:tc>
          <w:tcPr>
            <w:tcW w:w="4220" w:type="dxa"/>
            <w:vAlign w:val="bottom"/>
            <w:gridSpan w:val="3"/>
          </w:tcPr>
          <w:p>
            <w:pPr>
              <w:ind w:left="380"/>
              <w:spacing w:after="0"/>
              <w:rPr>
                <w:sz w:val="20"/>
                <w:szCs w:val="20"/>
                <w:color w:val="auto"/>
              </w:rPr>
            </w:pPr>
            <w:r>
              <w:rPr>
                <w:rFonts w:ascii="Arial" w:cs="Arial" w:eastAsia="Arial" w:hAnsi="Arial"/>
                <w:sz w:val="12"/>
                <w:szCs w:val="12"/>
                <w:color w:val="auto"/>
              </w:rPr>
              <w:t>5.327% Senior Notes due February 2029</w:t>
            </w:r>
          </w:p>
        </w:tc>
        <w:tc>
          <w:tcPr>
            <w:tcW w:w="1560" w:type="dxa"/>
            <w:vAlign w:val="bottom"/>
          </w:tcPr>
          <w:p>
            <w:pPr>
              <w:ind w:left="20"/>
              <w:spacing w:after="0"/>
              <w:rPr>
                <w:sz w:val="20"/>
                <w:szCs w:val="20"/>
                <w:color w:val="auto"/>
              </w:rPr>
            </w:pPr>
            <w:r>
              <w:rPr>
                <w:rFonts w:ascii="Arial" w:cs="Arial" w:eastAsia="Arial" w:hAnsi="Arial"/>
                <w:sz w:val="12"/>
                <w:szCs w:val="12"/>
                <w:color w:val="auto"/>
              </w:rPr>
              <w:t>LPDRAM</w:t>
            </w:r>
          </w:p>
        </w:tc>
        <w:tc>
          <w:tcPr>
            <w:tcW w:w="4120" w:type="dxa"/>
            <w:vAlign w:val="bottom"/>
          </w:tcPr>
          <w:p>
            <w:pPr>
              <w:ind w:left="260"/>
              <w:spacing w:after="0"/>
              <w:rPr>
                <w:sz w:val="20"/>
                <w:szCs w:val="20"/>
                <w:color w:val="auto"/>
              </w:rPr>
            </w:pPr>
            <w:r>
              <w:rPr>
                <w:rFonts w:ascii="Arial" w:cs="Arial" w:eastAsia="Arial" w:hAnsi="Arial"/>
                <w:sz w:val="12"/>
                <w:szCs w:val="12"/>
                <w:color w:val="auto"/>
              </w:rPr>
              <w:t>Low-power DRAM</w:t>
            </w:r>
          </w:p>
        </w:tc>
      </w:tr>
      <w:tr>
        <w:trPr>
          <w:trHeight w:val="153"/>
        </w:trPr>
        <w:tc>
          <w:tcPr>
            <w:tcW w:w="280" w:type="dxa"/>
            <w:vAlign w:val="bottom"/>
            <w:shd w:val="clear" w:color="auto" w:fill="DBDBDB"/>
          </w:tcPr>
          <w:p>
            <w:pPr>
              <w:spacing w:after="0"/>
              <w:rPr>
                <w:sz w:val="20"/>
                <w:szCs w:val="20"/>
                <w:color w:val="auto"/>
              </w:rPr>
            </w:pPr>
            <w:r>
              <w:rPr>
                <w:rFonts w:ascii="Arial" w:cs="Arial" w:eastAsia="Arial" w:hAnsi="Arial"/>
                <w:sz w:val="12"/>
                <w:szCs w:val="12"/>
                <w:color w:val="auto"/>
                <w:w w:val="97"/>
              </w:rPr>
              <w:t>2029</w:t>
            </w:r>
          </w:p>
        </w:tc>
        <w:tc>
          <w:tcPr>
            <w:tcW w:w="1120" w:type="dxa"/>
            <w:vAlign w:val="bottom"/>
            <w:shd w:val="clear" w:color="auto" w:fill="DBDBDB"/>
          </w:tcPr>
          <w:p>
            <w:pPr>
              <w:ind w:left="20"/>
              <w:spacing w:after="0"/>
              <w:rPr>
                <w:sz w:val="20"/>
                <w:szCs w:val="20"/>
                <w:color w:val="auto"/>
              </w:rPr>
            </w:pPr>
            <w:r>
              <w:rPr>
                <w:rFonts w:ascii="Arial" w:cs="Arial" w:eastAsia="Arial" w:hAnsi="Arial"/>
                <w:sz w:val="12"/>
                <w:szCs w:val="12"/>
                <w:color w:val="auto"/>
              </w:rPr>
              <w:t>B Notes</w:t>
            </w:r>
          </w:p>
        </w:tc>
        <w:tc>
          <w:tcPr>
            <w:tcW w:w="800" w:type="dxa"/>
            <w:vAlign w:val="bottom"/>
            <w:shd w:val="clear" w:color="auto" w:fill="DBDBDB"/>
          </w:tcPr>
          <w:p>
            <w:pPr>
              <w:ind w:left="380"/>
              <w:spacing w:after="0"/>
              <w:rPr>
                <w:sz w:val="20"/>
                <w:szCs w:val="20"/>
                <w:color w:val="auto"/>
              </w:rPr>
            </w:pPr>
            <w:r>
              <w:rPr>
                <w:rFonts w:ascii="Arial" w:cs="Arial" w:eastAsia="Arial" w:hAnsi="Arial"/>
                <w:sz w:val="12"/>
                <w:szCs w:val="12"/>
                <w:color w:val="auto"/>
                <w:w w:val="98"/>
              </w:rPr>
              <w:t>6.750%</w:t>
            </w:r>
          </w:p>
        </w:tc>
        <w:tc>
          <w:tcPr>
            <w:tcW w:w="3420" w:type="dxa"/>
            <w:vAlign w:val="bottom"/>
            <w:gridSpan w:val="2"/>
            <w:shd w:val="clear" w:color="auto" w:fill="DBDBDB"/>
          </w:tcPr>
          <w:p>
            <w:pPr>
              <w:ind w:left="20"/>
              <w:spacing w:after="0"/>
              <w:rPr>
                <w:sz w:val="20"/>
                <w:szCs w:val="20"/>
                <w:color w:val="auto"/>
              </w:rPr>
            </w:pPr>
            <w:r>
              <w:rPr>
                <w:rFonts w:ascii="Arial" w:cs="Arial" w:eastAsia="Arial" w:hAnsi="Arial"/>
                <w:sz w:val="12"/>
                <w:szCs w:val="12"/>
                <w:color w:val="auto"/>
              </w:rPr>
              <w:t>Senior Notes due November 2029</w:t>
            </w:r>
          </w:p>
        </w:tc>
        <w:tc>
          <w:tcPr>
            <w:tcW w:w="1560" w:type="dxa"/>
            <w:vAlign w:val="bottom"/>
            <w:shd w:val="clear" w:color="auto" w:fill="DBDBDB"/>
          </w:tcPr>
          <w:p>
            <w:pPr>
              <w:ind w:left="20"/>
              <w:spacing w:after="0"/>
              <w:rPr>
                <w:sz w:val="20"/>
                <w:szCs w:val="20"/>
                <w:color w:val="auto"/>
              </w:rPr>
            </w:pPr>
            <w:r>
              <w:rPr>
                <w:rFonts w:ascii="Arial" w:cs="Arial" w:eastAsia="Arial" w:hAnsi="Arial"/>
                <w:sz w:val="12"/>
                <w:szCs w:val="12"/>
                <w:color w:val="auto"/>
              </w:rPr>
              <w:t>MCP</w:t>
            </w:r>
          </w:p>
        </w:tc>
        <w:tc>
          <w:tcPr>
            <w:tcW w:w="4120" w:type="dxa"/>
            <w:vAlign w:val="bottom"/>
            <w:shd w:val="clear" w:color="auto" w:fill="DBDBDB"/>
          </w:tcPr>
          <w:p>
            <w:pPr>
              <w:ind w:left="260"/>
              <w:spacing w:after="0"/>
              <w:rPr>
                <w:sz w:val="20"/>
                <w:szCs w:val="20"/>
                <w:color w:val="auto"/>
              </w:rPr>
            </w:pPr>
            <w:r>
              <w:rPr>
                <w:rFonts w:ascii="Arial" w:cs="Arial" w:eastAsia="Arial" w:hAnsi="Arial"/>
                <w:sz w:val="12"/>
                <w:szCs w:val="12"/>
                <w:color w:val="auto"/>
              </w:rPr>
              <w:t>Multichip packaged solutions with managed NAND and LPDRAM</w:t>
            </w:r>
          </w:p>
        </w:tc>
      </w:tr>
      <w:tr>
        <w:trPr>
          <w:trHeight w:val="153"/>
        </w:trPr>
        <w:tc>
          <w:tcPr>
            <w:tcW w:w="280" w:type="dxa"/>
            <w:vAlign w:val="bottom"/>
          </w:tcPr>
          <w:p>
            <w:pPr>
              <w:spacing w:after="0"/>
              <w:rPr>
                <w:sz w:val="20"/>
                <w:szCs w:val="20"/>
                <w:color w:val="auto"/>
              </w:rPr>
            </w:pPr>
            <w:r>
              <w:rPr>
                <w:rFonts w:ascii="Arial" w:cs="Arial" w:eastAsia="Arial" w:hAnsi="Arial"/>
                <w:sz w:val="12"/>
                <w:szCs w:val="12"/>
                <w:color w:val="auto"/>
                <w:w w:val="97"/>
              </w:rPr>
              <w:t>2030</w:t>
            </w:r>
          </w:p>
        </w:tc>
        <w:tc>
          <w:tcPr>
            <w:tcW w:w="1120" w:type="dxa"/>
            <w:vAlign w:val="bottom"/>
          </w:tcPr>
          <w:p>
            <w:pPr>
              <w:ind w:left="20"/>
              <w:spacing w:after="0"/>
              <w:rPr>
                <w:sz w:val="20"/>
                <w:szCs w:val="20"/>
                <w:color w:val="auto"/>
              </w:rPr>
            </w:pPr>
            <w:r>
              <w:rPr>
                <w:rFonts w:ascii="Arial" w:cs="Arial" w:eastAsia="Arial" w:hAnsi="Arial"/>
                <w:sz w:val="12"/>
                <w:szCs w:val="12"/>
                <w:color w:val="auto"/>
              </w:rPr>
              <w:t>Notes</w:t>
            </w:r>
          </w:p>
        </w:tc>
        <w:tc>
          <w:tcPr>
            <w:tcW w:w="800" w:type="dxa"/>
            <w:vAlign w:val="bottom"/>
          </w:tcPr>
          <w:p>
            <w:pPr>
              <w:ind w:left="380"/>
              <w:spacing w:after="0"/>
              <w:rPr>
                <w:sz w:val="20"/>
                <w:szCs w:val="20"/>
                <w:color w:val="auto"/>
              </w:rPr>
            </w:pPr>
            <w:r>
              <w:rPr>
                <w:rFonts w:ascii="Arial" w:cs="Arial" w:eastAsia="Arial" w:hAnsi="Arial"/>
                <w:sz w:val="12"/>
                <w:szCs w:val="12"/>
                <w:color w:val="auto"/>
                <w:w w:val="98"/>
              </w:rPr>
              <w:t>4.663%</w:t>
            </w:r>
          </w:p>
        </w:tc>
        <w:tc>
          <w:tcPr>
            <w:tcW w:w="3420" w:type="dxa"/>
            <w:vAlign w:val="bottom"/>
            <w:gridSpan w:val="2"/>
          </w:tcPr>
          <w:p>
            <w:pPr>
              <w:ind w:left="20"/>
              <w:spacing w:after="0"/>
              <w:rPr>
                <w:sz w:val="20"/>
                <w:szCs w:val="20"/>
                <w:color w:val="auto"/>
              </w:rPr>
            </w:pPr>
            <w:r>
              <w:rPr>
                <w:rFonts w:ascii="Arial" w:cs="Arial" w:eastAsia="Arial" w:hAnsi="Arial"/>
                <w:sz w:val="12"/>
                <w:szCs w:val="12"/>
                <w:color w:val="auto"/>
              </w:rPr>
              <w:t>Senior Notes due February 2030</w:t>
            </w:r>
          </w:p>
        </w:tc>
        <w:tc>
          <w:tcPr>
            <w:tcW w:w="1560" w:type="dxa"/>
            <w:vAlign w:val="bottom"/>
          </w:tcPr>
          <w:p>
            <w:pPr>
              <w:ind w:left="20"/>
              <w:spacing w:after="0"/>
              <w:rPr>
                <w:sz w:val="20"/>
                <w:szCs w:val="20"/>
                <w:color w:val="auto"/>
              </w:rPr>
            </w:pPr>
            <w:r>
              <w:rPr>
                <w:rFonts w:ascii="Arial" w:cs="Arial" w:eastAsia="Arial" w:hAnsi="Arial"/>
                <w:sz w:val="12"/>
                <w:szCs w:val="12"/>
                <w:color w:val="auto"/>
              </w:rPr>
              <w:t>Micron</w:t>
            </w:r>
          </w:p>
        </w:tc>
        <w:tc>
          <w:tcPr>
            <w:tcW w:w="4120" w:type="dxa"/>
            <w:vAlign w:val="bottom"/>
          </w:tcPr>
          <w:p>
            <w:pPr>
              <w:ind w:left="260"/>
              <w:spacing w:after="0"/>
              <w:rPr>
                <w:sz w:val="20"/>
                <w:szCs w:val="20"/>
                <w:color w:val="auto"/>
              </w:rPr>
            </w:pPr>
            <w:r>
              <w:rPr>
                <w:rFonts w:ascii="Arial" w:cs="Arial" w:eastAsia="Arial" w:hAnsi="Arial"/>
                <w:sz w:val="12"/>
                <w:szCs w:val="12"/>
                <w:color w:val="auto"/>
              </w:rPr>
              <w:t>Micron Technology, Inc. (Parent Company)</w:t>
            </w:r>
          </w:p>
        </w:tc>
      </w:tr>
      <w:tr>
        <w:trPr>
          <w:trHeight w:val="153"/>
        </w:trPr>
        <w:tc>
          <w:tcPr>
            <w:tcW w:w="280" w:type="dxa"/>
            <w:vAlign w:val="bottom"/>
            <w:shd w:val="clear" w:color="auto" w:fill="DBDBDB"/>
          </w:tcPr>
          <w:p>
            <w:pPr>
              <w:spacing w:after="0"/>
              <w:rPr>
                <w:sz w:val="20"/>
                <w:szCs w:val="20"/>
                <w:color w:val="auto"/>
              </w:rPr>
            </w:pPr>
            <w:r>
              <w:rPr>
                <w:rFonts w:ascii="Arial" w:cs="Arial" w:eastAsia="Arial" w:hAnsi="Arial"/>
                <w:sz w:val="12"/>
                <w:szCs w:val="12"/>
                <w:color w:val="auto"/>
                <w:w w:val="97"/>
              </w:rPr>
              <w:t>2031</w:t>
            </w:r>
          </w:p>
        </w:tc>
        <w:tc>
          <w:tcPr>
            <w:tcW w:w="1120" w:type="dxa"/>
            <w:vAlign w:val="bottom"/>
            <w:shd w:val="clear" w:color="auto" w:fill="DBDBDB"/>
          </w:tcPr>
          <w:p>
            <w:pPr>
              <w:ind w:left="20"/>
              <w:spacing w:after="0"/>
              <w:rPr>
                <w:sz w:val="20"/>
                <w:szCs w:val="20"/>
                <w:color w:val="auto"/>
              </w:rPr>
            </w:pPr>
            <w:r>
              <w:rPr>
                <w:rFonts w:ascii="Arial" w:cs="Arial" w:eastAsia="Arial" w:hAnsi="Arial"/>
                <w:sz w:val="12"/>
                <w:szCs w:val="12"/>
                <w:color w:val="auto"/>
              </w:rPr>
              <w:t>Notes</w:t>
            </w:r>
          </w:p>
        </w:tc>
        <w:tc>
          <w:tcPr>
            <w:tcW w:w="800" w:type="dxa"/>
            <w:vAlign w:val="bottom"/>
            <w:shd w:val="clear" w:color="auto" w:fill="DBDBDB"/>
          </w:tcPr>
          <w:p>
            <w:pPr>
              <w:ind w:left="380"/>
              <w:spacing w:after="0"/>
              <w:rPr>
                <w:sz w:val="20"/>
                <w:szCs w:val="20"/>
                <w:color w:val="auto"/>
              </w:rPr>
            </w:pPr>
            <w:r>
              <w:rPr>
                <w:rFonts w:ascii="Arial" w:cs="Arial" w:eastAsia="Arial" w:hAnsi="Arial"/>
                <w:sz w:val="12"/>
                <w:szCs w:val="12"/>
                <w:color w:val="auto"/>
                <w:w w:val="98"/>
              </w:rPr>
              <w:t>5.300%</w:t>
            </w:r>
          </w:p>
        </w:tc>
        <w:tc>
          <w:tcPr>
            <w:tcW w:w="3420" w:type="dxa"/>
            <w:vAlign w:val="bottom"/>
            <w:gridSpan w:val="2"/>
            <w:shd w:val="clear" w:color="auto" w:fill="DBDBDB"/>
          </w:tcPr>
          <w:p>
            <w:pPr>
              <w:ind w:left="20"/>
              <w:spacing w:after="0"/>
              <w:rPr>
                <w:sz w:val="20"/>
                <w:szCs w:val="20"/>
                <w:color w:val="auto"/>
              </w:rPr>
            </w:pPr>
            <w:r>
              <w:rPr>
                <w:rFonts w:ascii="Arial" w:cs="Arial" w:eastAsia="Arial" w:hAnsi="Arial"/>
                <w:sz w:val="12"/>
                <w:szCs w:val="12"/>
                <w:color w:val="auto"/>
              </w:rPr>
              <w:t>Senior Notes due January 2031</w:t>
            </w:r>
          </w:p>
        </w:tc>
        <w:tc>
          <w:tcPr>
            <w:tcW w:w="1560" w:type="dxa"/>
            <w:vAlign w:val="bottom"/>
            <w:shd w:val="clear" w:color="auto" w:fill="DBDBDB"/>
          </w:tcPr>
          <w:p>
            <w:pPr>
              <w:ind w:left="20"/>
              <w:spacing w:after="0"/>
              <w:rPr>
                <w:sz w:val="20"/>
                <w:szCs w:val="20"/>
                <w:color w:val="auto"/>
              </w:rPr>
            </w:pPr>
            <w:r>
              <w:rPr>
                <w:rFonts w:ascii="Arial" w:cs="Arial" w:eastAsia="Arial" w:hAnsi="Arial"/>
                <w:sz w:val="12"/>
                <w:szCs w:val="12"/>
                <w:color w:val="auto"/>
              </w:rPr>
              <w:t>NRV</w:t>
            </w:r>
          </w:p>
        </w:tc>
        <w:tc>
          <w:tcPr>
            <w:tcW w:w="4120" w:type="dxa"/>
            <w:vAlign w:val="bottom"/>
            <w:shd w:val="clear" w:color="auto" w:fill="DBDBDB"/>
          </w:tcPr>
          <w:p>
            <w:pPr>
              <w:ind w:left="260"/>
              <w:spacing w:after="0"/>
              <w:rPr>
                <w:sz w:val="20"/>
                <w:szCs w:val="20"/>
                <w:color w:val="auto"/>
              </w:rPr>
            </w:pPr>
            <w:r>
              <w:rPr>
                <w:rFonts w:ascii="Arial" w:cs="Arial" w:eastAsia="Arial" w:hAnsi="Arial"/>
                <w:sz w:val="12"/>
                <w:szCs w:val="12"/>
                <w:color w:val="auto"/>
              </w:rPr>
              <w:t>Net realizable value</w:t>
            </w:r>
          </w:p>
        </w:tc>
      </w:tr>
      <w:tr>
        <w:trPr>
          <w:trHeight w:val="153"/>
        </w:trPr>
        <w:tc>
          <w:tcPr>
            <w:tcW w:w="280" w:type="dxa"/>
            <w:vAlign w:val="bottom"/>
          </w:tcPr>
          <w:p>
            <w:pPr>
              <w:spacing w:after="0"/>
              <w:rPr>
                <w:sz w:val="20"/>
                <w:szCs w:val="20"/>
                <w:color w:val="auto"/>
              </w:rPr>
            </w:pPr>
            <w:r>
              <w:rPr>
                <w:rFonts w:ascii="Arial" w:cs="Arial" w:eastAsia="Arial" w:hAnsi="Arial"/>
                <w:sz w:val="12"/>
                <w:szCs w:val="12"/>
                <w:color w:val="auto"/>
                <w:w w:val="97"/>
              </w:rPr>
              <w:t>2032</w:t>
            </w:r>
          </w:p>
        </w:tc>
        <w:tc>
          <w:tcPr>
            <w:tcW w:w="1120" w:type="dxa"/>
            <w:vAlign w:val="bottom"/>
          </w:tcPr>
          <w:p>
            <w:pPr>
              <w:ind w:left="20"/>
              <w:spacing w:after="0"/>
              <w:rPr>
                <w:sz w:val="20"/>
                <w:szCs w:val="20"/>
                <w:color w:val="auto"/>
              </w:rPr>
            </w:pPr>
            <w:r>
              <w:rPr>
                <w:rFonts w:ascii="Arial" w:cs="Arial" w:eastAsia="Arial" w:hAnsi="Arial"/>
                <w:sz w:val="12"/>
                <w:szCs w:val="12"/>
                <w:color w:val="auto"/>
              </w:rPr>
              <w:t>Green Bonds</w:t>
            </w:r>
          </w:p>
        </w:tc>
        <w:tc>
          <w:tcPr>
            <w:tcW w:w="800" w:type="dxa"/>
            <w:vAlign w:val="bottom"/>
          </w:tcPr>
          <w:p>
            <w:pPr>
              <w:ind w:left="380"/>
              <w:spacing w:after="0"/>
              <w:rPr>
                <w:sz w:val="20"/>
                <w:szCs w:val="20"/>
                <w:color w:val="auto"/>
              </w:rPr>
            </w:pPr>
            <w:r>
              <w:rPr>
                <w:rFonts w:ascii="Arial" w:cs="Arial" w:eastAsia="Arial" w:hAnsi="Arial"/>
                <w:sz w:val="12"/>
                <w:szCs w:val="12"/>
                <w:color w:val="auto"/>
                <w:w w:val="98"/>
              </w:rPr>
              <w:t>2.703%</w:t>
            </w:r>
          </w:p>
        </w:tc>
        <w:tc>
          <w:tcPr>
            <w:tcW w:w="3420" w:type="dxa"/>
            <w:vAlign w:val="bottom"/>
            <w:gridSpan w:val="2"/>
          </w:tcPr>
          <w:p>
            <w:pPr>
              <w:ind w:left="20"/>
              <w:spacing w:after="0"/>
              <w:rPr>
                <w:sz w:val="20"/>
                <w:szCs w:val="20"/>
                <w:color w:val="auto"/>
              </w:rPr>
            </w:pPr>
            <w:r>
              <w:rPr>
                <w:rFonts w:ascii="Arial" w:cs="Arial" w:eastAsia="Arial" w:hAnsi="Arial"/>
                <w:sz w:val="12"/>
                <w:szCs w:val="12"/>
                <w:color w:val="auto"/>
              </w:rPr>
              <w:t>Senior Notes due April 2032</w:t>
            </w:r>
          </w:p>
        </w:tc>
        <w:tc>
          <w:tcPr>
            <w:tcW w:w="1560" w:type="dxa"/>
            <w:vAlign w:val="bottom"/>
          </w:tcPr>
          <w:p>
            <w:pPr>
              <w:ind w:left="20"/>
              <w:spacing w:after="0"/>
              <w:rPr>
                <w:sz w:val="20"/>
                <w:szCs w:val="20"/>
                <w:color w:val="auto"/>
              </w:rPr>
            </w:pPr>
            <w:r>
              <w:rPr>
                <w:rFonts w:ascii="Arial" w:cs="Arial" w:eastAsia="Arial" w:hAnsi="Arial"/>
                <w:sz w:val="12"/>
                <w:szCs w:val="12"/>
                <w:color w:val="auto"/>
              </w:rPr>
              <w:t>Revolving Credit Facility</w:t>
            </w:r>
          </w:p>
        </w:tc>
        <w:tc>
          <w:tcPr>
            <w:tcW w:w="4120" w:type="dxa"/>
            <w:vAlign w:val="bottom"/>
          </w:tcPr>
          <w:p>
            <w:pPr>
              <w:ind w:left="260"/>
              <w:spacing w:after="0"/>
              <w:rPr>
                <w:sz w:val="20"/>
                <w:szCs w:val="20"/>
                <w:color w:val="auto"/>
              </w:rPr>
            </w:pPr>
            <w:r>
              <w:rPr>
                <w:rFonts w:ascii="Arial" w:cs="Arial" w:eastAsia="Arial" w:hAnsi="Arial"/>
                <w:sz w:val="12"/>
                <w:szCs w:val="12"/>
                <w:color w:val="auto"/>
              </w:rPr>
              <w:t>$2.5 billion Revolving Credit Facility due May 2026</w:t>
            </w:r>
          </w:p>
        </w:tc>
      </w:tr>
      <w:tr>
        <w:trPr>
          <w:trHeight w:val="153"/>
        </w:trPr>
        <w:tc>
          <w:tcPr>
            <w:tcW w:w="280" w:type="dxa"/>
            <w:vAlign w:val="bottom"/>
            <w:shd w:val="clear" w:color="auto" w:fill="DBDBDB"/>
          </w:tcPr>
          <w:p>
            <w:pPr>
              <w:spacing w:after="0"/>
              <w:rPr>
                <w:sz w:val="20"/>
                <w:szCs w:val="20"/>
                <w:color w:val="auto"/>
              </w:rPr>
            </w:pPr>
            <w:r>
              <w:rPr>
                <w:rFonts w:ascii="Arial" w:cs="Arial" w:eastAsia="Arial" w:hAnsi="Arial"/>
                <w:sz w:val="12"/>
                <w:szCs w:val="12"/>
                <w:color w:val="auto"/>
                <w:w w:val="97"/>
              </w:rPr>
              <w:t>2033</w:t>
            </w:r>
          </w:p>
        </w:tc>
        <w:tc>
          <w:tcPr>
            <w:tcW w:w="1120" w:type="dxa"/>
            <w:vAlign w:val="bottom"/>
            <w:shd w:val="clear" w:color="auto" w:fill="DBDBDB"/>
          </w:tcPr>
          <w:p>
            <w:pPr>
              <w:ind w:left="20"/>
              <w:spacing w:after="0"/>
              <w:rPr>
                <w:sz w:val="20"/>
                <w:szCs w:val="20"/>
                <w:color w:val="auto"/>
              </w:rPr>
            </w:pPr>
            <w:r>
              <w:rPr>
                <w:rFonts w:ascii="Arial" w:cs="Arial" w:eastAsia="Arial" w:hAnsi="Arial"/>
                <w:sz w:val="12"/>
                <w:szCs w:val="12"/>
                <w:color w:val="auto"/>
              </w:rPr>
              <w:t>A Notes</w:t>
            </w:r>
          </w:p>
        </w:tc>
        <w:tc>
          <w:tcPr>
            <w:tcW w:w="800" w:type="dxa"/>
            <w:vAlign w:val="bottom"/>
            <w:shd w:val="clear" w:color="auto" w:fill="DBDBDB"/>
          </w:tcPr>
          <w:p>
            <w:pPr>
              <w:ind w:left="380"/>
              <w:spacing w:after="0"/>
              <w:rPr>
                <w:sz w:val="20"/>
                <w:szCs w:val="20"/>
                <w:color w:val="auto"/>
              </w:rPr>
            </w:pPr>
            <w:r>
              <w:rPr>
                <w:rFonts w:ascii="Arial" w:cs="Arial" w:eastAsia="Arial" w:hAnsi="Arial"/>
                <w:sz w:val="12"/>
                <w:szCs w:val="12"/>
                <w:color w:val="auto"/>
                <w:w w:val="98"/>
              </w:rPr>
              <w:t>5.875%</w:t>
            </w:r>
          </w:p>
        </w:tc>
        <w:tc>
          <w:tcPr>
            <w:tcW w:w="3420" w:type="dxa"/>
            <w:vAlign w:val="bottom"/>
            <w:gridSpan w:val="2"/>
            <w:shd w:val="clear" w:color="auto" w:fill="DBDBDB"/>
          </w:tcPr>
          <w:p>
            <w:pPr>
              <w:ind w:left="20"/>
              <w:spacing w:after="0"/>
              <w:rPr>
                <w:sz w:val="20"/>
                <w:szCs w:val="20"/>
                <w:color w:val="auto"/>
              </w:rPr>
            </w:pPr>
            <w:r>
              <w:rPr>
                <w:rFonts w:ascii="Arial" w:cs="Arial" w:eastAsia="Arial" w:hAnsi="Arial"/>
                <w:sz w:val="12"/>
                <w:szCs w:val="12"/>
                <w:color w:val="auto"/>
              </w:rPr>
              <w:t>Senior Notes due February 2033</w:t>
            </w:r>
          </w:p>
        </w:tc>
        <w:tc>
          <w:tcPr>
            <w:tcW w:w="1560" w:type="dxa"/>
            <w:vAlign w:val="bottom"/>
            <w:shd w:val="clear" w:color="auto" w:fill="DBDBDB"/>
          </w:tcPr>
          <w:p>
            <w:pPr>
              <w:ind w:left="20"/>
              <w:spacing w:after="0"/>
              <w:rPr>
                <w:sz w:val="20"/>
                <w:szCs w:val="20"/>
                <w:color w:val="auto"/>
              </w:rPr>
            </w:pPr>
            <w:r>
              <w:rPr>
                <w:rFonts w:ascii="Arial" w:cs="Arial" w:eastAsia="Arial" w:hAnsi="Arial"/>
                <w:sz w:val="12"/>
                <w:szCs w:val="12"/>
                <w:color w:val="auto"/>
              </w:rPr>
              <w:t>SOFR</w:t>
            </w:r>
          </w:p>
        </w:tc>
        <w:tc>
          <w:tcPr>
            <w:tcW w:w="4120" w:type="dxa"/>
            <w:vAlign w:val="bottom"/>
            <w:shd w:val="clear" w:color="auto" w:fill="DBDBDB"/>
          </w:tcPr>
          <w:p>
            <w:pPr>
              <w:ind w:left="260"/>
              <w:spacing w:after="0"/>
              <w:rPr>
                <w:sz w:val="20"/>
                <w:szCs w:val="20"/>
                <w:color w:val="auto"/>
              </w:rPr>
            </w:pPr>
            <w:r>
              <w:rPr>
                <w:rFonts w:ascii="Arial" w:cs="Arial" w:eastAsia="Arial" w:hAnsi="Arial"/>
                <w:sz w:val="12"/>
                <w:szCs w:val="12"/>
                <w:color w:val="auto"/>
              </w:rPr>
              <w:t>Secured Overnight Financing Rate</w:t>
            </w:r>
          </w:p>
        </w:tc>
      </w:tr>
      <w:tr>
        <w:trPr>
          <w:trHeight w:val="159"/>
        </w:trPr>
        <w:tc>
          <w:tcPr>
            <w:tcW w:w="280" w:type="dxa"/>
            <w:vAlign w:val="bottom"/>
          </w:tcPr>
          <w:p>
            <w:pPr>
              <w:spacing w:after="0"/>
              <w:rPr>
                <w:sz w:val="20"/>
                <w:szCs w:val="20"/>
                <w:color w:val="auto"/>
              </w:rPr>
            </w:pPr>
            <w:r>
              <w:rPr>
                <w:rFonts w:ascii="Arial" w:cs="Arial" w:eastAsia="Arial" w:hAnsi="Arial"/>
                <w:sz w:val="12"/>
                <w:szCs w:val="12"/>
                <w:color w:val="auto"/>
                <w:w w:val="97"/>
              </w:rPr>
              <w:t>2033</w:t>
            </w:r>
          </w:p>
        </w:tc>
        <w:tc>
          <w:tcPr>
            <w:tcW w:w="1120" w:type="dxa"/>
            <w:vAlign w:val="bottom"/>
          </w:tcPr>
          <w:p>
            <w:pPr>
              <w:ind w:left="20"/>
              <w:spacing w:after="0"/>
              <w:rPr>
                <w:sz w:val="20"/>
                <w:szCs w:val="20"/>
                <w:color w:val="auto"/>
              </w:rPr>
            </w:pPr>
            <w:r>
              <w:rPr>
                <w:rFonts w:ascii="Arial" w:cs="Arial" w:eastAsia="Arial" w:hAnsi="Arial"/>
                <w:sz w:val="12"/>
                <w:szCs w:val="12"/>
                <w:color w:val="auto"/>
              </w:rPr>
              <w:t>B Notes</w:t>
            </w:r>
          </w:p>
        </w:tc>
        <w:tc>
          <w:tcPr>
            <w:tcW w:w="800" w:type="dxa"/>
            <w:vAlign w:val="bottom"/>
          </w:tcPr>
          <w:p>
            <w:pPr>
              <w:ind w:left="380"/>
              <w:spacing w:after="0"/>
              <w:rPr>
                <w:sz w:val="20"/>
                <w:szCs w:val="20"/>
                <w:color w:val="auto"/>
              </w:rPr>
            </w:pPr>
            <w:r>
              <w:rPr>
                <w:rFonts w:ascii="Arial" w:cs="Arial" w:eastAsia="Arial" w:hAnsi="Arial"/>
                <w:sz w:val="12"/>
                <w:szCs w:val="12"/>
                <w:color w:val="auto"/>
                <w:w w:val="98"/>
              </w:rPr>
              <w:t>5.875%</w:t>
            </w:r>
          </w:p>
        </w:tc>
        <w:tc>
          <w:tcPr>
            <w:tcW w:w="3420" w:type="dxa"/>
            <w:vAlign w:val="bottom"/>
            <w:gridSpan w:val="2"/>
          </w:tcPr>
          <w:p>
            <w:pPr>
              <w:ind w:left="20"/>
              <w:spacing w:after="0"/>
              <w:rPr>
                <w:sz w:val="20"/>
                <w:szCs w:val="20"/>
                <w:color w:val="auto"/>
              </w:rPr>
            </w:pPr>
            <w:r>
              <w:rPr>
                <w:rFonts w:ascii="Arial" w:cs="Arial" w:eastAsia="Arial" w:hAnsi="Arial"/>
                <w:sz w:val="12"/>
                <w:szCs w:val="12"/>
                <w:color w:val="auto"/>
              </w:rPr>
              <w:t>Senior Notes due September 2033</w:t>
            </w:r>
          </w:p>
        </w:tc>
        <w:tc>
          <w:tcPr>
            <w:tcW w:w="1560" w:type="dxa"/>
            <w:vAlign w:val="bottom"/>
          </w:tcPr>
          <w:p>
            <w:pPr>
              <w:ind w:left="20"/>
              <w:spacing w:after="0"/>
              <w:rPr>
                <w:sz w:val="20"/>
                <w:szCs w:val="20"/>
                <w:color w:val="auto"/>
              </w:rPr>
            </w:pPr>
            <w:r>
              <w:rPr>
                <w:rFonts w:ascii="Arial" w:cs="Arial" w:eastAsia="Arial" w:hAnsi="Arial"/>
                <w:sz w:val="12"/>
                <w:szCs w:val="12"/>
                <w:color w:val="auto"/>
              </w:rPr>
              <w:t>SSD</w:t>
            </w:r>
          </w:p>
        </w:tc>
        <w:tc>
          <w:tcPr>
            <w:tcW w:w="4120" w:type="dxa"/>
            <w:vAlign w:val="bottom"/>
          </w:tcPr>
          <w:p>
            <w:pPr>
              <w:ind w:left="260"/>
              <w:spacing w:after="0"/>
              <w:rPr>
                <w:sz w:val="20"/>
                <w:szCs w:val="20"/>
                <w:color w:val="auto"/>
              </w:rPr>
            </w:pPr>
            <w:r>
              <w:rPr>
                <w:rFonts w:ascii="Arial" w:cs="Arial" w:eastAsia="Arial" w:hAnsi="Arial"/>
                <w:sz w:val="12"/>
                <w:szCs w:val="12"/>
                <w:color w:val="auto"/>
              </w:rPr>
              <w:t>Solid state drive</w:t>
            </w:r>
          </w:p>
        </w:tc>
      </w:tr>
    </w:tbl>
    <w:p>
      <w:pPr>
        <w:spacing w:after="0" w:line="270" w:lineRule="exact"/>
        <w:rPr>
          <w:sz w:val="20"/>
          <w:szCs w:val="20"/>
          <w:color w:val="auto"/>
        </w:rPr>
      </w:pPr>
    </w:p>
    <w:p>
      <w:pPr>
        <w:ind w:right="260"/>
        <w:spacing w:after="0" w:line="262" w:lineRule="auto"/>
        <w:rPr>
          <w:sz w:val="20"/>
          <w:szCs w:val="20"/>
          <w:color w:val="auto"/>
        </w:rPr>
      </w:pPr>
      <w:r>
        <w:rPr>
          <w:rFonts w:ascii="Arial" w:cs="Arial" w:eastAsia="Arial" w:hAnsi="Arial"/>
          <w:sz w:val="12"/>
          <w:szCs w:val="12"/>
          <w:color w:val="auto"/>
        </w:rPr>
        <w:t xml:space="preserve">We are an industry leader in innovative memory and storage solutions transforming how the world uses information to enrich life </w:t>
      </w:r>
      <w:r>
        <w:rPr>
          <w:rFonts w:ascii="Arial" w:cs="Arial" w:eastAsia="Arial" w:hAnsi="Arial"/>
          <w:sz w:val="12"/>
          <w:szCs w:val="12"/>
          <w:i w:val="1"/>
          <w:iCs w:val="1"/>
          <w:color w:val="auto"/>
        </w:rPr>
        <w:t>for all</w:t>
      </w:r>
      <w:r>
        <w:rPr>
          <w:rFonts w:ascii="Arial" w:cs="Arial" w:eastAsia="Arial" w:hAnsi="Arial"/>
          <w:sz w:val="12"/>
          <w:szCs w:val="12"/>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207" w:lineRule="exact"/>
        <w:rPr>
          <w:sz w:val="20"/>
          <w:szCs w:val="20"/>
          <w:color w:val="auto"/>
        </w:rPr>
      </w:pPr>
    </w:p>
    <w:p>
      <w:pPr>
        <w:ind w:right="100"/>
        <w:spacing w:after="0" w:line="286" w:lineRule="auto"/>
        <w:rPr>
          <w:sz w:val="20"/>
          <w:szCs w:val="20"/>
          <w:color w:val="auto"/>
        </w:rPr>
      </w:pPr>
      <w:r>
        <w:rPr>
          <w:rFonts w:ascii="Arial" w:cs="Arial" w:eastAsia="Arial" w:hAnsi="Arial"/>
          <w:sz w:val="12"/>
          <w:szCs w:val="12"/>
          <w:color w:val="auto"/>
        </w:rPr>
        <w:t>Micron, Crucial, any associated logos, and all other Micron trademarks are the property of Micron. Other product names or trademarks that are not owned by Micron are for identification purposes only and may be the trademarks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3 | 2024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Available Information</w:t>
      </w:r>
    </w:p>
    <w:p>
      <w:pPr>
        <w:spacing w:after="0" w:line="178"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Investors and others should note that we announce material financial information about our business and products through a variety of means, including our investor relations website (investors.micron.com), filings with the U.S. Securities and Exchange Commission (“SEC”), press releases, public conference calls, blog posts (micron.com/about/blog), and webcasts. We use these channels to achieve broad, non-exclusionary distribution of information to the public and for complying with our disclosure obligations under Regulation FD. Therefore, we encourage investors, the media, and others interested in our company to review the information we post on such channels.</w:t>
      </w:r>
    </w:p>
    <w:p>
      <w:pPr>
        <w:spacing w:after="0" w:line="297"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Forward-Looking Statements</w:t>
      </w:r>
    </w:p>
    <w:p>
      <w:pPr>
        <w:spacing w:after="0" w:line="178"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This Form 10-Q contains trend information and other forward-looking statements that involve a number of risks and uncertainties. Such forward-looking statements may be identified by words such as "anticipate," "expect," "intend," "committed," "plan," "opportunities," "future," "believe," "target," "on track," "estimate," "continue," "likely," "may," "will," "would," "should," "could," and variations of such words and similar expressions. However, the absence of these words or similar expressions does not mean that a statement is not forward-looking. Specific forward-looking statements include, but are not limited to, statements such as those made regarding potential change in our effective tax rate; the timing for construction and ramping of production for new memory manufacturing fabs in the United States; intent to make investments at our backend facility in Xi’an, China; receipt and maintenance of government incentives; the payment of future cash dividends; market conditions and profitability in our industry; the impact of the Cyberspace Administration of China decision; capital spending in 2024; and the sufficiency of our cash and investments. Our actual results could differ materially from our historical results and those discussed in the forward-looking statements. Factors that could cause actual results to differ materially include, but are not limited to, those identified in “Part II. Other Information – Item 1A. Risk Factors.”</w:t>
      </w:r>
    </w:p>
    <w:p>
      <w:pPr>
        <w:spacing w:after="0" w:line="224"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 w:name="page5"/>
    <w:bookmarkEnd w:id="4"/>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4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 I. FINANCIAL INFORMATION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Micron Technology, Inc.</w:t>
      </w:r>
    </w:p>
    <w:p>
      <w:pPr>
        <w:spacing w:after="0" w:line="42"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Consolidated Statements of Operations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(In millions, except per share amounts)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Quarter ended</w:t>
            </w: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3"/>
          </w:tcPr>
          <w:p>
            <w:pPr>
              <w:jc w:val="right"/>
              <w:ind w:right="860"/>
              <w:spacing w:after="0"/>
              <w:rPr>
                <w:sz w:val="20"/>
                <w:szCs w:val="20"/>
                <w:color w:val="auto"/>
              </w:rPr>
            </w:pPr>
            <w:r>
              <w:rPr>
                <w:rFonts w:ascii="Arial" w:cs="Arial" w:eastAsia="Arial" w:hAnsi="Arial"/>
                <w:sz w:val="12"/>
                <w:szCs w:val="12"/>
                <w:b w:val="1"/>
                <w:bCs w:val="1"/>
                <w:color w:val="auto"/>
              </w:rPr>
              <w:t>Six months ended</w:t>
            </w:r>
          </w:p>
        </w:tc>
      </w:tr>
      <w:tr>
        <w:trPr>
          <w:trHeight w:val="111"/>
        </w:trPr>
        <w:tc>
          <w:tcPr>
            <w:tcW w:w="5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jc w:val="right"/>
              <w:ind w:right="280"/>
              <w:spacing w:after="0" w:line="111" w:lineRule="exact"/>
              <w:rPr>
                <w:sz w:val="20"/>
                <w:szCs w:val="20"/>
                <w:color w:val="auto"/>
              </w:rPr>
            </w:pPr>
            <w:r>
              <w:rPr>
                <w:rFonts w:ascii="Arial" w:cs="Arial" w:eastAsia="Arial" w:hAnsi="Arial"/>
                <w:sz w:val="12"/>
                <w:szCs w:val="12"/>
                <w:b w:val="1"/>
                <w:bCs w:val="1"/>
                <w:color w:val="auto"/>
              </w:rPr>
              <w:t>February 29,</w:t>
            </w:r>
          </w:p>
        </w:tc>
        <w:tc>
          <w:tcPr>
            <w:tcW w:w="460" w:type="dxa"/>
            <w:vAlign w:val="bottom"/>
          </w:tcPr>
          <w:p>
            <w:pPr>
              <w:spacing w:after="0"/>
              <w:rPr>
                <w:sz w:val="9"/>
                <w:szCs w:val="9"/>
                <w:color w:val="auto"/>
              </w:rPr>
            </w:pPr>
          </w:p>
        </w:tc>
        <w:tc>
          <w:tcPr>
            <w:tcW w:w="980" w:type="dxa"/>
            <w:vAlign w:val="bottom"/>
          </w:tcPr>
          <w:p>
            <w:pPr>
              <w:jc w:val="right"/>
              <w:ind w:right="400"/>
              <w:spacing w:after="0" w:line="111" w:lineRule="exact"/>
              <w:rPr>
                <w:sz w:val="20"/>
                <w:szCs w:val="20"/>
                <w:color w:val="auto"/>
              </w:rPr>
            </w:pPr>
            <w:r>
              <w:rPr>
                <w:rFonts w:ascii="Arial" w:cs="Arial" w:eastAsia="Arial" w:hAnsi="Arial"/>
                <w:sz w:val="12"/>
                <w:szCs w:val="12"/>
                <w:b w:val="1"/>
                <w:bCs w:val="1"/>
                <w:color w:val="auto"/>
              </w:rPr>
              <w:t>March 2,</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jc w:val="right"/>
              <w:ind w:right="300"/>
              <w:spacing w:after="0" w:line="111" w:lineRule="exact"/>
              <w:rPr>
                <w:sz w:val="20"/>
                <w:szCs w:val="20"/>
                <w:color w:val="auto"/>
              </w:rPr>
            </w:pPr>
            <w:r>
              <w:rPr>
                <w:rFonts w:ascii="Arial" w:cs="Arial" w:eastAsia="Arial" w:hAnsi="Arial"/>
                <w:sz w:val="12"/>
                <w:szCs w:val="12"/>
                <w:b w:val="1"/>
                <w:bCs w:val="1"/>
                <w:color w:val="auto"/>
              </w:rPr>
              <w:t>February 29,</w:t>
            </w:r>
          </w:p>
        </w:tc>
        <w:tc>
          <w:tcPr>
            <w:tcW w:w="280" w:type="dxa"/>
            <w:vAlign w:val="bottom"/>
          </w:tcPr>
          <w:p>
            <w:pPr>
              <w:spacing w:after="0"/>
              <w:rPr>
                <w:sz w:val="9"/>
                <w:szCs w:val="9"/>
                <w:color w:val="auto"/>
              </w:rPr>
            </w:pPr>
          </w:p>
        </w:tc>
        <w:tc>
          <w:tcPr>
            <w:tcW w:w="1160" w:type="dxa"/>
            <w:vAlign w:val="bottom"/>
          </w:tcPr>
          <w:p>
            <w:pPr>
              <w:jc w:val="right"/>
              <w:ind w:right="420"/>
              <w:spacing w:after="0" w:line="111" w:lineRule="exact"/>
              <w:rPr>
                <w:sz w:val="20"/>
                <w:szCs w:val="20"/>
                <w:color w:val="auto"/>
              </w:rPr>
            </w:pPr>
            <w:r>
              <w:rPr>
                <w:rFonts w:ascii="Arial" w:cs="Arial" w:eastAsia="Arial" w:hAnsi="Arial"/>
                <w:sz w:val="12"/>
                <w:szCs w:val="12"/>
                <w:b w:val="1"/>
                <w:bCs w:val="1"/>
                <w:color w:val="auto"/>
              </w:rPr>
              <w:t>March 2,</w:t>
            </w:r>
          </w:p>
        </w:tc>
      </w:tr>
      <w:tr>
        <w:trPr>
          <w:trHeight w:val="165"/>
        </w:trPr>
        <w:tc>
          <w:tcPr>
            <w:tcW w:w="5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2024</w:t>
            </w: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2024</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r>
      <w:tr>
        <w:trPr>
          <w:trHeight w:val="161"/>
        </w:trPr>
        <w:tc>
          <w:tcPr>
            <w:tcW w:w="5500" w:type="dxa"/>
            <w:vAlign w:val="bottom"/>
            <w:shd w:val="clear" w:color="auto" w:fill="D1D2D4"/>
          </w:tcPr>
          <w:p>
            <w:pPr>
              <w:spacing w:after="0"/>
              <w:rPr>
                <w:sz w:val="20"/>
                <w:szCs w:val="20"/>
                <w:color w:val="auto"/>
              </w:rPr>
            </w:pPr>
            <w:r>
              <w:rPr>
                <w:rFonts w:ascii="Arial" w:cs="Arial" w:eastAsia="Arial" w:hAnsi="Arial"/>
                <w:sz w:val="12"/>
                <w:szCs w:val="12"/>
                <w:color w:val="auto"/>
              </w:rPr>
              <w:t>Revenue</w:t>
            </w:r>
          </w:p>
        </w:tc>
        <w:tc>
          <w:tcPr>
            <w:tcW w:w="220" w:type="dxa"/>
            <w:vAlign w:val="bottom"/>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5,824</w:t>
            </w:r>
          </w:p>
        </w:tc>
        <w:tc>
          <w:tcPr>
            <w:tcW w:w="460" w:type="dxa"/>
            <w:vAlign w:val="bottom"/>
            <w:shd w:val="clear" w:color="auto" w:fill="D1D2D4"/>
          </w:tcPr>
          <w:p>
            <w:pPr>
              <w:jc w:val="right"/>
              <w:ind w:right="32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3,693</w:t>
            </w:r>
          </w:p>
        </w:tc>
        <w:tc>
          <w:tcPr>
            <w:tcW w:w="80" w:type="dxa"/>
            <w:vAlign w:val="bottom"/>
            <w:shd w:val="clear" w:color="auto" w:fill="D1D2D4"/>
          </w:tcPr>
          <w:p>
            <w:pPr>
              <w:spacing w:after="0"/>
              <w:rPr>
                <w:sz w:val="14"/>
                <w:szCs w:val="14"/>
                <w:color w:val="auto"/>
              </w:rPr>
            </w:pPr>
          </w:p>
        </w:tc>
        <w:tc>
          <w:tcPr>
            <w:tcW w:w="220" w:type="dxa"/>
            <w:vAlign w:val="bottom"/>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10,550</w:t>
            </w:r>
          </w:p>
        </w:tc>
        <w:tc>
          <w:tcPr>
            <w:tcW w:w="280" w:type="dxa"/>
            <w:vAlign w:val="bottom"/>
            <w:shd w:val="clear" w:color="auto" w:fill="D1D2D4"/>
          </w:tcPr>
          <w:p>
            <w:pPr>
              <w:jc w:val="right"/>
              <w:ind w:right="14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7,778</w:t>
            </w:r>
          </w:p>
        </w:tc>
      </w:tr>
      <w:tr>
        <w:trPr>
          <w:trHeight w:val="153"/>
        </w:trPr>
        <w:tc>
          <w:tcPr>
            <w:tcW w:w="5500" w:type="dxa"/>
            <w:vAlign w:val="bottom"/>
            <w:tcBorders>
              <w:bottom w:val="single" w:sz="8" w:color="D1D2D4"/>
            </w:tcBorders>
          </w:tcPr>
          <w:p>
            <w:pPr>
              <w:spacing w:after="0"/>
              <w:rPr>
                <w:sz w:val="20"/>
                <w:szCs w:val="20"/>
                <w:color w:val="auto"/>
              </w:rPr>
            </w:pPr>
            <w:r>
              <w:rPr>
                <w:rFonts w:ascii="Arial" w:cs="Arial" w:eastAsia="Arial" w:hAnsi="Arial"/>
                <w:sz w:val="12"/>
                <w:szCs w:val="12"/>
                <w:color w:val="auto"/>
              </w:rPr>
              <w:t>Cost of goods sold</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4,745</w:t>
            </w: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4,899</w:t>
            </w:r>
          </w:p>
        </w:tc>
        <w:tc>
          <w:tcPr>
            <w:tcW w:w="80" w:type="dxa"/>
            <w:vAlign w:val="bottom"/>
            <w:tcBorders>
              <w:bottom w:val="single" w:sz="8" w:color="D1D2D4"/>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9,506</w:t>
            </w: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8,091</w:t>
            </w:r>
          </w:p>
        </w:tc>
      </w:tr>
      <w:tr>
        <w:trPr>
          <w:trHeight w:val="142"/>
        </w:trPr>
        <w:tc>
          <w:tcPr>
            <w:tcW w:w="5500" w:type="dxa"/>
            <w:vAlign w:val="bottom"/>
            <w:shd w:val="clear" w:color="auto" w:fill="D1D2D4"/>
          </w:tcPr>
          <w:p>
            <w:pPr>
              <w:ind w:left="140"/>
              <w:spacing w:after="0"/>
              <w:rPr>
                <w:sz w:val="20"/>
                <w:szCs w:val="20"/>
                <w:color w:val="auto"/>
              </w:rPr>
            </w:pPr>
            <w:r>
              <w:rPr>
                <w:rFonts w:ascii="Arial" w:cs="Arial" w:eastAsia="Arial" w:hAnsi="Arial"/>
                <w:sz w:val="12"/>
                <w:szCs w:val="12"/>
                <w:color w:val="auto"/>
              </w:rPr>
              <w:t>Gross margin</w:t>
            </w:r>
          </w:p>
        </w:tc>
        <w:tc>
          <w:tcPr>
            <w:tcW w:w="220" w:type="dxa"/>
            <w:vAlign w:val="bottom"/>
            <w:shd w:val="clear" w:color="auto" w:fill="D1D2D4"/>
          </w:tcPr>
          <w:p>
            <w:pPr>
              <w:spacing w:after="0"/>
              <w:rPr>
                <w:sz w:val="12"/>
                <w:szCs w:val="12"/>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1,079</w:t>
            </w:r>
          </w:p>
        </w:tc>
        <w:tc>
          <w:tcPr>
            <w:tcW w:w="460" w:type="dxa"/>
            <w:vAlign w:val="bottom"/>
            <w:shd w:val="clear" w:color="auto" w:fill="D1D2D4"/>
          </w:tcPr>
          <w:p>
            <w:pPr>
              <w:spacing w:after="0"/>
              <w:rPr>
                <w:sz w:val="12"/>
                <w:szCs w:val="12"/>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(1,206)</w:t>
            </w:r>
          </w:p>
        </w:tc>
        <w:tc>
          <w:tcPr>
            <w:tcW w:w="80" w:type="dxa"/>
            <w:vAlign w:val="bottom"/>
            <w:shd w:val="clear" w:color="auto" w:fill="D1D2D4"/>
          </w:tcPr>
          <w:p>
            <w:pPr>
              <w:spacing w:after="0"/>
              <w:rPr>
                <w:sz w:val="12"/>
                <w:szCs w:val="12"/>
                <w:color w:val="auto"/>
              </w:rPr>
            </w:pPr>
          </w:p>
        </w:tc>
        <w:tc>
          <w:tcPr>
            <w:tcW w:w="220" w:type="dxa"/>
            <w:vAlign w:val="bottom"/>
            <w:shd w:val="clear" w:color="auto" w:fill="D1D2D4"/>
          </w:tcPr>
          <w:p>
            <w:pPr>
              <w:spacing w:after="0"/>
              <w:rPr>
                <w:sz w:val="12"/>
                <w:szCs w:val="12"/>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1,044</w:t>
            </w:r>
          </w:p>
        </w:tc>
        <w:tc>
          <w:tcPr>
            <w:tcW w:w="280" w:type="dxa"/>
            <w:vAlign w:val="bottom"/>
            <w:shd w:val="clear" w:color="auto" w:fill="D1D2D4"/>
          </w:tcPr>
          <w:p>
            <w:pPr>
              <w:spacing w:after="0"/>
              <w:rPr>
                <w:sz w:val="12"/>
                <w:szCs w:val="1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(313)</w:t>
            </w:r>
          </w:p>
        </w:tc>
      </w:tr>
      <w:tr>
        <w:trPr>
          <w:trHeight w:val="171"/>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3"/>
        </w:trPr>
        <w:tc>
          <w:tcPr>
            <w:tcW w:w="5500" w:type="dxa"/>
            <w:vAlign w:val="bottom"/>
            <w:shd w:val="clear" w:color="auto" w:fill="D1D2D4"/>
          </w:tcPr>
          <w:p>
            <w:pPr>
              <w:spacing w:after="0"/>
              <w:rPr>
                <w:sz w:val="20"/>
                <w:szCs w:val="20"/>
                <w:color w:val="auto"/>
              </w:rPr>
            </w:pPr>
            <w:r>
              <w:rPr>
                <w:rFonts w:ascii="Arial" w:cs="Arial" w:eastAsia="Arial" w:hAnsi="Arial"/>
                <w:sz w:val="12"/>
                <w:szCs w:val="12"/>
                <w:color w:val="auto"/>
              </w:rPr>
              <w:t>Research and development</w:t>
            </w: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832</w:t>
            </w:r>
          </w:p>
        </w:tc>
        <w:tc>
          <w:tcPr>
            <w:tcW w:w="460" w:type="dxa"/>
            <w:vAlign w:val="bottom"/>
            <w:shd w:val="clear" w:color="auto" w:fill="D1D2D4"/>
          </w:tcPr>
          <w:p>
            <w:pPr>
              <w:spacing w:after="0"/>
              <w:rPr>
                <w:sz w:val="13"/>
                <w:szCs w:val="13"/>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788</w:t>
            </w:r>
          </w:p>
        </w:tc>
        <w:tc>
          <w:tcPr>
            <w:tcW w:w="8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1,677</w:t>
            </w:r>
          </w:p>
        </w:tc>
        <w:tc>
          <w:tcPr>
            <w:tcW w:w="280" w:type="dxa"/>
            <w:vAlign w:val="bottom"/>
            <w:shd w:val="clear" w:color="auto" w:fill="D1D2D4"/>
          </w:tcPr>
          <w:p>
            <w:pPr>
              <w:spacing w:after="0"/>
              <w:rPr>
                <w:sz w:val="13"/>
                <w:szCs w:val="13"/>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1,637</w:t>
            </w:r>
          </w:p>
        </w:tc>
      </w:tr>
      <w:tr>
        <w:trPr>
          <w:trHeight w:val="153"/>
        </w:trPr>
        <w:tc>
          <w:tcPr>
            <w:tcW w:w="5500" w:type="dxa"/>
            <w:vAlign w:val="bottom"/>
          </w:tcPr>
          <w:p>
            <w:pPr>
              <w:spacing w:after="0"/>
              <w:rPr>
                <w:sz w:val="20"/>
                <w:szCs w:val="20"/>
                <w:color w:val="auto"/>
              </w:rPr>
            </w:pPr>
            <w:r>
              <w:rPr>
                <w:rFonts w:ascii="Arial" w:cs="Arial" w:eastAsia="Arial" w:hAnsi="Arial"/>
                <w:sz w:val="12"/>
                <w:szCs w:val="12"/>
                <w:color w:val="auto"/>
              </w:rPr>
              <w:t>Selling, general, and administrative</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280</w:t>
            </w: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231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543</w:t>
            </w: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482</w:t>
            </w:r>
          </w:p>
        </w:tc>
      </w:tr>
      <w:tr>
        <w:trPr>
          <w:trHeight w:val="153"/>
        </w:trPr>
        <w:tc>
          <w:tcPr>
            <w:tcW w:w="5500" w:type="dxa"/>
            <w:vAlign w:val="bottom"/>
            <w:shd w:val="clear" w:color="auto" w:fill="D1D2D4"/>
          </w:tcPr>
          <w:p>
            <w:pPr>
              <w:spacing w:after="0"/>
              <w:rPr>
                <w:sz w:val="20"/>
                <w:szCs w:val="20"/>
                <w:color w:val="auto"/>
              </w:rPr>
            </w:pPr>
            <w:r>
              <w:rPr>
                <w:rFonts w:ascii="Arial" w:cs="Arial" w:eastAsia="Arial" w:hAnsi="Arial"/>
                <w:sz w:val="12"/>
                <w:szCs w:val="12"/>
                <w:color w:val="auto"/>
              </w:rPr>
              <w:t>Restructure and asset impairments</w:t>
            </w: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460" w:type="dxa"/>
            <w:vAlign w:val="bottom"/>
            <w:shd w:val="clear" w:color="auto" w:fill="D1D2D4"/>
          </w:tcPr>
          <w:p>
            <w:pPr>
              <w:spacing w:after="0"/>
              <w:rPr>
                <w:sz w:val="13"/>
                <w:szCs w:val="13"/>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86</w:t>
            </w:r>
          </w:p>
        </w:tc>
        <w:tc>
          <w:tcPr>
            <w:tcW w:w="8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D1D2D4"/>
          </w:tcPr>
          <w:p>
            <w:pPr>
              <w:spacing w:after="0"/>
              <w:rPr>
                <w:sz w:val="13"/>
                <w:szCs w:val="13"/>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99</w:t>
            </w:r>
          </w:p>
        </w:tc>
      </w:tr>
      <w:tr>
        <w:trPr>
          <w:trHeight w:val="153"/>
        </w:trPr>
        <w:tc>
          <w:tcPr>
            <w:tcW w:w="5500" w:type="dxa"/>
            <w:vAlign w:val="bottom"/>
            <w:tcBorders>
              <w:bottom w:val="single" w:sz="8" w:color="D1D2D4"/>
            </w:tcBorders>
          </w:tcPr>
          <w:p>
            <w:pPr>
              <w:spacing w:after="0"/>
              <w:rPr>
                <w:sz w:val="20"/>
                <w:szCs w:val="20"/>
                <w:color w:val="auto"/>
              </w:rPr>
            </w:pPr>
            <w:r>
              <w:rPr>
                <w:rFonts w:ascii="Arial" w:cs="Arial" w:eastAsia="Arial" w:hAnsi="Arial"/>
                <w:sz w:val="12"/>
                <w:szCs w:val="12"/>
                <w:color w:val="auto"/>
              </w:rPr>
              <w:t>Other operating (income) expense, net</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(224)</w:t>
            </w: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80" w:type="dxa"/>
            <w:vAlign w:val="bottom"/>
            <w:tcBorders>
              <w:bottom w:val="single" w:sz="8" w:color="D1D2D4"/>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(239)</w:t>
            </w: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r>
      <w:tr>
        <w:trPr>
          <w:trHeight w:val="142"/>
        </w:trPr>
        <w:tc>
          <w:tcPr>
            <w:tcW w:w="5500" w:type="dxa"/>
            <w:vAlign w:val="bottom"/>
            <w:shd w:val="clear" w:color="auto" w:fill="D1D2D4"/>
          </w:tcPr>
          <w:p>
            <w:pPr>
              <w:ind w:left="140"/>
              <w:spacing w:after="0"/>
              <w:rPr>
                <w:sz w:val="20"/>
                <w:szCs w:val="20"/>
                <w:color w:val="auto"/>
              </w:rPr>
            </w:pPr>
            <w:r>
              <w:rPr>
                <w:rFonts w:ascii="Arial" w:cs="Arial" w:eastAsia="Arial" w:hAnsi="Arial"/>
                <w:sz w:val="12"/>
                <w:szCs w:val="12"/>
                <w:color w:val="auto"/>
              </w:rPr>
              <w:t>Operating income (loss)</w:t>
            </w:r>
          </w:p>
        </w:tc>
        <w:tc>
          <w:tcPr>
            <w:tcW w:w="220" w:type="dxa"/>
            <w:vAlign w:val="bottom"/>
            <w:shd w:val="clear" w:color="auto" w:fill="D1D2D4"/>
          </w:tcPr>
          <w:p>
            <w:pPr>
              <w:spacing w:after="0"/>
              <w:rPr>
                <w:sz w:val="12"/>
                <w:szCs w:val="12"/>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191</w:t>
            </w:r>
          </w:p>
        </w:tc>
        <w:tc>
          <w:tcPr>
            <w:tcW w:w="460" w:type="dxa"/>
            <w:vAlign w:val="bottom"/>
            <w:shd w:val="clear" w:color="auto" w:fill="D1D2D4"/>
          </w:tcPr>
          <w:p>
            <w:pPr>
              <w:spacing w:after="0"/>
              <w:rPr>
                <w:sz w:val="12"/>
                <w:szCs w:val="12"/>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(2,303)</w:t>
            </w:r>
          </w:p>
        </w:tc>
        <w:tc>
          <w:tcPr>
            <w:tcW w:w="80" w:type="dxa"/>
            <w:vAlign w:val="bottom"/>
            <w:shd w:val="clear" w:color="auto" w:fill="D1D2D4"/>
          </w:tcPr>
          <w:p>
            <w:pPr>
              <w:spacing w:after="0"/>
              <w:rPr>
                <w:sz w:val="12"/>
                <w:szCs w:val="12"/>
                <w:color w:val="auto"/>
              </w:rPr>
            </w:pPr>
          </w:p>
        </w:tc>
        <w:tc>
          <w:tcPr>
            <w:tcW w:w="220" w:type="dxa"/>
            <w:vAlign w:val="bottom"/>
            <w:shd w:val="clear" w:color="auto" w:fill="D1D2D4"/>
          </w:tcPr>
          <w:p>
            <w:pPr>
              <w:spacing w:after="0"/>
              <w:rPr>
                <w:sz w:val="12"/>
                <w:szCs w:val="12"/>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(937)</w:t>
            </w:r>
          </w:p>
        </w:tc>
        <w:tc>
          <w:tcPr>
            <w:tcW w:w="280" w:type="dxa"/>
            <w:vAlign w:val="bottom"/>
            <w:shd w:val="clear" w:color="auto" w:fill="D1D2D4"/>
          </w:tcPr>
          <w:p>
            <w:pPr>
              <w:spacing w:after="0"/>
              <w:rPr>
                <w:sz w:val="12"/>
                <w:szCs w:val="1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(2,512)</w:t>
            </w:r>
          </w:p>
        </w:tc>
      </w:tr>
      <w:tr>
        <w:trPr>
          <w:trHeight w:val="171"/>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3"/>
        </w:trPr>
        <w:tc>
          <w:tcPr>
            <w:tcW w:w="5500" w:type="dxa"/>
            <w:vAlign w:val="bottom"/>
            <w:shd w:val="clear" w:color="auto" w:fill="D1D2D4"/>
          </w:tcPr>
          <w:p>
            <w:pPr>
              <w:spacing w:after="0"/>
              <w:rPr>
                <w:sz w:val="20"/>
                <w:szCs w:val="20"/>
                <w:color w:val="auto"/>
              </w:rPr>
            </w:pPr>
            <w:r>
              <w:rPr>
                <w:rFonts w:ascii="Arial" w:cs="Arial" w:eastAsia="Arial" w:hAnsi="Arial"/>
                <w:sz w:val="12"/>
                <w:szCs w:val="12"/>
                <w:color w:val="auto"/>
              </w:rPr>
              <w:t>Interest income</w:t>
            </w: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130</w:t>
            </w:r>
          </w:p>
        </w:tc>
        <w:tc>
          <w:tcPr>
            <w:tcW w:w="460" w:type="dxa"/>
            <w:vAlign w:val="bottom"/>
            <w:shd w:val="clear" w:color="auto" w:fill="D1D2D4"/>
          </w:tcPr>
          <w:p>
            <w:pPr>
              <w:spacing w:after="0"/>
              <w:rPr>
                <w:sz w:val="13"/>
                <w:szCs w:val="13"/>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119</w:t>
            </w:r>
          </w:p>
        </w:tc>
        <w:tc>
          <w:tcPr>
            <w:tcW w:w="8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262</w:t>
            </w:r>
          </w:p>
        </w:tc>
        <w:tc>
          <w:tcPr>
            <w:tcW w:w="280" w:type="dxa"/>
            <w:vAlign w:val="bottom"/>
            <w:shd w:val="clear" w:color="auto" w:fill="D1D2D4"/>
          </w:tcPr>
          <w:p>
            <w:pPr>
              <w:spacing w:after="0"/>
              <w:rPr>
                <w:sz w:val="13"/>
                <w:szCs w:val="13"/>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207</w:t>
            </w:r>
          </w:p>
        </w:tc>
      </w:tr>
      <w:tr>
        <w:trPr>
          <w:trHeight w:val="153"/>
        </w:trPr>
        <w:tc>
          <w:tcPr>
            <w:tcW w:w="5500" w:type="dxa"/>
            <w:vAlign w:val="bottom"/>
          </w:tcPr>
          <w:p>
            <w:pPr>
              <w:spacing w:after="0"/>
              <w:rPr>
                <w:sz w:val="20"/>
                <w:szCs w:val="20"/>
                <w:color w:val="auto"/>
              </w:rPr>
            </w:pPr>
            <w:r>
              <w:rPr>
                <w:rFonts w:ascii="Arial" w:cs="Arial" w:eastAsia="Arial" w:hAnsi="Arial"/>
                <w:sz w:val="12"/>
                <w:szCs w:val="12"/>
                <w:color w:val="auto"/>
              </w:rPr>
              <w:t>Interest expense</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(144)</w:t>
            </w: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(276)</w:t>
            </w: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(140)</w:t>
            </w:r>
          </w:p>
        </w:tc>
      </w:tr>
      <w:tr>
        <w:trPr>
          <w:trHeight w:val="153"/>
        </w:trPr>
        <w:tc>
          <w:tcPr>
            <w:tcW w:w="5500" w:type="dxa"/>
            <w:vAlign w:val="bottom"/>
            <w:shd w:val="clear" w:color="auto" w:fill="D1D2D4"/>
          </w:tcPr>
          <w:p>
            <w:pPr>
              <w:spacing w:after="0"/>
              <w:rPr>
                <w:sz w:val="20"/>
                <w:szCs w:val="20"/>
                <w:color w:val="auto"/>
              </w:rPr>
            </w:pPr>
            <w:r>
              <w:rPr>
                <w:rFonts w:ascii="Arial" w:cs="Arial" w:eastAsia="Arial" w:hAnsi="Arial"/>
                <w:sz w:val="12"/>
                <w:szCs w:val="12"/>
                <w:color w:val="auto"/>
              </w:rPr>
              <w:t>Other non-operating income (expense), net</w:t>
            </w:r>
          </w:p>
        </w:tc>
        <w:tc>
          <w:tcPr>
            <w:tcW w:w="22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(7)</w:t>
            </w:r>
          </w:p>
        </w:tc>
        <w:tc>
          <w:tcPr>
            <w:tcW w:w="460" w:type="dxa"/>
            <w:vAlign w:val="bottom"/>
            <w:tcBorders>
              <w:bottom w:val="single" w:sz="8" w:color="auto"/>
            </w:tcBorders>
            <w:shd w:val="clear" w:color="auto" w:fill="D1D2D4"/>
          </w:tcPr>
          <w:p>
            <w:pPr>
              <w:spacing w:after="0"/>
              <w:rPr>
                <w:sz w:val="13"/>
                <w:szCs w:val="13"/>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D1D2D4"/>
          </w:tcPr>
          <w:p>
            <w:pPr>
              <w:spacing w:after="0"/>
              <w:rPr>
                <w:sz w:val="13"/>
                <w:szCs w:val="13"/>
                <w:color w:val="auto"/>
              </w:rPr>
            </w:pPr>
          </w:p>
        </w:tc>
        <w:tc>
          <w:tcPr>
            <w:tcW w:w="22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(34)</w:t>
            </w:r>
          </w:p>
        </w:tc>
        <w:tc>
          <w:tcPr>
            <w:tcW w:w="280" w:type="dxa"/>
            <w:vAlign w:val="bottom"/>
            <w:tcBorders>
              <w:bottom w:val="single" w:sz="8" w:color="auto"/>
            </w:tcBorders>
            <w:shd w:val="clear" w:color="auto" w:fill="D1D2D4"/>
          </w:tcPr>
          <w:p>
            <w:pPr>
              <w:spacing w:after="0"/>
              <w:rPr>
                <w:sz w:val="13"/>
                <w:szCs w:val="13"/>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w:t>
            </w:r>
          </w:p>
        </w:tc>
      </w:tr>
      <w:tr>
        <w:trPr>
          <w:trHeight w:val="142"/>
        </w:trPr>
        <w:tc>
          <w:tcPr>
            <w:tcW w:w="5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170</w:t>
            </w:r>
          </w:p>
        </w:tc>
        <w:tc>
          <w:tcPr>
            <w:tcW w:w="4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(2,271)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(985)</w:t>
            </w:r>
          </w:p>
        </w:tc>
        <w:tc>
          <w:tcPr>
            <w:tcW w:w="2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(2,447)</w:t>
            </w:r>
          </w:p>
        </w:tc>
      </w:tr>
      <w:tr>
        <w:trPr>
          <w:trHeight w:val="171"/>
        </w:trPr>
        <w:tc>
          <w:tcPr>
            <w:tcW w:w="5500" w:type="dxa"/>
            <w:vAlign w:val="bottom"/>
            <w:shd w:val="clear" w:color="auto" w:fill="D1D2D4"/>
          </w:tcPr>
          <w:p>
            <w:pPr>
              <w:spacing w:after="0"/>
              <w:rPr>
                <w:sz w:val="14"/>
                <w:szCs w:val="14"/>
                <w:color w:val="auto"/>
              </w:rPr>
            </w:pPr>
          </w:p>
        </w:tc>
        <w:tc>
          <w:tcPr>
            <w:tcW w:w="220" w:type="dxa"/>
            <w:vAlign w:val="bottom"/>
            <w:shd w:val="clear" w:color="auto" w:fill="D1D2D4"/>
          </w:tcPr>
          <w:p>
            <w:pPr>
              <w:spacing w:after="0"/>
              <w:rPr>
                <w:sz w:val="14"/>
                <w:szCs w:val="14"/>
                <w:color w:val="auto"/>
              </w:rPr>
            </w:pPr>
          </w:p>
        </w:tc>
        <w:tc>
          <w:tcPr>
            <w:tcW w:w="1200" w:type="dxa"/>
            <w:vAlign w:val="bottom"/>
            <w:shd w:val="clear" w:color="auto" w:fill="D1D2D4"/>
          </w:tcPr>
          <w:p>
            <w:pPr>
              <w:spacing w:after="0"/>
              <w:rPr>
                <w:sz w:val="14"/>
                <w:szCs w:val="14"/>
                <w:color w:val="auto"/>
              </w:rPr>
            </w:pPr>
          </w:p>
        </w:tc>
        <w:tc>
          <w:tcPr>
            <w:tcW w:w="460" w:type="dxa"/>
            <w:vAlign w:val="bottom"/>
            <w:shd w:val="clear" w:color="auto" w:fill="D1D2D4"/>
          </w:tcPr>
          <w:p>
            <w:pPr>
              <w:spacing w:after="0"/>
              <w:rPr>
                <w:sz w:val="14"/>
                <w:szCs w:val="14"/>
                <w:color w:val="auto"/>
              </w:rPr>
            </w:pPr>
          </w:p>
        </w:tc>
        <w:tc>
          <w:tcPr>
            <w:tcW w:w="980" w:type="dxa"/>
            <w:vAlign w:val="bottom"/>
            <w:shd w:val="clear" w:color="auto" w:fill="D1D2D4"/>
          </w:tcPr>
          <w:p>
            <w:pPr>
              <w:spacing w:after="0"/>
              <w:rPr>
                <w:sz w:val="14"/>
                <w:szCs w:val="14"/>
                <w:color w:val="auto"/>
              </w:rPr>
            </w:pPr>
          </w:p>
        </w:tc>
        <w:tc>
          <w:tcPr>
            <w:tcW w:w="80" w:type="dxa"/>
            <w:vAlign w:val="bottom"/>
            <w:shd w:val="clear" w:color="auto" w:fill="D1D2D4"/>
          </w:tcPr>
          <w:p>
            <w:pPr>
              <w:spacing w:after="0"/>
              <w:rPr>
                <w:sz w:val="14"/>
                <w:szCs w:val="14"/>
                <w:color w:val="auto"/>
              </w:rPr>
            </w:pPr>
          </w:p>
        </w:tc>
        <w:tc>
          <w:tcPr>
            <w:tcW w:w="220" w:type="dxa"/>
            <w:vAlign w:val="bottom"/>
            <w:shd w:val="clear" w:color="auto" w:fill="D1D2D4"/>
          </w:tcPr>
          <w:p>
            <w:pPr>
              <w:spacing w:after="0"/>
              <w:rPr>
                <w:sz w:val="14"/>
                <w:szCs w:val="14"/>
                <w:color w:val="auto"/>
              </w:rPr>
            </w:pPr>
          </w:p>
        </w:tc>
        <w:tc>
          <w:tcPr>
            <w:tcW w:w="1200" w:type="dxa"/>
            <w:vAlign w:val="bottom"/>
            <w:shd w:val="clear" w:color="auto" w:fill="D1D2D4"/>
          </w:tcPr>
          <w:p>
            <w:pPr>
              <w:spacing w:after="0"/>
              <w:rPr>
                <w:sz w:val="14"/>
                <w:szCs w:val="14"/>
                <w:color w:val="auto"/>
              </w:rPr>
            </w:pPr>
          </w:p>
        </w:tc>
        <w:tc>
          <w:tcPr>
            <w:tcW w:w="280" w:type="dxa"/>
            <w:vAlign w:val="bottom"/>
            <w:shd w:val="clear" w:color="auto" w:fill="D1D2D4"/>
          </w:tcPr>
          <w:p>
            <w:pPr>
              <w:spacing w:after="0"/>
              <w:rPr>
                <w:sz w:val="14"/>
                <w:szCs w:val="14"/>
                <w:color w:val="auto"/>
              </w:rPr>
            </w:pPr>
          </w:p>
        </w:tc>
        <w:tc>
          <w:tcPr>
            <w:tcW w:w="1160" w:type="dxa"/>
            <w:vAlign w:val="bottom"/>
            <w:shd w:val="clear" w:color="auto" w:fill="D1D2D4"/>
          </w:tcPr>
          <w:p>
            <w:pPr>
              <w:spacing w:after="0"/>
              <w:rPr>
                <w:sz w:val="14"/>
                <w:szCs w:val="14"/>
                <w:color w:val="auto"/>
              </w:rPr>
            </w:pPr>
          </w:p>
        </w:tc>
      </w:tr>
      <w:tr>
        <w:trPr>
          <w:trHeight w:val="153"/>
        </w:trPr>
        <w:tc>
          <w:tcPr>
            <w:tcW w:w="5500" w:type="dxa"/>
            <w:vAlign w:val="bottom"/>
          </w:tcPr>
          <w:p>
            <w:pPr>
              <w:spacing w:after="0"/>
              <w:rPr>
                <w:sz w:val="20"/>
                <w:szCs w:val="20"/>
                <w:color w:val="auto"/>
              </w:rPr>
            </w:pPr>
            <w:r>
              <w:rPr>
                <w:rFonts w:ascii="Arial" w:cs="Arial" w:eastAsia="Arial" w:hAnsi="Arial"/>
                <w:sz w:val="12"/>
                <w:szCs w:val="12"/>
                <w:color w:val="auto"/>
              </w:rPr>
              <w:t>Income tax (provision) benefit</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622</w:t>
            </w: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549</w:t>
            </w: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(62)</w:t>
            </w:r>
          </w:p>
        </w:tc>
      </w:tr>
      <w:tr>
        <w:trPr>
          <w:trHeight w:val="153"/>
        </w:trPr>
        <w:tc>
          <w:tcPr>
            <w:tcW w:w="5500" w:type="dxa"/>
            <w:vAlign w:val="bottom"/>
            <w:shd w:val="clear" w:color="auto" w:fill="D1D2D4"/>
          </w:tcPr>
          <w:p>
            <w:pPr>
              <w:spacing w:after="0"/>
              <w:rPr>
                <w:sz w:val="20"/>
                <w:szCs w:val="20"/>
                <w:color w:val="auto"/>
              </w:rPr>
            </w:pPr>
            <w:r>
              <w:rPr>
                <w:rFonts w:ascii="Arial" w:cs="Arial" w:eastAsia="Arial" w:hAnsi="Arial"/>
                <w:sz w:val="12"/>
                <w:szCs w:val="12"/>
                <w:color w:val="auto"/>
              </w:rPr>
              <w:t>Equity in net income (loss) of equity method investees</w:t>
            </w:r>
          </w:p>
        </w:tc>
        <w:tc>
          <w:tcPr>
            <w:tcW w:w="22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w:t>
            </w:r>
          </w:p>
        </w:tc>
        <w:tc>
          <w:tcPr>
            <w:tcW w:w="460" w:type="dxa"/>
            <w:vAlign w:val="bottom"/>
            <w:tcBorders>
              <w:bottom w:val="single" w:sz="8" w:color="auto"/>
            </w:tcBorders>
            <w:shd w:val="clear" w:color="auto" w:fill="D1D2D4"/>
          </w:tcPr>
          <w:p>
            <w:pPr>
              <w:spacing w:after="0"/>
              <w:rPr>
                <w:sz w:val="13"/>
                <w:szCs w:val="13"/>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13</w:t>
            </w:r>
          </w:p>
        </w:tc>
        <w:tc>
          <w:tcPr>
            <w:tcW w:w="80" w:type="dxa"/>
            <w:vAlign w:val="bottom"/>
            <w:shd w:val="clear" w:color="auto" w:fill="D1D2D4"/>
          </w:tcPr>
          <w:p>
            <w:pPr>
              <w:spacing w:after="0"/>
              <w:rPr>
                <w:sz w:val="13"/>
                <w:szCs w:val="13"/>
                <w:color w:val="auto"/>
              </w:rPr>
            </w:pPr>
          </w:p>
        </w:tc>
        <w:tc>
          <w:tcPr>
            <w:tcW w:w="22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(5)</w:t>
            </w:r>
          </w:p>
        </w:tc>
        <w:tc>
          <w:tcPr>
            <w:tcW w:w="280" w:type="dxa"/>
            <w:vAlign w:val="bottom"/>
            <w:tcBorders>
              <w:bottom w:val="single" w:sz="8" w:color="auto"/>
            </w:tcBorders>
            <w:shd w:val="clear" w:color="auto" w:fill="D1D2D4"/>
          </w:tcPr>
          <w:p>
            <w:pPr>
              <w:spacing w:after="0"/>
              <w:rPr>
                <w:sz w:val="13"/>
                <w:szCs w:val="13"/>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w:t>
            </w:r>
          </w:p>
        </w:tc>
      </w:tr>
      <w:tr>
        <w:trPr>
          <w:trHeight w:val="158"/>
        </w:trPr>
        <w:tc>
          <w:tcPr>
            <w:tcW w:w="5500" w:type="dxa"/>
            <w:vAlign w:val="bottom"/>
            <w:tcBorders>
              <w:bottom w:val="single" w:sz="8" w:color="D1D2D4"/>
            </w:tcBorders>
          </w:tcPr>
          <w:p>
            <w:pPr>
              <w:ind w:left="140"/>
              <w:spacing w:after="0"/>
              <w:rPr>
                <w:sz w:val="20"/>
                <w:szCs w:val="20"/>
                <w:color w:val="auto"/>
              </w:rPr>
            </w:pPr>
            <w:r>
              <w:rPr>
                <w:rFonts w:ascii="Arial" w:cs="Arial" w:eastAsia="Arial" w:hAnsi="Arial"/>
                <w:sz w:val="12"/>
                <w:szCs w:val="12"/>
                <w:color w:val="auto"/>
              </w:rPr>
              <w:t>Net income (loss)</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793</w:t>
            </w:r>
          </w:p>
        </w:tc>
        <w:tc>
          <w:tcPr>
            <w:tcW w:w="4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(2,312)</w:t>
            </w:r>
          </w:p>
        </w:tc>
        <w:tc>
          <w:tcPr>
            <w:tcW w:w="80" w:type="dxa"/>
            <w:vAlign w:val="bottom"/>
            <w:tcBorders>
              <w:bottom w:val="single" w:sz="8" w:color="D1D2D4"/>
            </w:tcBorders>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(441)</w:t>
            </w: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(2,507)</w:t>
            </w:r>
          </w:p>
        </w:tc>
      </w:tr>
      <w:tr>
        <w:trPr>
          <w:trHeight w:val="153"/>
        </w:trPr>
        <w:tc>
          <w:tcPr>
            <w:tcW w:w="550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spacing w:after="0"/>
              <w:rPr>
                <w:sz w:val="13"/>
                <w:szCs w:val="13"/>
                <w:color w:val="auto"/>
              </w:rPr>
            </w:pPr>
          </w:p>
        </w:tc>
        <w:tc>
          <w:tcPr>
            <w:tcW w:w="460" w:type="dxa"/>
            <w:vAlign w:val="bottom"/>
            <w:shd w:val="clear" w:color="auto" w:fill="D1D2D4"/>
          </w:tcPr>
          <w:p>
            <w:pPr>
              <w:spacing w:after="0"/>
              <w:rPr>
                <w:sz w:val="13"/>
                <w:szCs w:val="13"/>
                <w:color w:val="auto"/>
              </w:rPr>
            </w:pPr>
          </w:p>
        </w:tc>
        <w:tc>
          <w:tcPr>
            <w:tcW w:w="980" w:type="dxa"/>
            <w:vAlign w:val="bottom"/>
            <w:shd w:val="clear" w:color="auto" w:fill="D1D2D4"/>
          </w:tcPr>
          <w:p>
            <w:pPr>
              <w:spacing w:after="0"/>
              <w:rPr>
                <w:sz w:val="13"/>
                <w:szCs w:val="13"/>
                <w:color w:val="auto"/>
              </w:rPr>
            </w:pPr>
          </w:p>
        </w:tc>
        <w:tc>
          <w:tcPr>
            <w:tcW w:w="8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spacing w:after="0"/>
              <w:rPr>
                <w:sz w:val="13"/>
                <w:szCs w:val="13"/>
                <w:color w:val="auto"/>
              </w:rPr>
            </w:pPr>
          </w:p>
        </w:tc>
        <w:tc>
          <w:tcPr>
            <w:tcW w:w="280" w:type="dxa"/>
            <w:vAlign w:val="bottom"/>
            <w:shd w:val="clear" w:color="auto" w:fill="D1D2D4"/>
          </w:tcPr>
          <w:p>
            <w:pPr>
              <w:spacing w:after="0"/>
              <w:rPr>
                <w:sz w:val="13"/>
                <w:szCs w:val="13"/>
                <w:color w:val="auto"/>
              </w:rPr>
            </w:pPr>
          </w:p>
        </w:tc>
        <w:tc>
          <w:tcPr>
            <w:tcW w:w="1160" w:type="dxa"/>
            <w:vAlign w:val="bottom"/>
            <w:shd w:val="clear" w:color="auto" w:fill="D1D2D4"/>
          </w:tcPr>
          <w:p>
            <w:pPr>
              <w:spacing w:after="0"/>
              <w:rPr>
                <w:sz w:val="13"/>
                <w:szCs w:val="13"/>
                <w:color w:val="auto"/>
              </w:rPr>
            </w:pPr>
          </w:p>
        </w:tc>
      </w:tr>
      <w:tr>
        <w:trPr>
          <w:trHeight w:val="153"/>
        </w:trPr>
        <w:tc>
          <w:tcPr>
            <w:tcW w:w="5500" w:type="dxa"/>
            <w:vAlign w:val="bottom"/>
          </w:tcPr>
          <w:p>
            <w:pPr>
              <w:spacing w:after="0"/>
              <w:rPr>
                <w:sz w:val="20"/>
                <w:szCs w:val="20"/>
                <w:color w:val="auto"/>
              </w:rPr>
            </w:pPr>
            <w:r>
              <w:rPr>
                <w:rFonts w:ascii="Arial" w:cs="Arial" w:eastAsia="Arial" w:hAnsi="Arial"/>
                <w:sz w:val="12"/>
                <w:szCs w:val="12"/>
                <w:color w:val="auto"/>
              </w:rPr>
              <w:t>Earnings (loss) per share</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3"/>
        </w:trPr>
        <w:tc>
          <w:tcPr>
            <w:tcW w:w="5500" w:type="dxa"/>
            <w:vAlign w:val="bottom"/>
            <w:shd w:val="clear" w:color="auto" w:fill="D1D2D4"/>
          </w:tcPr>
          <w:p>
            <w:pPr>
              <w:ind w:left="140"/>
              <w:spacing w:after="0"/>
              <w:rPr>
                <w:sz w:val="20"/>
                <w:szCs w:val="20"/>
                <w:color w:val="auto"/>
              </w:rPr>
            </w:pPr>
            <w:r>
              <w:rPr>
                <w:rFonts w:ascii="Arial" w:cs="Arial" w:eastAsia="Arial" w:hAnsi="Arial"/>
                <w:sz w:val="12"/>
                <w:szCs w:val="12"/>
                <w:color w:val="auto"/>
              </w:rPr>
              <w:t>Basic</w:t>
            </w:r>
          </w:p>
        </w:tc>
        <w:tc>
          <w:tcPr>
            <w:tcW w:w="220" w:type="dxa"/>
            <w:vAlign w:val="bottom"/>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0.72</w:t>
            </w:r>
          </w:p>
        </w:tc>
        <w:tc>
          <w:tcPr>
            <w:tcW w:w="460" w:type="dxa"/>
            <w:vAlign w:val="bottom"/>
            <w:shd w:val="clear" w:color="auto" w:fill="D1D2D4"/>
          </w:tcPr>
          <w:p>
            <w:pPr>
              <w:jc w:val="right"/>
              <w:ind w:right="32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(2.12)</w:t>
            </w:r>
          </w:p>
        </w:tc>
        <w:tc>
          <w:tcPr>
            <w:tcW w:w="80" w:type="dxa"/>
            <w:vAlign w:val="bottom"/>
            <w:shd w:val="clear" w:color="auto" w:fill="D1D2D4"/>
          </w:tcPr>
          <w:p>
            <w:pPr>
              <w:spacing w:after="0"/>
              <w:rPr>
                <w:sz w:val="13"/>
                <w:szCs w:val="13"/>
                <w:color w:val="auto"/>
              </w:rPr>
            </w:pPr>
          </w:p>
        </w:tc>
        <w:tc>
          <w:tcPr>
            <w:tcW w:w="220" w:type="dxa"/>
            <w:vAlign w:val="bottom"/>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(0.40)</w:t>
            </w:r>
          </w:p>
        </w:tc>
        <w:tc>
          <w:tcPr>
            <w:tcW w:w="280" w:type="dxa"/>
            <w:vAlign w:val="bottom"/>
            <w:shd w:val="clear" w:color="auto" w:fill="D1D2D4"/>
          </w:tcPr>
          <w:p>
            <w:pPr>
              <w:jc w:val="right"/>
              <w:ind w:right="14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(2.30)</w:t>
            </w:r>
          </w:p>
        </w:tc>
      </w:tr>
      <w:tr>
        <w:trPr>
          <w:trHeight w:val="153"/>
        </w:trPr>
        <w:tc>
          <w:tcPr>
            <w:tcW w:w="5500" w:type="dxa"/>
            <w:vAlign w:val="bottom"/>
          </w:tcPr>
          <w:p>
            <w:pPr>
              <w:ind w:left="140"/>
              <w:spacing w:after="0"/>
              <w:rPr>
                <w:sz w:val="20"/>
                <w:szCs w:val="20"/>
                <w:color w:val="auto"/>
              </w:rPr>
            </w:pPr>
            <w:r>
              <w:rPr>
                <w:rFonts w:ascii="Arial" w:cs="Arial" w:eastAsia="Arial" w:hAnsi="Arial"/>
                <w:sz w:val="12"/>
                <w:szCs w:val="12"/>
                <w:color w:val="auto"/>
              </w:rPr>
              <w:t>Diluted</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0.71</w:t>
            </w: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(2.12)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(0.40)</w:t>
            </w: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(2.30)</w:t>
            </w:r>
          </w:p>
        </w:tc>
      </w:tr>
      <w:tr>
        <w:trPr>
          <w:trHeight w:val="171"/>
        </w:trPr>
        <w:tc>
          <w:tcPr>
            <w:tcW w:w="5500" w:type="dxa"/>
            <w:vAlign w:val="bottom"/>
            <w:shd w:val="clear" w:color="auto" w:fill="D1D2D4"/>
          </w:tcPr>
          <w:p>
            <w:pPr>
              <w:spacing w:after="0"/>
              <w:rPr>
                <w:sz w:val="14"/>
                <w:szCs w:val="14"/>
                <w:color w:val="auto"/>
              </w:rPr>
            </w:pPr>
          </w:p>
        </w:tc>
        <w:tc>
          <w:tcPr>
            <w:tcW w:w="220" w:type="dxa"/>
            <w:vAlign w:val="bottom"/>
            <w:shd w:val="clear" w:color="auto" w:fill="D1D2D4"/>
          </w:tcPr>
          <w:p>
            <w:pPr>
              <w:spacing w:after="0"/>
              <w:rPr>
                <w:sz w:val="14"/>
                <w:szCs w:val="14"/>
                <w:color w:val="auto"/>
              </w:rPr>
            </w:pPr>
          </w:p>
        </w:tc>
        <w:tc>
          <w:tcPr>
            <w:tcW w:w="1200" w:type="dxa"/>
            <w:vAlign w:val="bottom"/>
            <w:shd w:val="clear" w:color="auto" w:fill="D1D2D4"/>
          </w:tcPr>
          <w:p>
            <w:pPr>
              <w:spacing w:after="0"/>
              <w:rPr>
                <w:sz w:val="14"/>
                <w:szCs w:val="14"/>
                <w:color w:val="auto"/>
              </w:rPr>
            </w:pPr>
          </w:p>
        </w:tc>
        <w:tc>
          <w:tcPr>
            <w:tcW w:w="460" w:type="dxa"/>
            <w:vAlign w:val="bottom"/>
            <w:shd w:val="clear" w:color="auto" w:fill="D1D2D4"/>
          </w:tcPr>
          <w:p>
            <w:pPr>
              <w:spacing w:after="0"/>
              <w:rPr>
                <w:sz w:val="14"/>
                <w:szCs w:val="14"/>
                <w:color w:val="auto"/>
              </w:rPr>
            </w:pPr>
          </w:p>
        </w:tc>
        <w:tc>
          <w:tcPr>
            <w:tcW w:w="980" w:type="dxa"/>
            <w:vAlign w:val="bottom"/>
            <w:shd w:val="clear" w:color="auto" w:fill="D1D2D4"/>
          </w:tcPr>
          <w:p>
            <w:pPr>
              <w:spacing w:after="0"/>
              <w:rPr>
                <w:sz w:val="14"/>
                <w:szCs w:val="14"/>
                <w:color w:val="auto"/>
              </w:rPr>
            </w:pPr>
          </w:p>
        </w:tc>
        <w:tc>
          <w:tcPr>
            <w:tcW w:w="80" w:type="dxa"/>
            <w:vAlign w:val="bottom"/>
            <w:shd w:val="clear" w:color="auto" w:fill="D1D2D4"/>
          </w:tcPr>
          <w:p>
            <w:pPr>
              <w:spacing w:after="0"/>
              <w:rPr>
                <w:sz w:val="14"/>
                <w:szCs w:val="14"/>
                <w:color w:val="auto"/>
              </w:rPr>
            </w:pPr>
          </w:p>
        </w:tc>
        <w:tc>
          <w:tcPr>
            <w:tcW w:w="220" w:type="dxa"/>
            <w:vAlign w:val="bottom"/>
            <w:shd w:val="clear" w:color="auto" w:fill="D1D2D4"/>
          </w:tcPr>
          <w:p>
            <w:pPr>
              <w:spacing w:after="0"/>
              <w:rPr>
                <w:sz w:val="14"/>
                <w:szCs w:val="14"/>
                <w:color w:val="auto"/>
              </w:rPr>
            </w:pPr>
          </w:p>
        </w:tc>
        <w:tc>
          <w:tcPr>
            <w:tcW w:w="1200" w:type="dxa"/>
            <w:vAlign w:val="bottom"/>
            <w:shd w:val="clear" w:color="auto" w:fill="D1D2D4"/>
          </w:tcPr>
          <w:p>
            <w:pPr>
              <w:spacing w:after="0"/>
              <w:rPr>
                <w:sz w:val="14"/>
                <w:szCs w:val="14"/>
                <w:color w:val="auto"/>
              </w:rPr>
            </w:pPr>
          </w:p>
        </w:tc>
        <w:tc>
          <w:tcPr>
            <w:tcW w:w="280" w:type="dxa"/>
            <w:vAlign w:val="bottom"/>
            <w:shd w:val="clear" w:color="auto" w:fill="D1D2D4"/>
          </w:tcPr>
          <w:p>
            <w:pPr>
              <w:spacing w:after="0"/>
              <w:rPr>
                <w:sz w:val="14"/>
                <w:szCs w:val="14"/>
                <w:color w:val="auto"/>
              </w:rPr>
            </w:pPr>
          </w:p>
        </w:tc>
        <w:tc>
          <w:tcPr>
            <w:tcW w:w="1160" w:type="dxa"/>
            <w:vAlign w:val="bottom"/>
            <w:shd w:val="clear" w:color="auto" w:fill="D1D2D4"/>
          </w:tcPr>
          <w:p>
            <w:pPr>
              <w:spacing w:after="0"/>
              <w:rPr>
                <w:sz w:val="14"/>
                <w:szCs w:val="14"/>
                <w:color w:val="auto"/>
              </w:rPr>
            </w:pPr>
          </w:p>
        </w:tc>
      </w:tr>
      <w:tr>
        <w:trPr>
          <w:trHeight w:val="153"/>
        </w:trPr>
        <w:tc>
          <w:tcPr>
            <w:tcW w:w="5500" w:type="dxa"/>
            <w:vAlign w:val="bottom"/>
          </w:tcPr>
          <w:p>
            <w:pPr>
              <w:spacing w:after="0"/>
              <w:rPr>
                <w:sz w:val="20"/>
                <w:szCs w:val="20"/>
                <w:color w:val="auto"/>
              </w:rPr>
            </w:pPr>
            <w:r>
              <w:rPr>
                <w:rFonts w:ascii="Arial" w:cs="Arial" w:eastAsia="Arial" w:hAnsi="Arial"/>
                <w:sz w:val="12"/>
                <w:szCs w:val="12"/>
                <w:color w:val="auto"/>
              </w:rPr>
              <w:t>Number of shares used in per share calculations</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3"/>
        </w:trPr>
        <w:tc>
          <w:tcPr>
            <w:tcW w:w="5500" w:type="dxa"/>
            <w:vAlign w:val="bottom"/>
            <w:shd w:val="clear" w:color="auto" w:fill="D1D2D4"/>
          </w:tcPr>
          <w:p>
            <w:pPr>
              <w:ind w:left="140"/>
              <w:spacing w:after="0"/>
              <w:rPr>
                <w:sz w:val="20"/>
                <w:szCs w:val="20"/>
                <w:color w:val="auto"/>
              </w:rPr>
            </w:pPr>
            <w:r>
              <w:rPr>
                <w:rFonts w:ascii="Arial" w:cs="Arial" w:eastAsia="Arial" w:hAnsi="Arial"/>
                <w:sz w:val="12"/>
                <w:szCs w:val="12"/>
                <w:color w:val="auto"/>
              </w:rPr>
              <w:t>Basic</w:t>
            </w: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1,104</w:t>
            </w:r>
          </w:p>
        </w:tc>
        <w:tc>
          <w:tcPr>
            <w:tcW w:w="460" w:type="dxa"/>
            <w:vAlign w:val="bottom"/>
            <w:shd w:val="clear" w:color="auto" w:fill="D1D2D4"/>
          </w:tcPr>
          <w:p>
            <w:pPr>
              <w:spacing w:after="0"/>
              <w:rPr>
                <w:sz w:val="13"/>
                <w:szCs w:val="13"/>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1,091</w:t>
            </w:r>
          </w:p>
        </w:tc>
        <w:tc>
          <w:tcPr>
            <w:tcW w:w="8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1,102</w:t>
            </w:r>
          </w:p>
        </w:tc>
        <w:tc>
          <w:tcPr>
            <w:tcW w:w="280" w:type="dxa"/>
            <w:vAlign w:val="bottom"/>
            <w:shd w:val="clear" w:color="auto" w:fill="D1D2D4"/>
          </w:tcPr>
          <w:p>
            <w:pPr>
              <w:spacing w:after="0"/>
              <w:rPr>
                <w:sz w:val="13"/>
                <w:szCs w:val="13"/>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1,091</w:t>
            </w:r>
          </w:p>
        </w:tc>
      </w:tr>
      <w:tr>
        <w:trPr>
          <w:trHeight w:val="159"/>
        </w:trPr>
        <w:tc>
          <w:tcPr>
            <w:tcW w:w="5500" w:type="dxa"/>
            <w:vAlign w:val="bottom"/>
          </w:tcPr>
          <w:p>
            <w:pPr>
              <w:ind w:left="140"/>
              <w:spacing w:after="0"/>
              <w:rPr>
                <w:sz w:val="20"/>
                <w:szCs w:val="20"/>
                <w:color w:val="auto"/>
              </w:rPr>
            </w:pPr>
            <w:r>
              <w:rPr>
                <w:rFonts w:ascii="Arial" w:cs="Arial" w:eastAsia="Arial" w:hAnsi="Arial"/>
                <w:sz w:val="12"/>
                <w:szCs w:val="12"/>
                <w:color w:val="auto"/>
              </w:rPr>
              <w:t>Diluted</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1,114</w:t>
            </w: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1,091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1,102</w:t>
            </w: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1,091</w:t>
            </w: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5 | 2024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 w:name="page6"/>
    <w:bookmarkEnd w:id="5"/>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Micron Technology, Inc.</w:t>
      </w:r>
    </w:p>
    <w:p>
      <w:pPr>
        <w:spacing w:after="0" w:line="42"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Consolidated Statements of Comprehensive Income (Loss)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(In millions)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Quarter ended</w:t>
            </w: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3"/>
          </w:tcPr>
          <w:p>
            <w:pPr>
              <w:jc w:val="right"/>
              <w:ind w:right="840"/>
              <w:spacing w:after="0"/>
              <w:rPr>
                <w:sz w:val="20"/>
                <w:szCs w:val="20"/>
                <w:color w:val="auto"/>
              </w:rPr>
            </w:pPr>
            <w:r>
              <w:rPr>
                <w:rFonts w:ascii="Arial" w:cs="Arial" w:eastAsia="Arial" w:hAnsi="Arial"/>
                <w:sz w:val="12"/>
                <w:szCs w:val="12"/>
                <w:b w:val="1"/>
                <w:bCs w:val="1"/>
                <w:color w:val="auto"/>
              </w:rPr>
              <w:t>Six months ended</w:t>
            </w:r>
          </w:p>
        </w:tc>
      </w:tr>
      <w:tr>
        <w:trPr>
          <w:trHeight w:val="111"/>
        </w:trPr>
        <w:tc>
          <w:tcPr>
            <w:tcW w:w="5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jc w:val="right"/>
              <w:ind w:right="280"/>
              <w:spacing w:after="0" w:line="111" w:lineRule="exact"/>
              <w:rPr>
                <w:sz w:val="20"/>
                <w:szCs w:val="20"/>
                <w:color w:val="auto"/>
              </w:rPr>
            </w:pPr>
            <w:r>
              <w:rPr>
                <w:rFonts w:ascii="Arial" w:cs="Arial" w:eastAsia="Arial" w:hAnsi="Arial"/>
                <w:sz w:val="12"/>
                <w:szCs w:val="12"/>
                <w:b w:val="1"/>
                <w:bCs w:val="1"/>
                <w:color w:val="auto"/>
              </w:rPr>
              <w:t>February 29,</w:t>
            </w:r>
          </w:p>
        </w:tc>
        <w:tc>
          <w:tcPr>
            <w:tcW w:w="460" w:type="dxa"/>
            <w:vAlign w:val="bottom"/>
          </w:tcPr>
          <w:p>
            <w:pPr>
              <w:spacing w:after="0"/>
              <w:rPr>
                <w:sz w:val="9"/>
                <w:szCs w:val="9"/>
                <w:color w:val="auto"/>
              </w:rPr>
            </w:pPr>
          </w:p>
        </w:tc>
        <w:tc>
          <w:tcPr>
            <w:tcW w:w="980" w:type="dxa"/>
            <w:vAlign w:val="bottom"/>
          </w:tcPr>
          <w:p>
            <w:pPr>
              <w:jc w:val="right"/>
              <w:ind w:right="400"/>
              <w:spacing w:after="0" w:line="111" w:lineRule="exact"/>
              <w:rPr>
                <w:sz w:val="20"/>
                <w:szCs w:val="20"/>
                <w:color w:val="auto"/>
              </w:rPr>
            </w:pPr>
            <w:r>
              <w:rPr>
                <w:rFonts w:ascii="Arial" w:cs="Arial" w:eastAsia="Arial" w:hAnsi="Arial"/>
                <w:sz w:val="12"/>
                <w:szCs w:val="12"/>
                <w:b w:val="1"/>
                <w:bCs w:val="1"/>
                <w:color w:val="auto"/>
              </w:rPr>
              <w:t>March 2,</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jc w:val="right"/>
              <w:ind w:right="300"/>
              <w:spacing w:after="0" w:line="111" w:lineRule="exact"/>
              <w:rPr>
                <w:sz w:val="20"/>
                <w:szCs w:val="20"/>
                <w:color w:val="auto"/>
              </w:rPr>
            </w:pPr>
            <w:r>
              <w:rPr>
                <w:rFonts w:ascii="Arial" w:cs="Arial" w:eastAsia="Arial" w:hAnsi="Arial"/>
                <w:sz w:val="12"/>
                <w:szCs w:val="12"/>
                <w:b w:val="1"/>
                <w:bCs w:val="1"/>
                <w:color w:val="auto"/>
              </w:rPr>
              <w:t>February 29,</w:t>
            </w:r>
          </w:p>
        </w:tc>
        <w:tc>
          <w:tcPr>
            <w:tcW w:w="280" w:type="dxa"/>
            <w:vAlign w:val="bottom"/>
          </w:tcPr>
          <w:p>
            <w:pPr>
              <w:spacing w:after="0"/>
              <w:rPr>
                <w:sz w:val="9"/>
                <w:szCs w:val="9"/>
                <w:color w:val="auto"/>
              </w:rPr>
            </w:pPr>
          </w:p>
        </w:tc>
        <w:tc>
          <w:tcPr>
            <w:tcW w:w="1140" w:type="dxa"/>
            <w:vAlign w:val="bottom"/>
          </w:tcPr>
          <w:p>
            <w:pPr>
              <w:jc w:val="right"/>
              <w:ind w:right="400"/>
              <w:spacing w:after="0" w:line="111" w:lineRule="exact"/>
              <w:rPr>
                <w:sz w:val="20"/>
                <w:szCs w:val="20"/>
                <w:color w:val="auto"/>
              </w:rPr>
            </w:pPr>
            <w:r>
              <w:rPr>
                <w:rFonts w:ascii="Arial" w:cs="Arial" w:eastAsia="Arial" w:hAnsi="Arial"/>
                <w:sz w:val="12"/>
                <w:szCs w:val="12"/>
                <w:b w:val="1"/>
                <w:bCs w:val="1"/>
                <w:color w:val="auto"/>
              </w:rPr>
              <w:t>March 2,</w:t>
            </w:r>
          </w:p>
        </w:tc>
      </w:tr>
      <w:tr>
        <w:trPr>
          <w:trHeight w:val="165"/>
        </w:trPr>
        <w:tc>
          <w:tcPr>
            <w:tcW w:w="5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2024</w:t>
            </w: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2024</w:t>
            </w: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r>
      <w:tr>
        <w:trPr>
          <w:trHeight w:val="161"/>
        </w:trPr>
        <w:tc>
          <w:tcPr>
            <w:tcW w:w="5500" w:type="dxa"/>
            <w:vAlign w:val="bottom"/>
            <w:shd w:val="clear" w:color="auto" w:fill="D1D2D4"/>
          </w:tcPr>
          <w:p>
            <w:pPr>
              <w:ind w:left="20"/>
              <w:spacing w:after="0"/>
              <w:rPr>
                <w:sz w:val="20"/>
                <w:szCs w:val="20"/>
                <w:color w:val="auto"/>
              </w:rPr>
            </w:pPr>
            <w:r>
              <w:rPr>
                <w:rFonts w:ascii="Arial" w:cs="Arial" w:eastAsia="Arial" w:hAnsi="Arial"/>
                <w:sz w:val="12"/>
                <w:szCs w:val="12"/>
                <w:color w:val="auto"/>
              </w:rPr>
              <w:t>Net income (loss)</w:t>
            </w:r>
          </w:p>
        </w:tc>
        <w:tc>
          <w:tcPr>
            <w:tcW w:w="220" w:type="dxa"/>
            <w:vAlign w:val="bottom"/>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793</w:t>
            </w:r>
          </w:p>
        </w:tc>
        <w:tc>
          <w:tcPr>
            <w:tcW w:w="460" w:type="dxa"/>
            <w:vAlign w:val="bottom"/>
            <w:shd w:val="clear" w:color="auto" w:fill="D1D2D4"/>
          </w:tcPr>
          <w:p>
            <w:pPr>
              <w:jc w:val="right"/>
              <w:ind w:right="32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(2,312)</w:t>
            </w:r>
          </w:p>
        </w:tc>
        <w:tc>
          <w:tcPr>
            <w:tcW w:w="80" w:type="dxa"/>
            <w:vAlign w:val="bottom"/>
            <w:shd w:val="clear" w:color="auto" w:fill="D1D2D4"/>
          </w:tcPr>
          <w:p>
            <w:pPr>
              <w:spacing w:after="0"/>
              <w:rPr>
                <w:sz w:val="14"/>
                <w:szCs w:val="14"/>
                <w:color w:val="auto"/>
              </w:rPr>
            </w:pPr>
          </w:p>
        </w:tc>
        <w:tc>
          <w:tcPr>
            <w:tcW w:w="220" w:type="dxa"/>
            <w:vAlign w:val="bottom"/>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(441)</w:t>
            </w:r>
          </w:p>
        </w:tc>
        <w:tc>
          <w:tcPr>
            <w:tcW w:w="280" w:type="dxa"/>
            <w:vAlign w:val="bottom"/>
            <w:shd w:val="clear" w:color="auto" w:fill="D1D2D4"/>
          </w:tcPr>
          <w:p>
            <w:pPr>
              <w:jc w:val="right"/>
              <w:ind w:right="14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(2,507)</w:t>
            </w:r>
          </w:p>
        </w:tc>
      </w:tr>
      <w:tr>
        <w:trPr>
          <w:trHeight w:val="171"/>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3"/>
        </w:trPr>
        <w:tc>
          <w:tcPr>
            <w:tcW w:w="5500" w:type="dxa"/>
            <w:vAlign w:val="bottom"/>
            <w:shd w:val="clear" w:color="auto" w:fill="D1D2D4"/>
          </w:tcPr>
          <w:p>
            <w:pPr>
              <w:ind w:left="20"/>
              <w:spacing w:after="0"/>
              <w:rPr>
                <w:sz w:val="20"/>
                <w:szCs w:val="20"/>
                <w:color w:val="auto"/>
              </w:rPr>
            </w:pPr>
            <w:r>
              <w:rPr>
                <w:rFonts w:ascii="Arial" w:cs="Arial" w:eastAsia="Arial" w:hAnsi="Arial"/>
                <w:sz w:val="12"/>
                <w:szCs w:val="12"/>
                <w:color w:val="auto"/>
              </w:rPr>
              <w:t>Other comprehensive income (loss), net of tax</w:t>
            </w: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spacing w:after="0"/>
              <w:rPr>
                <w:sz w:val="13"/>
                <w:szCs w:val="13"/>
                <w:color w:val="auto"/>
              </w:rPr>
            </w:pPr>
          </w:p>
        </w:tc>
        <w:tc>
          <w:tcPr>
            <w:tcW w:w="460" w:type="dxa"/>
            <w:vAlign w:val="bottom"/>
            <w:shd w:val="clear" w:color="auto" w:fill="D1D2D4"/>
          </w:tcPr>
          <w:p>
            <w:pPr>
              <w:spacing w:after="0"/>
              <w:rPr>
                <w:sz w:val="13"/>
                <w:szCs w:val="13"/>
                <w:color w:val="auto"/>
              </w:rPr>
            </w:pPr>
          </w:p>
        </w:tc>
        <w:tc>
          <w:tcPr>
            <w:tcW w:w="980" w:type="dxa"/>
            <w:vAlign w:val="bottom"/>
            <w:shd w:val="clear" w:color="auto" w:fill="D1D2D4"/>
          </w:tcPr>
          <w:p>
            <w:pPr>
              <w:spacing w:after="0"/>
              <w:rPr>
                <w:sz w:val="13"/>
                <w:szCs w:val="13"/>
                <w:color w:val="auto"/>
              </w:rPr>
            </w:pPr>
          </w:p>
        </w:tc>
        <w:tc>
          <w:tcPr>
            <w:tcW w:w="8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spacing w:after="0"/>
              <w:rPr>
                <w:sz w:val="13"/>
                <w:szCs w:val="13"/>
                <w:color w:val="auto"/>
              </w:rPr>
            </w:pPr>
          </w:p>
        </w:tc>
        <w:tc>
          <w:tcPr>
            <w:tcW w:w="280" w:type="dxa"/>
            <w:vAlign w:val="bottom"/>
            <w:shd w:val="clear" w:color="auto" w:fill="D1D2D4"/>
          </w:tcPr>
          <w:p>
            <w:pPr>
              <w:spacing w:after="0"/>
              <w:rPr>
                <w:sz w:val="13"/>
                <w:szCs w:val="13"/>
                <w:color w:val="auto"/>
              </w:rPr>
            </w:pPr>
          </w:p>
        </w:tc>
        <w:tc>
          <w:tcPr>
            <w:tcW w:w="1140" w:type="dxa"/>
            <w:vAlign w:val="bottom"/>
            <w:shd w:val="clear" w:color="auto" w:fill="D1D2D4"/>
          </w:tcPr>
          <w:p>
            <w:pPr>
              <w:spacing w:after="0"/>
              <w:rPr>
                <w:sz w:val="13"/>
                <w:szCs w:val="13"/>
                <w:color w:val="auto"/>
              </w:rPr>
            </w:pPr>
          </w:p>
        </w:tc>
      </w:tr>
      <w:tr>
        <w:trPr>
          <w:trHeight w:val="153"/>
        </w:trPr>
        <w:tc>
          <w:tcPr>
            <w:tcW w:w="5500" w:type="dxa"/>
            <w:vAlign w:val="bottom"/>
          </w:tcPr>
          <w:p>
            <w:pPr>
              <w:ind w:left="100"/>
              <w:spacing w:after="0"/>
              <w:rPr>
                <w:sz w:val="20"/>
                <w:szCs w:val="20"/>
                <w:color w:val="auto"/>
              </w:rPr>
            </w:pPr>
            <w:r>
              <w:rPr>
                <w:rFonts w:ascii="Arial" w:cs="Arial" w:eastAsia="Arial" w:hAnsi="Arial"/>
                <w:sz w:val="12"/>
                <w:szCs w:val="12"/>
                <w:color w:val="auto"/>
              </w:rPr>
              <w:t>Gains (losses) on derivative instruments</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(11)</w:t>
            </w: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33</w:t>
            </w: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200</w:t>
            </w:r>
          </w:p>
        </w:tc>
      </w:tr>
      <w:tr>
        <w:trPr>
          <w:trHeight w:val="153"/>
        </w:trPr>
        <w:tc>
          <w:tcPr>
            <w:tcW w:w="5500" w:type="dxa"/>
            <w:vAlign w:val="bottom"/>
            <w:shd w:val="clear" w:color="auto" w:fill="D1D2D4"/>
          </w:tcPr>
          <w:p>
            <w:pPr>
              <w:ind w:left="100"/>
              <w:spacing w:after="0"/>
              <w:rPr>
                <w:sz w:val="20"/>
                <w:szCs w:val="20"/>
                <w:color w:val="auto"/>
              </w:rPr>
            </w:pPr>
            <w:r>
              <w:rPr>
                <w:rFonts w:ascii="Arial" w:cs="Arial" w:eastAsia="Arial" w:hAnsi="Arial"/>
                <w:sz w:val="12"/>
                <w:szCs w:val="12"/>
                <w:color w:val="auto"/>
              </w:rPr>
              <w:t>Pension liability adjustments</w:t>
            </w: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w:t>
            </w:r>
          </w:p>
        </w:tc>
        <w:tc>
          <w:tcPr>
            <w:tcW w:w="460" w:type="dxa"/>
            <w:vAlign w:val="bottom"/>
            <w:shd w:val="clear" w:color="auto" w:fill="D1D2D4"/>
          </w:tcPr>
          <w:p>
            <w:pPr>
              <w:spacing w:after="0"/>
              <w:rPr>
                <w:sz w:val="13"/>
                <w:szCs w:val="13"/>
                <w:color w:val="auto"/>
              </w:rPr>
            </w:pPr>
          </w:p>
        </w:tc>
        <w:tc>
          <w:tcPr>
            <w:tcW w:w="1060" w:type="dxa"/>
            <w:vAlign w:val="bottom"/>
            <w:gridSpan w:val="2"/>
            <w:shd w:val="clear" w:color="auto" w:fill="D1D2D4"/>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w:t>
            </w:r>
          </w:p>
        </w:tc>
        <w:tc>
          <w:tcPr>
            <w:tcW w:w="280" w:type="dxa"/>
            <w:vAlign w:val="bottom"/>
            <w:shd w:val="clear" w:color="auto" w:fill="D1D2D4"/>
          </w:tcPr>
          <w:p>
            <w:pPr>
              <w:spacing w:after="0"/>
              <w:rPr>
                <w:sz w:val="13"/>
                <w:szCs w:val="13"/>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w:t>
            </w:r>
          </w:p>
        </w:tc>
      </w:tr>
      <w:tr>
        <w:trPr>
          <w:trHeight w:val="153"/>
        </w:trPr>
        <w:tc>
          <w:tcPr>
            <w:tcW w:w="5500" w:type="dxa"/>
            <w:vAlign w:val="bottom"/>
          </w:tcPr>
          <w:p>
            <w:pPr>
              <w:ind w:left="100"/>
              <w:spacing w:after="0"/>
              <w:rPr>
                <w:sz w:val="20"/>
                <w:szCs w:val="20"/>
                <w:color w:val="auto"/>
              </w:rPr>
            </w:pPr>
            <w:r>
              <w:rPr>
                <w:rFonts w:ascii="Arial" w:cs="Arial" w:eastAsia="Arial" w:hAnsi="Arial"/>
                <w:sz w:val="12"/>
                <w:szCs w:val="12"/>
                <w:color w:val="auto"/>
              </w:rPr>
              <w:t>Unrealized gains (losses) on investments</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9</w:t>
            </w: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16</w:t>
            </w: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53"/>
        </w:trPr>
        <w:tc>
          <w:tcPr>
            <w:tcW w:w="5500" w:type="dxa"/>
            <w:vAlign w:val="bottom"/>
            <w:shd w:val="clear" w:color="auto" w:fill="D1D2D4"/>
          </w:tcPr>
          <w:p>
            <w:pPr>
              <w:ind w:left="100"/>
              <w:spacing w:after="0"/>
              <w:rPr>
                <w:sz w:val="20"/>
                <w:szCs w:val="20"/>
                <w:color w:val="auto"/>
              </w:rPr>
            </w:pPr>
            <w:r>
              <w:rPr>
                <w:rFonts w:ascii="Arial" w:cs="Arial" w:eastAsia="Arial" w:hAnsi="Arial"/>
                <w:sz w:val="12"/>
                <w:szCs w:val="12"/>
                <w:color w:val="auto"/>
              </w:rPr>
              <w:t>Foreign currency translation adjustments</w:t>
            </w:r>
          </w:p>
        </w:tc>
        <w:tc>
          <w:tcPr>
            <w:tcW w:w="22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w:t>
            </w:r>
          </w:p>
        </w:tc>
        <w:tc>
          <w:tcPr>
            <w:tcW w:w="460" w:type="dxa"/>
            <w:vAlign w:val="bottom"/>
            <w:tcBorders>
              <w:bottom w:val="single" w:sz="8" w:color="auto"/>
            </w:tcBorders>
            <w:shd w:val="clear" w:color="auto" w:fill="D1D2D4"/>
          </w:tcPr>
          <w:p>
            <w:pPr>
              <w:spacing w:after="0"/>
              <w:rPr>
                <w:sz w:val="13"/>
                <w:szCs w:val="13"/>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D1D2D4"/>
          </w:tcPr>
          <w:p>
            <w:pPr>
              <w:spacing w:after="0"/>
              <w:rPr>
                <w:sz w:val="13"/>
                <w:szCs w:val="13"/>
                <w:color w:val="auto"/>
              </w:rPr>
            </w:pPr>
          </w:p>
        </w:tc>
        <w:tc>
          <w:tcPr>
            <w:tcW w:w="22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shd w:val="clear" w:color="auto" w:fill="D1D2D4"/>
          </w:tcPr>
          <w:p>
            <w:pPr>
              <w:spacing w:after="0"/>
              <w:rPr>
                <w:sz w:val="13"/>
                <w:szCs w:val="13"/>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w:t>
            </w:r>
          </w:p>
        </w:tc>
      </w:tr>
      <w:tr>
        <w:trPr>
          <w:trHeight w:val="142"/>
        </w:trPr>
        <w:tc>
          <w:tcPr>
            <w:tcW w:w="5500" w:type="dxa"/>
            <w:vAlign w:val="bottom"/>
            <w:tcBorders>
              <w:bottom w:val="single" w:sz="8" w:color="D1D2D4"/>
            </w:tcBorders>
          </w:tcPr>
          <w:p>
            <w:pPr>
              <w:ind w:left="140"/>
              <w:spacing w:after="0"/>
              <w:rPr>
                <w:sz w:val="20"/>
                <w:szCs w:val="20"/>
                <w:color w:val="auto"/>
              </w:rPr>
            </w:pPr>
            <w:r>
              <w:rPr>
                <w:rFonts w:ascii="Arial" w:cs="Arial" w:eastAsia="Arial" w:hAnsi="Arial"/>
                <w:sz w:val="12"/>
                <w:szCs w:val="12"/>
                <w:color w:val="auto"/>
              </w:rPr>
              <w:t>Other comprehensive income (loss)</w:t>
            </w: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4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w:t>
            </w:r>
          </w:p>
        </w:tc>
        <w:tc>
          <w:tcPr>
            <w:tcW w:w="80" w:type="dxa"/>
            <w:vAlign w:val="bottom"/>
            <w:tcBorders>
              <w:bottom w:val="single" w:sz="8" w:color="D1D2D4"/>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w:t>
            </w: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187</w:t>
            </w:r>
          </w:p>
        </w:tc>
      </w:tr>
      <w:tr>
        <w:trPr>
          <w:trHeight w:val="158"/>
        </w:trPr>
        <w:tc>
          <w:tcPr>
            <w:tcW w:w="55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2"/>
                <w:szCs w:val="12"/>
                <w:color w:val="auto"/>
              </w:rPr>
              <w:t>Total comprehensive income (loss)</w:t>
            </w:r>
          </w:p>
        </w:tc>
        <w:tc>
          <w:tcPr>
            <w:tcW w:w="220" w:type="dxa"/>
            <w:vAlign w:val="bottom"/>
            <w:tcBorders>
              <w:bottom w:val="single" w:sz="8" w:color="auto"/>
            </w:tcBorders>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789</w:t>
            </w:r>
          </w:p>
        </w:tc>
        <w:tc>
          <w:tcPr>
            <w:tcW w:w="460" w:type="dxa"/>
            <w:vAlign w:val="bottom"/>
            <w:tcBorders>
              <w:bottom w:val="single" w:sz="8" w:color="auto"/>
            </w:tcBorders>
            <w:shd w:val="clear" w:color="auto" w:fill="D1D2D4"/>
          </w:tcPr>
          <w:p>
            <w:pPr>
              <w:jc w:val="right"/>
              <w:ind w:right="32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(2,212)</w:t>
            </w:r>
          </w:p>
        </w:tc>
        <w:tc>
          <w:tcPr>
            <w:tcW w:w="80" w:type="dxa"/>
            <w:vAlign w:val="bottom"/>
            <w:tcBorders>
              <w:bottom w:val="single" w:sz="8" w:color="D1D2D4"/>
            </w:tcBorders>
            <w:shd w:val="clear" w:color="auto" w:fill="D1D2D4"/>
          </w:tcPr>
          <w:p>
            <w:pPr>
              <w:spacing w:after="0"/>
              <w:rPr>
                <w:sz w:val="13"/>
                <w:szCs w:val="13"/>
                <w:color w:val="auto"/>
              </w:rPr>
            </w:pPr>
          </w:p>
        </w:tc>
        <w:tc>
          <w:tcPr>
            <w:tcW w:w="220" w:type="dxa"/>
            <w:vAlign w:val="bottom"/>
            <w:tcBorders>
              <w:bottom w:val="single" w:sz="8" w:color="auto"/>
            </w:tcBorders>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(393)</w:t>
            </w:r>
          </w:p>
        </w:tc>
        <w:tc>
          <w:tcPr>
            <w:tcW w:w="280" w:type="dxa"/>
            <w:vAlign w:val="bottom"/>
            <w:tcBorders>
              <w:bottom w:val="single" w:sz="8" w:color="auto"/>
            </w:tcBorders>
            <w:shd w:val="clear" w:color="auto" w:fill="D1D2D4"/>
          </w:tcPr>
          <w:p>
            <w:pPr>
              <w:jc w:val="right"/>
              <w:ind w:right="14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(2,320)</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305"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26"/>
        </w:trPr>
        <w:tc>
          <w:tcPr>
            <w:tcW w:w="8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2"/>
          </w:tcPr>
          <w:p>
            <w:pPr>
              <w:jc w:val="right"/>
              <w:spacing w:after="0"/>
              <w:rPr>
                <w:sz w:val="20"/>
                <w:szCs w:val="20"/>
                <w:color w:val="auto"/>
              </w:rPr>
            </w:pPr>
            <w:r>
              <w:rPr>
                <w:rFonts w:ascii="Arial" w:cs="Arial" w:eastAsia="Arial" w:hAnsi="Arial"/>
                <w:sz w:val="11"/>
                <w:szCs w:val="11"/>
                <w:b w:val="1"/>
                <w:bCs w:val="1"/>
                <w:color w:val="BD03F7"/>
              </w:rPr>
              <w:t>Table of Contents</w:t>
            </w:r>
          </w:p>
        </w:tc>
        <w:tc>
          <w:tcPr>
            <w:tcW w:w="0" w:type="dxa"/>
            <w:vAlign w:val="bottom"/>
          </w:tcPr>
          <w:p>
            <w:pPr>
              <w:spacing w:after="0"/>
              <w:rPr>
                <w:sz w:val="1"/>
                <w:szCs w:val="1"/>
                <w:color w:val="auto"/>
              </w:rPr>
            </w:pPr>
          </w:p>
        </w:tc>
      </w:tr>
      <w:tr>
        <w:trPr>
          <w:trHeight w:val="714"/>
        </w:trPr>
        <w:tc>
          <w:tcPr>
            <w:tcW w:w="8440" w:type="dxa"/>
            <w:vAlign w:val="bottom"/>
          </w:tcPr>
          <w:p>
            <w:pPr>
              <w:spacing w:after="0"/>
              <w:rPr>
                <w:sz w:val="20"/>
                <w:szCs w:val="20"/>
                <w:color w:val="auto"/>
              </w:rPr>
            </w:pPr>
            <w:r>
              <w:rPr>
                <w:rFonts w:ascii="Arial" w:cs="Arial" w:eastAsia="Arial" w:hAnsi="Arial"/>
                <w:sz w:val="26"/>
                <w:szCs w:val="26"/>
                <w:b w:val="1"/>
                <w:bCs w:val="1"/>
                <w:color w:val="auto"/>
              </w:rPr>
              <w:t>Micron Technology, Inc.</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8440" w:type="dxa"/>
            <w:vAlign w:val="bottom"/>
          </w:tcPr>
          <w:p>
            <w:pPr>
              <w:spacing w:after="0"/>
              <w:rPr>
                <w:sz w:val="20"/>
                <w:szCs w:val="20"/>
                <w:color w:val="auto"/>
              </w:rPr>
            </w:pPr>
            <w:r>
              <w:rPr>
                <w:rFonts w:ascii="Arial" w:cs="Arial" w:eastAsia="Arial" w:hAnsi="Arial"/>
                <w:sz w:val="26"/>
                <w:szCs w:val="26"/>
                <w:b w:val="1"/>
                <w:bCs w:val="1"/>
                <w:color w:val="auto"/>
              </w:rPr>
              <w:t>Consolidated Balance Sheets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8440" w:type="dxa"/>
            <w:vAlign w:val="bottom"/>
          </w:tcPr>
          <w:p>
            <w:pPr>
              <w:spacing w:after="0"/>
              <w:rPr>
                <w:sz w:val="20"/>
                <w:szCs w:val="20"/>
                <w:color w:val="auto"/>
              </w:rPr>
            </w:pPr>
            <w:r>
              <w:rPr>
                <w:rFonts w:ascii="Arial" w:cs="Arial" w:eastAsia="Arial" w:hAnsi="Arial"/>
                <w:sz w:val="12"/>
                <w:szCs w:val="12"/>
                <w:color w:val="auto"/>
              </w:rPr>
              <w:t>(In millions, except par value amounts)</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440" w:type="dxa"/>
            <w:vAlign w:val="bottom"/>
          </w:tcPr>
          <w:p>
            <w:pPr>
              <w:spacing w:after="0"/>
              <w:rPr>
                <w:sz w:val="20"/>
                <w:szCs w:val="20"/>
                <w:color w:val="auto"/>
              </w:rPr>
            </w:pPr>
            <w:r>
              <w:rPr>
                <w:rFonts w:ascii="Arial" w:cs="Arial" w:eastAsia="Arial" w:hAnsi="Arial"/>
                <w:sz w:val="12"/>
                <w:szCs w:val="12"/>
                <w:color w:val="auto"/>
              </w:rPr>
              <w:t>(Unaudited)</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8440" w:type="dxa"/>
            <w:vAlign w:val="bottom"/>
            <w:vMerge w:val="restart"/>
          </w:tcPr>
          <w:p>
            <w:pPr>
              <w:spacing w:after="0"/>
              <w:rPr>
                <w:sz w:val="20"/>
                <w:szCs w:val="20"/>
                <w:color w:val="auto"/>
              </w:rPr>
            </w:pPr>
            <w:r>
              <w:rPr>
                <w:rFonts w:ascii="Arial" w:cs="Arial" w:eastAsia="Arial" w:hAnsi="Arial"/>
                <w:sz w:val="12"/>
                <w:szCs w:val="12"/>
                <w:b w:val="1"/>
                <w:bCs w:val="1"/>
                <w:color w:val="auto"/>
              </w:rPr>
              <w:t>As of</w:t>
            </w:r>
          </w:p>
        </w:tc>
        <w:tc>
          <w:tcPr>
            <w:tcW w:w="220" w:type="dxa"/>
            <w:vAlign w:val="bottom"/>
          </w:tcPr>
          <w:p>
            <w:pPr>
              <w:spacing w:after="0"/>
              <w:rPr>
                <w:sz w:val="12"/>
                <w:szCs w:val="12"/>
                <w:color w:val="auto"/>
              </w:rPr>
            </w:pPr>
          </w:p>
        </w:tc>
        <w:tc>
          <w:tcPr>
            <w:tcW w:w="1200" w:type="dxa"/>
            <w:vAlign w:val="bottom"/>
          </w:tcPr>
          <w:p>
            <w:pPr>
              <w:jc w:val="right"/>
              <w:ind w:right="300"/>
              <w:spacing w:after="0"/>
              <w:rPr>
                <w:sz w:val="20"/>
                <w:szCs w:val="20"/>
                <w:color w:val="auto"/>
              </w:rPr>
            </w:pPr>
            <w:r>
              <w:rPr>
                <w:rFonts w:ascii="Arial" w:cs="Arial" w:eastAsia="Arial" w:hAnsi="Arial"/>
                <w:sz w:val="12"/>
                <w:szCs w:val="12"/>
                <w:b w:val="1"/>
                <w:bCs w:val="1"/>
                <w:color w:val="auto"/>
              </w:rPr>
              <w:t>February 29,</w:t>
            </w:r>
          </w:p>
        </w:tc>
        <w:tc>
          <w:tcPr>
            <w:tcW w:w="240" w:type="dxa"/>
            <w:vAlign w:val="bottom"/>
          </w:tcPr>
          <w:p>
            <w:pPr>
              <w:spacing w:after="0"/>
              <w:rPr>
                <w:sz w:val="12"/>
                <w:szCs w:val="12"/>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August 31,</w:t>
            </w:r>
          </w:p>
        </w:tc>
        <w:tc>
          <w:tcPr>
            <w:tcW w:w="0" w:type="dxa"/>
            <w:vAlign w:val="bottom"/>
          </w:tcPr>
          <w:p>
            <w:pPr>
              <w:spacing w:after="0"/>
              <w:rPr>
                <w:sz w:val="1"/>
                <w:szCs w:val="1"/>
                <w:color w:val="auto"/>
              </w:rPr>
            </w:pPr>
          </w:p>
        </w:tc>
      </w:tr>
      <w:tr>
        <w:trPr>
          <w:trHeight w:val="165"/>
        </w:trPr>
        <w:tc>
          <w:tcPr>
            <w:tcW w:w="84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2024</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61"/>
        </w:trPr>
        <w:tc>
          <w:tcPr>
            <w:tcW w:w="8440" w:type="dxa"/>
            <w:vAlign w:val="bottom"/>
            <w:shd w:val="clear" w:color="auto" w:fill="D1D2D4"/>
          </w:tcPr>
          <w:p>
            <w:pPr>
              <w:spacing w:after="0"/>
              <w:rPr>
                <w:sz w:val="20"/>
                <w:szCs w:val="20"/>
                <w:color w:val="auto"/>
              </w:rPr>
            </w:pPr>
            <w:r>
              <w:rPr>
                <w:rFonts w:ascii="Arial" w:cs="Arial" w:eastAsia="Arial" w:hAnsi="Arial"/>
                <w:sz w:val="12"/>
                <w:szCs w:val="12"/>
                <w:b w:val="1"/>
                <w:bCs w:val="1"/>
                <w:color w:val="auto"/>
              </w:rPr>
              <w:t>Assets</w:t>
            </w:r>
          </w:p>
        </w:tc>
        <w:tc>
          <w:tcPr>
            <w:tcW w:w="220" w:type="dxa"/>
            <w:vAlign w:val="bottom"/>
            <w:shd w:val="clear" w:color="auto" w:fill="D1D2D4"/>
          </w:tcPr>
          <w:p>
            <w:pPr>
              <w:spacing w:after="0"/>
              <w:rPr>
                <w:sz w:val="14"/>
                <w:szCs w:val="14"/>
                <w:color w:val="auto"/>
              </w:rPr>
            </w:pPr>
          </w:p>
        </w:tc>
        <w:tc>
          <w:tcPr>
            <w:tcW w:w="1200" w:type="dxa"/>
            <w:vAlign w:val="bottom"/>
            <w:shd w:val="clear" w:color="auto" w:fill="D1D2D4"/>
          </w:tcPr>
          <w:p>
            <w:pPr>
              <w:spacing w:after="0"/>
              <w:rPr>
                <w:sz w:val="14"/>
                <w:szCs w:val="14"/>
                <w:color w:val="auto"/>
              </w:rPr>
            </w:pPr>
          </w:p>
        </w:tc>
        <w:tc>
          <w:tcPr>
            <w:tcW w:w="240" w:type="dxa"/>
            <w:vAlign w:val="bottom"/>
            <w:shd w:val="clear" w:color="auto" w:fill="D1D2D4"/>
          </w:tcPr>
          <w:p>
            <w:pPr>
              <w:spacing w:after="0"/>
              <w:rPr>
                <w:sz w:val="14"/>
                <w:szCs w:val="14"/>
                <w:color w:val="auto"/>
              </w:rPr>
            </w:pPr>
          </w:p>
        </w:tc>
        <w:tc>
          <w:tcPr>
            <w:tcW w:w="300" w:type="dxa"/>
            <w:vAlign w:val="bottom"/>
            <w:shd w:val="clear" w:color="auto" w:fill="D1D2D4"/>
          </w:tcPr>
          <w:p>
            <w:pPr>
              <w:spacing w:after="0"/>
              <w:rPr>
                <w:sz w:val="14"/>
                <w:szCs w:val="14"/>
                <w:color w:val="auto"/>
              </w:rPr>
            </w:pPr>
          </w:p>
        </w:tc>
        <w:tc>
          <w:tcPr>
            <w:tcW w:w="90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Cash and equivalents</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8,016</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8,577</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Short-term investments</w:t>
            </w: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990</w:t>
            </w:r>
          </w:p>
        </w:tc>
        <w:tc>
          <w:tcPr>
            <w:tcW w:w="240" w:type="dxa"/>
            <w:vAlign w:val="bottom"/>
            <w:shd w:val="clear" w:color="auto" w:fill="D1D2D4"/>
          </w:tcPr>
          <w:p>
            <w:pPr>
              <w:spacing w:after="0"/>
              <w:rPr>
                <w:sz w:val="13"/>
                <w:szCs w:val="13"/>
                <w:color w:val="auto"/>
              </w:rPr>
            </w:pP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1,017</w:t>
            </w: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Receivables</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4,296</w:t>
            </w:r>
          </w:p>
        </w:tc>
        <w:tc>
          <w:tcPr>
            <w:tcW w:w="24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2,443</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Inventories</w:t>
            </w: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8,443</w:t>
            </w:r>
          </w:p>
        </w:tc>
        <w:tc>
          <w:tcPr>
            <w:tcW w:w="240" w:type="dxa"/>
            <w:vAlign w:val="bottom"/>
            <w:shd w:val="clear" w:color="auto" w:fill="D1D2D4"/>
          </w:tcPr>
          <w:p>
            <w:pPr>
              <w:spacing w:after="0"/>
              <w:rPr>
                <w:sz w:val="13"/>
                <w:szCs w:val="13"/>
                <w:color w:val="auto"/>
              </w:rPr>
            </w:pP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8,387</w:t>
            </w:r>
          </w:p>
        </w:tc>
        <w:tc>
          <w:tcPr>
            <w:tcW w:w="0" w:type="dxa"/>
            <w:vAlign w:val="bottom"/>
          </w:tcPr>
          <w:p>
            <w:pPr>
              <w:spacing w:after="0"/>
              <w:rPr>
                <w:sz w:val="1"/>
                <w:szCs w:val="1"/>
                <w:color w:val="auto"/>
              </w:rPr>
            </w:pPr>
          </w:p>
        </w:tc>
      </w:tr>
      <w:tr>
        <w:trPr>
          <w:trHeight w:val="153"/>
        </w:trPr>
        <w:tc>
          <w:tcPr>
            <w:tcW w:w="8440" w:type="dxa"/>
            <w:vAlign w:val="bottom"/>
            <w:tcBorders>
              <w:bottom w:val="single" w:sz="8" w:color="D1D2D4"/>
            </w:tcBorders>
          </w:tcPr>
          <w:p>
            <w:pPr>
              <w:spacing w:after="0"/>
              <w:rPr>
                <w:sz w:val="20"/>
                <w:szCs w:val="20"/>
                <w:color w:val="auto"/>
              </w:rPr>
            </w:pPr>
            <w:r>
              <w:rPr>
                <w:rFonts w:ascii="Arial" w:cs="Arial" w:eastAsia="Arial" w:hAnsi="Arial"/>
                <w:sz w:val="12"/>
                <w:szCs w:val="12"/>
                <w:color w:val="auto"/>
              </w:rPr>
              <w:t>Other current assets</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1,690</w:t>
            </w: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820</w:t>
            </w:r>
          </w:p>
        </w:tc>
        <w:tc>
          <w:tcPr>
            <w:tcW w:w="0" w:type="dxa"/>
            <w:vAlign w:val="bottom"/>
          </w:tcPr>
          <w:p>
            <w:pPr>
              <w:spacing w:after="0"/>
              <w:rPr>
                <w:sz w:val="1"/>
                <w:szCs w:val="1"/>
                <w:color w:val="auto"/>
              </w:rPr>
            </w:pPr>
          </w:p>
        </w:tc>
      </w:tr>
      <w:tr>
        <w:trPr>
          <w:trHeight w:val="142"/>
        </w:trPr>
        <w:tc>
          <w:tcPr>
            <w:tcW w:w="8440" w:type="dxa"/>
            <w:vAlign w:val="bottom"/>
            <w:shd w:val="clear" w:color="auto" w:fill="D1D2D4"/>
          </w:tcPr>
          <w:p>
            <w:pPr>
              <w:ind w:left="140"/>
              <w:spacing w:after="0"/>
              <w:rPr>
                <w:sz w:val="20"/>
                <w:szCs w:val="20"/>
                <w:color w:val="auto"/>
              </w:rPr>
            </w:pPr>
            <w:r>
              <w:rPr>
                <w:rFonts w:ascii="Arial" w:cs="Arial" w:eastAsia="Arial" w:hAnsi="Arial"/>
                <w:sz w:val="12"/>
                <w:szCs w:val="12"/>
                <w:color w:val="auto"/>
              </w:rPr>
              <w:t>Total current assets</w:t>
            </w:r>
          </w:p>
        </w:tc>
        <w:tc>
          <w:tcPr>
            <w:tcW w:w="220" w:type="dxa"/>
            <w:vAlign w:val="bottom"/>
            <w:shd w:val="clear" w:color="auto" w:fill="D1D2D4"/>
          </w:tcPr>
          <w:p>
            <w:pPr>
              <w:spacing w:after="0"/>
              <w:rPr>
                <w:sz w:val="12"/>
                <w:szCs w:val="12"/>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23,435</w:t>
            </w:r>
          </w:p>
        </w:tc>
        <w:tc>
          <w:tcPr>
            <w:tcW w:w="240" w:type="dxa"/>
            <w:vAlign w:val="bottom"/>
            <w:shd w:val="clear" w:color="auto" w:fill="D1D2D4"/>
          </w:tcPr>
          <w:p>
            <w:pPr>
              <w:spacing w:after="0"/>
              <w:rPr>
                <w:sz w:val="12"/>
                <w:szCs w:val="12"/>
                <w:color w:val="auto"/>
              </w:rPr>
            </w:pP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21,244</w:t>
            </w: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Long-term marketable investments</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627</w:t>
            </w:r>
          </w:p>
        </w:tc>
        <w:tc>
          <w:tcPr>
            <w:tcW w:w="24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844</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Property, plant, and equipment</w:t>
            </w: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37,587</w:t>
            </w:r>
          </w:p>
        </w:tc>
        <w:tc>
          <w:tcPr>
            <w:tcW w:w="240" w:type="dxa"/>
            <w:vAlign w:val="bottom"/>
            <w:shd w:val="clear" w:color="auto" w:fill="D1D2D4"/>
          </w:tcPr>
          <w:p>
            <w:pPr>
              <w:spacing w:after="0"/>
              <w:rPr>
                <w:sz w:val="13"/>
                <w:szCs w:val="13"/>
                <w:color w:val="auto"/>
              </w:rPr>
            </w:pP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37,928</w:t>
            </w: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Operating lease right-of-use assets</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642</w:t>
            </w:r>
          </w:p>
        </w:tc>
        <w:tc>
          <w:tcPr>
            <w:tcW w:w="24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666</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Intangible assets</w:t>
            </w: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414</w:t>
            </w:r>
          </w:p>
        </w:tc>
        <w:tc>
          <w:tcPr>
            <w:tcW w:w="240" w:type="dxa"/>
            <w:vAlign w:val="bottom"/>
            <w:shd w:val="clear" w:color="auto" w:fill="D1D2D4"/>
          </w:tcPr>
          <w:p>
            <w:pPr>
              <w:spacing w:after="0"/>
              <w:rPr>
                <w:sz w:val="13"/>
                <w:szCs w:val="13"/>
                <w:color w:val="auto"/>
              </w:rPr>
            </w:pP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404</w:t>
            </w: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Deferred tax assets</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664</w:t>
            </w:r>
          </w:p>
        </w:tc>
        <w:tc>
          <w:tcPr>
            <w:tcW w:w="24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756</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Goodwill</w:t>
            </w: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1,150</w:t>
            </w:r>
          </w:p>
        </w:tc>
        <w:tc>
          <w:tcPr>
            <w:tcW w:w="240" w:type="dxa"/>
            <w:vAlign w:val="bottom"/>
            <w:shd w:val="clear" w:color="auto" w:fill="D1D2D4"/>
          </w:tcPr>
          <w:p>
            <w:pPr>
              <w:spacing w:after="0"/>
              <w:rPr>
                <w:sz w:val="13"/>
                <w:szCs w:val="13"/>
                <w:color w:val="auto"/>
              </w:rPr>
            </w:pP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1,150</w:t>
            </w:r>
          </w:p>
        </w:tc>
        <w:tc>
          <w:tcPr>
            <w:tcW w:w="0" w:type="dxa"/>
            <w:vAlign w:val="bottom"/>
          </w:tcPr>
          <w:p>
            <w:pPr>
              <w:spacing w:after="0"/>
              <w:rPr>
                <w:sz w:val="1"/>
                <w:szCs w:val="1"/>
                <w:color w:val="auto"/>
              </w:rPr>
            </w:pPr>
          </w:p>
        </w:tc>
      </w:tr>
      <w:tr>
        <w:trPr>
          <w:trHeight w:val="153"/>
        </w:trPr>
        <w:tc>
          <w:tcPr>
            <w:tcW w:w="8440" w:type="dxa"/>
            <w:vAlign w:val="bottom"/>
            <w:tcBorders>
              <w:bottom w:val="single" w:sz="8" w:color="D1D2D4"/>
            </w:tcBorders>
          </w:tcPr>
          <w:p>
            <w:pPr>
              <w:spacing w:after="0"/>
              <w:rPr>
                <w:sz w:val="20"/>
                <w:szCs w:val="20"/>
                <w:color w:val="auto"/>
              </w:rPr>
            </w:pPr>
            <w:r>
              <w:rPr>
                <w:rFonts w:ascii="Arial" w:cs="Arial" w:eastAsia="Arial" w:hAnsi="Arial"/>
                <w:sz w:val="12"/>
                <w:szCs w:val="12"/>
                <w:color w:val="auto"/>
              </w:rPr>
              <w:t>Other noncurrent assets</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1,199</w:t>
            </w: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1,262</w:t>
            </w:r>
          </w:p>
        </w:tc>
        <w:tc>
          <w:tcPr>
            <w:tcW w:w="0" w:type="dxa"/>
            <w:vAlign w:val="bottom"/>
          </w:tcPr>
          <w:p>
            <w:pPr>
              <w:spacing w:after="0"/>
              <w:rPr>
                <w:sz w:val="1"/>
                <w:szCs w:val="1"/>
                <w:color w:val="auto"/>
              </w:rPr>
            </w:pPr>
          </w:p>
        </w:tc>
      </w:tr>
      <w:tr>
        <w:trPr>
          <w:trHeight w:val="158"/>
        </w:trPr>
        <w:tc>
          <w:tcPr>
            <w:tcW w:w="8440" w:type="dxa"/>
            <w:vAlign w:val="bottom"/>
            <w:tcBorders>
              <w:bottom w:val="single" w:sz="8" w:color="D1D2D4"/>
            </w:tcBorders>
            <w:shd w:val="clear" w:color="auto" w:fill="D1D2D4"/>
          </w:tcPr>
          <w:p>
            <w:pPr>
              <w:ind w:left="300"/>
              <w:spacing w:after="0"/>
              <w:rPr>
                <w:sz w:val="20"/>
                <w:szCs w:val="20"/>
                <w:color w:val="auto"/>
              </w:rPr>
            </w:pPr>
            <w:r>
              <w:rPr>
                <w:rFonts w:ascii="Arial" w:cs="Arial" w:eastAsia="Arial" w:hAnsi="Arial"/>
                <w:sz w:val="12"/>
                <w:szCs w:val="12"/>
                <w:color w:val="auto"/>
              </w:rPr>
              <w:t>Total assets</w:t>
            </w:r>
          </w:p>
        </w:tc>
        <w:tc>
          <w:tcPr>
            <w:tcW w:w="220" w:type="dxa"/>
            <w:vAlign w:val="bottom"/>
            <w:tcBorders>
              <w:bottom w:val="single" w:sz="8" w:color="auto"/>
            </w:tcBorders>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65,718</w:t>
            </w:r>
          </w:p>
        </w:tc>
        <w:tc>
          <w:tcPr>
            <w:tcW w:w="240" w:type="dxa"/>
            <w:vAlign w:val="bottom"/>
            <w:tcBorders>
              <w:bottom w:val="single" w:sz="8" w:color="auto"/>
            </w:tcBorders>
            <w:shd w:val="clear" w:color="auto" w:fill="D1D2D4"/>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64,254</w:t>
            </w:r>
          </w:p>
        </w:tc>
        <w:tc>
          <w:tcPr>
            <w:tcW w:w="0" w:type="dxa"/>
            <w:vAlign w:val="bottom"/>
          </w:tcPr>
          <w:p>
            <w:pPr>
              <w:spacing w:after="0"/>
              <w:rPr>
                <w:sz w:val="1"/>
                <w:szCs w:val="1"/>
                <w:color w:val="auto"/>
              </w:rPr>
            </w:pPr>
          </w:p>
        </w:tc>
      </w:tr>
      <w:tr>
        <w:trPr>
          <w:trHeight w:val="153"/>
        </w:trPr>
        <w:tc>
          <w:tcPr>
            <w:tcW w:w="8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b w:val="1"/>
                <w:bCs w:val="1"/>
                <w:color w:val="auto"/>
              </w:rPr>
              <w:t>Liabilities and equity</w:t>
            </w: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spacing w:after="0"/>
              <w:rPr>
                <w:sz w:val="13"/>
                <w:szCs w:val="13"/>
                <w:color w:val="auto"/>
              </w:rPr>
            </w:pPr>
          </w:p>
        </w:tc>
        <w:tc>
          <w:tcPr>
            <w:tcW w:w="240" w:type="dxa"/>
            <w:vAlign w:val="bottom"/>
            <w:shd w:val="clear" w:color="auto" w:fill="D1D2D4"/>
          </w:tcPr>
          <w:p>
            <w:pPr>
              <w:spacing w:after="0"/>
              <w:rPr>
                <w:sz w:val="13"/>
                <w:szCs w:val="13"/>
                <w:color w:val="auto"/>
              </w:rPr>
            </w:pPr>
          </w:p>
        </w:tc>
        <w:tc>
          <w:tcPr>
            <w:tcW w:w="300" w:type="dxa"/>
            <w:vAlign w:val="bottom"/>
            <w:shd w:val="clear" w:color="auto" w:fill="D1D2D4"/>
          </w:tcPr>
          <w:p>
            <w:pPr>
              <w:spacing w:after="0"/>
              <w:rPr>
                <w:sz w:val="13"/>
                <w:szCs w:val="13"/>
                <w:color w:val="auto"/>
              </w:rPr>
            </w:pPr>
          </w:p>
        </w:tc>
        <w:tc>
          <w:tcPr>
            <w:tcW w:w="90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Accounts payable and accrued expenses</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4,680</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3,958</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Current debt</w:t>
            </w: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344</w:t>
            </w:r>
          </w:p>
        </w:tc>
        <w:tc>
          <w:tcPr>
            <w:tcW w:w="240" w:type="dxa"/>
            <w:vAlign w:val="bottom"/>
            <w:shd w:val="clear" w:color="auto" w:fill="D1D2D4"/>
          </w:tcPr>
          <w:p>
            <w:pPr>
              <w:spacing w:after="0"/>
              <w:rPr>
                <w:sz w:val="13"/>
                <w:szCs w:val="13"/>
                <w:color w:val="auto"/>
              </w:rPr>
            </w:pP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278</w:t>
            </w:r>
          </w:p>
        </w:tc>
        <w:tc>
          <w:tcPr>
            <w:tcW w:w="0" w:type="dxa"/>
            <w:vAlign w:val="bottom"/>
          </w:tcPr>
          <w:p>
            <w:pPr>
              <w:spacing w:after="0"/>
              <w:rPr>
                <w:sz w:val="1"/>
                <w:szCs w:val="1"/>
                <w:color w:val="auto"/>
              </w:rPr>
            </w:pPr>
          </w:p>
        </w:tc>
      </w:tr>
      <w:tr>
        <w:trPr>
          <w:trHeight w:val="153"/>
        </w:trPr>
        <w:tc>
          <w:tcPr>
            <w:tcW w:w="8440" w:type="dxa"/>
            <w:vAlign w:val="bottom"/>
            <w:tcBorders>
              <w:bottom w:val="single" w:sz="8" w:color="D1D2D4"/>
            </w:tcBorders>
          </w:tcPr>
          <w:p>
            <w:pPr>
              <w:spacing w:after="0"/>
              <w:rPr>
                <w:sz w:val="20"/>
                <w:szCs w:val="20"/>
                <w:color w:val="auto"/>
              </w:rPr>
            </w:pPr>
            <w:r>
              <w:rPr>
                <w:rFonts w:ascii="Arial" w:cs="Arial" w:eastAsia="Arial" w:hAnsi="Arial"/>
                <w:sz w:val="12"/>
                <w:szCs w:val="12"/>
                <w:color w:val="auto"/>
              </w:rPr>
              <w:t>Other current liabilities</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1,235</w:t>
            </w: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529</w:t>
            </w:r>
          </w:p>
        </w:tc>
        <w:tc>
          <w:tcPr>
            <w:tcW w:w="0" w:type="dxa"/>
            <w:vAlign w:val="bottom"/>
          </w:tcPr>
          <w:p>
            <w:pPr>
              <w:spacing w:after="0"/>
              <w:rPr>
                <w:sz w:val="1"/>
                <w:szCs w:val="1"/>
                <w:color w:val="auto"/>
              </w:rPr>
            </w:pPr>
          </w:p>
        </w:tc>
      </w:tr>
      <w:tr>
        <w:trPr>
          <w:trHeight w:val="142"/>
        </w:trPr>
        <w:tc>
          <w:tcPr>
            <w:tcW w:w="8440" w:type="dxa"/>
            <w:vAlign w:val="bottom"/>
            <w:shd w:val="clear" w:color="auto" w:fill="D1D2D4"/>
          </w:tcPr>
          <w:p>
            <w:pPr>
              <w:ind w:left="140"/>
              <w:spacing w:after="0"/>
              <w:rPr>
                <w:sz w:val="20"/>
                <w:szCs w:val="20"/>
                <w:color w:val="auto"/>
              </w:rPr>
            </w:pPr>
            <w:r>
              <w:rPr>
                <w:rFonts w:ascii="Arial" w:cs="Arial" w:eastAsia="Arial" w:hAnsi="Arial"/>
                <w:sz w:val="12"/>
                <w:szCs w:val="12"/>
                <w:color w:val="auto"/>
              </w:rPr>
              <w:t>Total current liabilities</w:t>
            </w:r>
          </w:p>
        </w:tc>
        <w:tc>
          <w:tcPr>
            <w:tcW w:w="220" w:type="dxa"/>
            <w:vAlign w:val="bottom"/>
            <w:shd w:val="clear" w:color="auto" w:fill="D1D2D4"/>
          </w:tcPr>
          <w:p>
            <w:pPr>
              <w:spacing w:after="0"/>
              <w:rPr>
                <w:sz w:val="12"/>
                <w:szCs w:val="12"/>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6,259</w:t>
            </w:r>
          </w:p>
        </w:tc>
        <w:tc>
          <w:tcPr>
            <w:tcW w:w="240" w:type="dxa"/>
            <w:vAlign w:val="bottom"/>
            <w:shd w:val="clear" w:color="auto" w:fill="D1D2D4"/>
          </w:tcPr>
          <w:p>
            <w:pPr>
              <w:spacing w:after="0"/>
              <w:rPr>
                <w:sz w:val="12"/>
                <w:szCs w:val="12"/>
                <w:color w:val="auto"/>
              </w:rPr>
            </w:pP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4,765</w:t>
            </w: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Long-term debt</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13,378</w:t>
            </w:r>
          </w:p>
        </w:tc>
        <w:tc>
          <w:tcPr>
            <w:tcW w:w="24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13,052</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Noncurrent operating lease liabilities</w:t>
            </w: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593</w:t>
            </w:r>
          </w:p>
        </w:tc>
        <w:tc>
          <w:tcPr>
            <w:tcW w:w="240" w:type="dxa"/>
            <w:vAlign w:val="bottom"/>
            <w:shd w:val="clear" w:color="auto" w:fill="D1D2D4"/>
          </w:tcPr>
          <w:p>
            <w:pPr>
              <w:spacing w:after="0"/>
              <w:rPr>
                <w:sz w:val="13"/>
                <w:szCs w:val="13"/>
                <w:color w:val="auto"/>
              </w:rPr>
            </w:pP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603</w:t>
            </w: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Noncurrent unearned government incentives</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662</w:t>
            </w:r>
          </w:p>
        </w:tc>
        <w:tc>
          <w:tcPr>
            <w:tcW w:w="24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727</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Other noncurrent liabilities</w:t>
            </w:r>
          </w:p>
        </w:tc>
        <w:tc>
          <w:tcPr>
            <w:tcW w:w="22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956</w:t>
            </w:r>
          </w:p>
        </w:tc>
        <w:tc>
          <w:tcPr>
            <w:tcW w:w="24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987</w:t>
            </w:r>
          </w:p>
        </w:tc>
        <w:tc>
          <w:tcPr>
            <w:tcW w:w="0" w:type="dxa"/>
            <w:vAlign w:val="bottom"/>
          </w:tcPr>
          <w:p>
            <w:pPr>
              <w:spacing w:after="0"/>
              <w:rPr>
                <w:sz w:val="1"/>
                <w:szCs w:val="1"/>
                <w:color w:val="auto"/>
              </w:rPr>
            </w:pPr>
          </w:p>
        </w:tc>
      </w:tr>
      <w:tr>
        <w:trPr>
          <w:trHeight w:val="142"/>
        </w:trPr>
        <w:tc>
          <w:tcPr>
            <w:tcW w:w="8440" w:type="dxa"/>
            <w:vAlign w:val="bottom"/>
            <w:tcBorders>
              <w:bottom w:val="single" w:sz="8" w:color="D1D2D4"/>
            </w:tcBorders>
          </w:tcPr>
          <w:p>
            <w:pPr>
              <w:ind w:left="300"/>
              <w:spacing w:after="0"/>
              <w:rPr>
                <w:sz w:val="20"/>
                <w:szCs w:val="20"/>
                <w:color w:val="auto"/>
              </w:rPr>
            </w:pPr>
            <w:r>
              <w:rPr>
                <w:rFonts w:ascii="Arial" w:cs="Arial" w:eastAsia="Arial" w:hAnsi="Arial"/>
                <w:sz w:val="12"/>
                <w:szCs w:val="12"/>
                <w:color w:val="auto"/>
              </w:rPr>
              <w:t>Total liabilities</w:t>
            </w: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21,848</w:t>
            </w: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20,134</w:t>
            </w:r>
          </w:p>
        </w:tc>
        <w:tc>
          <w:tcPr>
            <w:tcW w:w="0" w:type="dxa"/>
            <w:vAlign w:val="bottom"/>
          </w:tcPr>
          <w:p>
            <w:pPr>
              <w:spacing w:after="0"/>
              <w:rPr>
                <w:sz w:val="1"/>
                <w:szCs w:val="1"/>
                <w:color w:val="auto"/>
              </w:rPr>
            </w:pPr>
          </w:p>
        </w:tc>
      </w:tr>
      <w:tr>
        <w:trPr>
          <w:trHeight w:val="151"/>
        </w:trPr>
        <w:tc>
          <w:tcPr>
            <w:tcW w:w="844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spacing w:after="0"/>
              <w:rPr>
                <w:sz w:val="13"/>
                <w:szCs w:val="13"/>
                <w:color w:val="auto"/>
              </w:rPr>
            </w:pPr>
          </w:p>
        </w:tc>
        <w:tc>
          <w:tcPr>
            <w:tcW w:w="240" w:type="dxa"/>
            <w:vAlign w:val="bottom"/>
            <w:shd w:val="clear" w:color="auto" w:fill="D1D2D4"/>
          </w:tcPr>
          <w:p>
            <w:pPr>
              <w:spacing w:after="0"/>
              <w:rPr>
                <w:sz w:val="13"/>
                <w:szCs w:val="13"/>
                <w:color w:val="auto"/>
              </w:rPr>
            </w:pPr>
          </w:p>
        </w:tc>
        <w:tc>
          <w:tcPr>
            <w:tcW w:w="300" w:type="dxa"/>
            <w:vAlign w:val="bottom"/>
            <w:shd w:val="clear" w:color="auto" w:fill="D1D2D4"/>
          </w:tcPr>
          <w:p>
            <w:pPr>
              <w:spacing w:after="0"/>
              <w:rPr>
                <w:sz w:val="13"/>
                <w:szCs w:val="13"/>
                <w:color w:val="auto"/>
              </w:rPr>
            </w:pPr>
          </w:p>
        </w:tc>
        <w:tc>
          <w:tcPr>
            <w:tcW w:w="90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Commitments and contingencies</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440" w:type="dxa"/>
            <w:vAlign w:val="bottom"/>
            <w:shd w:val="clear" w:color="auto" w:fill="D1D2D4"/>
          </w:tcPr>
          <w:p>
            <w:pPr>
              <w:spacing w:after="0"/>
              <w:rPr>
                <w:sz w:val="14"/>
                <w:szCs w:val="14"/>
                <w:color w:val="auto"/>
              </w:rPr>
            </w:pPr>
          </w:p>
        </w:tc>
        <w:tc>
          <w:tcPr>
            <w:tcW w:w="220" w:type="dxa"/>
            <w:vAlign w:val="bottom"/>
            <w:shd w:val="clear" w:color="auto" w:fill="D1D2D4"/>
          </w:tcPr>
          <w:p>
            <w:pPr>
              <w:spacing w:after="0"/>
              <w:rPr>
                <w:sz w:val="14"/>
                <w:szCs w:val="14"/>
                <w:color w:val="auto"/>
              </w:rPr>
            </w:pPr>
          </w:p>
        </w:tc>
        <w:tc>
          <w:tcPr>
            <w:tcW w:w="1200" w:type="dxa"/>
            <w:vAlign w:val="bottom"/>
            <w:shd w:val="clear" w:color="auto" w:fill="D1D2D4"/>
          </w:tcPr>
          <w:p>
            <w:pPr>
              <w:spacing w:after="0"/>
              <w:rPr>
                <w:sz w:val="14"/>
                <w:szCs w:val="14"/>
                <w:color w:val="auto"/>
              </w:rPr>
            </w:pPr>
          </w:p>
        </w:tc>
        <w:tc>
          <w:tcPr>
            <w:tcW w:w="240" w:type="dxa"/>
            <w:vAlign w:val="bottom"/>
            <w:shd w:val="clear" w:color="auto" w:fill="D1D2D4"/>
          </w:tcPr>
          <w:p>
            <w:pPr>
              <w:spacing w:after="0"/>
              <w:rPr>
                <w:sz w:val="14"/>
                <w:szCs w:val="14"/>
                <w:color w:val="auto"/>
              </w:rPr>
            </w:pPr>
          </w:p>
        </w:tc>
        <w:tc>
          <w:tcPr>
            <w:tcW w:w="300" w:type="dxa"/>
            <w:vAlign w:val="bottom"/>
            <w:shd w:val="clear" w:color="auto" w:fill="D1D2D4"/>
          </w:tcPr>
          <w:p>
            <w:pPr>
              <w:spacing w:after="0"/>
              <w:rPr>
                <w:sz w:val="14"/>
                <w:szCs w:val="14"/>
                <w:color w:val="auto"/>
              </w:rPr>
            </w:pPr>
          </w:p>
        </w:tc>
        <w:tc>
          <w:tcPr>
            <w:tcW w:w="90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Shareholders’ equity</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440" w:type="dxa"/>
            <w:vAlign w:val="bottom"/>
            <w:shd w:val="clear" w:color="auto" w:fill="D1D2D4"/>
          </w:tcPr>
          <w:p>
            <w:pPr>
              <w:ind w:left="140"/>
              <w:spacing w:after="0" w:line="122" w:lineRule="exact"/>
              <w:rPr>
                <w:sz w:val="20"/>
                <w:szCs w:val="20"/>
                <w:color w:val="auto"/>
              </w:rPr>
            </w:pPr>
            <w:r>
              <w:rPr>
                <w:rFonts w:ascii="Arial" w:cs="Arial" w:eastAsia="Arial" w:hAnsi="Arial"/>
                <w:sz w:val="12"/>
                <w:szCs w:val="12"/>
                <w:color w:val="auto"/>
              </w:rPr>
              <w:t>Common stock, $0.10 par value, 3,000 shares authorized, 1,248 shares issued and 1,107 outstanding (1,239 shares issued and 1,098 outstanding as of</w:t>
            </w:r>
          </w:p>
        </w:tc>
        <w:tc>
          <w:tcPr>
            <w:tcW w:w="220" w:type="dxa"/>
            <w:vAlign w:val="bottom"/>
            <w:shd w:val="clear" w:color="auto" w:fill="D1D2D4"/>
          </w:tcPr>
          <w:p>
            <w:pPr>
              <w:spacing w:after="0"/>
              <w:rPr>
                <w:sz w:val="10"/>
                <w:szCs w:val="10"/>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2"/>
                <w:szCs w:val="12"/>
                <w:color w:val="auto"/>
              </w:rPr>
              <w:t>125</w:t>
            </w:r>
          </w:p>
        </w:tc>
        <w:tc>
          <w:tcPr>
            <w:tcW w:w="240" w:type="dxa"/>
            <w:vAlign w:val="bottom"/>
            <w:shd w:val="clear" w:color="auto" w:fill="D1D2D4"/>
          </w:tcPr>
          <w:p>
            <w:pPr>
              <w:spacing w:after="0"/>
              <w:rPr>
                <w:sz w:val="10"/>
                <w:szCs w:val="10"/>
                <w:color w:val="auto"/>
              </w:rPr>
            </w:pPr>
          </w:p>
        </w:tc>
        <w:tc>
          <w:tcPr>
            <w:tcW w:w="1200" w:type="dxa"/>
            <w:vAlign w:val="bottom"/>
            <w:gridSpan w:val="2"/>
            <w:vMerge w:val="restart"/>
            <w:shd w:val="clear" w:color="auto" w:fill="D1D2D4"/>
          </w:tcPr>
          <w:p>
            <w:pPr>
              <w:jc w:val="right"/>
              <w:ind w:right="60"/>
              <w:spacing w:after="0"/>
              <w:rPr>
                <w:sz w:val="20"/>
                <w:szCs w:val="20"/>
                <w:color w:val="auto"/>
              </w:rPr>
            </w:pPr>
            <w:r>
              <w:rPr>
                <w:rFonts w:ascii="Arial" w:cs="Arial" w:eastAsia="Arial" w:hAnsi="Arial"/>
                <w:sz w:val="12"/>
                <w:szCs w:val="12"/>
                <w:color w:val="auto"/>
              </w:rPr>
              <w:t>124</w:t>
            </w:r>
          </w:p>
        </w:tc>
        <w:tc>
          <w:tcPr>
            <w:tcW w:w="0" w:type="dxa"/>
            <w:vAlign w:val="bottom"/>
          </w:tcPr>
          <w:p>
            <w:pPr>
              <w:spacing w:after="0"/>
              <w:rPr>
                <w:sz w:val="1"/>
                <w:szCs w:val="1"/>
                <w:color w:val="auto"/>
              </w:rPr>
            </w:pPr>
          </w:p>
        </w:tc>
      </w:tr>
      <w:tr>
        <w:trPr>
          <w:trHeight w:val="157"/>
        </w:trPr>
        <w:tc>
          <w:tcPr>
            <w:tcW w:w="8440" w:type="dxa"/>
            <w:vAlign w:val="bottom"/>
            <w:shd w:val="clear" w:color="auto" w:fill="D1D2D4"/>
          </w:tcPr>
          <w:p>
            <w:pPr>
              <w:ind w:left="140"/>
              <w:spacing w:after="0"/>
              <w:rPr>
                <w:sz w:val="20"/>
                <w:szCs w:val="20"/>
                <w:color w:val="auto"/>
              </w:rPr>
            </w:pPr>
            <w:r>
              <w:rPr>
                <w:rFonts w:ascii="Arial" w:cs="Arial" w:eastAsia="Arial" w:hAnsi="Arial"/>
                <w:sz w:val="12"/>
                <w:szCs w:val="12"/>
                <w:color w:val="auto"/>
              </w:rPr>
              <w:t>August 31, 2023)</w:t>
            </w:r>
          </w:p>
        </w:tc>
        <w:tc>
          <w:tcPr>
            <w:tcW w:w="220" w:type="dxa"/>
            <w:vAlign w:val="bottom"/>
            <w:shd w:val="clear" w:color="auto" w:fill="D1D2D4"/>
          </w:tcPr>
          <w:p>
            <w:pPr>
              <w:spacing w:after="0"/>
              <w:rPr>
                <w:sz w:val="13"/>
                <w:szCs w:val="13"/>
                <w:color w:val="auto"/>
              </w:rPr>
            </w:pPr>
          </w:p>
        </w:tc>
        <w:tc>
          <w:tcPr>
            <w:tcW w:w="1200" w:type="dxa"/>
            <w:vAlign w:val="bottom"/>
            <w:vMerge w:val="continue"/>
            <w:shd w:val="clear" w:color="auto" w:fill="D1D2D4"/>
          </w:tcPr>
          <w:p>
            <w:pPr>
              <w:spacing w:after="0"/>
              <w:rPr>
                <w:sz w:val="13"/>
                <w:szCs w:val="13"/>
                <w:color w:val="auto"/>
              </w:rPr>
            </w:pPr>
          </w:p>
        </w:tc>
        <w:tc>
          <w:tcPr>
            <w:tcW w:w="240" w:type="dxa"/>
            <w:vAlign w:val="bottom"/>
            <w:shd w:val="clear" w:color="auto" w:fill="D1D2D4"/>
          </w:tcPr>
          <w:p>
            <w:pPr>
              <w:spacing w:after="0"/>
              <w:rPr>
                <w:sz w:val="13"/>
                <w:szCs w:val="13"/>
                <w:color w:val="auto"/>
              </w:rPr>
            </w:pPr>
          </w:p>
        </w:tc>
        <w:tc>
          <w:tcPr>
            <w:tcW w:w="1200" w:type="dxa"/>
            <w:vAlign w:val="bottom"/>
            <w:gridSpan w:val="2"/>
            <w:vMerge w:val="continue"/>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40" w:type="dxa"/>
            <w:vAlign w:val="bottom"/>
          </w:tcPr>
          <w:p>
            <w:pPr>
              <w:ind w:left="140"/>
              <w:spacing w:after="0"/>
              <w:rPr>
                <w:sz w:val="20"/>
                <w:szCs w:val="20"/>
                <w:color w:val="auto"/>
              </w:rPr>
            </w:pPr>
            <w:r>
              <w:rPr>
                <w:rFonts w:ascii="Arial" w:cs="Arial" w:eastAsia="Arial" w:hAnsi="Arial"/>
                <w:sz w:val="12"/>
                <w:szCs w:val="12"/>
                <w:color w:val="auto"/>
              </w:rPr>
              <w:t>Additional capital</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11,564</w:t>
            </w:r>
          </w:p>
        </w:tc>
        <w:tc>
          <w:tcPr>
            <w:tcW w:w="24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11,036</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ind w:left="140"/>
              <w:spacing w:after="0"/>
              <w:rPr>
                <w:sz w:val="20"/>
                <w:szCs w:val="20"/>
                <w:color w:val="auto"/>
              </w:rPr>
            </w:pPr>
            <w:r>
              <w:rPr>
                <w:rFonts w:ascii="Arial" w:cs="Arial" w:eastAsia="Arial" w:hAnsi="Arial"/>
                <w:sz w:val="12"/>
                <w:szCs w:val="12"/>
                <w:color w:val="auto"/>
              </w:rPr>
              <w:t>Retained earnings</w:t>
            </w: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39,997</w:t>
            </w:r>
          </w:p>
        </w:tc>
        <w:tc>
          <w:tcPr>
            <w:tcW w:w="240" w:type="dxa"/>
            <w:vAlign w:val="bottom"/>
            <w:shd w:val="clear" w:color="auto" w:fill="D1D2D4"/>
          </w:tcPr>
          <w:p>
            <w:pPr>
              <w:spacing w:after="0"/>
              <w:rPr>
                <w:sz w:val="13"/>
                <w:szCs w:val="13"/>
                <w:color w:val="auto"/>
              </w:rPr>
            </w:pP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40,824</w:t>
            </w:r>
          </w:p>
        </w:tc>
        <w:tc>
          <w:tcPr>
            <w:tcW w:w="0" w:type="dxa"/>
            <w:vAlign w:val="bottom"/>
          </w:tcPr>
          <w:p>
            <w:pPr>
              <w:spacing w:after="0"/>
              <w:rPr>
                <w:sz w:val="1"/>
                <w:szCs w:val="1"/>
                <w:color w:val="auto"/>
              </w:rPr>
            </w:pPr>
          </w:p>
        </w:tc>
      </w:tr>
      <w:tr>
        <w:trPr>
          <w:trHeight w:val="153"/>
        </w:trPr>
        <w:tc>
          <w:tcPr>
            <w:tcW w:w="8440" w:type="dxa"/>
            <w:vAlign w:val="bottom"/>
          </w:tcPr>
          <w:p>
            <w:pPr>
              <w:ind w:left="140"/>
              <w:spacing w:after="0"/>
              <w:rPr>
                <w:sz w:val="20"/>
                <w:szCs w:val="20"/>
                <w:color w:val="auto"/>
              </w:rPr>
            </w:pPr>
            <w:r>
              <w:rPr>
                <w:rFonts w:ascii="Arial" w:cs="Arial" w:eastAsia="Arial" w:hAnsi="Arial"/>
                <w:sz w:val="12"/>
                <w:szCs w:val="12"/>
                <w:color w:val="auto"/>
              </w:rPr>
              <w:t>Treasury stock, 141 shares held (141 shares as of August 31, 2023)</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(7,552)</w:t>
            </w:r>
          </w:p>
        </w:tc>
        <w:tc>
          <w:tcPr>
            <w:tcW w:w="240" w:type="dxa"/>
            <w:vAlign w:val="bottom"/>
          </w:tcPr>
          <w:p>
            <w:pPr>
              <w:spacing w:after="0"/>
              <w:rPr>
                <w:sz w:val="13"/>
                <w:szCs w:val="1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(7,552)</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ind w:left="140"/>
              <w:spacing w:after="0"/>
              <w:rPr>
                <w:sz w:val="20"/>
                <w:szCs w:val="20"/>
                <w:color w:val="auto"/>
              </w:rPr>
            </w:pPr>
            <w:r>
              <w:rPr>
                <w:rFonts w:ascii="Arial" w:cs="Arial" w:eastAsia="Arial" w:hAnsi="Arial"/>
                <w:sz w:val="12"/>
                <w:szCs w:val="12"/>
                <w:color w:val="auto"/>
              </w:rPr>
              <w:t>Accumulated other comprehensive income (loss)</w:t>
            </w:r>
          </w:p>
        </w:tc>
        <w:tc>
          <w:tcPr>
            <w:tcW w:w="22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(264)</w:t>
            </w:r>
          </w:p>
        </w:tc>
        <w:tc>
          <w:tcPr>
            <w:tcW w:w="24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2"/>
                <w:szCs w:val="12"/>
                <w:color w:val="auto"/>
              </w:rPr>
              <w:t>(312)</w:t>
            </w:r>
          </w:p>
        </w:tc>
        <w:tc>
          <w:tcPr>
            <w:tcW w:w="0" w:type="dxa"/>
            <w:vAlign w:val="bottom"/>
          </w:tcPr>
          <w:p>
            <w:pPr>
              <w:spacing w:after="0"/>
              <w:rPr>
                <w:sz w:val="1"/>
                <w:szCs w:val="1"/>
                <w:color w:val="auto"/>
              </w:rPr>
            </w:pPr>
          </w:p>
        </w:tc>
      </w:tr>
      <w:tr>
        <w:trPr>
          <w:trHeight w:val="142"/>
        </w:trPr>
        <w:tc>
          <w:tcPr>
            <w:tcW w:w="8440" w:type="dxa"/>
            <w:vAlign w:val="bottom"/>
            <w:tcBorders>
              <w:bottom w:val="single" w:sz="8" w:color="D1D2D4"/>
            </w:tcBorders>
          </w:tcPr>
          <w:p>
            <w:pPr>
              <w:ind w:left="300"/>
              <w:spacing w:after="0"/>
              <w:rPr>
                <w:sz w:val="20"/>
                <w:szCs w:val="20"/>
                <w:color w:val="auto"/>
              </w:rPr>
            </w:pPr>
            <w:r>
              <w:rPr>
                <w:rFonts w:ascii="Arial" w:cs="Arial" w:eastAsia="Arial" w:hAnsi="Arial"/>
                <w:sz w:val="12"/>
                <w:szCs w:val="12"/>
                <w:color w:val="auto"/>
              </w:rPr>
              <w:t>Total equity</w:t>
            </w: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43,870</w:t>
            </w: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44,120</w:t>
            </w:r>
          </w:p>
        </w:tc>
        <w:tc>
          <w:tcPr>
            <w:tcW w:w="0" w:type="dxa"/>
            <w:vAlign w:val="bottom"/>
          </w:tcPr>
          <w:p>
            <w:pPr>
              <w:spacing w:after="0"/>
              <w:rPr>
                <w:sz w:val="1"/>
                <w:szCs w:val="1"/>
                <w:color w:val="auto"/>
              </w:rPr>
            </w:pPr>
          </w:p>
        </w:tc>
      </w:tr>
      <w:tr>
        <w:trPr>
          <w:trHeight w:val="158"/>
        </w:trPr>
        <w:tc>
          <w:tcPr>
            <w:tcW w:w="8440" w:type="dxa"/>
            <w:vAlign w:val="bottom"/>
            <w:tcBorders>
              <w:bottom w:val="single" w:sz="8" w:color="D1D2D4"/>
            </w:tcBorders>
            <w:shd w:val="clear" w:color="auto" w:fill="D1D2D4"/>
          </w:tcPr>
          <w:p>
            <w:pPr>
              <w:ind w:left="300"/>
              <w:spacing w:after="0"/>
              <w:rPr>
                <w:sz w:val="20"/>
                <w:szCs w:val="20"/>
                <w:color w:val="auto"/>
              </w:rPr>
            </w:pPr>
            <w:r>
              <w:rPr>
                <w:rFonts w:ascii="Arial" w:cs="Arial" w:eastAsia="Arial" w:hAnsi="Arial"/>
                <w:sz w:val="12"/>
                <w:szCs w:val="12"/>
                <w:color w:val="auto"/>
              </w:rPr>
              <w:t>Total liabilities and equity</w:t>
            </w:r>
          </w:p>
        </w:tc>
        <w:tc>
          <w:tcPr>
            <w:tcW w:w="220" w:type="dxa"/>
            <w:vAlign w:val="bottom"/>
            <w:tcBorders>
              <w:bottom w:val="single" w:sz="8" w:color="auto"/>
            </w:tcBorders>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65,718</w:t>
            </w:r>
          </w:p>
        </w:tc>
        <w:tc>
          <w:tcPr>
            <w:tcW w:w="240" w:type="dxa"/>
            <w:vAlign w:val="bottom"/>
            <w:tcBorders>
              <w:bottom w:val="single" w:sz="8" w:color="auto"/>
            </w:tcBorders>
            <w:shd w:val="clear" w:color="auto" w:fill="D1D2D4"/>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64,254</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7 | 2024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7" w:name="page8"/>
    <w:bookmarkEnd w:id="7"/>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382"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Micron Technology, Inc.</w:t>
      </w:r>
    </w:p>
    <w:p>
      <w:pPr>
        <w:spacing w:after="0" w:line="42"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Consolidated Statements of Changes in Equity</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(In millions, except per share amounts)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780" w:type="dxa"/>
            <w:vAlign w:val="bottom"/>
          </w:tcPr>
          <w:p>
            <w:pPr>
              <w:spacing w:after="0"/>
              <w:rPr>
                <w:sz w:val="13"/>
                <w:szCs w:val="13"/>
                <w:color w:val="auto"/>
              </w:rPr>
            </w:pPr>
          </w:p>
        </w:tc>
        <w:tc>
          <w:tcPr>
            <w:tcW w:w="1660" w:type="dxa"/>
            <w:vAlign w:val="bottom"/>
            <w:tcBorders>
              <w:bottom w:val="single" w:sz="8" w:color="auto"/>
            </w:tcBorders>
            <w:gridSpan w:val="2"/>
          </w:tcPr>
          <w:p>
            <w:pPr>
              <w:ind w:left="520"/>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vMerge w:val="restart"/>
          </w:tcPr>
          <w:p>
            <w:pPr>
              <w:jc w:val="center"/>
              <w:ind w:right="60"/>
              <w:spacing w:after="0"/>
              <w:rPr>
                <w:sz w:val="20"/>
                <w:szCs w:val="20"/>
                <w:color w:val="auto"/>
              </w:rPr>
            </w:pPr>
            <w:r>
              <w:rPr>
                <w:rFonts w:ascii="Arial" w:cs="Arial" w:eastAsia="Arial" w:hAnsi="Arial"/>
                <w:sz w:val="12"/>
                <w:szCs w:val="12"/>
                <w:b w:val="1"/>
                <w:bCs w:val="1"/>
                <w:color w:val="auto"/>
                <w:w w:val="99"/>
              </w:rPr>
              <w:t>Accumulated Other</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3780" w:type="dxa"/>
            <w:vAlign w:val="bottom"/>
          </w:tcPr>
          <w:p>
            <w:pPr>
              <w:spacing w:after="0"/>
              <w:rPr>
                <w:sz w:val="8"/>
                <w:szCs w:val="8"/>
                <w:color w:val="auto"/>
              </w:rPr>
            </w:pPr>
          </w:p>
        </w:tc>
        <w:tc>
          <w:tcPr>
            <w:tcW w:w="9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restart"/>
          </w:tcPr>
          <w:p>
            <w:pPr>
              <w:jc w:val="right"/>
              <w:ind w:right="120"/>
              <w:spacing w:after="0"/>
              <w:rPr>
                <w:sz w:val="20"/>
                <w:szCs w:val="20"/>
                <w:color w:val="auto"/>
              </w:rPr>
            </w:pPr>
            <w:r>
              <w:rPr>
                <w:rFonts w:ascii="Arial" w:cs="Arial" w:eastAsia="Arial" w:hAnsi="Arial"/>
                <w:sz w:val="12"/>
                <w:szCs w:val="12"/>
                <w:b w:val="1"/>
                <w:bCs w:val="1"/>
                <w:color w:val="auto"/>
              </w:rPr>
              <w:t>Additional</w:t>
            </w:r>
          </w:p>
        </w:tc>
        <w:tc>
          <w:tcPr>
            <w:tcW w:w="160" w:type="dxa"/>
            <w:vAlign w:val="bottom"/>
          </w:tcPr>
          <w:p>
            <w:pPr>
              <w:spacing w:after="0"/>
              <w:rPr>
                <w:sz w:val="8"/>
                <w:szCs w:val="8"/>
                <w:color w:val="auto"/>
              </w:rPr>
            </w:pPr>
          </w:p>
        </w:tc>
        <w:tc>
          <w:tcPr>
            <w:tcW w:w="800" w:type="dxa"/>
            <w:vAlign w:val="bottom"/>
            <w:vMerge w:val="restart"/>
          </w:tcPr>
          <w:p>
            <w:pPr>
              <w:jc w:val="right"/>
              <w:ind w:right="160"/>
              <w:spacing w:after="0"/>
              <w:rPr>
                <w:sz w:val="20"/>
                <w:szCs w:val="20"/>
                <w:color w:val="auto"/>
              </w:rPr>
            </w:pPr>
            <w:r>
              <w:rPr>
                <w:rFonts w:ascii="Arial" w:cs="Arial" w:eastAsia="Arial" w:hAnsi="Arial"/>
                <w:sz w:val="12"/>
                <w:szCs w:val="12"/>
                <w:b w:val="1"/>
                <w:bCs w:val="1"/>
                <w:color w:val="auto"/>
              </w:rPr>
              <w:t>Retained</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vMerge w:val="restart"/>
          </w:tcPr>
          <w:p>
            <w:pPr>
              <w:jc w:val="right"/>
              <w:ind w:right="20"/>
              <w:spacing w:after="0"/>
              <w:rPr>
                <w:sz w:val="20"/>
                <w:szCs w:val="20"/>
                <w:color w:val="auto"/>
              </w:rPr>
            </w:pPr>
            <w:r>
              <w:rPr>
                <w:rFonts w:ascii="Arial" w:cs="Arial" w:eastAsia="Arial" w:hAnsi="Arial"/>
                <w:sz w:val="12"/>
                <w:szCs w:val="12"/>
                <w:b w:val="1"/>
                <w:bCs w:val="1"/>
                <w:color w:val="auto"/>
                <w:w w:val="96"/>
              </w:rPr>
              <w:t>Total Shareholders’</w:t>
            </w:r>
          </w:p>
        </w:tc>
        <w:tc>
          <w:tcPr>
            <w:tcW w:w="0" w:type="dxa"/>
            <w:vAlign w:val="bottom"/>
          </w:tcPr>
          <w:p>
            <w:pPr>
              <w:spacing w:after="0"/>
              <w:rPr>
                <w:sz w:val="1"/>
                <w:szCs w:val="1"/>
                <w:color w:val="auto"/>
              </w:rPr>
            </w:pPr>
          </w:p>
        </w:tc>
      </w:tr>
      <w:tr>
        <w:trPr>
          <w:trHeight w:val="121"/>
        </w:trPr>
        <w:tc>
          <w:tcPr>
            <w:tcW w:w="378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Treasury Stock</w:t>
            </w:r>
          </w:p>
        </w:tc>
        <w:tc>
          <w:tcPr>
            <w:tcW w:w="140" w:type="dxa"/>
            <w:vAlign w:val="bottom"/>
          </w:tcPr>
          <w:p>
            <w:pPr>
              <w:spacing w:after="0"/>
              <w:rPr>
                <w:sz w:val="10"/>
                <w:szCs w:val="10"/>
                <w:color w:val="auto"/>
              </w:rPr>
            </w:pPr>
          </w:p>
        </w:tc>
        <w:tc>
          <w:tcPr>
            <w:tcW w:w="1340" w:type="dxa"/>
            <w:vAlign w:val="bottom"/>
          </w:tcPr>
          <w:p>
            <w:pPr>
              <w:jc w:val="center"/>
              <w:ind w:right="60"/>
              <w:spacing w:after="0" w:line="121" w:lineRule="exact"/>
              <w:rPr>
                <w:sz w:val="20"/>
                <w:szCs w:val="20"/>
                <w:color w:val="auto"/>
              </w:rPr>
            </w:pPr>
            <w:r>
              <w:rPr>
                <w:rFonts w:ascii="Arial" w:cs="Arial" w:eastAsia="Arial" w:hAnsi="Arial"/>
                <w:sz w:val="12"/>
                <w:szCs w:val="12"/>
                <w:b w:val="1"/>
                <w:bCs w:val="1"/>
                <w:color w:val="auto"/>
                <w:w w:val="99"/>
              </w:rPr>
              <w:t>Comprehensive</w:t>
            </w:r>
          </w:p>
        </w:tc>
        <w:tc>
          <w:tcPr>
            <w:tcW w:w="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7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2"/>
                <w:szCs w:val="12"/>
                <w:b w:val="1"/>
                <w:bCs w:val="1"/>
                <w:color w:val="auto"/>
              </w:rPr>
              <w:t>of Shares</w:t>
            </w:r>
          </w:p>
        </w:tc>
        <w:tc>
          <w:tcPr>
            <w:tcW w:w="7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Capital</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Earnings</w:t>
            </w:r>
          </w:p>
        </w:tc>
        <w:tc>
          <w:tcPr>
            <w:tcW w:w="94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rPr>
              <w:t>Income (Loss)</w:t>
            </w: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61"/>
        </w:trPr>
        <w:tc>
          <w:tcPr>
            <w:tcW w:w="3780" w:type="dxa"/>
            <w:vAlign w:val="bottom"/>
            <w:shd w:val="clear" w:color="auto" w:fill="D1D2D4"/>
          </w:tcPr>
          <w:p>
            <w:pPr>
              <w:ind w:left="20"/>
              <w:spacing w:after="0"/>
              <w:rPr>
                <w:sz w:val="20"/>
                <w:szCs w:val="20"/>
                <w:color w:val="auto"/>
              </w:rPr>
            </w:pPr>
            <w:r>
              <w:rPr>
                <w:rFonts w:ascii="Arial" w:cs="Arial" w:eastAsia="Arial" w:hAnsi="Arial"/>
                <w:sz w:val="12"/>
                <w:szCs w:val="12"/>
                <w:b w:val="1"/>
                <w:bCs w:val="1"/>
                <w:color w:val="auto"/>
              </w:rPr>
              <w:t>Balance at August 31, 2023</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1,239</w:t>
            </w:r>
          </w:p>
        </w:tc>
        <w:tc>
          <w:tcPr>
            <w:tcW w:w="700" w:type="dxa"/>
            <w:vAlign w:val="bottom"/>
            <w:shd w:val="clear" w:color="auto" w:fill="D1D2D4"/>
          </w:tcPr>
          <w:p>
            <w:pPr>
              <w:jc w:val="right"/>
              <w:ind w:right="560"/>
              <w:spacing w:after="0"/>
              <w:rPr>
                <w:sz w:val="20"/>
                <w:szCs w:val="20"/>
                <w:color w:val="auto"/>
              </w:rPr>
            </w:pPr>
            <w:r>
              <w:rPr>
                <w:rFonts w:ascii="Arial" w:cs="Arial" w:eastAsia="Arial" w:hAnsi="Arial"/>
                <w:sz w:val="12"/>
                <w:szCs w:val="12"/>
                <w:color w:val="auto"/>
                <w:w w:val="89"/>
              </w:rPr>
              <w:t>$</w:t>
            </w:r>
          </w:p>
        </w:tc>
        <w:tc>
          <w:tcPr>
            <w:tcW w:w="24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124</w:t>
            </w:r>
          </w:p>
        </w:tc>
        <w:tc>
          <w:tcPr>
            <w:tcW w:w="14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11,036</w:t>
            </w:r>
          </w:p>
        </w:tc>
        <w:tc>
          <w:tcPr>
            <w:tcW w:w="160" w:type="dxa"/>
            <w:vAlign w:val="bottom"/>
            <w:shd w:val="clear" w:color="auto" w:fill="D1D2D4"/>
          </w:tcPr>
          <w:p>
            <w:pPr>
              <w:jc w:val="right"/>
              <w:ind w:right="2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40,824</w:t>
            </w:r>
          </w:p>
        </w:tc>
        <w:tc>
          <w:tcPr>
            <w:tcW w:w="320" w:type="dxa"/>
            <w:vAlign w:val="bottom"/>
            <w:shd w:val="clear" w:color="auto" w:fill="D1D2D4"/>
          </w:tcPr>
          <w:p>
            <w:pPr>
              <w:jc w:val="right"/>
              <w:ind w:right="180"/>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(7,552)</w:t>
            </w:r>
          </w:p>
        </w:tc>
        <w:tc>
          <w:tcPr>
            <w:tcW w:w="14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(312)</w:t>
            </w:r>
          </w:p>
        </w:tc>
        <w:tc>
          <w:tcPr>
            <w:tcW w:w="8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44,120</w:t>
            </w:r>
          </w:p>
        </w:tc>
        <w:tc>
          <w:tcPr>
            <w:tcW w:w="0" w:type="dxa"/>
            <w:vAlign w:val="bottom"/>
          </w:tcPr>
          <w:p>
            <w:pPr>
              <w:spacing w:after="0"/>
              <w:rPr>
                <w:sz w:val="1"/>
                <w:szCs w:val="1"/>
                <w:color w:val="auto"/>
              </w:rPr>
            </w:pPr>
          </w:p>
        </w:tc>
      </w:tr>
      <w:tr>
        <w:trPr>
          <w:trHeight w:val="153"/>
        </w:trPr>
        <w:tc>
          <w:tcPr>
            <w:tcW w:w="378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960" w:type="dxa"/>
            <w:vAlign w:val="bottom"/>
          </w:tcPr>
          <w:p>
            <w:pPr>
              <w:ind w:left="78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(1,234)</w:t>
            </w:r>
          </w:p>
        </w:tc>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(1,234)</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ind w:left="20"/>
              <w:spacing w:after="0"/>
              <w:rPr>
                <w:sz w:val="20"/>
                <w:szCs w:val="20"/>
                <w:color w:val="auto"/>
              </w:rPr>
            </w:pPr>
            <w:r>
              <w:rPr>
                <w:rFonts w:ascii="Arial" w:cs="Arial" w:eastAsia="Arial" w:hAnsi="Arial"/>
                <w:sz w:val="12"/>
                <w:szCs w:val="12"/>
                <w:color w:val="auto"/>
              </w:rPr>
              <w:t>Other comprehensive income (loss), net</w:t>
            </w:r>
          </w:p>
        </w:tc>
        <w:tc>
          <w:tcPr>
            <w:tcW w:w="960" w:type="dxa"/>
            <w:vAlign w:val="bottom"/>
            <w:shd w:val="clear" w:color="auto" w:fill="D1D2D4"/>
          </w:tcPr>
          <w:p>
            <w:pPr>
              <w:ind w:left="780"/>
              <w:spacing w:after="0"/>
              <w:rPr>
                <w:sz w:val="20"/>
                <w:szCs w:val="20"/>
                <w:color w:val="auto"/>
              </w:rPr>
            </w:pPr>
            <w:r>
              <w:rPr>
                <w:rFonts w:ascii="Arial" w:cs="Arial" w:eastAsia="Arial" w:hAnsi="Arial"/>
                <w:sz w:val="12"/>
                <w:szCs w:val="12"/>
                <w:color w:val="auto"/>
              </w:rPr>
              <w:t>—</w:t>
            </w:r>
          </w:p>
        </w:tc>
        <w:tc>
          <w:tcPr>
            <w:tcW w:w="700" w:type="dxa"/>
            <w:vAlign w:val="bottom"/>
            <w:shd w:val="clear" w:color="auto" w:fill="D1D2D4"/>
          </w:tcPr>
          <w:p>
            <w:pPr>
              <w:spacing w:after="0"/>
              <w:rPr>
                <w:sz w:val="13"/>
                <w:szCs w:val="13"/>
                <w:color w:val="auto"/>
              </w:rPr>
            </w:pPr>
          </w:p>
        </w:tc>
        <w:tc>
          <w:tcPr>
            <w:tcW w:w="2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D1D2D4"/>
          </w:tcPr>
          <w:p>
            <w:pPr>
              <w:spacing w:after="0"/>
              <w:rPr>
                <w:sz w:val="13"/>
                <w:szCs w:val="13"/>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52</w:t>
            </w:r>
          </w:p>
        </w:tc>
        <w:tc>
          <w:tcPr>
            <w:tcW w:w="8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53"/>
        </w:trPr>
        <w:tc>
          <w:tcPr>
            <w:tcW w:w="3780" w:type="dxa"/>
            <w:vAlign w:val="bottom"/>
          </w:tcPr>
          <w:p>
            <w:pPr>
              <w:ind w:left="20"/>
              <w:spacing w:after="0"/>
              <w:rPr>
                <w:sz w:val="20"/>
                <w:szCs w:val="20"/>
                <w:color w:val="auto"/>
              </w:rPr>
            </w:pPr>
            <w:r>
              <w:rPr>
                <w:rFonts w:ascii="Arial" w:cs="Arial" w:eastAsia="Arial" w:hAnsi="Arial"/>
                <w:sz w:val="12"/>
                <w:szCs w:val="12"/>
                <w:color w:val="auto"/>
              </w:rPr>
              <w:t>Stock issued under stock plans</w:t>
            </w:r>
          </w:p>
        </w:tc>
        <w:tc>
          <w:tcPr>
            <w:tcW w:w="960" w:type="dxa"/>
            <w:vAlign w:val="bottom"/>
          </w:tcPr>
          <w:p>
            <w:pPr>
              <w:jc w:val="right"/>
              <w:spacing w:after="0"/>
              <w:rPr>
                <w:sz w:val="20"/>
                <w:szCs w:val="20"/>
                <w:color w:val="auto"/>
              </w:rPr>
            </w:pPr>
            <w:r>
              <w:rPr>
                <w:rFonts w:ascii="Arial" w:cs="Arial" w:eastAsia="Arial" w:hAnsi="Arial"/>
                <w:sz w:val="12"/>
                <w:szCs w:val="12"/>
                <w:color w:val="auto"/>
              </w:rPr>
              <w:t>8</w:t>
            </w:r>
          </w:p>
        </w:tc>
        <w:tc>
          <w:tcPr>
            <w:tcW w:w="7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ind w:left="20"/>
              <w:spacing w:after="0"/>
              <w:rPr>
                <w:sz w:val="20"/>
                <w:szCs w:val="20"/>
                <w:color w:val="auto"/>
              </w:rPr>
            </w:pPr>
            <w:r>
              <w:rPr>
                <w:rFonts w:ascii="Arial" w:cs="Arial" w:eastAsia="Arial" w:hAnsi="Arial"/>
                <w:sz w:val="12"/>
                <w:szCs w:val="12"/>
                <w:color w:val="auto"/>
              </w:rPr>
              <w:t>Stock-based compensation expense</w:t>
            </w:r>
          </w:p>
        </w:tc>
        <w:tc>
          <w:tcPr>
            <w:tcW w:w="960" w:type="dxa"/>
            <w:vAlign w:val="bottom"/>
            <w:shd w:val="clear" w:color="auto" w:fill="D1D2D4"/>
          </w:tcPr>
          <w:p>
            <w:pPr>
              <w:ind w:left="780"/>
              <w:spacing w:after="0"/>
              <w:rPr>
                <w:sz w:val="20"/>
                <w:szCs w:val="20"/>
                <w:color w:val="auto"/>
              </w:rPr>
            </w:pPr>
            <w:r>
              <w:rPr>
                <w:rFonts w:ascii="Arial" w:cs="Arial" w:eastAsia="Arial" w:hAnsi="Arial"/>
                <w:sz w:val="12"/>
                <w:szCs w:val="12"/>
                <w:color w:val="auto"/>
              </w:rPr>
              <w:t>—</w:t>
            </w:r>
          </w:p>
        </w:tc>
        <w:tc>
          <w:tcPr>
            <w:tcW w:w="700" w:type="dxa"/>
            <w:vAlign w:val="bottom"/>
            <w:shd w:val="clear" w:color="auto" w:fill="D1D2D4"/>
          </w:tcPr>
          <w:p>
            <w:pPr>
              <w:spacing w:after="0"/>
              <w:rPr>
                <w:sz w:val="13"/>
                <w:szCs w:val="13"/>
                <w:color w:val="auto"/>
              </w:rPr>
            </w:pPr>
          </w:p>
        </w:tc>
        <w:tc>
          <w:tcPr>
            <w:tcW w:w="2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188</w:t>
            </w:r>
          </w:p>
        </w:tc>
        <w:tc>
          <w:tcPr>
            <w:tcW w:w="16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D1D2D4"/>
          </w:tcPr>
          <w:p>
            <w:pPr>
              <w:spacing w:after="0"/>
              <w:rPr>
                <w:sz w:val="13"/>
                <w:szCs w:val="13"/>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188</w:t>
            </w:r>
          </w:p>
        </w:tc>
        <w:tc>
          <w:tcPr>
            <w:tcW w:w="0" w:type="dxa"/>
            <w:vAlign w:val="bottom"/>
          </w:tcPr>
          <w:p>
            <w:pPr>
              <w:spacing w:after="0"/>
              <w:rPr>
                <w:sz w:val="1"/>
                <w:szCs w:val="1"/>
                <w:color w:val="auto"/>
              </w:rPr>
            </w:pPr>
          </w:p>
        </w:tc>
      </w:tr>
      <w:tr>
        <w:trPr>
          <w:trHeight w:val="153"/>
        </w:trPr>
        <w:tc>
          <w:tcPr>
            <w:tcW w:w="3780" w:type="dxa"/>
            <w:vAlign w:val="bottom"/>
          </w:tcPr>
          <w:p>
            <w:pPr>
              <w:ind w:left="20"/>
              <w:spacing w:after="0"/>
              <w:rPr>
                <w:sz w:val="20"/>
                <w:szCs w:val="20"/>
                <w:color w:val="auto"/>
              </w:rPr>
            </w:pPr>
            <w:r>
              <w:rPr>
                <w:rFonts w:ascii="Arial" w:cs="Arial" w:eastAsia="Arial" w:hAnsi="Arial"/>
                <w:sz w:val="12"/>
                <w:szCs w:val="12"/>
                <w:color w:val="auto"/>
              </w:rPr>
              <w:t>Repurchase of stock - withholdings on employee equity awards</w:t>
            </w:r>
          </w:p>
        </w:tc>
        <w:tc>
          <w:tcPr>
            <w:tcW w:w="960" w:type="dxa"/>
            <w:vAlign w:val="bottom"/>
          </w:tcPr>
          <w:p>
            <w:pPr>
              <w:ind w:left="800"/>
              <w:spacing w:after="0"/>
              <w:rPr>
                <w:sz w:val="20"/>
                <w:szCs w:val="20"/>
                <w:color w:val="auto"/>
              </w:rPr>
            </w:pPr>
            <w:r>
              <w:rPr>
                <w:rFonts w:ascii="Arial" w:cs="Arial" w:eastAsia="Arial" w:hAnsi="Arial"/>
                <w:sz w:val="12"/>
                <w:szCs w:val="12"/>
                <w:color w:val="auto"/>
                <w:w w:val="95"/>
              </w:rPr>
              <w:t>(2)</w:t>
            </w:r>
          </w:p>
        </w:tc>
        <w:tc>
          <w:tcPr>
            <w:tcW w:w="7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(16)</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(105)</w:t>
            </w:r>
          </w:p>
        </w:tc>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(121)</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ind w:left="20"/>
              <w:spacing w:after="0"/>
              <w:rPr>
                <w:sz w:val="20"/>
                <w:szCs w:val="20"/>
                <w:color w:val="auto"/>
              </w:rPr>
            </w:pPr>
            <w:r>
              <w:rPr>
                <w:rFonts w:ascii="Arial" w:cs="Arial" w:eastAsia="Arial" w:hAnsi="Arial"/>
                <w:sz w:val="12"/>
                <w:szCs w:val="12"/>
                <w:color w:val="auto"/>
              </w:rPr>
              <w:t>Dividends and dividend equivalents declared ($0.115 per share)</w:t>
            </w:r>
          </w:p>
        </w:tc>
        <w:tc>
          <w:tcPr>
            <w:tcW w:w="960" w:type="dxa"/>
            <w:vAlign w:val="bottom"/>
            <w:tcBorders>
              <w:bottom w:val="single" w:sz="8" w:color="auto"/>
            </w:tcBorders>
            <w:shd w:val="clear" w:color="auto" w:fill="D1D2D4"/>
          </w:tcPr>
          <w:p>
            <w:pPr>
              <w:ind w:left="78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D1D2D4"/>
          </w:tcPr>
          <w:p>
            <w:pPr>
              <w:spacing w:after="0"/>
              <w:rPr>
                <w:sz w:val="13"/>
                <w:szCs w:val="13"/>
                <w:color w:val="auto"/>
              </w:rPr>
            </w:pPr>
          </w:p>
        </w:tc>
        <w:tc>
          <w:tcPr>
            <w:tcW w:w="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D1D2D4"/>
          </w:tcPr>
          <w:p>
            <w:pPr>
              <w:spacing w:after="0"/>
              <w:rPr>
                <w:sz w:val="13"/>
                <w:szCs w:val="13"/>
                <w:color w:val="auto"/>
              </w:rPr>
            </w:pP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shd w:val="clear" w:color="auto" w:fill="D1D2D4"/>
          </w:tcPr>
          <w:p>
            <w:pPr>
              <w:spacing w:after="0"/>
              <w:rPr>
                <w:sz w:val="13"/>
                <w:szCs w:val="13"/>
                <w:color w:val="auto"/>
              </w:rPr>
            </w:pP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(129)</w:t>
            </w:r>
          </w:p>
        </w:tc>
        <w:tc>
          <w:tcPr>
            <w:tcW w:w="320" w:type="dxa"/>
            <w:vAlign w:val="bottom"/>
            <w:tcBorders>
              <w:bottom w:val="single" w:sz="8" w:color="auto"/>
            </w:tcBorders>
            <w:shd w:val="clear" w:color="auto" w:fill="D1D2D4"/>
          </w:tcPr>
          <w:p>
            <w:pPr>
              <w:spacing w:after="0"/>
              <w:rPr>
                <w:sz w:val="13"/>
                <w:szCs w:val="13"/>
                <w:color w:val="auto"/>
              </w:rPr>
            </w:pPr>
          </w:p>
        </w:tc>
        <w:tc>
          <w:tcPr>
            <w:tcW w:w="6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D1D2D4"/>
          </w:tcPr>
          <w:p>
            <w:pPr>
              <w:spacing w:after="0"/>
              <w:rPr>
                <w:sz w:val="13"/>
                <w:szCs w:val="13"/>
                <w:color w:val="auto"/>
              </w:rPr>
            </w:pPr>
          </w:p>
        </w:tc>
        <w:tc>
          <w:tcPr>
            <w:tcW w:w="1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D1D2D4"/>
          </w:tcPr>
          <w:p>
            <w:pPr>
              <w:spacing w:after="0"/>
              <w:rPr>
                <w:sz w:val="13"/>
                <w:szCs w:val="13"/>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42"/>
        </w:trPr>
        <w:tc>
          <w:tcPr>
            <w:tcW w:w="3780" w:type="dxa"/>
            <w:vAlign w:val="bottom"/>
          </w:tcPr>
          <w:p>
            <w:pPr>
              <w:ind w:left="20"/>
              <w:spacing w:after="0"/>
              <w:rPr>
                <w:sz w:val="20"/>
                <w:szCs w:val="20"/>
                <w:color w:val="auto"/>
              </w:rPr>
            </w:pPr>
            <w:r>
              <w:rPr>
                <w:rFonts w:ascii="Arial" w:cs="Arial" w:eastAsia="Arial" w:hAnsi="Arial"/>
                <w:sz w:val="12"/>
                <w:szCs w:val="12"/>
                <w:b w:val="1"/>
                <w:bCs w:val="1"/>
                <w:color w:val="auto"/>
              </w:rPr>
              <w:t>Balance at November 30, 2023</w:t>
            </w:r>
          </w:p>
        </w:tc>
        <w:tc>
          <w:tcPr>
            <w:tcW w:w="960" w:type="dxa"/>
            <w:vAlign w:val="bottom"/>
          </w:tcPr>
          <w:p>
            <w:pPr>
              <w:jc w:val="right"/>
              <w:spacing w:after="0"/>
              <w:rPr>
                <w:sz w:val="20"/>
                <w:szCs w:val="20"/>
                <w:color w:val="auto"/>
              </w:rPr>
            </w:pPr>
            <w:r>
              <w:rPr>
                <w:rFonts w:ascii="Arial" w:cs="Arial" w:eastAsia="Arial" w:hAnsi="Arial"/>
                <w:sz w:val="12"/>
                <w:szCs w:val="12"/>
                <w:color w:val="auto"/>
              </w:rPr>
              <w:t>1,245</w:t>
            </w:r>
          </w:p>
        </w:tc>
        <w:tc>
          <w:tcPr>
            <w:tcW w:w="700" w:type="dxa"/>
            <w:vAlign w:val="bottom"/>
          </w:tcPr>
          <w:p>
            <w:pPr>
              <w:jc w:val="right"/>
              <w:ind w:right="560"/>
              <w:spacing w:after="0"/>
              <w:rPr>
                <w:sz w:val="20"/>
                <w:szCs w:val="20"/>
                <w:color w:val="auto"/>
              </w:rPr>
            </w:pPr>
            <w:r>
              <w:rPr>
                <w:rFonts w:ascii="Arial" w:cs="Arial" w:eastAsia="Arial" w:hAnsi="Arial"/>
                <w:sz w:val="12"/>
                <w:szCs w:val="12"/>
                <w:color w:val="auto"/>
                <w:w w:val="89"/>
              </w:rPr>
              <w:t>$</w:t>
            </w:r>
          </w:p>
        </w:tc>
        <w:tc>
          <w:tcPr>
            <w:tcW w:w="240" w:type="dxa"/>
            <w:vAlign w:val="bottom"/>
          </w:tcPr>
          <w:p>
            <w:pPr>
              <w:jc w:val="right"/>
              <w:spacing w:after="0"/>
              <w:rPr>
                <w:sz w:val="20"/>
                <w:szCs w:val="20"/>
                <w:color w:val="auto"/>
              </w:rPr>
            </w:pPr>
            <w:r>
              <w:rPr>
                <w:rFonts w:ascii="Arial" w:cs="Arial" w:eastAsia="Arial" w:hAnsi="Arial"/>
                <w:sz w:val="12"/>
                <w:szCs w:val="12"/>
                <w:color w:val="auto"/>
                <w:w w:val="89"/>
              </w:rPr>
              <w:t>124</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11,217</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39,356</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(7,552)</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(260)</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42,885</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ind w:left="20"/>
              <w:spacing w:after="0"/>
              <w:rPr>
                <w:sz w:val="20"/>
                <w:szCs w:val="20"/>
                <w:color w:val="auto"/>
              </w:rPr>
            </w:pPr>
            <w:r>
              <w:rPr>
                <w:rFonts w:ascii="Arial" w:cs="Arial" w:eastAsia="Arial" w:hAnsi="Arial"/>
                <w:sz w:val="12"/>
                <w:szCs w:val="12"/>
                <w:color w:val="auto"/>
              </w:rPr>
              <w:t>Net income (loss)</w:t>
            </w:r>
          </w:p>
        </w:tc>
        <w:tc>
          <w:tcPr>
            <w:tcW w:w="960" w:type="dxa"/>
            <w:vAlign w:val="bottom"/>
            <w:shd w:val="clear" w:color="auto" w:fill="D1D2D4"/>
          </w:tcPr>
          <w:p>
            <w:pPr>
              <w:ind w:left="780"/>
              <w:spacing w:after="0"/>
              <w:rPr>
                <w:sz w:val="20"/>
                <w:szCs w:val="20"/>
                <w:color w:val="auto"/>
              </w:rPr>
            </w:pPr>
            <w:r>
              <w:rPr>
                <w:rFonts w:ascii="Arial" w:cs="Arial" w:eastAsia="Arial" w:hAnsi="Arial"/>
                <w:sz w:val="12"/>
                <w:szCs w:val="12"/>
                <w:color w:val="auto"/>
              </w:rPr>
              <w:t>—</w:t>
            </w:r>
          </w:p>
        </w:tc>
        <w:tc>
          <w:tcPr>
            <w:tcW w:w="700" w:type="dxa"/>
            <w:vAlign w:val="bottom"/>
            <w:shd w:val="clear" w:color="auto" w:fill="D1D2D4"/>
          </w:tcPr>
          <w:p>
            <w:pPr>
              <w:spacing w:after="0"/>
              <w:rPr>
                <w:sz w:val="13"/>
                <w:szCs w:val="13"/>
                <w:color w:val="auto"/>
              </w:rPr>
            </w:pPr>
          </w:p>
        </w:tc>
        <w:tc>
          <w:tcPr>
            <w:tcW w:w="2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793</w:t>
            </w:r>
          </w:p>
        </w:tc>
        <w:tc>
          <w:tcPr>
            <w:tcW w:w="320" w:type="dxa"/>
            <w:vAlign w:val="bottom"/>
            <w:shd w:val="clear" w:color="auto" w:fill="D1D2D4"/>
          </w:tcPr>
          <w:p>
            <w:pPr>
              <w:spacing w:after="0"/>
              <w:rPr>
                <w:sz w:val="13"/>
                <w:szCs w:val="13"/>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793</w:t>
            </w:r>
          </w:p>
        </w:tc>
        <w:tc>
          <w:tcPr>
            <w:tcW w:w="0" w:type="dxa"/>
            <w:vAlign w:val="bottom"/>
          </w:tcPr>
          <w:p>
            <w:pPr>
              <w:spacing w:after="0"/>
              <w:rPr>
                <w:sz w:val="1"/>
                <w:szCs w:val="1"/>
                <w:color w:val="auto"/>
              </w:rPr>
            </w:pPr>
          </w:p>
        </w:tc>
      </w:tr>
      <w:tr>
        <w:trPr>
          <w:trHeight w:val="153"/>
        </w:trPr>
        <w:tc>
          <w:tcPr>
            <w:tcW w:w="3780" w:type="dxa"/>
            <w:vAlign w:val="bottom"/>
          </w:tcPr>
          <w:p>
            <w:pPr>
              <w:ind w:left="20"/>
              <w:spacing w:after="0"/>
              <w:rPr>
                <w:sz w:val="20"/>
                <w:szCs w:val="20"/>
                <w:color w:val="auto"/>
              </w:rPr>
            </w:pPr>
            <w:r>
              <w:rPr>
                <w:rFonts w:ascii="Arial" w:cs="Arial" w:eastAsia="Arial" w:hAnsi="Arial"/>
                <w:sz w:val="12"/>
                <w:szCs w:val="12"/>
                <w:color w:val="auto"/>
              </w:rPr>
              <w:t>Other comprehensive income (loss), net</w:t>
            </w:r>
          </w:p>
        </w:tc>
        <w:tc>
          <w:tcPr>
            <w:tcW w:w="960" w:type="dxa"/>
            <w:vAlign w:val="bottom"/>
          </w:tcPr>
          <w:p>
            <w:pPr>
              <w:ind w:left="78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ind w:left="20"/>
              <w:spacing w:after="0"/>
              <w:rPr>
                <w:sz w:val="20"/>
                <w:szCs w:val="20"/>
                <w:color w:val="auto"/>
              </w:rPr>
            </w:pPr>
            <w:r>
              <w:rPr>
                <w:rFonts w:ascii="Arial" w:cs="Arial" w:eastAsia="Arial" w:hAnsi="Arial"/>
                <w:sz w:val="12"/>
                <w:szCs w:val="12"/>
                <w:color w:val="auto"/>
              </w:rPr>
              <w:t>Stock issued under stock plans</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w:t>
            </w:r>
          </w:p>
        </w:tc>
        <w:tc>
          <w:tcPr>
            <w:tcW w:w="700" w:type="dxa"/>
            <w:vAlign w:val="bottom"/>
            <w:shd w:val="clear" w:color="auto" w:fill="D1D2D4"/>
          </w:tcPr>
          <w:p>
            <w:pPr>
              <w:spacing w:after="0"/>
              <w:rPr>
                <w:sz w:val="13"/>
                <w:szCs w:val="13"/>
                <w:color w:val="auto"/>
              </w:rPr>
            </w:pPr>
          </w:p>
        </w:tc>
        <w:tc>
          <w:tcPr>
            <w:tcW w:w="2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D1D2D4"/>
          </w:tcPr>
          <w:p>
            <w:pPr>
              <w:spacing w:after="0"/>
              <w:rPr>
                <w:sz w:val="13"/>
                <w:szCs w:val="13"/>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136</w:t>
            </w:r>
          </w:p>
        </w:tc>
        <w:tc>
          <w:tcPr>
            <w:tcW w:w="16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D1D2D4"/>
          </w:tcPr>
          <w:p>
            <w:pPr>
              <w:spacing w:after="0"/>
              <w:rPr>
                <w:sz w:val="13"/>
                <w:szCs w:val="13"/>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137</w:t>
            </w:r>
          </w:p>
        </w:tc>
        <w:tc>
          <w:tcPr>
            <w:tcW w:w="0" w:type="dxa"/>
            <w:vAlign w:val="bottom"/>
          </w:tcPr>
          <w:p>
            <w:pPr>
              <w:spacing w:after="0"/>
              <w:rPr>
                <w:sz w:val="1"/>
                <w:szCs w:val="1"/>
                <w:color w:val="auto"/>
              </w:rPr>
            </w:pPr>
          </w:p>
        </w:tc>
      </w:tr>
      <w:tr>
        <w:trPr>
          <w:trHeight w:val="153"/>
        </w:trPr>
        <w:tc>
          <w:tcPr>
            <w:tcW w:w="3780" w:type="dxa"/>
            <w:vAlign w:val="bottom"/>
          </w:tcPr>
          <w:p>
            <w:pPr>
              <w:ind w:left="20"/>
              <w:spacing w:after="0"/>
              <w:rPr>
                <w:sz w:val="20"/>
                <w:szCs w:val="20"/>
                <w:color w:val="auto"/>
              </w:rPr>
            </w:pPr>
            <w:r>
              <w:rPr>
                <w:rFonts w:ascii="Arial" w:cs="Arial" w:eastAsia="Arial" w:hAnsi="Arial"/>
                <w:sz w:val="12"/>
                <w:szCs w:val="12"/>
                <w:color w:val="auto"/>
              </w:rPr>
              <w:t>Stock-based compensation expense</w:t>
            </w:r>
          </w:p>
        </w:tc>
        <w:tc>
          <w:tcPr>
            <w:tcW w:w="960" w:type="dxa"/>
            <w:vAlign w:val="bottom"/>
          </w:tcPr>
          <w:p>
            <w:pPr>
              <w:ind w:left="78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213</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213</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ind w:left="20"/>
              <w:spacing w:after="0"/>
              <w:rPr>
                <w:sz w:val="20"/>
                <w:szCs w:val="20"/>
                <w:color w:val="auto"/>
              </w:rPr>
            </w:pPr>
            <w:r>
              <w:rPr>
                <w:rFonts w:ascii="Arial" w:cs="Arial" w:eastAsia="Arial" w:hAnsi="Arial"/>
                <w:sz w:val="12"/>
                <w:szCs w:val="12"/>
                <w:color w:val="auto"/>
              </w:rPr>
              <w:t>Repurchase of stock - withholdings on employee equity awards</w:t>
            </w:r>
          </w:p>
        </w:tc>
        <w:tc>
          <w:tcPr>
            <w:tcW w:w="960" w:type="dxa"/>
            <w:vAlign w:val="bottom"/>
            <w:shd w:val="clear" w:color="auto" w:fill="D1D2D4"/>
          </w:tcPr>
          <w:p>
            <w:pPr>
              <w:ind w:left="780"/>
              <w:spacing w:after="0"/>
              <w:rPr>
                <w:sz w:val="20"/>
                <w:szCs w:val="20"/>
                <w:color w:val="auto"/>
              </w:rPr>
            </w:pPr>
            <w:r>
              <w:rPr>
                <w:rFonts w:ascii="Arial" w:cs="Arial" w:eastAsia="Arial" w:hAnsi="Arial"/>
                <w:sz w:val="12"/>
                <w:szCs w:val="12"/>
                <w:color w:val="auto"/>
              </w:rPr>
              <w:t>—</w:t>
            </w:r>
          </w:p>
        </w:tc>
        <w:tc>
          <w:tcPr>
            <w:tcW w:w="700" w:type="dxa"/>
            <w:vAlign w:val="bottom"/>
            <w:shd w:val="clear" w:color="auto" w:fill="D1D2D4"/>
          </w:tcPr>
          <w:p>
            <w:pPr>
              <w:spacing w:after="0"/>
              <w:rPr>
                <w:sz w:val="13"/>
                <w:szCs w:val="13"/>
                <w:color w:val="auto"/>
              </w:rPr>
            </w:pPr>
          </w:p>
        </w:tc>
        <w:tc>
          <w:tcPr>
            <w:tcW w:w="2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w:t>
            </w:r>
          </w:p>
        </w:tc>
        <w:tc>
          <w:tcPr>
            <w:tcW w:w="16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(22)</w:t>
            </w:r>
          </w:p>
        </w:tc>
        <w:tc>
          <w:tcPr>
            <w:tcW w:w="320" w:type="dxa"/>
            <w:vAlign w:val="bottom"/>
            <w:shd w:val="clear" w:color="auto" w:fill="D1D2D4"/>
          </w:tcPr>
          <w:p>
            <w:pPr>
              <w:spacing w:after="0"/>
              <w:rPr>
                <w:sz w:val="13"/>
                <w:szCs w:val="13"/>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53"/>
        </w:trPr>
        <w:tc>
          <w:tcPr>
            <w:tcW w:w="3780" w:type="dxa"/>
            <w:vAlign w:val="bottom"/>
            <w:tcBorders>
              <w:bottom w:val="single" w:sz="8" w:color="D1D2D4"/>
            </w:tcBorders>
          </w:tcPr>
          <w:p>
            <w:pPr>
              <w:ind w:left="20"/>
              <w:spacing w:after="0"/>
              <w:rPr>
                <w:sz w:val="20"/>
                <w:szCs w:val="20"/>
                <w:color w:val="auto"/>
              </w:rPr>
            </w:pPr>
            <w:r>
              <w:rPr>
                <w:rFonts w:ascii="Arial" w:cs="Arial" w:eastAsia="Arial" w:hAnsi="Arial"/>
                <w:sz w:val="12"/>
                <w:szCs w:val="12"/>
                <w:color w:val="auto"/>
              </w:rPr>
              <w:t>Dividends and dividend equivalents declared ($0.115 per share)</w:t>
            </w: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w:t>
            </w: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158"/>
        </w:trPr>
        <w:tc>
          <w:tcPr>
            <w:tcW w:w="37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2"/>
                <w:szCs w:val="12"/>
                <w:b w:val="1"/>
                <w:bCs w:val="1"/>
                <w:color w:val="auto"/>
              </w:rPr>
              <w:t>Balance at February 29, 2024</w:t>
            </w:r>
          </w:p>
        </w:tc>
        <w:tc>
          <w:tcPr>
            <w:tcW w:w="9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1,248</w:t>
            </w:r>
          </w:p>
        </w:tc>
        <w:tc>
          <w:tcPr>
            <w:tcW w:w="700" w:type="dxa"/>
            <w:vAlign w:val="bottom"/>
            <w:tcBorders>
              <w:bottom w:val="single" w:sz="8" w:color="auto"/>
            </w:tcBorders>
            <w:shd w:val="clear" w:color="auto" w:fill="D1D2D4"/>
          </w:tcPr>
          <w:p>
            <w:pPr>
              <w:jc w:val="right"/>
              <w:ind w:right="560"/>
              <w:spacing w:after="0"/>
              <w:rPr>
                <w:sz w:val="20"/>
                <w:szCs w:val="20"/>
                <w:color w:val="auto"/>
              </w:rPr>
            </w:pPr>
            <w:r>
              <w:rPr>
                <w:rFonts w:ascii="Arial" w:cs="Arial" w:eastAsia="Arial" w:hAnsi="Arial"/>
                <w:sz w:val="12"/>
                <w:szCs w:val="12"/>
                <w:color w:val="auto"/>
                <w:w w:val="89"/>
              </w:rPr>
              <w:t>$</w:t>
            </w:r>
          </w:p>
        </w:tc>
        <w:tc>
          <w:tcPr>
            <w:tcW w:w="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w w:val="89"/>
              </w:rPr>
              <w:t>125</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11,564</w:t>
            </w:r>
          </w:p>
        </w:tc>
        <w:tc>
          <w:tcPr>
            <w:tcW w:w="160" w:type="dxa"/>
            <w:vAlign w:val="bottom"/>
            <w:tcBorders>
              <w:bottom w:val="single" w:sz="8" w:color="auto"/>
            </w:tcBorders>
            <w:shd w:val="clear" w:color="auto" w:fill="D1D2D4"/>
          </w:tcPr>
          <w:p>
            <w:pPr>
              <w:jc w:val="right"/>
              <w:ind w:right="2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39,997</w:t>
            </w:r>
          </w:p>
        </w:tc>
        <w:tc>
          <w:tcPr>
            <w:tcW w:w="320" w:type="dxa"/>
            <w:vAlign w:val="bottom"/>
            <w:tcBorders>
              <w:bottom w:val="single" w:sz="8" w:color="auto"/>
            </w:tcBorders>
            <w:shd w:val="clear" w:color="auto" w:fill="D1D2D4"/>
          </w:tcPr>
          <w:p>
            <w:pPr>
              <w:jc w:val="right"/>
              <w:ind w:right="180"/>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(7,552)</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(264)</w:t>
            </w:r>
          </w:p>
        </w:tc>
        <w:tc>
          <w:tcPr>
            <w:tcW w:w="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43,870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278"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8" w:name="page9"/>
    <w:bookmarkEnd w:id="8"/>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382"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Micron Technology, Inc.</w:t>
      </w:r>
    </w:p>
    <w:p>
      <w:pPr>
        <w:spacing w:after="0" w:line="42"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Consolidated Statements of Changes in Equity</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(In millions, except per share amounts)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780" w:type="dxa"/>
            <w:vAlign w:val="bottom"/>
          </w:tcPr>
          <w:p>
            <w:pPr>
              <w:spacing w:after="0"/>
              <w:rPr>
                <w:sz w:val="13"/>
                <w:szCs w:val="13"/>
                <w:color w:val="auto"/>
              </w:rPr>
            </w:pPr>
          </w:p>
        </w:tc>
        <w:tc>
          <w:tcPr>
            <w:tcW w:w="16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b w:val="1"/>
                <w:bCs w:val="1"/>
                <w:color w:val="auto"/>
              </w:rPr>
              <w:t>Common Stock</w:t>
            </w:r>
          </w:p>
        </w:tc>
        <w:tc>
          <w:tcPr>
            <w:tcW w:w="2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vMerge w:val="restart"/>
          </w:tcPr>
          <w:p>
            <w:pPr>
              <w:jc w:val="center"/>
              <w:ind w:right="80"/>
              <w:spacing w:after="0"/>
              <w:rPr>
                <w:sz w:val="20"/>
                <w:szCs w:val="20"/>
                <w:color w:val="auto"/>
              </w:rPr>
            </w:pPr>
            <w:r>
              <w:rPr>
                <w:rFonts w:ascii="Arial" w:cs="Arial" w:eastAsia="Arial" w:hAnsi="Arial"/>
                <w:sz w:val="12"/>
                <w:szCs w:val="12"/>
                <w:b w:val="1"/>
                <w:bCs w:val="1"/>
                <w:color w:val="auto"/>
                <w:w w:val="99"/>
              </w:rPr>
              <w:t>Accumulated Other</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3780" w:type="dxa"/>
            <w:vAlign w:val="bottom"/>
          </w:tcPr>
          <w:p>
            <w:pPr>
              <w:spacing w:after="0"/>
              <w:rPr>
                <w:sz w:val="8"/>
                <w:szCs w:val="8"/>
                <w:color w:val="auto"/>
              </w:rPr>
            </w:pPr>
          </w:p>
        </w:tc>
        <w:tc>
          <w:tcPr>
            <w:tcW w:w="940" w:type="dxa"/>
            <w:vAlign w:val="bottom"/>
            <w:vMerge w:val="restart"/>
          </w:tcPr>
          <w:p>
            <w:pPr>
              <w:jc w:val="right"/>
              <w:ind w:right="180"/>
              <w:spacing w:after="0"/>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restart"/>
          </w:tcPr>
          <w:p>
            <w:pPr>
              <w:jc w:val="right"/>
              <w:ind w:right="120"/>
              <w:spacing w:after="0"/>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8"/>
                <w:szCs w:val="8"/>
                <w:color w:val="auto"/>
              </w:rPr>
            </w:pPr>
          </w:p>
        </w:tc>
        <w:tc>
          <w:tcPr>
            <w:tcW w:w="800" w:type="dxa"/>
            <w:vAlign w:val="bottom"/>
            <w:vMerge w:val="restart"/>
          </w:tcPr>
          <w:p>
            <w:pPr>
              <w:jc w:val="right"/>
              <w:ind w:right="160"/>
              <w:spacing w:after="0"/>
              <w:rPr>
                <w:sz w:val="20"/>
                <w:szCs w:val="20"/>
                <w:color w:val="auto"/>
              </w:rPr>
            </w:pPr>
            <w:r>
              <w:rPr>
                <w:rFonts w:ascii="Arial" w:cs="Arial" w:eastAsia="Arial" w:hAnsi="Arial"/>
                <w:sz w:val="12"/>
                <w:szCs w:val="12"/>
                <w:b w:val="1"/>
                <w:bCs w:val="1"/>
                <w:color w:val="auto"/>
              </w:rPr>
              <w:t>Retained</w:t>
            </w: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vMerge w:val="restart"/>
          </w:tcPr>
          <w:p>
            <w:pPr>
              <w:jc w:val="right"/>
              <w:ind w:right="20"/>
              <w:spacing w:after="0"/>
              <w:rPr>
                <w:sz w:val="20"/>
                <w:szCs w:val="20"/>
                <w:color w:val="auto"/>
              </w:rPr>
            </w:pPr>
            <w:r>
              <w:rPr>
                <w:rFonts w:ascii="Arial" w:cs="Arial" w:eastAsia="Arial" w:hAnsi="Arial"/>
                <w:sz w:val="12"/>
                <w:szCs w:val="12"/>
                <w:b w:val="1"/>
                <w:bCs w:val="1"/>
                <w:color w:val="auto"/>
                <w:w w:val="98"/>
              </w:rPr>
              <w:t>Total Shareholders’</w:t>
            </w:r>
          </w:p>
        </w:tc>
        <w:tc>
          <w:tcPr>
            <w:tcW w:w="0" w:type="dxa"/>
            <w:vAlign w:val="bottom"/>
          </w:tcPr>
          <w:p>
            <w:pPr>
              <w:spacing w:after="0"/>
              <w:rPr>
                <w:sz w:val="1"/>
                <w:szCs w:val="1"/>
                <w:color w:val="auto"/>
              </w:rPr>
            </w:pPr>
          </w:p>
        </w:tc>
      </w:tr>
      <w:tr>
        <w:trPr>
          <w:trHeight w:val="121"/>
        </w:trPr>
        <w:tc>
          <w:tcPr>
            <w:tcW w:w="37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Treasury Stock</w:t>
            </w:r>
          </w:p>
        </w:tc>
        <w:tc>
          <w:tcPr>
            <w:tcW w:w="140" w:type="dxa"/>
            <w:vAlign w:val="bottom"/>
          </w:tcPr>
          <w:p>
            <w:pPr>
              <w:spacing w:after="0"/>
              <w:rPr>
                <w:sz w:val="10"/>
                <w:szCs w:val="10"/>
                <w:color w:val="auto"/>
              </w:rPr>
            </w:pPr>
          </w:p>
        </w:tc>
        <w:tc>
          <w:tcPr>
            <w:tcW w:w="1320" w:type="dxa"/>
            <w:vAlign w:val="bottom"/>
          </w:tcPr>
          <w:p>
            <w:pPr>
              <w:jc w:val="center"/>
              <w:ind w:right="80"/>
              <w:spacing w:after="0" w:line="121" w:lineRule="exact"/>
              <w:rPr>
                <w:sz w:val="20"/>
                <w:szCs w:val="20"/>
                <w:color w:val="auto"/>
              </w:rPr>
            </w:pPr>
            <w:r>
              <w:rPr>
                <w:rFonts w:ascii="Arial" w:cs="Arial" w:eastAsia="Arial" w:hAnsi="Arial"/>
                <w:sz w:val="12"/>
                <w:szCs w:val="12"/>
                <w:b w:val="1"/>
                <w:bCs w:val="1"/>
                <w:color w:val="auto"/>
                <w:w w:val="99"/>
              </w:rPr>
              <w:t>Comprehensive</w:t>
            </w:r>
          </w:p>
        </w:tc>
        <w:tc>
          <w:tcPr>
            <w:tcW w:w="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7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of Shares</w:t>
            </w:r>
          </w:p>
        </w:tc>
        <w:tc>
          <w:tcPr>
            <w:tcW w:w="7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Capital</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Earnings</w:t>
            </w:r>
          </w:p>
        </w:tc>
        <w:tc>
          <w:tcPr>
            <w:tcW w:w="96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rPr>
              <w:t>Income (Loss)</w:t>
            </w: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61"/>
        </w:trPr>
        <w:tc>
          <w:tcPr>
            <w:tcW w:w="3780" w:type="dxa"/>
            <w:vAlign w:val="bottom"/>
            <w:shd w:val="clear" w:color="auto" w:fill="D1D2D4"/>
          </w:tcPr>
          <w:p>
            <w:pPr>
              <w:spacing w:after="0"/>
              <w:rPr>
                <w:sz w:val="20"/>
                <w:szCs w:val="20"/>
                <w:color w:val="auto"/>
              </w:rPr>
            </w:pPr>
            <w:r>
              <w:rPr>
                <w:rFonts w:ascii="Arial" w:cs="Arial" w:eastAsia="Arial" w:hAnsi="Arial"/>
                <w:sz w:val="12"/>
                <w:szCs w:val="12"/>
                <w:b w:val="1"/>
                <w:bCs w:val="1"/>
                <w:color w:val="auto"/>
              </w:rPr>
              <w:t>Balance at September 1, 2022</w:t>
            </w:r>
          </w:p>
        </w:tc>
        <w:tc>
          <w:tcPr>
            <w:tcW w:w="9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1,226</w:t>
            </w:r>
          </w:p>
        </w:tc>
        <w:tc>
          <w:tcPr>
            <w:tcW w:w="700" w:type="dxa"/>
            <w:vAlign w:val="bottom"/>
            <w:shd w:val="clear" w:color="auto" w:fill="D1D2D4"/>
          </w:tcPr>
          <w:p>
            <w:pPr>
              <w:jc w:val="right"/>
              <w:ind w:right="560"/>
              <w:spacing w:after="0"/>
              <w:rPr>
                <w:sz w:val="20"/>
                <w:szCs w:val="20"/>
                <w:color w:val="auto"/>
              </w:rPr>
            </w:pPr>
            <w:r>
              <w:rPr>
                <w:rFonts w:ascii="Arial" w:cs="Arial" w:eastAsia="Arial" w:hAnsi="Arial"/>
                <w:sz w:val="12"/>
                <w:szCs w:val="12"/>
                <w:color w:val="auto"/>
                <w:w w:val="89"/>
              </w:rPr>
              <w:t>$</w:t>
            </w:r>
          </w:p>
        </w:tc>
        <w:tc>
          <w:tcPr>
            <w:tcW w:w="26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123</w:t>
            </w:r>
          </w:p>
        </w:tc>
        <w:tc>
          <w:tcPr>
            <w:tcW w:w="14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10,197</w:t>
            </w:r>
          </w:p>
        </w:tc>
        <w:tc>
          <w:tcPr>
            <w:tcW w:w="14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47,274</w:t>
            </w:r>
          </w:p>
        </w:tc>
        <w:tc>
          <w:tcPr>
            <w:tcW w:w="320" w:type="dxa"/>
            <w:vAlign w:val="bottom"/>
            <w:shd w:val="clear" w:color="auto" w:fill="D1D2D4"/>
          </w:tcPr>
          <w:p>
            <w:pPr>
              <w:jc w:val="right"/>
              <w:ind w:right="180"/>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(7,127)</w:t>
            </w:r>
          </w:p>
        </w:tc>
        <w:tc>
          <w:tcPr>
            <w:tcW w:w="14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(560)</w:t>
            </w:r>
          </w:p>
        </w:tc>
        <w:tc>
          <w:tcPr>
            <w:tcW w:w="8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49,907</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Net income (loss)</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(195)</w:t>
            </w:r>
          </w:p>
        </w:tc>
        <w:tc>
          <w:tcPr>
            <w:tcW w:w="3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(195)</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spacing w:after="0"/>
              <w:rPr>
                <w:sz w:val="20"/>
                <w:szCs w:val="20"/>
                <w:color w:val="auto"/>
              </w:rPr>
            </w:pPr>
            <w:r>
              <w:rPr>
                <w:rFonts w:ascii="Arial" w:cs="Arial" w:eastAsia="Arial" w:hAnsi="Arial"/>
                <w:sz w:val="12"/>
                <w:szCs w:val="12"/>
                <w:color w:val="auto"/>
              </w:rPr>
              <w:t>Other comprehensive income (loss), net</w:t>
            </w:r>
          </w:p>
        </w:tc>
        <w:tc>
          <w:tcPr>
            <w:tcW w:w="9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1D2D4"/>
          </w:tcPr>
          <w:p>
            <w:pPr>
              <w:spacing w:after="0"/>
              <w:rPr>
                <w:sz w:val="13"/>
                <w:szCs w:val="13"/>
                <w:color w:val="auto"/>
              </w:rPr>
            </w:pPr>
          </w:p>
        </w:tc>
        <w:tc>
          <w:tcPr>
            <w:tcW w:w="2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D1D2D4"/>
          </w:tcPr>
          <w:p>
            <w:pPr>
              <w:spacing w:after="0"/>
              <w:rPr>
                <w:sz w:val="13"/>
                <w:szCs w:val="13"/>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87</w:t>
            </w:r>
          </w:p>
        </w:tc>
        <w:tc>
          <w:tcPr>
            <w:tcW w:w="8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87</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Stock issued under stock plans</w:t>
            </w:r>
          </w:p>
        </w:tc>
        <w:tc>
          <w:tcPr>
            <w:tcW w:w="940" w:type="dxa"/>
            <w:vAlign w:val="bottom"/>
          </w:tcPr>
          <w:p>
            <w:pPr>
              <w:jc w:val="right"/>
              <w:spacing w:after="0"/>
              <w:rPr>
                <w:sz w:val="20"/>
                <w:szCs w:val="20"/>
                <w:color w:val="auto"/>
              </w:rPr>
            </w:pPr>
            <w:r>
              <w:rPr>
                <w:rFonts w:ascii="Arial" w:cs="Arial" w:eastAsia="Arial" w:hAnsi="Arial"/>
                <w:sz w:val="12"/>
                <w:szCs w:val="12"/>
                <w:color w:val="auto"/>
              </w:rPr>
              <w:t>8</w:t>
            </w:r>
          </w:p>
        </w:tc>
        <w:tc>
          <w:tcPr>
            <w:tcW w:w="7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spacing w:after="0"/>
              <w:rPr>
                <w:sz w:val="20"/>
                <w:szCs w:val="20"/>
                <w:color w:val="auto"/>
              </w:rPr>
            </w:pPr>
            <w:r>
              <w:rPr>
                <w:rFonts w:ascii="Arial" w:cs="Arial" w:eastAsia="Arial" w:hAnsi="Arial"/>
                <w:sz w:val="12"/>
                <w:szCs w:val="12"/>
                <w:color w:val="auto"/>
              </w:rPr>
              <w:t>Stock-based compensation expense</w:t>
            </w:r>
          </w:p>
        </w:tc>
        <w:tc>
          <w:tcPr>
            <w:tcW w:w="9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1D2D4"/>
          </w:tcPr>
          <w:p>
            <w:pPr>
              <w:spacing w:after="0"/>
              <w:rPr>
                <w:sz w:val="13"/>
                <w:szCs w:val="13"/>
                <w:color w:val="auto"/>
              </w:rPr>
            </w:pPr>
          </w:p>
        </w:tc>
        <w:tc>
          <w:tcPr>
            <w:tcW w:w="2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146</w:t>
            </w:r>
          </w:p>
        </w:tc>
        <w:tc>
          <w:tcPr>
            <w:tcW w:w="14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D1D2D4"/>
          </w:tcPr>
          <w:p>
            <w:pPr>
              <w:spacing w:after="0"/>
              <w:rPr>
                <w:sz w:val="13"/>
                <w:szCs w:val="13"/>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146</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Repurchase of stock - repurchase program</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(425)</w:t>
            </w: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(425)</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spacing w:after="0"/>
              <w:rPr>
                <w:sz w:val="20"/>
                <w:szCs w:val="20"/>
                <w:color w:val="auto"/>
              </w:rPr>
            </w:pPr>
            <w:r>
              <w:rPr>
                <w:rFonts w:ascii="Arial" w:cs="Arial" w:eastAsia="Arial" w:hAnsi="Arial"/>
                <w:sz w:val="12"/>
                <w:szCs w:val="12"/>
                <w:color w:val="auto"/>
              </w:rPr>
              <w:t>Repurchase of stock - withholdings on employee equity awards</w:t>
            </w:r>
          </w:p>
        </w:tc>
        <w:tc>
          <w:tcPr>
            <w:tcW w:w="9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w:t>
            </w:r>
          </w:p>
        </w:tc>
        <w:tc>
          <w:tcPr>
            <w:tcW w:w="700" w:type="dxa"/>
            <w:vAlign w:val="bottom"/>
            <w:shd w:val="clear" w:color="auto" w:fill="D1D2D4"/>
          </w:tcPr>
          <w:p>
            <w:pPr>
              <w:spacing w:after="0"/>
              <w:rPr>
                <w:sz w:val="13"/>
                <w:szCs w:val="13"/>
                <w:color w:val="auto"/>
              </w:rPr>
            </w:pPr>
          </w:p>
        </w:tc>
        <w:tc>
          <w:tcPr>
            <w:tcW w:w="2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(15)</w:t>
            </w:r>
          </w:p>
        </w:tc>
        <w:tc>
          <w:tcPr>
            <w:tcW w:w="14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(80)</w:t>
            </w:r>
          </w:p>
        </w:tc>
        <w:tc>
          <w:tcPr>
            <w:tcW w:w="320" w:type="dxa"/>
            <w:vAlign w:val="bottom"/>
            <w:shd w:val="clear" w:color="auto" w:fill="D1D2D4"/>
          </w:tcPr>
          <w:p>
            <w:pPr>
              <w:spacing w:after="0"/>
              <w:rPr>
                <w:sz w:val="13"/>
                <w:szCs w:val="13"/>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53"/>
        </w:trPr>
        <w:tc>
          <w:tcPr>
            <w:tcW w:w="3780" w:type="dxa"/>
            <w:vAlign w:val="bottom"/>
            <w:tcBorders>
              <w:bottom w:val="single" w:sz="8" w:color="D1D2D4"/>
            </w:tcBorders>
          </w:tcPr>
          <w:p>
            <w:pPr>
              <w:spacing w:after="0"/>
              <w:rPr>
                <w:sz w:val="20"/>
                <w:szCs w:val="20"/>
                <w:color w:val="auto"/>
              </w:rPr>
            </w:pPr>
            <w:r>
              <w:rPr>
                <w:rFonts w:ascii="Arial" w:cs="Arial" w:eastAsia="Arial" w:hAnsi="Arial"/>
                <w:sz w:val="12"/>
                <w:szCs w:val="12"/>
                <w:color w:val="auto"/>
              </w:rPr>
              <w:t>Dividends and dividend equivalents declared ($0.115 per share)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w:t>
            </w: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w:t>
            </w:r>
          </w:p>
        </w:tc>
        <w:tc>
          <w:tcPr>
            <w:tcW w:w="0" w:type="dxa"/>
            <w:vAlign w:val="bottom"/>
          </w:tcPr>
          <w:p>
            <w:pPr>
              <w:spacing w:after="0"/>
              <w:rPr>
                <w:sz w:val="1"/>
                <w:szCs w:val="1"/>
                <w:color w:val="auto"/>
              </w:rPr>
            </w:pPr>
          </w:p>
        </w:tc>
      </w:tr>
      <w:tr>
        <w:trPr>
          <w:trHeight w:val="142"/>
        </w:trPr>
        <w:tc>
          <w:tcPr>
            <w:tcW w:w="3780" w:type="dxa"/>
            <w:vAlign w:val="bottom"/>
            <w:shd w:val="clear" w:color="auto" w:fill="D1D2D4"/>
          </w:tcPr>
          <w:p>
            <w:pPr>
              <w:spacing w:after="0"/>
              <w:rPr>
                <w:sz w:val="20"/>
                <w:szCs w:val="20"/>
                <w:color w:val="auto"/>
              </w:rPr>
            </w:pPr>
            <w:r>
              <w:rPr>
                <w:rFonts w:ascii="Arial" w:cs="Arial" w:eastAsia="Arial" w:hAnsi="Arial"/>
                <w:sz w:val="12"/>
                <w:szCs w:val="12"/>
                <w:b w:val="1"/>
                <w:bCs w:val="1"/>
                <w:color w:val="auto"/>
              </w:rPr>
              <w:t>Balance at December 1, 2022</w:t>
            </w:r>
          </w:p>
        </w:tc>
        <w:tc>
          <w:tcPr>
            <w:tcW w:w="9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1,232</w:t>
            </w:r>
          </w:p>
        </w:tc>
        <w:tc>
          <w:tcPr>
            <w:tcW w:w="700" w:type="dxa"/>
            <w:vAlign w:val="bottom"/>
            <w:shd w:val="clear" w:color="auto" w:fill="D1D2D4"/>
          </w:tcPr>
          <w:p>
            <w:pPr>
              <w:jc w:val="right"/>
              <w:ind w:right="560"/>
              <w:spacing w:after="0"/>
              <w:rPr>
                <w:sz w:val="20"/>
                <w:szCs w:val="20"/>
                <w:color w:val="auto"/>
              </w:rPr>
            </w:pPr>
            <w:r>
              <w:rPr>
                <w:rFonts w:ascii="Arial" w:cs="Arial" w:eastAsia="Arial" w:hAnsi="Arial"/>
                <w:sz w:val="12"/>
                <w:szCs w:val="12"/>
                <w:color w:val="auto"/>
                <w:w w:val="89"/>
              </w:rPr>
              <w:t>$</w:t>
            </w:r>
          </w:p>
        </w:tc>
        <w:tc>
          <w:tcPr>
            <w:tcW w:w="26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123</w:t>
            </w:r>
          </w:p>
        </w:tc>
        <w:tc>
          <w:tcPr>
            <w:tcW w:w="14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10,335</w:t>
            </w:r>
          </w:p>
        </w:tc>
        <w:tc>
          <w:tcPr>
            <w:tcW w:w="14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46,873</w:t>
            </w:r>
          </w:p>
        </w:tc>
        <w:tc>
          <w:tcPr>
            <w:tcW w:w="320" w:type="dxa"/>
            <w:vAlign w:val="bottom"/>
            <w:shd w:val="clear" w:color="auto" w:fill="D1D2D4"/>
          </w:tcPr>
          <w:p>
            <w:pPr>
              <w:jc w:val="right"/>
              <w:ind w:right="180"/>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(7,552)</w:t>
            </w:r>
          </w:p>
        </w:tc>
        <w:tc>
          <w:tcPr>
            <w:tcW w:w="14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(473)</w:t>
            </w:r>
          </w:p>
        </w:tc>
        <w:tc>
          <w:tcPr>
            <w:tcW w:w="8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49,306</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Net income (loss)</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(2,312)</w:t>
            </w:r>
          </w:p>
        </w:tc>
        <w:tc>
          <w:tcPr>
            <w:tcW w:w="3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(2,312)</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spacing w:after="0"/>
              <w:rPr>
                <w:sz w:val="20"/>
                <w:szCs w:val="20"/>
                <w:color w:val="auto"/>
              </w:rPr>
            </w:pPr>
            <w:r>
              <w:rPr>
                <w:rFonts w:ascii="Arial" w:cs="Arial" w:eastAsia="Arial" w:hAnsi="Arial"/>
                <w:sz w:val="12"/>
                <w:szCs w:val="12"/>
                <w:color w:val="auto"/>
              </w:rPr>
              <w:t>Other comprehensive income (loss), net</w:t>
            </w:r>
          </w:p>
        </w:tc>
        <w:tc>
          <w:tcPr>
            <w:tcW w:w="9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1D2D4"/>
          </w:tcPr>
          <w:p>
            <w:pPr>
              <w:spacing w:after="0"/>
              <w:rPr>
                <w:sz w:val="13"/>
                <w:szCs w:val="13"/>
                <w:color w:val="auto"/>
              </w:rPr>
            </w:pPr>
          </w:p>
        </w:tc>
        <w:tc>
          <w:tcPr>
            <w:tcW w:w="2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D1D2D4"/>
          </w:tcPr>
          <w:p>
            <w:pPr>
              <w:spacing w:after="0"/>
              <w:rPr>
                <w:sz w:val="13"/>
                <w:szCs w:val="13"/>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100</w:t>
            </w:r>
          </w:p>
        </w:tc>
        <w:tc>
          <w:tcPr>
            <w:tcW w:w="8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Stock issued under stock plans</w:t>
            </w:r>
          </w:p>
        </w:tc>
        <w:tc>
          <w:tcPr>
            <w:tcW w:w="940" w:type="dxa"/>
            <w:vAlign w:val="bottom"/>
          </w:tcPr>
          <w:p>
            <w:pPr>
              <w:jc w:val="right"/>
              <w:spacing w:after="0"/>
              <w:rPr>
                <w:sz w:val="20"/>
                <w:szCs w:val="20"/>
                <w:color w:val="auto"/>
              </w:rPr>
            </w:pPr>
            <w:r>
              <w:rPr>
                <w:rFonts w:ascii="Arial" w:cs="Arial" w:eastAsia="Arial" w:hAnsi="Arial"/>
                <w:sz w:val="12"/>
                <w:szCs w:val="12"/>
                <w:color w:val="auto"/>
              </w:rPr>
              <w:t>3</w:t>
            </w:r>
          </w:p>
        </w:tc>
        <w:tc>
          <w:tcPr>
            <w:tcW w:w="7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142</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142</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spacing w:after="0"/>
              <w:rPr>
                <w:sz w:val="20"/>
                <w:szCs w:val="20"/>
                <w:color w:val="auto"/>
              </w:rPr>
            </w:pPr>
            <w:r>
              <w:rPr>
                <w:rFonts w:ascii="Arial" w:cs="Arial" w:eastAsia="Arial" w:hAnsi="Arial"/>
                <w:sz w:val="12"/>
                <w:szCs w:val="12"/>
                <w:color w:val="auto"/>
              </w:rPr>
              <w:t>Stock-based compensation expense</w:t>
            </w:r>
          </w:p>
        </w:tc>
        <w:tc>
          <w:tcPr>
            <w:tcW w:w="9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1D2D4"/>
          </w:tcPr>
          <w:p>
            <w:pPr>
              <w:spacing w:after="0"/>
              <w:rPr>
                <w:sz w:val="13"/>
                <w:szCs w:val="13"/>
                <w:color w:val="auto"/>
              </w:rPr>
            </w:pPr>
          </w:p>
        </w:tc>
        <w:tc>
          <w:tcPr>
            <w:tcW w:w="2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157</w:t>
            </w:r>
          </w:p>
        </w:tc>
        <w:tc>
          <w:tcPr>
            <w:tcW w:w="14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D1D2D4"/>
          </w:tcPr>
          <w:p>
            <w:pPr>
              <w:spacing w:after="0"/>
              <w:rPr>
                <w:sz w:val="13"/>
                <w:szCs w:val="13"/>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157</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Repurchase of stock - withholdings on employee equity awards</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w:t>
            </w:r>
          </w:p>
        </w:tc>
        <w:tc>
          <w:tcPr>
            <w:tcW w:w="3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spacing w:after="0"/>
              <w:rPr>
                <w:sz w:val="20"/>
                <w:szCs w:val="20"/>
                <w:color w:val="auto"/>
              </w:rPr>
            </w:pPr>
            <w:r>
              <w:rPr>
                <w:rFonts w:ascii="Arial" w:cs="Arial" w:eastAsia="Arial" w:hAnsi="Arial"/>
                <w:sz w:val="12"/>
                <w:szCs w:val="12"/>
                <w:color w:val="auto"/>
              </w:rPr>
              <w:t>Dividends and dividend equivalents declared ($0.115 per share)</w:t>
            </w:r>
          </w:p>
        </w:tc>
        <w:tc>
          <w:tcPr>
            <w:tcW w:w="9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D1D2D4"/>
          </w:tcPr>
          <w:p>
            <w:pPr>
              <w:spacing w:after="0"/>
              <w:rPr>
                <w:sz w:val="13"/>
                <w:szCs w:val="13"/>
                <w:color w:val="auto"/>
              </w:rPr>
            </w:pPr>
          </w:p>
        </w:tc>
        <w:tc>
          <w:tcPr>
            <w:tcW w:w="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D1D2D4"/>
          </w:tcPr>
          <w:p>
            <w:pPr>
              <w:spacing w:after="0"/>
              <w:rPr>
                <w:sz w:val="13"/>
                <w:szCs w:val="13"/>
                <w:color w:val="auto"/>
              </w:rPr>
            </w:pP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D1D2D4"/>
          </w:tcPr>
          <w:p>
            <w:pPr>
              <w:spacing w:after="0"/>
              <w:rPr>
                <w:sz w:val="13"/>
                <w:szCs w:val="13"/>
                <w:color w:val="auto"/>
              </w:rPr>
            </w:pP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(128)</w:t>
            </w:r>
          </w:p>
        </w:tc>
        <w:tc>
          <w:tcPr>
            <w:tcW w:w="320" w:type="dxa"/>
            <w:vAlign w:val="bottom"/>
            <w:tcBorders>
              <w:bottom w:val="single" w:sz="8" w:color="auto"/>
            </w:tcBorders>
            <w:shd w:val="clear" w:color="auto" w:fill="D1D2D4"/>
          </w:tcPr>
          <w:p>
            <w:pPr>
              <w:spacing w:after="0"/>
              <w:rPr>
                <w:sz w:val="13"/>
                <w:szCs w:val="13"/>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D1D2D4"/>
          </w:tcPr>
          <w:p>
            <w:pPr>
              <w:spacing w:after="0"/>
              <w:rPr>
                <w:sz w:val="13"/>
                <w:szCs w:val="13"/>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(128)</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20"/>
                <w:szCs w:val="20"/>
                <w:color w:val="auto"/>
              </w:rPr>
            </w:pPr>
            <w:r>
              <w:rPr>
                <w:rFonts w:ascii="Arial" w:cs="Arial" w:eastAsia="Arial" w:hAnsi="Arial"/>
                <w:sz w:val="12"/>
                <w:szCs w:val="12"/>
                <w:b w:val="1"/>
                <w:bCs w:val="1"/>
                <w:color w:val="auto"/>
              </w:rPr>
              <w:t>Balance at March 2, 2023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1,235</w:t>
            </w:r>
          </w:p>
        </w:tc>
        <w:tc>
          <w:tcPr>
            <w:tcW w:w="7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w w:val="8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123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10,633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44,426</w:t>
            </w: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(7,552)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(373)</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47,257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39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9 | 2024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26"/>
        </w:trPr>
        <w:tc>
          <w:tcPr>
            <w:tcW w:w="8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gridSpan w:val="2"/>
          </w:tcPr>
          <w:p>
            <w:pPr>
              <w:jc w:val="right"/>
              <w:spacing w:after="0"/>
              <w:rPr>
                <w:sz w:val="20"/>
                <w:szCs w:val="20"/>
                <w:color w:val="auto"/>
              </w:rPr>
            </w:pPr>
            <w:r>
              <w:rPr>
                <w:rFonts w:ascii="Arial" w:cs="Arial" w:eastAsia="Arial" w:hAnsi="Arial"/>
                <w:sz w:val="11"/>
                <w:szCs w:val="11"/>
                <w:b w:val="1"/>
                <w:bCs w:val="1"/>
                <w:color w:val="BD03F7"/>
              </w:rPr>
              <w:t>Table of Contents</w:t>
            </w:r>
          </w:p>
        </w:tc>
        <w:tc>
          <w:tcPr>
            <w:tcW w:w="0" w:type="dxa"/>
            <w:vAlign w:val="bottom"/>
          </w:tcPr>
          <w:p>
            <w:pPr>
              <w:spacing w:after="0"/>
              <w:rPr>
                <w:sz w:val="1"/>
                <w:szCs w:val="1"/>
                <w:color w:val="auto"/>
              </w:rPr>
            </w:pPr>
          </w:p>
        </w:tc>
      </w:tr>
      <w:tr>
        <w:trPr>
          <w:trHeight w:val="714"/>
        </w:trPr>
        <w:tc>
          <w:tcPr>
            <w:tcW w:w="8480" w:type="dxa"/>
            <w:vAlign w:val="bottom"/>
          </w:tcPr>
          <w:p>
            <w:pPr>
              <w:spacing w:after="0"/>
              <w:rPr>
                <w:sz w:val="20"/>
                <w:szCs w:val="20"/>
                <w:color w:val="auto"/>
              </w:rPr>
            </w:pPr>
            <w:r>
              <w:rPr>
                <w:rFonts w:ascii="Arial" w:cs="Arial" w:eastAsia="Arial" w:hAnsi="Arial"/>
                <w:sz w:val="26"/>
                <w:szCs w:val="26"/>
                <w:b w:val="1"/>
                <w:bCs w:val="1"/>
                <w:color w:val="auto"/>
              </w:rPr>
              <w:t>Micron Technology, Inc.</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8480" w:type="dxa"/>
            <w:vAlign w:val="bottom"/>
          </w:tcPr>
          <w:p>
            <w:pPr>
              <w:spacing w:after="0"/>
              <w:rPr>
                <w:sz w:val="20"/>
                <w:szCs w:val="20"/>
                <w:color w:val="auto"/>
              </w:rPr>
            </w:pPr>
            <w:r>
              <w:rPr>
                <w:rFonts w:ascii="Arial" w:cs="Arial" w:eastAsia="Arial" w:hAnsi="Arial"/>
                <w:sz w:val="26"/>
                <w:szCs w:val="26"/>
                <w:b w:val="1"/>
                <w:bCs w:val="1"/>
                <w:color w:val="auto"/>
              </w:rPr>
              <w:t>Consolidated Statements of Cash Flows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8480" w:type="dxa"/>
            <w:vAlign w:val="bottom"/>
          </w:tcPr>
          <w:p>
            <w:pPr>
              <w:spacing w:after="0"/>
              <w:rPr>
                <w:sz w:val="20"/>
                <w:szCs w:val="20"/>
                <w:color w:val="auto"/>
              </w:rPr>
            </w:pPr>
            <w:r>
              <w:rPr>
                <w:rFonts w:ascii="Arial" w:cs="Arial" w:eastAsia="Arial" w:hAnsi="Arial"/>
                <w:sz w:val="12"/>
                <w:szCs w:val="12"/>
                <w:color w:val="auto"/>
              </w:rPr>
              <w:t>(In millions)</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480" w:type="dxa"/>
            <w:vAlign w:val="bottom"/>
          </w:tcPr>
          <w:p>
            <w:pPr>
              <w:spacing w:after="0"/>
              <w:rPr>
                <w:sz w:val="20"/>
                <w:szCs w:val="20"/>
                <w:color w:val="auto"/>
              </w:rPr>
            </w:pPr>
            <w:r>
              <w:rPr>
                <w:rFonts w:ascii="Arial" w:cs="Arial" w:eastAsia="Arial" w:hAnsi="Arial"/>
                <w:sz w:val="12"/>
                <w:szCs w:val="12"/>
                <w:color w:val="auto"/>
              </w:rPr>
              <w:t>(Unaudited)</w:t>
            </w: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8480" w:type="dxa"/>
            <w:vAlign w:val="bottom"/>
            <w:vMerge w:val="restart"/>
          </w:tcPr>
          <w:p>
            <w:pPr>
              <w:spacing w:after="0"/>
              <w:rPr>
                <w:sz w:val="20"/>
                <w:szCs w:val="20"/>
                <w:color w:val="auto"/>
              </w:rPr>
            </w:pPr>
            <w:r>
              <w:rPr>
                <w:rFonts w:ascii="Arial" w:cs="Arial" w:eastAsia="Arial" w:hAnsi="Arial"/>
                <w:sz w:val="12"/>
                <w:szCs w:val="12"/>
                <w:b w:val="1"/>
                <w:bCs w:val="1"/>
                <w:color w:val="auto"/>
              </w:rPr>
              <w:t>Six months ended</w:t>
            </w:r>
          </w:p>
        </w:tc>
        <w:tc>
          <w:tcPr>
            <w:tcW w:w="220" w:type="dxa"/>
            <w:vAlign w:val="bottom"/>
          </w:tcPr>
          <w:p>
            <w:pPr>
              <w:spacing w:after="0"/>
              <w:rPr>
                <w:sz w:val="12"/>
                <w:szCs w:val="12"/>
                <w:color w:val="auto"/>
              </w:rPr>
            </w:pPr>
          </w:p>
        </w:tc>
        <w:tc>
          <w:tcPr>
            <w:tcW w:w="1180" w:type="dxa"/>
            <w:vAlign w:val="bottom"/>
          </w:tcPr>
          <w:p>
            <w:pPr>
              <w:jc w:val="right"/>
              <w:ind w:right="280"/>
              <w:spacing w:after="0"/>
              <w:rPr>
                <w:sz w:val="20"/>
                <w:szCs w:val="20"/>
                <w:color w:val="auto"/>
              </w:rPr>
            </w:pPr>
            <w:r>
              <w:rPr>
                <w:rFonts w:ascii="Arial" w:cs="Arial" w:eastAsia="Arial" w:hAnsi="Arial"/>
                <w:sz w:val="12"/>
                <w:szCs w:val="12"/>
                <w:b w:val="1"/>
                <w:bCs w:val="1"/>
                <w:color w:val="auto"/>
              </w:rPr>
              <w:t>February 29,</w:t>
            </w:r>
          </w:p>
        </w:tc>
        <w:tc>
          <w:tcPr>
            <w:tcW w:w="280" w:type="dxa"/>
            <w:vAlign w:val="bottom"/>
          </w:tcPr>
          <w:p>
            <w:pPr>
              <w:spacing w:after="0"/>
              <w:rPr>
                <w:sz w:val="12"/>
                <w:szCs w:val="12"/>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March 2,</w:t>
            </w:r>
          </w:p>
        </w:tc>
        <w:tc>
          <w:tcPr>
            <w:tcW w:w="0" w:type="dxa"/>
            <w:vAlign w:val="bottom"/>
          </w:tcPr>
          <w:p>
            <w:pPr>
              <w:spacing w:after="0"/>
              <w:rPr>
                <w:sz w:val="1"/>
                <w:szCs w:val="1"/>
                <w:color w:val="auto"/>
              </w:rPr>
            </w:pPr>
          </w:p>
        </w:tc>
      </w:tr>
      <w:tr>
        <w:trPr>
          <w:trHeight w:val="165"/>
        </w:trPr>
        <w:tc>
          <w:tcPr>
            <w:tcW w:w="84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2024</w:t>
            </w: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61"/>
        </w:trPr>
        <w:tc>
          <w:tcPr>
            <w:tcW w:w="8480" w:type="dxa"/>
            <w:vAlign w:val="bottom"/>
            <w:shd w:val="clear" w:color="auto" w:fill="D1D2D4"/>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220" w:type="dxa"/>
            <w:vAlign w:val="bottom"/>
            <w:shd w:val="clear" w:color="auto" w:fill="D1D2D4"/>
          </w:tcPr>
          <w:p>
            <w:pPr>
              <w:spacing w:after="0"/>
              <w:rPr>
                <w:sz w:val="14"/>
                <w:szCs w:val="14"/>
                <w:color w:val="auto"/>
              </w:rPr>
            </w:pPr>
          </w:p>
        </w:tc>
        <w:tc>
          <w:tcPr>
            <w:tcW w:w="1180" w:type="dxa"/>
            <w:vAlign w:val="bottom"/>
            <w:shd w:val="clear" w:color="auto" w:fill="D1D2D4"/>
          </w:tcPr>
          <w:p>
            <w:pPr>
              <w:spacing w:after="0"/>
              <w:rPr>
                <w:sz w:val="14"/>
                <w:szCs w:val="14"/>
                <w:color w:val="auto"/>
              </w:rPr>
            </w:pPr>
          </w:p>
        </w:tc>
        <w:tc>
          <w:tcPr>
            <w:tcW w:w="280" w:type="dxa"/>
            <w:vAlign w:val="bottom"/>
            <w:shd w:val="clear" w:color="auto" w:fill="D1D2D4"/>
          </w:tcPr>
          <w:p>
            <w:pPr>
              <w:spacing w:after="0"/>
              <w:rPr>
                <w:sz w:val="14"/>
                <w:szCs w:val="14"/>
                <w:color w:val="auto"/>
              </w:rPr>
            </w:pPr>
          </w:p>
        </w:tc>
        <w:tc>
          <w:tcPr>
            <w:tcW w:w="240" w:type="dxa"/>
            <w:vAlign w:val="bottom"/>
            <w:shd w:val="clear" w:color="auto" w:fill="D1D2D4"/>
          </w:tcPr>
          <w:p>
            <w:pPr>
              <w:spacing w:after="0"/>
              <w:rPr>
                <w:sz w:val="14"/>
                <w:szCs w:val="14"/>
                <w:color w:val="auto"/>
              </w:rPr>
            </w:pPr>
          </w:p>
        </w:tc>
        <w:tc>
          <w:tcPr>
            <w:tcW w:w="90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480" w:type="dxa"/>
            <w:vAlign w:val="bottom"/>
          </w:tcPr>
          <w:p>
            <w:pPr>
              <w:spacing w:after="0"/>
              <w:rPr>
                <w:sz w:val="20"/>
                <w:szCs w:val="20"/>
                <w:color w:val="auto"/>
              </w:rPr>
            </w:pPr>
            <w:r>
              <w:rPr>
                <w:rFonts w:ascii="Arial" w:cs="Arial" w:eastAsia="Arial" w:hAnsi="Arial"/>
                <w:sz w:val="12"/>
                <w:szCs w:val="12"/>
                <w:color w:val="auto"/>
              </w:rPr>
              <w:t>Net income (loss)</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(441)</w:t>
            </w:r>
          </w:p>
        </w:tc>
        <w:tc>
          <w:tcPr>
            <w:tcW w:w="2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2"/>
                <w:szCs w:val="12"/>
                <w:color w:val="auto"/>
              </w:rPr>
              <w:t>(2,507)</w:t>
            </w:r>
          </w:p>
        </w:tc>
        <w:tc>
          <w:tcPr>
            <w:tcW w:w="0" w:type="dxa"/>
            <w:vAlign w:val="bottom"/>
          </w:tcPr>
          <w:p>
            <w:pPr>
              <w:spacing w:after="0"/>
              <w:rPr>
                <w:sz w:val="1"/>
                <w:szCs w:val="1"/>
                <w:color w:val="auto"/>
              </w:rPr>
            </w:pPr>
          </w:p>
        </w:tc>
      </w:tr>
      <w:tr>
        <w:trPr>
          <w:trHeight w:val="153"/>
        </w:trPr>
        <w:tc>
          <w:tcPr>
            <w:tcW w:w="8480" w:type="dxa"/>
            <w:vAlign w:val="bottom"/>
            <w:shd w:val="clear" w:color="auto" w:fill="D1D2D4"/>
          </w:tcPr>
          <w:p>
            <w:pPr>
              <w:spacing w:after="0"/>
              <w:rPr>
                <w:sz w:val="20"/>
                <w:szCs w:val="20"/>
                <w:color w:val="auto"/>
              </w:rPr>
            </w:pPr>
            <w:r>
              <w:rPr>
                <w:rFonts w:ascii="Arial" w:cs="Arial" w:eastAsia="Arial" w:hAnsi="Arial"/>
                <w:sz w:val="12"/>
                <w:szCs w:val="12"/>
                <w:color w:val="auto"/>
              </w:rPr>
              <w:t>Adjustments to reconcile net income (loss) to net cash provided by operating activities:</w:t>
            </w:r>
          </w:p>
        </w:tc>
        <w:tc>
          <w:tcPr>
            <w:tcW w:w="220" w:type="dxa"/>
            <w:vAlign w:val="bottom"/>
            <w:shd w:val="clear" w:color="auto" w:fill="D1D2D4"/>
          </w:tcPr>
          <w:p>
            <w:pPr>
              <w:spacing w:after="0"/>
              <w:rPr>
                <w:sz w:val="13"/>
                <w:szCs w:val="13"/>
                <w:color w:val="auto"/>
              </w:rPr>
            </w:pPr>
          </w:p>
        </w:tc>
        <w:tc>
          <w:tcPr>
            <w:tcW w:w="1180" w:type="dxa"/>
            <w:vAlign w:val="bottom"/>
            <w:shd w:val="clear" w:color="auto" w:fill="D1D2D4"/>
          </w:tcPr>
          <w:p>
            <w:pPr>
              <w:spacing w:after="0"/>
              <w:rPr>
                <w:sz w:val="13"/>
                <w:szCs w:val="13"/>
                <w:color w:val="auto"/>
              </w:rPr>
            </w:pPr>
          </w:p>
        </w:tc>
        <w:tc>
          <w:tcPr>
            <w:tcW w:w="280" w:type="dxa"/>
            <w:vAlign w:val="bottom"/>
            <w:shd w:val="clear" w:color="auto" w:fill="D1D2D4"/>
          </w:tcPr>
          <w:p>
            <w:pPr>
              <w:spacing w:after="0"/>
              <w:rPr>
                <w:sz w:val="13"/>
                <w:szCs w:val="13"/>
                <w:color w:val="auto"/>
              </w:rPr>
            </w:pPr>
          </w:p>
        </w:tc>
        <w:tc>
          <w:tcPr>
            <w:tcW w:w="240" w:type="dxa"/>
            <w:vAlign w:val="bottom"/>
            <w:shd w:val="clear" w:color="auto" w:fill="D1D2D4"/>
          </w:tcPr>
          <w:p>
            <w:pPr>
              <w:spacing w:after="0"/>
              <w:rPr>
                <w:sz w:val="13"/>
                <w:szCs w:val="13"/>
                <w:color w:val="auto"/>
              </w:rPr>
            </w:pPr>
          </w:p>
        </w:tc>
        <w:tc>
          <w:tcPr>
            <w:tcW w:w="90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80" w:type="dxa"/>
            <w:vAlign w:val="bottom"/>
          </w:tcPr>
          <w:p>
            <w:pPr>
              <w:ind w:left="140"/>
              <w:spacing w:after="0"/>
              <w:rPr>
                <w:sz w:val="20"/>
                <w:szCs w:val="20"/>
                <w:color w:val="auto"/>
              </w:rPr>
            </w:pPr>
            <w:r>
              <w:rPr>
                <w:rFonts w:ascii="Arial" w:cs="Arial" w:eastAsia="Arial" w:hAnsi="Arial"/>
                <w:sz w:val="12"/>
                <w:szCs w:val="12"/>
                <w:color w:val="auto"/>
              </w:rPr>
              <w:t>Depreciation expense and amortization of intangible assets</w:t>
            </w: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3,839</w:t>
            </w:r>
          </w:p>
        </w:tc>
        <w:tc>
          <w:tcPr>
            <w:tcW w:w="28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2"/>
                <w:szCs w:val="12"/>
                <w:color w:val="auto"/>
              </w:rPr>
              <w:t>3,863</w:t>
            </w:r>
          </w:p>
        </w:tc>
        <w:tc>
          <w:tcPr>
            <w:tcW w:w="0" w:type="dxa"/>
            <w:vAlign w:val="bottom"/>
          </w:tcPr>
          <w:p>
            <w:pPr>
              <w:spacing w:after="0"/>
              <w:rPr>
                <w:sz w:val="1"/>
                <w:szCs w:val="1"/>
                <w:color w:val="auto"/>
              </w:rPr>
            </w:pPr>
          </w:p>
        </w:tc>
      </w:tr>
      <w:tr>
        <w:trPr>
          <w:trHeight w:val="153"/>
        </w:trPr>
        <w:tc>
          <w:tcPr>
            <w:tcW w:w="8480" w:type="dxa"/>
            <w:vAlign w:val="bottom"/>
            <w:shd w:val="clear" w:color="auto" w:fill="D1D2D4"/>
          </w:tcPr>
          <w:p>
            <w:pPr>
              <w:ind w:left="140"/>
              <w:spacing w:after="0"/>
              <w:rPr>
                <w:sz w:val="20"/>
                <w:szCs w:val="20"/>
                <w:color w:val="auto"/>
              </w:rPr>
            </w:pPr>
            <w:r>
              <w:rPr>
                <w:rFonts w:ascii="Arial" w:cs="Arial" w:eastAsia="Arial" w:hAnsi="Arial"/>
                <w:sz w:val="12"/>
                <w:szCs w:val="12"/>
                <w:color w:val="auto"/>
              </w:rPr>
              <w:t>Stock-based compensation</w:t>
            </w:r>
          </w:p>
        </w:tc>
        <w:tc>
          <w:tcPr>
            <w:tcW w:w="22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401</w:t>
            </w:r>
          </w:p>
        </w:tc>
        <w:tc>
          <w:tcPr>
            <w:tcW w:w="280" w:type="dxa"/>
            <w:vAlign w:val="bottom"/>
            <w:shd w:val="clear" w:color="auto" w:fill="D1D2D4"/>
          </w:tcPr>
          <w:p>
            <w:pPr>
              <w:spacing w:after="0"/>
              <w:rPr>
                <w:sz w:val="13"/>
                <w:szCs w:val="13"/>
                <w:color w:val="auto"/>
              </w:rPr>
            </w:pPr>
          </w:p>
        </w:tc>
        <w:tc>
          <w:tcPr>
            <w:tcW w:w="114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303</w:t>
            </w:r>
          </w:p>
        </w:tc>
        <w:tc>
          <w:tcPr>
            <w:tcW w:w="0" w:type="dxa"/>
            <w:vAlign w:val="bottom"/>
          </w:tcPr>
          <w:p>
            <w:pPr>
              <w:spacing w:after="0"/>
              <w:rPr>
                <w:sz w:val="1"/>
                <w:szCs w:val="1"/>
                <w:color w:val="auto"/>
              </w:rPr>
            </w:pPr>
          </w:p>
        </w:tc>
      </w:tr>
      <w:tr>
        <w:trPr>
          <w:trHeight w:val="153"/>
        </w:trPr>
        <w:tc>
          <w:tcPr>
            <w:tcW w:w="8480" w:type="dxa"/>
            <w:vAlign w:val="bottom"/>
          </w:tcPr>
          <w:p>
            <w:pPr>
              <w:ind w:left="140"/>
              <w:spacing w:after="0"/>
              <w:rPr>
                <w:sz w:val="20"/>
                <w:szCs w:val="20"/>
                <w:color w:val="auto"/>
              </w:rPr>
            </w:pPr>
            <w:r>
              <w:rPr>
                <w:rFonts w:ascii="Arial" w:cs="Arial" w:eastAsia="Arial" w:hAnsi="Arial"/>
                <w:sz w:val="12"/>
                <w:szCs w:val="12"/>
                <w:color w:val="auto"/>
              </w:rPr>
              <w:t>Provision to write-down inventories to net realizable value</w:t>
            </w: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2"/>
                <w:szCs w:val="12"/>
                <w:color w:val="auto"/>
              </w:rPr>
              <w:t>1,430</w:t>
            </w:r>
          </w:p>
        </w:tc>
        <w:tc>
          <w:tcPr>
            <w:tcW w:w="0" w:type="dxa"/>
            <w:vAlign w:val="bottom"/>
          </w:tcPr>
          <w:p>
            <w:pPr>
              <w:spacing w:after="0"/>
              <w:rPr>
                <w:sz w:val="1"/>
                <w:szCs w:val="1"/>
                <w:color w:val="auto"/>
              </w:rPr>
            </w:pPr>
          </w:p>
        </w:tc>
      </w:tr>
      <w:tr>
        <w:trPr>
          <w:trHeight w:val="153"/>
        </w:trPr>
        <w:tc>
          <w:tcPr>
            <w:tcW w:w="8480" w:type="dxa"/>
            <w:vAlign w:val="bottom"/>
            <w:shd w:val="clear" w:color="auto" w:fill="D1D2D4"/>
          </w:tcPr>
          <w:p>
            <w:pPr>
              <w:ind w:left="140"/>
              <w:spacing w:after="0"/>
              <w:rPr>
                <w:sz w:val="20"/>
                <w:szCs w:val="20"/>
                <w:color w:val="auto"/>
              </w:rPr>
            </w:pPr>
            <w:r>
              <w:rPr>
                <w:rFonts w:ascii="Arial" w:cs="Arial" w:eastAsia="Arial" w:hAnsi="Arial"/>
                <w:sz w:val="12"/>
                <w:szCs w:val="12"/>
                <w:color w:val="auto"/>
              </w:rPr>
              <w:t>Change in operating assets and liabilities:</w:t>
            </w:r>
          </w:p>
        </w:tc>
        <w:tc>
          <w:tcPr>
            <w:tcW w:w="220" w:type="dxa"/>
            <w:vAlign w:val="bottom"/>
            <w:shd w:val="clear" w:color="auto" w:fill="D1D2D4"/>
          </w:tcPr>
          <w:p>
            <w:pPr>
              <w:spacing w:after="0"/>
              <w:rPr>
                <w:sz w:val="13"/>
                <w:szCs w:val="13"/>
                <w:color w:val="auto"/>
              </w:rPr>
            </w:pPr>
          </w:p>
        </w:tc>
        <w:tc>
          <w:tcPr>
            <w:tcW w:w="1180" w:type="dxa"/>
            <w:vAlign w:val="bottom"/>
            <w:shd w:val="clear" w:color="auto" w:fill="D1D2D4"/>
          </w:tcPr>
          <w:p>
            <w:pPr>
              <w:spacing w:after="0"/>
              <w:rPr>
                <w:sz w:val="13"/>
                <w:szCs w:val="13"/>
                <w:color w:val="auto"/>
              </w:rPr>
            </w:pPr>
          </w:p>
        </w:tc>
        <w:tc>
          <w:tcPr>
            <w:tcW w:w="280" w:type="dxa"/>
            <w:vAlign w:val="bottom"/>
            <w:shd w:val="clear" w:color="auto" w:fill="D1D2D4"/>
          </w:tcPr>
          <w:p>
            <w:pPr>
              <w:spacing w:after="0"/>
              <w:rPr>
                <w:sz w:val="13"/>
                <w:szCs w:val="13"/>
                <w:color w:val="auto"/>
              </w:rPr>
            </w:pPr>
          </w:p>
        </w:tc>
        <w:tc>
          <w:tcPr>
            <w:tcW w:w="240" w:type="dxa"/>
            <w:vAlign w:val="bottom"/>
            <w:shd w:val="clear" w:color="auto" w:fill="D1D2D4"/>
          </w:tcPr>
          <w:p>
            <w:pPr>
              <w:spacing w:after="0"/>
              <w:rPr>
                <w:sz w:val="13"/>
                <w:szCs w:val="13"/>
                <w:color w:val="auto"/>
              </w:rPr>
            </w:pPr>
          </w:p>
        </w:tc>
        <w:tc>
          <w:tcPr>
            <w:tcW w:w="90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80" w:type="dxa"/>
            <w:vAlign w:val="bottom"/>
          </w:tcPr>
          <w:p>
            <w:pPr>
              <w:ind w:left="220"/>
              <w:spacing w:after="0"/>
              <w:rPr>
                <w:sz w:val="20"/>
                <w:szCs w:val="20"/>
                <w:color w:val="auto"/>
              </w:rPr>
            </w:pPr>
            <w:r>
              <w:rPr>
                <w:rFonts w:ascii="Arial" w:cs="Arial" w:eastAsia="Arial" w:hAnsi="Arial"/>
                <w:sz w:val="12"/>
                <w:szCs w:val="12"/>
                <w:color w:val="auto"/>
              </w:rPr>
              <w:t>Receivables</w:t>
            </w: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(1,759)</w:t>
            </w:r>
          </w:p>
        </w:tc>
        <w:tc>
          <w:tcPr>
            <w:tcW w:w="28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2"/>
                <w:szCs w:val="12"/>
                <w:color w:val="auto"/>
              </w:rPr>
              <w:t>2,910</w:t>
            </w:r>
          </w:p>
        </w:tc>
        <w:tc>
          <w:tcPr>
            <w:tcW w:w="0" w:type="dxa"/>
            <w:vAlign w:val="bottom"/>
          </w:tcPr>
          <w:p>
            <w:pPr>
              <w:spacing w:after="0"/>
              <w:rPr>
                <w:sz w:val="1"/>
                <w:szCs w:val="1"/>
                <w:color w:val="auto"/>
              </w:rPr>
            </w:pPr>
          </w:p>
        </w:tc>
      </w:tr>
      <w:tr>
        <w:trPr>
          <w:trHeight w:val="153"/>
        </w:trPr>
        <w:tc>
          <w:tcPr>
            <w:tcW w:w="8480" w:type="dxa"/>
            <w:vAlign w:val="bottom"/>
            <w:shd w:val="clear" w:color="auto" w:fill="D1D2D4"/>
          </w:tcPr>
          <w:p>
            <w:pPr>
              <w:ind w:left="220"/>
              <w:spacing w:after="0"/>
              <w:rPr>
                <w:sz w:val="20"/>
                <w:szCs w:val="20"/>
                <w:color w:val="auto"/>
              </w:rPr>
            </w:pPr>
            <w:r>
              <w:rPr>
                <w:rFonts w:ascii="Arial" w:cs="Arial" w:eastAsia="Arial" w:hAnsi="Arial"/>
                <w:sz w:val="12"/>
                <w:szCs w:val="12"/>
                <w:color w:val="auto"/>
              </w:rPr>
              <w:t>Inventories</w:t>
            </w:r>
          </w:p>
        </w:tc>
        <w:tc>
          <w:tcPr>
            <w:tcW w:w="22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(57)</w:t>
            </w:r>
          </w:p>
        </w:tc>
        <w:tc>
          <w:tcPr>
            <w:tcW w:w="280" w:type="dxa"/>
            <w:vAlign w:val="bottom"/>
            <w:shd w:val="clear" w:color="auto" w:fill="D1D2D4"/>
          </w:tcPr>
          <w:p>
            <w:pPr>
              <w:spacing w:after="0"/>
              <w:rPr>
                <w:sz w:val="13"/>
                <w:szCs w:val="13"/>
                <w:color w:val="auto"/>
              </w:rPr>
            </w:pPr>
          </w:p>
        </w:tc>
        <w:tc>
          <w:tcPr>
            <w:tcW w:w="1140" w:type="dxa"/>
            <w:vAlign w:val="bottom"/>
            <w:gridSpan w:val="2"/>
            <w:shd w:val="clear" w:color="auto" w:fill="D1D2D4"/>
          </w:tcPr>
          <w:p>
            <w:pPr>
              <w:jc w:val="right"/>
              <w:ind w:right="20"/>
              <w:spacing w:after="0"/>
              <w:rPr>
                <w:sz w:val="20"/>
                <w:szCs w:val="20"/>
                <w:color w:val="auto"/>
              </w:rPr>
            </w:pPr>
            <w:r>
              <w:rPr>
                <w:rFonts w:ascii="Arial" w:cs="Arial" w:eastAsia="Arial" w:hAnsi="Arial"/>
                <w:sz w:val="12"/>
                <w:szCs w:val="12"/>
                <w:color w:val="auto"/>
              </w:rPr>
              <w:t>(2,896)</w:t>
            </w:r>
          </w:p>
        </w:tc>
        <w:tc>
          <w:tcPr>
            <w:tcW w:w="0" w:type="dxa"/>
            <w:vAlign w:val="bottom"/>
          </w:tcPr>
          <w:p>
            <w:pPr>
              <w:spacing w:after="0"/>
              <w:rPr>
                <w:sz w:val="1"/>
                <w:szCs w:val="1"/>
                <w:color w:val="auto"/>
              </w:rPr>
            </w:pPr>
          </w:p>
        </w:tc>
      </w:tr>
      <w:tr>
        <w:trPr>
          <w:trHeight w:val="153"/>
        </w:trPr>
        <w:tc>
          <w:tcPr>
            <w:tcW w:w="8480" w:type="dxa"/>
            <w:vAlign w:val="bottom"/>
          </w:tcPr>
          <w:p>
            <w:pPr>
              <w:ind w:left="220"/>
              <w:spacing w:after="0"/>
              <w:rPr>
                <w:sz w:val="20"/>
                <w:szCs w:val="20"/>
                <w:color w:val="auto"/>
              </w:rPr>
            </w:pPr>
            <w:r>
              <w:rPr>
                <w:rFonts w:ascii="Arial" w:cs="Arial" w:eastAsia="Arial" w:hAnsi="Arial"/>
                <w:sz w:val="12"/>
                <w:szCs w:val="12"/>
                <w:color w:val="auto"/>
              </w:rPr>
              <w:t>Other current assets</w:t>
            </w: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(799)</w:t>
            </w:r>
          </w:p>
        </w:tc>
        <w:tc>
          <w:tcPr>
            <w:tcW w:w="28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53"/>
        </w:trPr>
        <w:tc>
          <w:tcPr>
            <w:tcW w:w="8480" w:type="dxa"/>
            <w:vAlign w:val="bottom"/>
            <w:shd w:val="clear" w:color="auto" w:fill="D1D2D4"/>
          </w:tcPr>
          <w:p>
            <w:pPr>
              <w:ind w:left="220"/>
              <w:spacing w:after="0"/>
              <w:rPr>
                <w:sz w:val="20"/>
                <w:szCs w:val="20"/>
                <w:color w:val="auto"/>
              </w:rPr>
            </w:pPr>
            <w:r>
              <w:rPr>
                <w:rFonts w:ascii="Arial" w:cs="Arial" w:eastAsia="Arial" w:hAnsi="Arial"/>
                <w:sz w:val="12"/>
                <w:szCs w:val="12"/>
                <w:color w:val="auto"/>
              </w:rPr>
              <w:t>Accounts payable and accrued expenses</w:t>
            </w:r>
          </w:p>
        </w:tc>
        <w:tc>
          <w:tcPr>
            <w:tcW w:w="22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573</w:t>
            </w:r>
          </w:p>
        </w:tc>
        <w:tc>
          <w:tcPr>
            <w:tcW w:w="280" w:type="dxa"/>
            <w:vAlign w:val="bottom"/>
            <w:shd w:val="clear" w:color="auto" w:fill="D1D2D4"/>
          </w:tcPr>
          <w:p>
            <w:pPr>
              <w:spacing w:after="0"/>
              <w:rPr>
                <w:sz w:val="13"/>
                <w:szCs w:val="13"/>
                <w:color w:val="auto"/>
              </w:rPr>
            </w:pPr>
          </w:p>
        </w:tc>
        <w:tc>
          <w:tcPr>
            <w:tcW w:w="1140" w:type="dxa"/>
            <w:vAlign w:val="bottom"/>
            <w:gridSpan w:val="2"/>
            <w:shd w:val="clear" w:color="auto" w:fill="D1D2D4"/>
          </w:tcPr>
          <w:p>
            <w:pPr>
              <w:jc w:val="right"/>
              <w:ind w:right="20"/>
              <w:spacing w:after="0"/>
              <w:rPr>
                <w:sz w:val="20"/>
                <w:szCs w:val="20"/>
                <w:color w:val="auto"/>
              </w:rPr>
            </w:pPr>
            <w:r>
              <w:rPr>
                <w:rFonts w:ascii="Arial" w:cs="Arial" w:eastAsia="Arial" w:hAnsi="Arial"/>
                <w:sz w:val="12"/>
                <w:szCs w:val="12"/>
                <w:color w:val="auto"/>
              </w:rPr>
              <w:t>(1,144)</w:t>
            </w:r>
          </w:p>
        </w:tc>
        <w:tc>
          <w:tcPr>
            <w:tcW w:w="0" w:type="dxa"/>
            <w:vAlign w:val="bottom"/>
          </w:tcPr>
          <w:p>
            <w:pPr>
              <w:spacing w:after="0"/>
              <w:rPr>
                <w:sz w:val="1"/>
                <w:szCs w:val="1"/>
                <w:color w:val="auto"/>
              </w:rPr>
            </w:pPr>
          </w:p>
        </w:tc>
      </w:tr>
      <w:tr>
        <w:trPr>
          <w:trHeight w:val="153"/>
        </w:trPr>
        <w:tc>
          <w:tcPr>
            <w:tcW w:w="8480" w:type="dxa"/>
            <w:vAlign w:val="bottom"/>
          </w:tcPr>
          <w:p>
            <w:pPr>
              <w:ind w:left="220"/>
              <w:spacing w:after="0"/>
              <w:rPr>
                <w:sz w:val="20"/>
                <w:szCs w:val="20"/>
                <w:color w:val="auto"/>
              </w:rPr>
            </w:pPr>
            <w:r>
              <w:rPr>
                <w:rFonts w:ascii="Arial" w:cs="Arial" w:eastAsia="Arial" w:hAnsi="Arial"/>
                <w:sz w:val="12"/>
                <w:szCs w:val="12"/>
                <w:color w:val="auto"/>
              </w:rPr>
              <w:t>Other current liabilities</w:t>
            </w: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706</w:t>
            </w:r>
          </w:p>
        </w:tc>
        <w:tc>
          <w:tcPr>
            <w:tcW w:w="280" w:type="dxa"/>
            <w:vAlign w:val="bottom"/>
          </w:tcPr>
          <w:p>
            <w:pPr>
              <w:spacing w:after="0"/>
              <w:rPr>
                <w:sz w:val="13"/>
                <w:szCs w:val="13"/>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2"/>
                <w:szCs w:val="12"/>
                <w:color w:val="auto"/>
              </w:rPr>
              <w:t>(638)</w:t>
            </w:r>
          </w:p>
        </w:tc>
        <w:tc>
          <w:tcPr>
            <w:tcW w:w="0" w:type="dxa"/>
            <w:vAlign w:val="bottom"/>
          </w:tcPr>
          <w:p>
            <w:pPr>
              <w:spacing w:after="0"/>
              <w:rPr>
                <w:sz w:val="1"/>
                <w:szCs w:val="1"/>
                <w:color w:val="auto"/>
              </w:rPr>
            </w:pPr>
          </w:p>
        </w:tc>
      </w:tr>
      <w:tr>
        <w:trPr>
          <w:trHeight w:val="153"/>
        </w:trPr>
        <w:tc>
          <w:tcPr>
            <w:tcW w:w="8480" w:type="dxa"/>
            <w:vAlign w:val="bottom"/>
            <w:shd w:val="clear" w:color="auto" w:fill="D1D2D4"/>
          </w:tcPr>
          <w:p>
            <w:pPr>
              <w:ind w:left="140"/>
              <w:spacing w:after="0"/>
              <w:rPr>
                <w:sz w:val="20"/>
                <w:szCs w:val="20"/>
                <w:color w:val="auto"/>
              </w:rPr>
            </w:pPr>
            <w:r>
              <w:rPr>
                <w:rFonts w:ascii="Arial" w:cs="Arial" w:eastAsia="Arial" w:hAnsi="Arial"/>
                <w:sz w:val="12"/>
                <w:szCs w:val="12"/>
                <w:color w:val="auto"/>
              </w:rPr>
              <w:t>Other</w:t>
            </w:r>
          </w:p>
        </w:tc>
        <w:tc>
          <w:tcPr>
            <w:tcW w:w="220" w:type="dxa"/>
            <w:vAlign w:val="bottom"/>
            <w:tcBorders>
              <w:bottom w:val="single" w:sz="8" w:color="auto"/>
            </w:tcBorders>
            <w:shd w:val="clear" w:color="auto" w:fill="D1D2D4"/>
          </w:tcPr>
          <w:p>
            <w:pPr>
              <w:spacing w:after="0"/>
              <w:rPr>
                <w:sz w:val="13"/>
                <w:szCs w:val="13"/>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157</w:t>
            </w:r>
          </w:p>
        </w:tc>
        <w:tc>
          <w:tcPr>
            <w:tcW w:w="280" w:type="dxa"/>
            <w:vAlign w:val="bottom"/>
            <w:tcBorders>
              <w:bottom w:val="single" w:sz="8" w:color="auto"/>
            </w:tcBorders>
            <w:shd w:val="clear" w:color="auto" w:fill="D1D2D4"/>
          </w:tcPr>
          <w:p>
            <w:pPr>
              <w:spacing w:after="0"/>
              <w:rPr>
                <w:sz w:val="13"/>
                <w:szCs w:val="13"/>
                <w:color w:val="auto"/>
              </w:rPr>
            </w:pPr>
          </w:p>
        </w:tc>
        <w:tc>
          <w:tcPr>
            <w:tcW w:w="114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42"/>
        </w:trPr>
        <w:tc>
          <w:tcPr>
            <w:tcW w:w="8480" w:type="dxa"/>
            <w:vAlign w:val="bottom"/>
            <w:tcBorders>
              <w:bottom w:val="single" w:sz="8" w:color="D1D2D4"/>
            </w:tcBorders>
          </w:tcPr>
          <w:p>
            <w:pPr>
              <w:ind w:left="80"/>
              <w:spacing w:after="0"/>
              <w:rPr>
                <w:sz w:val="20"/>
                <w:szCs w:val="20"/>
                <w:color w:val="auto"/>
              </w:rPr>
            </w:pPr>
            <w:r>
              <w:rPr>
                <w:rFonts w:ascii="Arial" w:cs="Arial" w:eastAsia="Arial" w:hAnsi="Arial"/>
                <w:sz w:val="12"/>
                <w:szCs w:val="12"/>
                <w:color w:val="auto"/>
              </w:rPr>
              <w:t>Net cash provided by operating activities</w:t>
            </w: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2,620</w:t>
            </w: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1,286</w:t>
            </w:r>
          </w:p>
        </w:tc>
        <w:tc>
          <w:tcPr>
            <w:tcW w:w="0" w:type="dxa"/>
            <w:vAlign w:val="bottom"/>
          </w:tcPr>
          <w:p>
            <w:pPr>
              <w:spacing w:after="0"/>
              <w:rPr>
                <w:sz w:val="1"/>
                <w:szCs w:val="1"/>
                <w:color w:val="auto"/>
              </w:rPr>
            </w:pPr>
          </w:p>
        </w:tc>
      </w:tr>
      <w:tr>
        <w:trPr>
          <w:trHeight w:val="151"/>
        </w:trPr>
        <w:tc>
          <w:tcPr>
            <w:tcW w:w="848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180" w:type="dxa"/>
            <w:vAlign w:val="bottom"/>
            <w:shd w:val="clear" w:color="auto" w:fill="D1D2D4"/>
          </w:tcPr>
          <w:p>
            <w:pPr>
              <w:spacing w:after="0"/>
              <w:rPr>
                <w:sz w:val="13"/>
                <w:szCs w:val="13"/>
                <w:color w:val="auto"/>
              </w:rPr>
            </w:pPr>
          </w:p>
        </w:tc>
        <w:tc>
          <w:tcPr>
            <w:tcW w:w="280" w:type="dxa"/>
            <w:vAlign w:val="bottom"/>
            <w:shd w:val="clear" w:color="auto" w:fill="D1D2D4"/>
          </w:tcPr>
          <w:p>
            <w:pPr>
              <w:spacing w:after="0"/>
              <w:rPr>
                <w:sz w:val="13"/>
                <w:szCs w:val="13"/>
                <w:color w:val="auto"/>
              </w:rPr>
            </w:pPr>
          </w:p>
        </w:tc>
        <w:tc>
          <w:tcPr>
            <w:tcW w:w="240" w:type="dxa"/>
            <w:vAlign w:val="bottom"/>
            <w:shd w:val="clear" w:color="auto" w:fill="D1D2D4"/>
          </w:tcPr>
          <w:p>
            <w:pPr>
              <w:spacing w:after="0"/>
              <w:rPr>
                <w:sz w:val="13"/>
                <w:szCs w:val="13"/>
                <w:color w:val="auto"/>
              </w:rPr>
            </w:pPr>
          </w:p>
        </w:tc>
        <w:tc>
          <w:tcPr>
            <w:tcW w:w="90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80" w:type="dxa"/>
            <w:vAlign w:val="bottom"/>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80" w:type="dxa"/>
            <w:vAlign w:val="bottom"/>
            <w:shd w:val="clear" w:color="auto" w:fill="D1D2D4"/>
          </w:tcPr>
          <w:p>
            <w:pPr>
              <w:spacing w:after="0"/>
              <w:rPr>
                <w:sz w:val="20"/>
                <w:szCs w:val="20"/>
                <w:color w:val="auto"/>
              </w:rPr>
            </w:pPr>
            <w:r>
              <w:rPr>
                <w:rFonts w:ascii="Arial" w:cs="Arial" w:eastAsia="Arial" w:hAnsi="Arial"/>
                <w:sz w:val="12"/>
                <w:szCs w:val="12"/>
                <w:color w:val="auto"/>
              </w:rPr>
              <w:t>Expenditures for property, plant, and equipment</w:t>
            </w:r>
          </w:p>
        </w:tc>
        <w:tc>
          <w:tcPr>
            <w:tcW w:w="22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(3,180)</w:t>
            </w:r>
          </w:p>
        </w:tc>
        <w:tc>
          <w:tcPr>
            <w:tcW w:w="280" w:type="dxa"/>
            <w:vAlign w:val="bottom"/>
            <w:shd w:val="clear" w:color="auto" w:fill="D1D2D4"/>
          </w:tcPr>
          <w:p>
            <w:pPr>
              <w:spacing w:after="0"/>
              <w:rPr>
                <w:sz w:val="13"/>
                <w:szCs w:val="13"/>
                <w:color w:val="auto"/>
              </w:rPr>
            </w:pPr>
          </w:p>
        </w:tc>
        <w:tc>
          <w:tcPr>
            <w:tcW w:w="1140" w:type="dxa"/>
            <w:vAlign w:val="bottom"/>
            <w:gridSpan w:val="2"/>
            <w:shd w:val="clear" w:color="auto" w:fill="D1D2D4"/>
          </w:tcPr>
          <w:p>
            <w:pPr>
              <w:jc w:val="right"/>
              <w:ind w:right="20"/>
              <w:spacing w:after="0"/>
              <w:rPr>
                <w:sz w:val="20"/>
                <w:szCs w:val="20"/>
                <w:color w:val="auto"/>
              </w:rPr>
            </w:pPr>
            <w:r>
              <w:rPr>
                <w:rFonts w:ascii="Arial" w:cs="Arial" w:eastAsia="Arial" w:hAnsi="Arial"/>
                <w:sz w:val="12"/>
                <w:szCs w:val="12"/>
                <w:color w:val="auto"/>
              </w:rPr>
              <w:t>(4,654)</w:t>
            </w:r>
          </w:p>
        </w:tc>
        <w:tc>
          <w:tcPr>
            <w:tcW w:w="0" w:type="dxa"/>
            <w:vAlign w:val="bottom"/>
          </w:tcPr>
          <w:p>
            <w:pPr>
              <w:spacing w:after="0"/>
              <w:rPr>
                <w:sz w:val="1"/>
                <w:szCs w:val="1"/>
                <w:color w:val="auto"/>
              </w:rPr>
            </w:pPr>
          </w:p>
        </w:tc>
      </w:tr>
      <w:tr>
        <w:trPr>
          <w:trHeight w:val="153"/>
        </w:trPr>
        <w:tc>
          <w:tcPr>
            <w:tcW w:w="8480" w:type="dxa"/>
            <w:vAlign w:val="bottom"/>
          </w:tcPr>
          <w:p>
            <w:pPr>
              <w:spacing w:after="0"/>
              <w:rPr>
                <w:sz w:val="20"/>
                <w:szCs w:val="20"/>
                <w:color w:val="auto"/>
              </w:rPr>
            </w:pPr>
            <w:r>
              <w:rPr>
                <w:rFonts w:ascii="Arial" w:cs="Arial" w:eastAsia="Arial" w:hAnsi="Arial"/>
                <w:sz w:val="12"/>
                <w:szCs w:val="12"/>
                <w:color w:val="auto"/>
              </w:rPr>
              <w:t>Purchases of available-for-sale securities</w:t>
            </w: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(465)</w:t>
            </w:r>
          </w:p>
        </w:tc>
        <w:tc>
          <w:tcPr>
            <w:tcW w:w="280" w:type="dxa"/>
            <w:vAlign w:val="bottom"/>
          </w:tcPr>
          <w:p>
            <w:pPr>
              <w:spacing w:after="0"/>
              <w:rPr>
                <w:sz w:val="13"/>
                <w:szCs w:val="13"/>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2"/>
                <w:szCs w:val="12"/>
                <w:color w:val="auto"/>
              </w:rPr>
              <w:t>(293)</w:t>
            </w:r>
          </w:p>
        </w:tc>
        <w:tc>
          <w:tcPr>
            <w:tcW w:w="0" w:type="dxa"/>
            <w:vAlign w:val="bottom"/>
          </w:tcPr>
          <w:p>
            <w:pPr>
              <w:spacing w:after="0"/>
              <w:rPr>
                <w:sz w:val="1"/>
                <w:szCs w:val="1"/>
                <w:color w:val="auto"/>
              </w:rPr>
            </w:pPr>
          </w:p>
        </w:tc>
      </w:tr>
      <w:tr>
        <w:trPr>
          <w:trHeight w:val="153"/>
        </w:trPr>
        <w:tc>
          <w:tcPr>
            <w:tcW w:w="8480" w:type="dxa"/>
            <w:vAlign w:val="bottom"/>
            <w:shd w:val="clear" w:color="auto" w:fill="D1D2D4"/>
          </w:tcPr>
          <w:p>
            <w:pPr>
              <w:spacing w:after="0"/>
              <w:rPr>
                <w:sz w:val="20"/>
                <w:szCs w:val="20"/>
                <w:color w:val="auto"/>
              </w:rPr>
            </w:pPr>
            <w:r>
              <w:rPr>
                <w:rFonts w:ascii="Arial" w:cs="Arial" w:eastAsia="Arial" w:hAnsi="Arial"/>
                <w:sz w:val="12"/>
                <w:szCs w:val="12"/>
                <w:color w:val="auto"/>
              </w:rPr>
              <w:t>Proceeds from maturities and sales of available-for-sale securities</w:t>
            </w:r>
          </w:p>
        </w:tc>
        <w:tc>
          <w:tcPr>
            <w:tcW w:w="22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726</w:t>
            </w:r>
          </w:p>
        </w:tc>
        <w:tc>
          <w:tcPr>
            <w:tcW w:w="280" w:type="dxa"/>
            <w:vAlign w:val="bottom"/>
            <w:shd w:val="clear" w:color="auto" w:fill="D1D2D4"/>
          </w:tcPr>
          <w:p>
            <w:pPr>
              <w:spacing w:after="0"/>
              <w:rPr>
                <w:sz w:val="13"/>
                <w:szCs w:val="13"/>
                <w:color w:val="auto"/>
              </w:rPr>
            </w:pPr>
          </w:p>
        </w:tc>
        <w:tc>
          <w:tcPr>
            <w:tcW w:w="114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773</w:t>
            </w:r>
          </w:p>
        </w:tc>
        <w:tc>
          <w:tcPr>
            <w:tcW w:w="0" w:type="dxa"/>
            <w:vAlign w:val="bottom"/>
          </w:tcPr>
          <w:p>
            <w:pPr>
              <w:spacing w:after="0"/>
              <w:rPr>
                <w:sz w:val="1"/>
                <w:szCs w:val="1"/>
                <w:color w:val="auto"/>
              </w:rPr>
            </w:pPr>
          </w:p>
        </w:tc>
      </w:tr>
      <w:tr>
        <w:trPr>
          <w:trHeight w:val="153"/>
        </w:trPr>
        <w:tc>
          <w:tcPr>
            <w:tcW w:w="8480" w:type="dxa"/>
            <w:vAlign w:val="bottom"/>
          </w:tcPr>
          <w:p>
            <w:pPr>
              <w:spacing w:after="0"/>
              <w:rPr>
                <w:sz w:val="20"/>
                <w:szCs w:val="20"/>
                <w:color w:val="auto"/>
              </w:rPr>
            </w:pPr>
            <w:r>
              <w:rPr>
                <w:rFonts w:ascii="Arial" w:cs="Arial" w:eastAsia="Arial" w:hAnsi="Arial"/>
                <w:sz w:val="12"/>
                <w:szCs w:val="12"/>
                <w:color w:val="auto"/>
              </w:rPr>
              <w:t>Proceeds from government incentives</w:t>
            </w: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234</w:t>
            </w:r>
          </w:p>
        </w:tc>
        <w:tc>
          <w:tcPr>
            <w:tcW w:w="28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153"/>
        </w:trPr>
        <w:tc>
          <w:tcPr>
            <w:tcW w:w="8480" w:type="dxa"/>
            <w:vAlign w:val="bottom"/>
            <w:shd w:val="clear" w:color="auto" w:fill="D1D2D4"/>
          </w:tcPr>
          <w:p>
            <w:pPr>
              <w:spacing w:after="0"/>
              <w:rPr>
                <w:sz w:val="20"/>
                <w:szCs w:val="20"/>
                <w:color w:val="auto"/>
              </w:rPr>
            </w:pPr>
            <w:r>
              <w:rPr>
                <w:rFonts w:ascii="Arial" w:cs="Arial" w:eastAsia="Arial" w:hAnsi="Arial"/>
                <w:sz w:val="12"/>
                <w:szCs w:val="12"/>
                <w:color w:val="auto"/>
              </w:rPr>
              <w:t>Other</w:t>
            </w:r>
          </w:p>
        </w:tc>
        <w:tc>
          <w:tcPr>
            <w:tcW w:w="220" w:type="dxa"/>
            <w:vAlign w:val="bottom"/>
            <w:tcBorders>
              <w:bottom w:val="single" w:sz="8" w:color="auto"/>
            </w:tcBorders>
            <w:shd w:val="clear" w:color="auto" w:fill="D1D2D4"/>
          </w:tcPr>
          <w:p>
            <w:pPr>
              <w:spacing w:after="0"/>
              <w:rPr>
                <w:sz w:val="13"/>
                <w:szCs w:val="13"/>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(24)</w:t>
            </w:r>
          </w:p>
        </w:tc>
        <w:tc>
          <w:tcPr>
            <w:tcW w:w="280" w:type="dxa"/>
            <w:vAlign w:val="bottom"/>
            <w:tcBorders>
              <w:bottom w:val="single" w:sz="8" w:color="auto"/>
            </w:tcBorders>
            <w:shd w:val="clear" w:color="auto" w:fill="D1D2D4"/>
          </w:tcPr>
          <w:p>
            <w:pPr>
              <w:spacing w:after="0"/>
              <w:rPr>
                <w:sz w:val="13"/>
                <w:szCs w:val="13"/>
                <w:color w:val="auto"/>
              </w:rPr>
            </w:pPr>
          </w:p>
        </w:tc>
        <w:tc>
          <w:tcPr>
            <w:tcW w:w="114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2"/>
                <w:szCs w:val="12"/>
                <w:color w:val="auto"/>
              </w:rPr>
              <w:t>(71)</w:t>
            </w:r>
          </w:p>
        </w:tc>
        <w:tc>
          <w:tcPr>
            <w:tcW w:w="0" w:type="dxa"/>
            <w:vAlign w:val="bottom"/>
          </w:tcPr>
          <w:p>
            <w:pPr>
              <w:spacing w:after="0"/>
              <w:rPr>
                <w:sz w:val="1"/>
                <w:szCs w:val="1"/>
                <w:color w:val="auto"/>
              </w:rPr>
            </w:pPr>
          </w:p>
        </w:tc>
      </w:tr>
      <w:tr>
        <w:trPr>
          <w:trHeight w:val="142"/>
        </w:trPr>
        <w:tc>
          <w:tcPr>
            <w:tcW w:w="8480" w:type="dxa"/>
            <w:vAlign w:val="bottom"/>
            <w:tcBorders>
              <w:bottom w:val="single" w:sz="8" w:color="D1D2D4"/>
            </w:tcBorders>
          </w:tcPr>
          <w:p>
            <w:pPr>
              <w:ind w:left="80"/>
              <w:spacing w:after="0"/>
              <w:rPr>
                <w:sz w:val="20"/>
                <w:szCs w:val="20"/>
                <w:color w:val="auto"/>
              </w:rPr>
            </w:pPr>
            <w:r>
              <w:rPr>
                <w:rFonts w:ascii="Arial" w:cs="Arial" w:eastAsia="Arial" w:hAnsi="Arial"/>
                <w:sz w:val="12"/>
                <w:szCs w:val="12"/>
                <w:color w:val="auto"/>
              </w:rPr>
              <w:t>Net cash provided by (used for) investing activities</w:t>
            </w: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(2,709)</w:t>
            </w: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(4,181)</w:t>
            </w:r>
          </w:p>
        </w:tc>
        <w:tc>
          <w:tcPr>
            <w:tcW w:w="0" w:type="dxa"/>
            <w:vAlign w:val="bottom"/>
          </w:tcPr>
          <w:p>
            <w:pPr>
              <w:spacing w:after="0"/>
              <w:rPr>
                <w:sz w:val="1"/>
                <w:szCs w:val="1"/>
                <w:color w:val="auto"/>
              </w:rPr>
            </w:pPr>
          </w:p>
        </w:tc>
      </w:tr>
      <w:tr>
        <w:trPr>
          <w:trHeight w:val="151"/>
        </w:trPr>
        <w:tc>
          <w:tcPr>
            <w:tcW w:w="848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180" w:type="dxa"/>
            <w:vAlign w:val="bottom"/>
            <w:shd w:val="clear" w:color="auto" w:fill="D1D2D4"/>
          </w:tcPr>
          <w:p>
            <w:pPr>
              <w:spacing w:after="0"/>
              <w:rPr>
                <w:sz w:val="13"/>
                <w:szCs w:val="13"/>
                <w:color w:val="auto"/>
              </w:rPr>
            </w:pPr>
          </w:p>
        </w:tc>
        <w:tc>
          <w:tcPr>
            <w:tcW w:w="280" w:type="dxa"/>
            <w:vAlign w:val="bottom"/>
            <w:shd w:val="clear" w:color="auto" w:fill="D1D2D4"/>
          </w:tcPr>
          <w:p>
            <w:pPr>
              <w:spacing w:after="0"/>
              <w:rPr>
                <w:sz w:val="13"/>
                <w:szCs w:val="13"/>
                <w:color w:val="auto"/>
              </w:rPr>
            </w:pPr>
          </w:p>
        </w:tc>
        <w:tc>
          <w:tcPr>
            <w:tcW w:w="240" w:type="dxa"/>
            <w:vAlign w:val="bottom"/>
            <w:shd w:val="clear" w:color="auto" w:fill="D1D2D4"/>
          </w:tcPr>
          <w:p>
            <w:pPr>
              <w:spacing w:after="0"/>
              <w:rPr>
                <w:sz w:val="13"/>
                <w:szCs w:val="13"/>
                <w:color w:val="auto"/>
              </w:rPr>
            </w:pPr>
          </w:p>
        </w:tc>
        <w:tc>
          <w:tcPr>
            <w:tcW w:w="90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80" w:type="dxa"/>
            <w:vAlign w:val="bottom"/>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80" w:type="dxa"/>
            <w:vAlign w:val="bottom"/>
            <w:shd w:val="clear" w:color="auto" w:fill="D1D2D4"/>
          </w:tcPr>
          <w:p>
            <w:pPr>
              <w:spacing w:after="0"/>
              <w:rPr>
                <w:sz w:val="20"/>
                <w:szCs w:val="20"/>
                <w:color w:val="auto"/>
              </w:rPr>
            </w:pPr>
            <w:r>
              <w:rPr>
                <w:rFonts w:ascii="Arial" w:cs="Arial" w:eastAsia="Arial" w:hAnsi="Arial"/>
                <w:sz w:val="12"/>
                <w:szCs w:val="12"/>
                <w:color w:val="auto"/>
              </w:rPr>
              <w:t>Repayments of debt</w:t>
            </w:r>
          </w:p>
        </w:tc>
        <w:tc>
          <w:tcPr>
            <w:tcW w:w="22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(1,101)</w:t>
            </w:r>
          </w:p>
        </w:tc>
        <w:tc>
          <w:tcPr>
            <w:tcW w:w="280" w:type="dxa"/>
            <w:vAlign w:val="bottom"/>
            <w:shd w:val="clear" w:color="auto" w:fill="D1D2D4"/>
          </w:tcPr>
          <w:p>
            <w:pPr>
              <w:spacing w:after="0"/>
              <w:rPr>
                <w:sz w:val="13"/>
                <w:szCs w:val="13"/>
                <w:color w:val="auto"/>
              </w:rPr>
            </w:pPr>
          </w:p>
        </w:tc>
        <w:tc>
          <w:tcPr>
            <w:tcW w:w="1140" w:type="dxa"/>
            <w:vAlign w:val="bottom"/>
            <w:gridSpan w:val="2"/>
            <w:shd w:val="clear" w:color="auto" w:fill="D1D2D4"/>
          </w:tcPr>
          <w:p>
            <w:pPr>
              <w:jc w:val="right"/>
              <w:ind w:right="20"/>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53"/>
        </w:trPr>
        <w:tc>
          <w:tcPr>
            <w:tcW w:w="8480" w:type="dxa"/>
            <w:vAlign w:val="bottom"/>
          </w:tcPr>
          <w:p>
            <w:pPr>
              <w:spacing w:after="0"/>
              <w:rPr>
                <w:sz w:val="20"/>
                <w:szCs w:val="20"/>
                <w:color w:val="auto"/>
              </w:rPr>
            </w:pPr>
            <w:r>
              <w:rPr>
                <w:rFonts w:ascii="Arial" w:cs="Arial" w:eastAsia="Arial" w:hAnsi="Arial"/>
                <w:sz w:val="12"/>
                <w:szCs w:val="12"/>
                <w:color w:val="auto"/>
              </w:rPr>
              <w:t>Payments of dividends to shareholders</w:t>
            </w: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(256)</w:t>
            </w:r>
          </w:p>
        </w:tc>
        <w:tc>
          <w:tcPr>
            <w:tcW w:w="280" w:type="dxa"/>
            <w:vAlign w:val="bottom"/>
          </w:tcPr>
          <w:p>
            <w:pPr>
              <w:spacing w:after="0"/>
              <w:rPr>
                <w:sz w:val="13"/>
                <w:szCs w:val="13"/>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2"/>
                <w:szCs w:val="12"/>
                <w:color w:val="auto"/>
              </w:rPr>
              <w:t>(252)</w:t>
            </w:r>
          </w:p>
        </w:tc>
        <w:tc>
          <w:tcPr>
            <w:tcW w:w="0" w:type="dxa"/>
            <w:vAlign w:val="bottom"/>
          </w:tcPr>
          <w:p>
            <w:pPr>
              <w:spacing w:after="0"/>
              <w:rPr>
                <w:sz w:val="1"/>
                <w:szCs w:val="1"/>
                <w:color w:val="auto"/>
              </w:rPr>
            </w:pPr>
          </w:p>
        </w:tc>
      </w:tr>
      <w:tr>
        <w:trPr>
          <w:trHeight w:val="153"/>
        </w:trPr>
        <w:tc>
          <w:tcPr>
            <w:tcW w:w="8480" w:type="dxa"/>
            <w:vAlign w:val="bottom"/>
            <w:shd w:val="clear" w:color="auto" w:fill="D1D2D4"/>
          </w:tcPr>
          <w:p>
            <w:pPr>
              <w:spacing w:after="0"/>
              <w:rPr>
                <w:sz w:val="20"/>
                <w:szCs w:val="20"/>
                <w:color w:val="auto"/>
              </w:rPr>
            </w:pPr>
            <w:r>
              <w:rPr>
                <w:rFonts w:ascii="Arial" w:cs="Arial" w:eastAsia="Arial" w:hAnsi="Arial"/>
                <w:sz w:val="12"/>
                <w:szCs w:val="12"/>
                <w:color w:val="auto"/>
              </w:rPr>
              <w:t>Payments on equipment purchase contracts</w:t>
            </w:r>
          </w:p>
        </w:tc>
        <w:tc>
          <w:tcPr>
            <w:tcW w:w="22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(82)</w:t>
            </w:r>
          </w:p>
        </w:tc>
        <w:tc>
          <w:tcPr>
            <w:tcW w:w="280" w:type="dxa"/>
            <w:vAlign w:val="bottom"/>
            <w:shd w:val="clear" w:color="auto" w:fill="D1D2D4"/>
          </w:tcPr>
          <w:p>
            <w:pPr>
              <w:spacing w:after="0"/>
              <w:rPr>
                <w:sz w:val="13"/>
                <w:szCs w:val="13"/>
                <w:color w:val="auto"/>
              </w:rPr>
            </w:pPr>
          </w:p>
        </w:tc>
        <w:tc>
          <w:tcPr>
            <w:tcW w:w="1140" w:type="dxa"/>
            <w:vAlign w:val="bottom"/>
            <w:gridSpan w:val="2"/>
            <w:shd w:val="clear" w:color="auto" w:fill="D1D2D4"/>
          </w:tcPr>
          <w:p>
            <w:pPr>
              <w:jc w:val="right"/>
              <w:ind w:right="20"/>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153"/>
        </w:trPr>
        <w:tc>
          <w:tcPr>
            <w:tcW w:w="8480" w:type="dxa"/>
            <w:vAlign w:val="bottom"/>
          </w:tcPr>
          <w:p>
            <w:pPr>
              <w:spacing w:after="0"/>
              <w:rPr>
                <w:sz w:val="20"/>
                <w:szCs w:val="20"/>
                <w:color w:val="auto"/>
              </w:rPr>
            </w:pPr>
            <w:r>
              <w:rPr>
                <w:rFonts w:ascii="Arial" w:cs="Arial" w:eastAsia="Arial" w:hAnsi="Arial"/>
                <w:sz w:val="12"/>
                <w:szCs w:val="12"/>
                <w:color w:val="auto"/>
              </w:rPr>
              <w:t>Repurchases of common stock - repurchase program</w:t>
            </w: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2"/>
                <w:szCs w:val="12"/>
                <w:color w:val="auto"/>
              </w:rPr>
              <w:t>(425)</w:t>
            </w:r>
          </w:p>
        </w:tc>
        <w:tc>
          <w:tcPr>
            <w:tcW w:w="0" w:type="dxa"/>
            <w:vAlign w:val="bottom"/>
          </w:tcPr>
          <w:p>
            <w:pPr>
              <w:spacing w:after="0"/>
              <w:rPr>
                <w:sz w:val="1"/>
                <w:szCs w:val="1"/>
                <w:color w:val="auto"/>
              </w:rPr>
            </w:pPr>
          </w:p>
        </w:tc>
      </w:tr>
      <w:tr>
        <w:trPr>
          <w:trHeight w:val="153"/>
        </w:trPr>
        <w:tc>
          <w:tcPr>
            <w:tcW w:w="8480" w:type="dxa"/>
            <w:vAlign w:val="bottom"/>
            <w:shd w:val="clear" w:color="auto" w:fill="D1D2D4"/>
          </w:tcPr>
          <w:p>
            <w:pPr>
              <w:spacing w:after="0"/>
              <w:rPr>
                <w:sz w:val="20"/>
                <w:szCs w:val="20"/>
                <w:color w:val="auto"/>
              </w:rPr>
            </w:pPr>
            <w:r>
              <w:rPr>
                <w:rFonts w:ascii="Arial" w:cs="Arial" w:eastAsia="Arial" w:hAnsi="Arial"/>
                <w:sz w:val="12"/>
                <w:szCs w:val="12"/>
                <w:color w:val="auto"/>
              </w:rPr>
              <w:t>Proceeds from issuance of debt</w:t>
            </w:r>
          </w:p>
        </w:tc>
        <w:tc>
          <w:tcPr>
            <w:tcW w:w="22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999</w:t>
            </w:r>
          </w:p>
        </w:tc>
        <w:tc>
          <w:tcPr>
            <w:tcW w:w="280" w:type="dxa"/>
            <w:vAlign w:val="bottom"/>
            <w:shd w:val="clear" w:color="auto" w:fill="D1D2D4"/>
          </w:tcPr>
          <w:p>
            <w:pPr>
              <w:spacing w:after="0"/>
              <w:rPr>
                <w:sz w:val="13"/>
                <w:szCs w:val="13"/>
                <w:color w:val="auto"/>
              </w:rPr>
            </w:pPr>
          </w:p>
        </w:tc>
        <w:tc>
          <w:tcPr>
            <w:tcW w:w="114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5,221</w:t>
            </w:r>
          </w:p>
        </w:tc>
        <w:tc>
          <w:tcPr>
            <w:tcW w:w="0" w:type="dxa"/>
            <w:vAlign w:val="bottom"/>
          </w:tcPr>
          <w:p>
            <w:pPr>
              <w:spacing w:after="0"/>
              <w:rPr>
                <w:sz w:val="1"/>
                <w:szCs w:val="1"/>
                <w:color w:val="auto"/>
              </w:rPr>
            </w:pPr>
          </w:p>
        </w:tc>
      </w:tr>
      <w:tr>
        <w:trPr>
          <w:trHeight w:val="153"/>
        </w:trPr>
        <w:tc>
          <w:tcPr>
            <w:tcW w:w="8480" w:type="dxa"/>
            <w:vAlign w:val="bottom"/>
            <w:tcBorders>
              <w:bottom w:val="single" w:sz="8" w:color="D1D2D4"/>
            </w:tcBorders>
          </w:tcPr>
          <w:p>
            <w:pPr>
              <w:spacing w:after="0"/>
              <w:rPr>
                <w:sz w:val="20"/>
                <w:szCs w:val="20"/>
                <w:color w:val="auto"/>
              </w:rPr>
            </w:pPr>
            <w:r>
              <w:rPr>
                <w:rFonts w:ascii="Arial" w:cs="Arial" w:eastAsia="Arial" w:hAnsi="Arial"/>
                <w:sz w:val="12"/>
                <w:szCs w:val="12"/>
                <w:color w:val="auto"/>
              </w:rPr>
              <w:t>Other</w:t>
            </w: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w:t>
            </w: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2"/>
        </w:trPr>
        <w:tc>
          <w:tcPr>
            <w:tcW w:w="8480" w:type="dxa"/>
            <w:vAlign w:val="bottom"/>
            <w:shd w:val="clear" w:color="auto" w:fill="D1D2D4"/>
          </w:tcPr>
          <w:p>
            <w:pPr>
              <w:ind w:left="80"/>
              <w:spacing w:after="0"/>
              <w:rPr>
                <w:sz w:val="20"/>
                <w:szCs w:val="20"/>
                <w:color w:val="auto"/>
              </w:rPr>
            </w:pPr>
            <w:r>
              <w:rPr>
                <w:rFonts w:ascii="Arial" w:cs="Arial" w:eastAsia="Arial" w:hAnsi="Arial"/>
                <w:sz w:val="12"/>
                <w:szCs w:val="12"/>
                <w:color w:val="auto"/>
              </w:rPr>
              <w:t>Net cash provided by (used for) financing activities</w:t>
            </w:r>
          </w:p>
        </w:tc>
        <w:tc>
          <w:tcPr>
            <w:tcW w:w="220" w:type="dxa"/>
            <w:vAlign w:val="bottom"/>
            <w:tcBorders>
              <w:bottom w:val="single" w:sz="8" w:color="auto"/>
            </w:tcBorders>
            <w:shd w:val="clear" w:color="auto" w:fill="D1D2D4"/>
          </w:tcPr>
          <w:p>
            <w:pPr>
              <w:spacing w:after="0"/>
              <w:rPr>
                <w:sz w:val="12"/>
                <w:szCs w:val="12"/>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(458)</w:t>
            </w:r>
          </w:p>
        </w:tc>
        <w:tc>
          <w:tcPr>
            <w:tcW w:w="280" w:type="dxa"/>
            <w:vAlign w:val="bottom"/>
            <w:tcBorders>
              <w:bottom w:val="single" w:sz="8" w:color="auto"/>
            </w:tcBorders>
            <w:shd w:val="clear" w:color="auto" w:fill="D1D2D4"/>
          </w:tcPr>
          <w:p>
            <w:pPr>
              <w:spacing w:after="0"/>
              <w:rPr>
                <w:sz w:val="12"/>
                <w:szCs w:val="12"/>
                <w:color w:val="auto"/>
              </w:rPr>
            </w:pPr>
          </w:p>
        </w:tc>
        <w:tc>
          <w:tcPr>
            <w:tcW w:w="114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4,434</w:t>
            </w:r>
          </w:p>
        </w:tc>
        <w:tc>
          <w:tcPr>
            <w:tcW w:w="0" w:type="dxa"/>
            <w:vAlign w:val="bottom"/>
          </w:tcPr>
          <w:p>
            <w:pPr>
              <w:spacing w:after="0"/>
              <w:rPr>
                <w:sz w:val="1"/>
                <w:szCs w:val="1"/>
                <w:color w:val="auto"/>
              </w:rPr>
            </w:pPr>
          </w:p>
        </w:tc>
      </w:tr>
      <w:tr>
        <w:trPr>
          <w:trHeight w:val="151"/>
        </w:trPr>
        <w:tc>
          <w:tcPr>
            <w:tcW w:w="8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80" w:type="dxa"/>
            <w:vAlign w:val="bottom"/>
            <w:shd w:val="clear" w:color="auto" w:fill="D1D2D4"/>
          </w:tcPr>
          <w:p>
            <w:pPr>
              <w:spacing w:after="0"/>
              <w:rPr>
                <w:sz w:val="20"/>
                <w:szCs w:val="20"/>
                <w:color w:val="auto"/>
              </w:rPr>
            </w:pPr>
            <w:r>
              <w:rPr>
                <w:rFonts w:ascii="Arial" w:cs="Arial" w:eastAsia="Arial" w:hAnsi="Arial"/>
                <w:sz w:val="12"/>
                <w:szCs w:val="12"/>
                <w:color w:val="auto"/>
              </w:rPr>
              <w:t>Effect of changes in currency exchange rates on cash, cash equivalents, and restricted cash</w:t>
            </w:r>
          </w:p>
        </w:tc>
        <w:tc>
          <w:tcPr>
            <w:tcW w:w="22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w:t>
            </w:r>
          </w:p>
        </w:tc>
        <w:tc>
          <w:tcPr>
            <w:tcW w:w="280" w:type="dxa"/>
            <w:vAlign w:val="bottom"/>
            <w:shd w:val="clear" w:color="auto" w:fill="D1D2D4"/>
          </w:tcPr>
          <w:p>
            <w:pPr>
              <w:spacing w:after="0"/>
              <w:rPr>
                <w:sz w:val="13"/>
                <w:szCs w:val="13"/>
                <w:color w:val="auto"/>
              </w:rPr>
            </w:pPr>
          </w:p>
        </w:tc>
        <w:tc>
          <w:tcPr>
            <w:tcW w:w="114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bl>
    <w:p>
      <w:pPr>
        <w:spacing w:after="0" w:line="167" w:lineRule="exact"/>
        <w:rPr>
          <w:sz w:val="20"/>
          <w:szCs w:val="20"/>
          <w:color w:val="auto"/>
        </w:rPr>
      </w:pPr>
    </w:p>
    <w:p>
      <w:pPr>
        <w:sectPr>
          <w:pgSz w:w="11900" w:h="16838" w:orient="portrait"/>
          <w:cols w:equalWidth="0" w:num="1">
            <w:col w:w="11300"/>
          </w:cols>
          <w:pgMar w:left="300" w:top="121" w:right="299" w:bottom="1440" w:gutter="0" w:footer="0" w:header="0"/>
        </w:sectPr>
      </w:pPr>
    </w:p>
    <w:p>
      <w:pPr>
        <w:spacing w:after="0"/>
        <w:rPr>
          <w:sz w:val="20"/>
          <w:szCs w:val="20"/>
          <w:color w:val="auto"/>
        </w:rPr>
      </w:pPr>
      <w:r>
        <w:rPr>
          <w:rFonts w:ascii="Arial" w:cs="Arial" w:eastAsia="Arial" w:hAnsi="Arial"/>
          <w:sz w:val="12"/>
          <w:szCs w:val="12"/>
          <w:color w:val="auto"/>
        </w:rPr>
        <w:t>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78040" cy="97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Cash, cash equivalents, and restricted 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178040"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Cash, cash equivalents, and restricted cash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5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(555)</w:t>
            </w: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1,548</w:t>
            </w:r>
          </w:p>
        </w:tc>
      </w:tr>
      <w:tr>
        <w:trPr>
          <w:trHeight w:val="157"/>
        </w:trPr>
        <w:tc>
          <w:tcPr>
            <w:tcW w:w="5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8,656</w:t>
            </w: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8,339</w:t>
            </w:r>
          </w:p>
        </w:tc>
      </w:tr>
      <w:tr>
        <w:trPr>
          <w:trHeight w:val="142"/>
        </w:trPr>
        <w:tc>
          <w:tcPr>
            <w:tcW w:w="5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8,101</w:t>
            </w:r>
          </w:p>
        </w:tc>
        <w:tc>
          <w:tcPr>
            <w:tcW w:w="5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9,887</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60" w:space="720"/>
            <w:col w:w="2820"/>
          </w:cols>
          <w:pgMar w:left="300" w:top="121" w:right="299" w:bottom="1440" w:gutter="0" w:footer="0" w:header="0"/>
          <w:type w:val="continuous"/>
        </w:sectPr>
      </w:pP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305"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Micron Technology,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(All tabular amounts in millions, except per share amounts)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(Unaudited)</w:t>
      </w:r>
    </w:p>
    <w:p>
      <w:pPr>
        <w:spacing w:after="0" w:line="156"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Significant Accounting Policies</w:t>
      </w:r>
    </w:p>
    <w:p>
      <w:pPr>
        <w:spacing w:after="0" w:line="178" w:lineRule="exact"/>
        <w:rPr>
          <w:sz w:val="20"/>
          <w:szCs w:val="20"/>
          <w:color w:val="auto"/>
        </w:rPr>
      </w:pPr>
    </w:p>
    <w:p>
      <w:pPr>
        <w:jc w:val="both"/>
        <w:ind w:right="200"/>
        <w:spacing w:after="0" w:line="334" w:lineRule="auto"/>
        <w:rPr>
          <w:sz w:val="20"/>
          <w:szCs w:val="20"/>
          <w:color w:val="auto"/>
        </w:rPr>
      </w:pPr>
      <w:r>
        <w:rPr>
          <w:rFonts w:ascii="Arial" w:cs="Arial" w:eastAsia="Arial" w:hAnsi="Arial"/>
          <w:sz w:val="11"/>
          <w:szCs w:val="11"/>
          <w:color w:val="auto"/>
        </w:rPr>
        <w:t>For a discussion of our significant accounting policies, see “Part II – Item 8. Financial Statements and Supplementary Data – Notes to Consolidated Financial Statements – Significant Accounting Policies” of our Annual Report on Form 10-K for the year ended August 31, 2023. There have been no changes to our significant accounting policies since our Annual Report on Form 10-K for the year ended August 31, 2023.</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169" w:lineRule="exact"/>
        <w:rPr>
          <w:sz w:val="20"/>
          <w:szCs w:val="20"/>
          <w:color w:val="auto"/>
        </w:rPr>
      </w:pPr>
    </w:p>
    <w:p>
      <w:pPr>
        <w:ind w:right="100"/>
        <w:spacing w:after="0" w:line="286" w:lineRule="auto"/>
        <w:rPr>
          <w:sz w:val="20"/>
          <w:szCs w:val="20"/>
          <w:color w:val="auto"/>
        </w:rPr>
      </w:pPr>
      <w:r>
        <w:rPr>
          <w:rFonts w:ascii="Arial" w:cs="Arial" w:eastAsia="Arial" w:hAnsi="Arial"/>
          <w:sz w:val="12"/>
          <w:szCs w:val="12"/>
          <w:color w:val="auto"/>
        </w:rPr>
        <w:t>The accompanying consolidated financial statements include the accounts of Micron Technology, Inc. and our consolidated subsidiaries and have been prepared in accordance with accounting principles generally accepted in the United States of America (“U.S. GAAP”) consistent in all material respects with those applied in our Annual Report on Form 10-K for the year ended August 31, 2023.</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2"/>
          <w:szCs w:val="12"/>
          <w:color w:val="auto"/>
        </w:rPr>
        <w:t>In the opinion of our management, the accompanying unaudited consolidated financial statements contain all necessary adjustments, consisting of a normal recurring nature, to fairly state the financial information set forth herein. Certain reclassifications have been made to prior period amounts to conform to current period presentation.</w:t>
      </w:r>
    </w:p>
    <w:p>
      <w:pPr>
        <w:spacing w:after="0" w:line="121" w:lineRule="exact"/>
        <w:rPr>
          <w:sz w:val="20"/>
          <w:szCs w:val="20"/>
          <w:color w:val="auto"/>
        </w:rPr>
      </w:pPr>
    </w:p>
    <w:p>
      <w:pPr>
        <w:ind w:right="340"/>
        <w:spacing w:after="0" w:line="268" w:lineRule="auto"/>
        <w:rPr>
          <w:sz w:val="20"/>
          <w:szCs w:val="20"/>
          <w:color w:val="auto"/>
        </w:rPr>
      </w:pPr>
      <w:r>
        <w:rPr>
          <w:rFonts w:ascii="Arial" w:cs="Arial" w:eastAsia="Arial" w:hAnsi="Arial"/>
          <w:sz w:val="12"/>
          <w:szCs w:val="12"/>
          <w:color w:val="auto"/>
        </w:rPr>
        <w:t>Our fiscal year is the 52 or 53-week period ending on the Thursday closest to August 31. Fiscal years 2024 and 2023 each contain 52 weeks. All period references are to our fiscal periods unless otherwise indicated. These interim financial statements should be read in conjunction with the consolidated financial statements and accompanying notes included in our Annual Report on Form 10-K for the year ended August 31, 2023.</w:t>
      </w:r>
    </w:p>
    <w:p>
      <w:pPr>
        <w:spacing w:after="0" w:line="293"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Variable Interest Entities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A number of special purpose entities (the "Lease SPEs") were created by a third-party to facilitate equipment lease financing transactions between us and financial institutions that fund the lease financing transactions ("Financing Entities"). Neither we nor the Financing Entities have an equity interest in the Lease SPEs. The Lease SPEs are variable interest entities because their equity is not sufficient to permit them to finance their activities without additional support from the Financing Entities and because the third-party equity holder lacks characteristics of a controlling financial interest. By design, the arrangements with the Lease SPEs are merely financing vehicles and we do not bear any significant risks from variable interests with the Lease SPEs. We have determined that we do not have the power to direct the activities of the Lease SPEs that most significantly impact their economic performance and we do not consolidate the Lease SPEs. As of February 29, 2024, we had approximately $370 million of financial lease liabilities and right-of-use assets under these arrangements.</w:t>
      </w:r>
    </w:p>
    <w:p>
      <w:pPr>
        <w:spacing w:after="0" w:line="39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11 | 2024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1" w:name="page12"/>
    <w:bookmarkEnd w:id="11"/>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9" w:lineRule="exact"/>
        <w:rPr>
          <w:sz w:val="20"/>
          <w:szCs w:val="20"/>
          <w:color w:val="auto"/>
        </w:rPr>
      </w:pPr>
    </w:p>
    <w:p>
      <w:pPr>
        <w:ind w:left="8"/>
        <w:spacing w:after="0"/>
        <w:rPr>
          <w:sz w:val="20"/>
          <w:szCs w:val="20"/>
          <w:color w:val="auto"/>
        </w:rPr>
      </w:pPr>
      <w:r>
        <w:rPr>
          <w:rFonts w:ascii="Arial" w:cs="Arial" w:eastAsia="Arial" w:hAnsi="Arial"/>
          <w:sz w:val="26"/>
          <w:szCs w:val="26"/>
          <w:b w:val="1"/>
          <w:bCs w:val="1"/>
          <w:color w:val="auto"/>
        </w:rPr>
        <w:t>Cash and Investments</w:t>
      </w:r>
    </w:p>
    <w:p>
      <w:pPr>
        <w:spacing w:after="0" w:line="178" w:lineRule="exact"/>
        <w:rPr>
          <w:sz w:val="20"/>
          <w:szCs w:val="20"/>
          <w:color w:val="auto"/>
        </w:rPr>
      </w:pPr>
    </w:p>
    <w:p>
      <w:pPr>
        <w:ind w:left="8" w:right="560"/>
        <w:spacing w:after="0" w:line="273" w:lineRule="auto"/>
        <w:rPr>
          <w:sz w:val="20"/>
          <w:szCs w:val="20"/>
          <w:color w:val="auto"/>
        </w:rPr>
      </w:pPr>
      <w:r>
        <w:rPr>
          <w:rFonts w:ascii="Arial" w:cs="Arial" w:eastAsia="Arial" w:hAnsi="Arial"/>
          <w:sz w:val="12"/>
          <w:szCs w:val="12"/>
          <w:color w:val="auto"/>
        </w:rPr>
        <w:t>All of our short-term investments and long-term marketable investments were classified as available-for-sale as of the dates noted below. Cash and equivalents and the fair values of our available-for-sale investments, which approximated amortized costs, were as follows:</w:t>
      </w:r>
    </w:p>
    <w:p>
      <w:pPr>
        <w:sectPr>
          <w:pgSz w:w="11900" w:h="16838" w:orient="portrait"/>
          <w:cols w:equalWidth="0" w:num="1">
            <w:col w:w="11308"/>
          </w:cols>
          <w:pgMar w:left="292" w:top="131" w:right="299" w:bottom="1440" w:gutter="0" w:footer="0" w:header="0"/>
        </w:sectPr>
      </w:pPr>
    </w:p>
    <w:p>
      <w:pPr>
        <w:spacing w:after="0" w:line="1" w:lineRule="exact"/>
        <w:rPr>
          <w:sz w:val="20"/>
          <w:szCs w:val="20"/>
          <w:color w:val="auto"/>
        </w:rPr>
      </w:pPr>
    </w:p>
    <w:p>
      <w:pPr>
        <w:ind w:left="3748"/>
        <w:spacing w:after="0"/>
        <w:rPr>
          <w:sz w:val="20"/>
          <w:szCs w:val="20"/>
          <w:color w:val="auto"/>
        </w:rPr>
      </w:pPr>
      <w:r>
        <w:rPr>
          <w:rFonts w:ascii="Arial" w:cs="Arial" w:eastAsia="Arial" w:hAnsi="Arial"/>
          <w:sz w:val="12"/>
          <w:szCs w:val="12"/>
          <w:b w:val="1"/>
          <w:bCs w:val="1"/>
          <w:color w:val="auto"/>
        </w:rPr>
        <w:t>As of February 29, 2024</w:t>
      </w:r>
    </w:p>
    <w:p>
      <w:pPr>
        <w:spacing w:after="0" w:line="19"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2160" w:type="dxa"/>
            <w:vAlign w:val="bottom"/>
          </w:tcPr>
          <w:p>
            <w:pPr>
              <w:spacing w:after="0"/>
              <w:rPr>
                <w:sz w:val="9"/>
                <w:szCs w:val="9"/>
                <w:color w:val="auto"/>
              </w:rPr>
            </w:pPr>
          </w:p>
        </w:tc>
        <w:tc>
          <w:tcPr>
            <w:tcW w:w="110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w w:val="99"/>
              </w:rPr>
              <w:t>Cash and</w:t>
            </w:r>
          </w:p>
        </w:tc>
        <w:tc>
          <w:tcPr>
            <w:tcW w:w="1080" w:type="dxa"/>
            <w:vAlign w:val="bottom"/>
            <w:tcBorders>
              <w:top w:val="single" w:sz="8" w:color="auto"/>
            </w:tcBorders>
          </w:tcPr>
          <w:p>
            <w:pPr>
              <w:jc w:val="center"/>
              <w:ind w:left="40"/>
              <w:spacing w:after="0" w:line="111" w:lineRule="exact"/>
              <w:rPr>
                <w:sz w:val="20"/>
                <w:szCs w:val="20"/>
                <w:color w:val="auto"/>
              </w:rPr>
            </w:pPr>
            <w:r>
              <w:rPr>
                <w:rFonts w:ascii="Arial" w:cs="Arial" w:eastAsia="Arial" w:hAnsi="Arial"/>
                <w:sz w:val="12"/>
                <w:szCs w:val="12"/>
                <w:b w:val="1"/>
                <w:bCs w:val="1"/>
                <w:color w:val="auto"/>
              </w:rPr>
              <w:t>Short-term</w:t>
            </w:r>
          </w:p>
        </w:tc>
        <w:tc>
          <w:tcPr>
            <w:tcW w:w="152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rPr>
              <w:t>Long-term Marketable</w:t>
            </w:r>
          </w:p>
        </w:tc>
        <w:tc>
          <w:tcPr>
            <w:tcW w:w="80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w w:val="99"/>
              </w:rPr>
              <w:t>Total Fair</w:t>
            </w:r>
          </w:p>
        </w:tc>
      </w:tr>
      <w:tr>
        <w:trPr>
          <w:trHeight w:val="158"/>
        </w:trPr>
        <w:tc>
          <w:tcPr>
            <w:tcW w:w="2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Equivalents</w:t>
            </w:r>
          </w:p>
        </w:tc>
        <w:tc>
          <w:tcPr>
            <w:tcW w:w="1080" w:type="dxa"/>
            <w:vAlign w:val="bottom"/>
            <w:tcBorders>
              <w:bottom w:val="single" w:sz="8" w:color="auto"/>
            </w:tcBorders>
          </w:tcPr>
          <w:p>
            <w:pPr>
              <w:jc w:val="center"/>
              <w:ind w:left="40"/>
              <w:spacing w:after="0"/>
              <w:rPr>
                <w:sz w:val="20"/>
                <w:szCs w:val="20"/>
                <w:color w:val="auto"/>
              </w:rPr>
            </w:pPr>
            <w:r>
              <w:rPr>
                <w:rFonts w:ascii="Arial" w:cs="Arial" w:eastAsia="Arial" w:hAnsi="Arial"/>
                <w:sz w:val="12"/>
                <w:szCs w:val="12"/>
                <w:b w:val="1"/>
                <w:bCs w:val="1"/>
                <w:color w:val="auto"/>
                <w:w w:val="99"/>
              </w:rPr>
              <w:t>Investments</w:t>
            </w:r>
          </w:p>
        </w:tc>
        <w:tc>
          <w:tcPr>
            <w:tcW w:w="15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2"/>
                <w:szCs w:val="12"/>
                <w:b w:val="1"/>
                <w:bCs w:val="1"/>
                <w:color w:val="auto"/>
                <w:w w:val="97"/>
              </w:rPr>
              <w:t>Investments</w:t>
            </w:r>
            <w:r>
              <w:rPr>
                <w:rFonts w:ascii="Arial" w:cs="Arial" w:eastAsia="Arial" w:hAnsi="Arial"/>
                <w:sz w:val="15"/>
                <w:szCs w:val="15"/>
                <w:color w:val="auto"/>
                <w:w w:val="97"/>
                <w:vertAlign w:val="superscript"/>
              </w:rPr>
              <w:t>(1)</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Value</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2"/>
          <w:szCs w:val="12"/>
          <w:b w:val="1"/>
          <w:bCs w:val="1"/>
          <w:color w:val="auto"/>
        </w:rPr>
        <w:t>As of August 31, 2023</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12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w w:val="99"/>
              </w:rPr>
              <w:t>Cash and</w:t>
            </w:r>
          </w:p>
        </w:tc>
        <w:tc>
          <w:tcPr>
            <w:tcW w:w="108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rPr>
              <w:t>Short-term</w:t>
            </w:r>
          </w:p>
        </w:tc>
        <w:tc>
          <w:tcPr>
            <w:tcW w:w="152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rPr>
              <w:t>Long-term Marketable</w:t>
            </w:r>
          </w:p>
        </w:tc>
        <w:tc>
          <w:tcPr>
            <w:tcW w:w="820" w:type="dxa"/>
            <w:vAlign w:val="bottom"/>
            <w:tcBorders>
              <w:top w:val="single" w:sz="8" w:color="auto"/>
            </w:tcBorders>
          </w:tcPr>
          <w:p>
            <w:pPr>
              <w:jc w:val="center"/>
              <w:ind w:right="20"/>
              <w:spacing w:after="0" w:line="111" w:lineRule="exact"/>
              <w:rPr>
                <w:sz w:val="20"/>
                <w:szCs w:val="20"/>
                <w:color w:val="auto"/>
              </w:rPr>
            </w:pPr>
            <w:r>
              <w:rPr>
                <w:rFonts w:ascii="Arial" w:cs="Arial" w:eastAsia="Arial" w:hAnsi="Arial"/>
                <w:sz w:val="12"/>
                <w:szCs w:val="12"/>
                <w:b w:val="1"/>
                <w:bCs w:val="1"/>
                <w:color w:val="auto"/>
                <w:w w:val="99"/>
              </w:rPr>
              <w:t>Total Fair</w:t>
            </w:r>
          </w:p>
        </w:tc>
      </w:tr>
      <w:tr>
        <w:trPr>
          <w:trHeight w:val="158"/>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Equivalents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Investments</w:t>
            </w:r>
          </w:p>
        </w:tc>
        <w:tc>
          <w:tcPr>
            <w:tcW w:w="15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2"/>
                <w:szCs w:val="12"/>
                <w:b w:val="1"/>
                <w:bCs w:val="1"/>
                <w:color w:val="auto"/>
                <w:w w:val="97"/>
              </w:rPr>
              <w:t>Investments</w:t>
            </w:r>
            <w:r>
              <w:rPr>
                <w:rFonts w:ascii="Arial" w:cs="Arial" w:eastAsia="Arial" w:hAnsi="Arial"/>
                <w:sz w:val="15"/>
                <w:szCs w:val="15"/>
                <w:color w:val="auto"/>
                <w:w w:val="97"/>
                <w:vertAlign w:val="superscript"/>
              </w:rPr>
              <w:t>(1)</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Value</w:t>
            </w:r>
          </w:p>
        </w:tc>
      </w:tr>
    </w:tbl>
    <w:p>
      <w:pPr>
        <w:spacing w:after="0" w:line="27" w:lineRule="exact"/>
        <w:rPr>
          <w:sz w:val="20"/>
          <w:szCs w:val="20"/>
          <w:color w:val="auto"/>
        </w:rPr>
      </w:pPr>
    </w:p>
    <w:p>
      <w:pPr>
        <w:sectPr>
          <w:pgSz w:w="11900" w:h="16838" w:orient="portrait"/>
          <w:cols w:equalWidth="0" w:num="2">
            <w:col w:w="6668" w:space="100"/>
            <w:col w:w="4540"/>
          </w:cols>
          <w:pgMar w:left="292" w:top="131" w:right="299" w:bottom="1440" w:gutter="0" w:footer="0" w:header="0"/>
          <w:type w:val="continuous"/>
        </w:sectPr>
      </w:pPr>
    </w:p>
    <w:tbl>
      <w:tblPr>
        <w:tblLayout w:type="fixed"/>
        <w:tblInd w:w="8" w:type="dxa"/>
        <w:tblCellMar>
          <w:top w:w="0" w:type="dxa"/>
          <w:left w:w="0" w:type="dxa"/>
          <w:bottom w:w="0" w:type="dxa"/>
          <w:right w:w="0" w:type="dxa"/>
        </w:tblCellMar>
      </w:tblPr>
      <w:tr>
        <w:trPr>
          <w:trHeight w:val="153"/>
        </w:trPr>
        <w:tc>
          <w:tcPr>
            <w:tcW w:w="2160" w:type="dxa"/>
            <w:vAlign w:val="bottom"/>
            <w:shd w:val="clear" w:color="auto" w:fill="D1D2D4"/>
          </w:tcPr>
          <w:p>
            <w:pPr>
              <w:spacing w:after="0"/>
              <w:rPr>
                <w:sz w:val="20"/>
                <w:szCs w:val="20"/>
                <w:color w:val="auto"/>
              </w:rPr>
            </w:pPr>
            <w:r>
              <w:rPr>
                <w:rFonts w:ascii="Arial" w:cs="Arial" w:eastAsia="Arial" w:hAnsi="Arial"/>
                <w:sz w:val="12"/>
                <w:szCs w:val="12"/>
                <w:color w:val="auto"/>
              </w:rPr>
              <w:t>Cash</w:t>
            </w:r>
          </w:p>
        </w:tc>
        <w:tc>
          <w:tcPr>
            <w:tcW w:w="400" w:type="dxa"/>
            <w:vAlign w:val="bottom"/>
            <w:shd w:val="clear" w:color="auto" w:fill="D1D2D4"/>
          </w:tcPr>
          <w:p>
            <w:pPr>
              <w:jc w:val="right"/>
              <w:ind w:right="26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5,588</w:t>
            </w:r>
          </w:p>
        </w:tc>
        <w:tc>
          <w:tcPr>
            <w:tcW w:w="500" w:type="dxa"/>
            <w:vAlign w:val="bottom"/>
            <w:shd w:val="clear" w:color="auto" w:fill="D1D2D4"/>
          </w:tcPr>
          <w:p>
            <w:pPr>
              <w:jc w:val="right"/>
              <w:ind w:right="360"/>
              <w:spacing w:after="0"/>
              <w:rPr>
                <w:sz w:val="20"/>
                <w:szCs w:val="20"/>
                <w:color w:val="auto"/>
              </w:rPr>
            </w:pPr>
            <w:r>
              <w:rPr>
                <w:rFonts w:ascii="Arial" w:cs="Arial" w:eastAsia="Arial" w:hAnsi="Arial"/>
                <w:sz w:val="12"/>
                <w:szCs w:val="12"/>
                <w:color w:val="auto"/>
                <w:w w:val="89"/>
              </w:rPr>
              <w:t>$</w:t>
            </w:r>
          </w:p>
        </w:tc>
        <w:tc>
          <w:tcPr>
            <w:tcW w:w="1260" w:type="dxa"/>
            <w:vAlign w:val="bottom"/>
            <w:gridSpan w:val="2"/>
            <w:shd w:val="clear" w:color="auto" w:fill="D1D2D4"/>
          </w:tcPr>
          <w:p>
            <w:pPr>
              <w:jc w:val="right"/>
              <w:ind w:right="460"/>
              <w:spacing w:after="0"/>
              <w:rPr>
                <w:sz w:val="20"/>
                <w:szCs w:val="20"/>
                <w:color w:val="auto"/>
              </w:rPr>
            </w:pPr>
            <w:r>
              <w:rPr>
                <w:rFonts w:ascii="Arial" w:cs="Arial" w:eastAsia="Arial" w:hAnsi="Arial"/>
                <w:sz w:val="12"/>
                <w:szCs w:val="12"/>
                <w:color w:val="auto"/>
              </w:rPr>
              <w:t>— $</w:t>
            </w:r>
          </w:p>
        </w:tc>
        <w:tc>
          <w:tcPr>
            <w:tcW w:w="1080" w:type="dxa"/>
            <w:vAlign w:val="bottom"/>
            <w:gridSpan w:val="2"/>
            <w:shd w:val="clear" w:color="auto" w:fill="D1D2D4"/>
          </w:tcPr>
          <w:p>
            <w:pPr>
              <w:jc w:val="right"/>
              <w:ind w:right="160"/>
              <w:spacing w:after="0"/>
              <w:rPr>
                <w:sz w:val="20"/>
                <w:szCs w:val="20"/>
                <w:color w:val="auto"/>
              </w:rPr>
            </w:pPr>
            <w:r>
              <w:rPr>
                <w:rFonts w:ascii="Arial" w:cs="Arial" w:eastAsia="Arial" w:hAnsi="Arial"/>
                <w:sz w:val="12"/>
                <w:szCs w:val="12"/>
                <w:color w:val="auto"/>
              </w:rPr>
              <w:t>— $</w:t>
            </w:r>
          </w:p>
        </w:tc>
        <w:tc>
          <w:tcPr>
            <w:tcW w:w="5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5,588</w:t>
            </w:r>
          </w:p>
        </w:tc>
        <w:tc>
          <w:tcPr>
            <w:tcW w:w="100" w:type="dxa"/>
            <w:vAlign w:val="bottom"/>
            <w:shd w:val="clear" w:color="auto" w:fill="D1D2D4"/>
          </w:tcPr>
          <w:p>
            <w:pPr>
              <w:spacing w:after="0"/>
              <w:rPr>
                <w:sz w:val="13"/>
                <w:szCs w:val="13"/>
                <w:color w:val="auto"/>
              </w:rPr>
            </w:pPr>
          </w:p>
        </w:tc>
        <w:tc>
          <w:tcPr>
            <w:tcW w:w="420" w:type="dxa"/>
            <w:vAlign w:val="bottom"/>
            <w:shd w:val="clear" w:color="auto" w:fill="D1D2D4"/>
          </w:tcPr>
          <w:p>
            <w:pPr>
              <w:jc w:val="right"/>
              <w:ind w:right="280"/>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5,771</w:t>
            </w:r>
          </w:p>
        </w:tc>
        <w:tc>
          <w:tcPr>
            <w:tcW w:w="460" w:type="dxa"/>
            <w:vAlign w:val="bottom"/>
            <w:shd w:val="clear" w:color="auto" w:fill="D1D2D4"/>
          </w:tcPr>
          <w:p>
            <w:pPr>
              <w:jc w:val="right"/>
              <w:ind w:right="320"/>
              <w:spacing w:after="0"/>
              <w:rPr>
                <w:sz w:val="20"/>
                <w:szCs w:val="20"/>
                <w:color w:val="auto"/>
              </w:rPr>
            </w:pPr>
            <w:r>
              <w:rPr>
                <w:rFonts w:ascii="Arial" w:cs="Arial" w:eastAsia="Arial" w:hAnsi="Arial"/>
                <w:sz w:val="12"/>
                <w:szCs w:val="12"/>
                <w:color w:val="auto"/>
                <w:w w:val="89"/>
              </w:rPr>
              <w:t>$</w:t>
            </w:r>
          </w:p>
        </w:tc>
        <w:tc>
          <w:tcPr>
            <w:tcW w:w="1320" w:type="dxa"/>
            <w:vAlign w:val="bottom"/>
            <w:gridSpan w:val="2"/>
            <w:shd w:val="clear" w:color="auto" w:fill="D1D2D4"/>
          </w:tcPr>
          <w:p>
            <w:pPr>
              <w:jc w:val="right"/>
              <w:ind w:right="460"/>
              <w:spacing w:after="0"/>
              <w:rPr>
                <w:sz w:val="20"/>
                <w:szCs w:val="20"/>
                <w:color w:val="auto"/>
              </w:rPr>
            </w:pPr>
            <w:r>
              <w:rPr>
                <w:rFonts w:ascii="Arial" w:cs="Arial" w:eastAsia="Arial" w:hAnsi="Arial"/>
                <w:sz w:val="12"/>
                <w:szCs w:val="12"/>
                <w:color w:val="auto"/>
              </w:rPr>
              <w:t>— $</w:t>
            </w:r>
          </w:p>
        </w:tc>
        <w:tc>
          <w:tcPr>
            <w:tcW w:w="1040" w:type="dxa"/>
            <w:vAlign w:val="bottom"/>
            <w:gridSpan w:val="2"/>
            <w:shd w:val="clear" w:color="auto" w:fill="D1D2D4"/>
          </w:tcPr>
          <w:p>
            <w:pPr>
              <w:jc w:val="right"/>
              <w:ind w:right="120"/>
              <w:spacing w:after="0"/>
              <w:rPr>
                <w:sz w:val="20"/>
                <w:szCs w:val="20"/>
                <w:color w:val="auto"/>
              </w:rPr>
            </w:pPr>
            <w:r>
              <w:rPr>
                <w:rFonts w:ascii="Arial" w:cs="Arial" w:eastAsia="Arial" w:hAnsi="Arial"/>
                <w:sz w:val="12"/>
                <w:szCs w:val="12"/>
                <w:color w:val="auto"/>
              </w:rPr>
              <w:t>— $</w:t>
            </w:r>
          </w:p>
        </w:tc>
        <w:tc>
          <w:tcPr>
            <w:tcW w:w="6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5,771</w:t>
            </w:r>
          </w:p>
        </w:tc>
        <w:tc>
          <w:tcPr>
            <w:tcW w:w="0" w:type="dxa"/>
            <w:vAlign w:val="bottom"/>
          </w:tcPr>
          <w:p>
            <w:pPr>
              <w:spacing w:after="0"/>
              <w:rPr>
                <w:sz w:val="1"/>
                <w:szCs w:val="1"/>
                <w:color w:val="auto"/>
              </w:rPr>
            </w:pPr>
          </w:p>
        </w:tc>
      </w:tr>
      <w:tr>
        <w:trPr>
          <w:trHeight w:val="153"/>
        </w:trPr>
        <w:tc>
          <w:tcPr>
            <w:tcW w:w="2160" w:type="dxa"/>
            <w:vAlign w:val="bottom"/>
          </w:tcPr>
          <w:p>
            <w:pPr>
              <w:spacing w:after="0" w:line="153" w:lineRule="exact"/>
              <w:rPr>
                <w:sz w:val="20"/>
                <w:szCs w:val="20"/>
                <w:color w:val="auto"/>
              </w:rPr>
            </w:pPr>
            <w:r>
              <w:rPr>
                <w:rFonts w:ascii="Arial" w:cs="Arial" w:eastAsia="Arial" w:hAnsi="Arial"/>
                <w:sz w:val="12"/>
                <w:szCs w:val="12"/>
                <w:color w:val="auto"/>
              </w:rPr>
              <w:t>Level 1</w:t>
            </w:r>
            <w:r>
              <w:rPr>
                <w:rFonts w:ascii="Arial" w:cs="Arial" w:eastAsia="Arial" w:hAnsi="Arial"/>
                <w:sz w:val="15"/>
                <w:szCs w:val="15"/>
                <w:color w:val="auto"/>
                <w:vertAlign w:val="superscript"/>
              </w:rPr>
              <w:t>(2)</w:t>
            </w: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60" w:type="dxa"/>
            <w:vAlign w:val="bottom"/>
            <w:shd w:val="clear" w:color="auto" w:fill="D1D2D4"/>
          </w:tcPr>
          <w:p>
            <w:pPr>
              <w:ind w:left="80"/>
              <w:spacing w:after="0"/>
              <w:rPr>
                <w:sz w:val="20"/>
                <w:szCs w:val="20"/>
                <w:color w:val="auto"/>
              </w:rPr>
            </w:pPr>
            <w:r>
              <w:rPr>
                <w:rFonts w:ascii="Arial" w:cs="Arial" w:eastAsia="Arial" w:hAnsi="Arial"/>
                <w:sz w:val="12"/>
                <w:szCs w:val="12"/>
                <w:color w:val="auto"/>
              </w:rPr>
              <w:t>Money market funds</w:t>
            </w:r>
          </w:p>
        </w:tc>
        <w:tc>
          <w:tcPr>
            <w:tcW w:w="400" w:type="dxa"/>
            <w:vAlign w:val="bottom"/>
            <w:shd w:val="clear" w:color="auto" w:fill="D1D2D4"/>
          </w:tcPr>
          <w:p>
            <w:pPr>
              <w:spacing w:after="0"/>
              <w:rPr>
                <w:sz w:val="13"/>
                <w:szCs w:val="13"/>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1,204</w:t>
            </w:r>
          </w:p>
        </w:tc>
        <w:tc>
          <w:tcPr>
            <w:tcW w:w="500" w:type="dxa"/>
            <w:vAlign w:val="bottom"/>
            <w:shd w:val="clear" w:color="auto" w:fill="D1D2D4"/>
          </w:tcPr>
          <w:p>
            <w:pPr>
              <w:spacing w:after="0"/>
              <w:rPr>
                <w:sz w:val="13"/>
                <w:szCs w:val="13"/>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D1D2D4"/>
          </w:tcPr>
          <w:p>
            <w:pPr>
              <w:spacing w:after="0"/>
              <w:rPr>
                <w:sz w:val="13"/>
                <w:szCs w:val="13"/>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1,204</w:t>
            </w:r>
          </w:p>
        </w:tc>
        <w:tc>
          <w:tcPr>
            <w:tcW w:w="100" w:type="dxa"/>
            <w:vAlign w:val="bottom"/>
            <w:shd w:val="clear" w:color="auto" w:fill="D1D2D4"/>
          </w:tcPr>
          <w:p>
            <w:pPr>
              <w:spacing w:after="0"/>
              <w:rPr>
                <w:sz w:val="13"/>
                <w:szCs w:val="13"/>
                <w:color w:val="auto"/>
              </w:rPr>
            </w:pPr>
          </w:p>
        </w:tc>
        <w:tc>
          <w:tcPr>
            <w:tcW w:w="420" w:type="dxa"/>
            <w:vAlign w:val="bottom"/>
            <w:shd w:val="clear" w:color="auto" w:fill="D1D2D4"/>
          </w:tcPr>
          <w:p>
            <w:pPr>
              <w:spacing w:after="0"/>
              <w:rPr>
                <w:sz w:val="13"/>
                <w:szCs w:val="13"/>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1,629</w:t>
            </w:r>
          </w:p>
        </w:tc>
        <w:tc>
          <w:tcPr>
            <w:tcW w:w="460" w:type="dxa"/>
            <w:vAlign w:val="bottom"/>
            <w:shd w:val="clear" w:color="auto" w:fill="D1D2D4"/>
          </w:tcPr>
          <w:p>
            <w:pPr>
              <w:spacing w:after="0"/>
              <w:rPr>
                <w:sz w:val="13"/>
                <w:szCs w:val="13"/>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D1D2D4"/>
          </w:tcPr>
          <w:p>
            <w:pPr>
              <w:spacing w:after="0"/>
              <w:rPr>
                <w:sz w:val="13"/>
                <w:szCs w:val="13"/>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1,629</w:t>
            </w:r>
          </w:p>
        </w:tc>
        <w:tc>
          <w:tcPr>
            <w:tcW w:w="0" w:type="dxa"/>
            <w:vAlign w:val="bottom"/>
          </w:tcPr>
          <w:p>
            <w:pPr>
              <w:spacing w:after="0"/>
              <w:rPr>
                <w:sz w:val="1"/>
                <w:szCs w:val="1"/>
                <w:color w:val="auto"/>
              </w:rPr>
            </w:pPr>
          </w:p>
        </w:tc>
      </w:tr>
      <w:tr>
        <w:trPr>
          <w:trHeight w:val="153"/>
        </w:trPr>
        <w:tc>
          <w:tcPr>
            <w:tcW w:w="2160" w:type="dxa"/>
            <w:vAlign w:val="bottom"/>
          </w:tcPr>
          <w:p>
            <w:pPr>
              <w:spacing w:after="0" w:line="153" w:lineRule="exact"/>
              <w:rPr>
                <w:sz w:val="20"/>
                <w:szCs w:val="20"/>
                <w:color w:val="auto"/>
              </w:rPr>
            </w:pPr>
            <w:r>
              <w:rPr>
                <w:rFonts w:ascii="Arial" w:cs="Arial" w:eastAsia="Arial" w:hAnsi="Arial"/>
                <w:sz w:val="12"/>
                <w:szCs w:val="12"/>
                <w:color w:val="auto"/>
              </w:rPr>
              <w:t>Level 2</w:t>
            </w:r>
            <w:r>
              <w:rPr>
                <w:rFonts w:ascii="Arial" w:cs="Arial" w:eastAsia="Arial" w:hAnsi="Arial"/>
                <w:sz w:val="15"/>
                <w:szCs w:val="15"/>
                <w:color w:val="auto"/>
                <w:vertAlign w:val="superscript"/>
              </w:rPr>
              <w:t>(3)</w:t>
            </w: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60" w:type="dxa"/>
            <w:vAlign w:val="bottom"/>
            <w:shd w:val="clear" w:color="auto" w:fill="D1D2D4"/>
          </w:tcPr>
          <w:p>
            <w:pPr>
              <w:ind w:left="80"/>
              <w:spacing w:after="0"/>
              <w:rPr>
                <w:sz w:val="20"/>
                <w:szCs w:val="20"/>
                <w:color w:val="auto"/>
              </w:rPr>
            </w:pPr>
            <w:r>
              <w:rPr>
                <w:rFonts w:ascii="Arial" w:cs="Arial" w:eastAsia="Arial" w:hAnsi="Arial"/>
                <w:sz w:val="12"/>
                <w:szCs w:val="12"/>
                <w:color w:val="auto"/>
              </w:rPr>
              <w:t>Certificates of deposit</w:t>
            </w:r>
          </w:p>
        </w:tc>
        <w:tc>
          <w:tcPr>
            <w:tcW w:w="400" w:type="dxa"/>
            <w:vAlign w:val="bottom"/>
            <w:shd w:val="clear" w:color="auto" w:fill="D1D2D4"/>
          </w:tcPr>
          <w:p>
            <w:pPr>
              <w:spacing w:after="0"/>
              <w:rPr>
                <w:sz w:val="13"/>
                <w:szCs w:val="13"/>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1,220</w:t>
            </w:r>
          </w:p>
        </w:tc>
        <w:tc>
          <w:tcPr>
            <w:tcW w:w="500" w:type="dxa"/>
            <w:vAlign w:val="bottom"/>
            <w:shd w:val="clear" w:color="auto" w:fill="D1D2D4"/>
          </w:tcPr>
          <w:p>
            <w:pPr>
              <w:spacing w:after="0"/>
              <w:rPr>
                <w:sz w:val="13"/>
                <w:szCs w:val="13"/>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w:t>
            </w:r>
          </w:p>
        </w:tc>
        <w:tc>
          <w:tcPr>
            <w:tcW w:w="62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D1D2D4"/>
          </w:tcPr>
          <w:p>
            <w:pPr>
              <w:spacing w:after="0"/>
              <w:rPr>
                <w:sz w:val="13"/>
                <w:szCs w:val="13"/>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1,231</w:t>
            </w:r>
          </w:p>
        </w:tc>
        <w:tc>
          <w:tcPr>
            <w:tcW w:w="100" w:type="dxa"/>
            <w:vAlign w:val="bottom"/>
            <w:shd w:val="clear" w:color="auto" w:fill="D1D2D4"/>
          </w:tcPr>
          <w:p>
            <w:pPr>
              <w:spacing w:after="0"/>
              <w:rPr>
                <w:sz w:val="13"/>
                <w:szCs w:val="13"/>
                <w:color w:val="auto"/>
              </w:rPr>
            </w:pPr>
          </w:p>
        </w:tc>
        <w:tc>
          <w:tcPr>
            <w:tcW w:w="420" w:type="dxa"/>
            <w:vAlign w:val="bottom"/>
            <w:shd w:val="clear" w:color="auto" w:fill="D1D2D4"/>
          </w:tcPr>
          <w:p>
            <w:pPr>
              <w:spacing w:after="0"/>
              <w:rPr>
                <w:sz w:val="13"/>
                <w:szCs w:val="13"/>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1,172</w:t>
            </w:r>
          </w:p>
        </w:tc>
        <w:tc>
          <w:tcPr>
            <w:tcW w:w="460" w:type="dxa"/>
            <w:vAlign w:val="bottom"/>
            <w:shd w:val="clear" w:color="auto" w:fill="D1D2D4"/>
          </w:tcPr>
          <w:p>
            <w:pPr>
              <w:spacing w:after="0"/>
              <w:rPr>
                <w:sz w:val="13"/>
                <w:szCs w:val="13"/>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25</w:t>
            </w:r>
          </w:p>
        </w:tc>
        <w:tc>
          <w:tcPr>
            <w:tcW w:w="62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D1D2D4"/>
          </w:tcPr>
          <w:p>
            <w:pPr>
              <w:spacing w:after="0"/>
              <w:rPr>
                <w:sz w:val="13"/>
                <w:szCs w:val="13"/>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1,197</w:t>
            </w:r>
          </w:p>
        </w:tc>
        <w:tc>
          <w:tcPr>
            <w:tcW w:w="0" w:type="dxa"/>
            <w:vAlign w:val="bottom"/>
          </w:tcPr>
          <w:p>
            <w:pPr>
              <w:spacing w:after="0"/>
              <w:rPr>
                <w:sz w:val="1"/>
                <w:szCs w:val="1"/>
                <w:color w:val="auto"/>
              </w:rPr>
            </w:pPr>
          </w:p>
        </w:tc>
      </w:tr>
      <w:tr>
        <w:trPr>
          <w:trHeight w:val="153"/>
        </w:trPr>
        <w:tc>
          <w:tcPr>
            <w:tcW w:w="2160" w:type="dxa"/>
            <w:vAlign w:val="bottom"/>
          </w:tcPr>
          <w:p>
            <w:pPr>
              <w:ind w:left="80"/>
              <w:spacing w:after="0"/>
              <w:rPr>
                <w:sz w:val="20"/>
                <w:szCs w:val="20"/>
                <w:color w:val="auto"/>
              </w:rPr>
            </w:pPr>
            <w:r>
              <w:rPr>
                <w:rFonts w:ascii="Arial" w:cs="Arial" w:eastAsia="Arial" w:hAnsi="Arial"/>
                <w:sz w:val="12"/>
                <w:szCs w:val="12"/>
                <w:color w:val="auto"/>
              </w:rPr>
              <w:t>Corporate bonds</w:t>
            </w: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606</w:t>
            </w:r>
          </w:p>
        </w:tc>
        <w:tc>
          <w:tcPr>
            <w:tcW w:w="6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286</w:t>
            </w:r>
          </w:p>
        </w:tc>
        <w:tc>
          <w:tcPr>
            <w:tcW w:w="3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892</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737</w:t>
            </w:r>
          </w:p>
        </w:tc>
        <w:tc>
          <w:tcPr>
            <w:tcW w:w="6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437</w:t>
            </w:r>
          </w:p>
        </w:tc>
        <w:tc>
          <w:tcPr>
            <w:tcW w:w="2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1,174</w:t>
            </w:r>
          </w:p>
        </w:tc>
        <w:tc>
          <w:tcPr>
            <w:tcW w:w="0" w:type="dxa"/>
            <w:vAlign w:val="bottom"/>
          </w:tcPr>
          <w:p>
            <w:pPr>
              <w:spacing w:after="0"/>
              <w:rPr>
                <w:sz w:val="1"/>
                <w:szCs w:val="1"/>
                <w:color w:val="auto"/>
              </w:rPr>
            </w:pPr>
          </w:p>
        </w:tc>
      </w:tr>
      <w:tr>
        <w:trPr>
          <w:trHeight w:val="153"/>
        </w:trPr>
        <w:tc>
          <w:tcPr>
            <w:tcW w:w="2160" w:type="dxa"/>
            <w:vAlign w:val="bottom"/>
            <w:shd w:val="clear" w:color="auto" w:fill="D1D2D4"/>
          </w:tcPr>
          <w:p>
            <w:pPr>
              <w:ind w:left="80"/>
              <w:spacing w:after="0"/>
              <w:rPr>
                <w:sz w:val="20"/>
                <w:szCs w:val="20"/>
                <w:color w:val="auto"/>
              </w:rPr>
            </w:pPr>
            <w:r>
              <w:rPr>
                <w:rFonts w:ascii="Arial" w:cs="Arial" w:eastAsia="Arial" w:hAnsi="Arial"/>
                <w:sz w:val="12"/>
                <w:szCs w:val="12"/>
                <w:color w:val="auto"/>
              </w:rPr>
              <w:t>Asset-backed securities</w:t>
            </w:r>
          </w:p>
        </w:tc>
        <w:tc>
          <w:tcPr>
            <w:tcW w:w="400" w:type="dxa"/>
            <w:vAlign w:val="bottom"/>
            <w:shd w:val="clear" w:color="auto" w:fill="D1D2D4"/>
          </w:tcPr>
          <w:p>
            <w:pPr>
              <w:spacing w:after="0"/>
              <w:rPr>
                <w:sz w:val="13"/>
                <w:szCs w:val="13"/>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D1D2D4"/>
          </w:tcPr>
          <w:p>
            <w:pPr>
              <w:spacing w:after="0"/>
              <w:rPr>
                <w:sz w:val="13"/>
                <w:szCs w:val="13"/>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17</w:t>
            </w:r>
          </w:p>
        </w:tc>
        <w:tc>
          <w:tcPr>
            <w:tcW w:w="62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330</w:t>
            </w:r>
          </w:p>
        </w:tc>
        <w:tc>
          <w:tcPr>
            <w:tcW w:w="320" w:type="dxa"/>
            <w:vAlign w:val="bottom"/>
            <w:shd w:val="clear" w:color="auto" w:fill="D1D2D4"/>
          </w:tcPr>
          <w:p>
            <w:pPr>
              <w:spacing w:after="0"/>
              <w:rPr>
                <w:sz w:val="13"/>
                <w:szCs w:val="13"/>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347</w:t>
            </w:r>
          </w:p>
        </w:tc>
        <w:tc>
          <w:tcPr>
            <w:tcW w:w="100" w:type="dxa"/>
            <w:vAlign w:val="bottom"/>
            <w:shd w:val="clear" w:color="auto" w:fill="D1D2D4"/>
          </w:tcPr>
          <w:p>
            <w:pPr>
              <w:spacing w:after="0"/>
              <w:rPr>
                <w:sz w:val="13"/>
                <w:szCs w:val="13"/>
                <w:color w:val="auto"/>
              </w:rPr>
            </w:pPr>
          </w:p>
        </w:tc>
        <w:tc>
          <w:tcPr>
            <w:tcW w:w="420" w:type="dxa"/>
            <w:vAlign w:val="bottom"/>
            <w:shd w:val="clear" w:color="auto" w:fill="D1D2D4"/>
          </w:tcPr>
          <w:p>
            <w:pPr>
              <w:spacing w:after="0"/>
              <w:rPr>
                <w:sz w:val="13"/>
                <w:szCs w:val="13"/>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460" w:type="dxa"/>
            <w:vAlign w:val="bottom"/>
            <w:shd w:val="clear" w:color="auto" w:fill="D1D2D4"/>
          </w:tcPr>
          <w:p>
            <w:pPr>
              <w:spacing w:after="0"/>
              <w:rPr>
                <w:sz w:val="13"/>
                <w:szCs w:val="13"/>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15</w:t>
            </w:r>
          </w:p>
        </w:tc>
        <w:tc>
          <w:tcPr>
            <w:tcW w:w="62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387</w:t>
            </w:r>
          </w:p>
        </w:tc>
        <w:tc>
          <w:tcPr>
            <w:tcW w:w="280" w:type="dxa"/>
            <w:vAlign w:val="bottom"/>
            <w:shd w:val="clear" w:color="auto" w:fill="D1D2D4"/>
          </w:tcPr>
          <w:p>
            <w:pPr>
              <w:spacing w:after="0"/>
              <w:rPr>
                <w:sz w:val="13"/>
                <w:szCs w:val="13"/>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402</w:t>
            </w:r>
          </w:p>
        </w:tc>
        <w:tc>
          <w:tcPr>
            <w:tcW w:w="0" w:type="dxa"/>
            <w:vAlign w:val="bottom"/>
          </w:tcPr>
          <w:p>
            <w:pPr>
              <w:spacing w:after="0"/>
              <w:rPr>
                <w:sz w:val="1"/>
                <w:szCs w:val="1"/>
                <w:color w:val="auto"/>
              </w:rPr>
            </w:pPr>
          </w:p>
        </w:tc>
      </w:tr>
      <w:tr>
        <w:trPr>
          <w:trHeight w:val="153"/>
        </w:trPr>
        <w:tc>
          <w:tcPr>
            <w:tcW w:w="2160" w:type="dxa"/>
            <w:vAlign w:val="bottom"/>
          </w:tcPr>
          <w:p>
            <w:pPr>
              <w:ind w:left="80"/>
              <w:spacing w:after="0"/>
              <w:rPr>
                <w:sz w:val="20"/>
                <w:szCs w:val="20"/>
                <w:color w:val="auto"/>
              </w:rPr>
            </w:pPr>
            <w:r>
              <w:rPr>
                <w:rFonts w:ascii="Arial" w:cs="Arial" w:eastAsia="Arial" w:hAnsi="Arial"/>
                <w:sz w:val="12"/>
                <w:szCs w:val="12"/>
                <w:color w:val="auto"/>
              </w:rPr>
              <w:t>Commercial paper</w:t>
            </w: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w:t>
            </w:r>
          </w:p>
        </w:tc>
        <w:tc>
          <w:tcPr>
            <w:tcW w:w="5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183</w:t>
            </w:r>
          </w:p>
        </w:tc>
        <w:tc>
          <w:tcPr>
            <w:tcW w:w="6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186</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109</w:t>
            </w:r>
          </w:p>
        </w:tc>
        <w:tc>
          <w:tcPr>
            <w:tcW w:w="6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109</w:t>
            </w:r>
          </w:p>
        </w:tc>
        <w:tc>
          <w:tcPr>
            <w:tcW w:w="0" w:type="dxa"/>
            <w:vAlign w:val="bottom"/>
          </w:tcPr>
          <w:p>
            <w:pPr>
              <w:spacing w:after="0"/>
              <w:rPr>
                <w:sz w:val="1"/>
                <w:szCs w:val="1"/>
                <w:color w:val="auto"/>
              </w:rPr>
            </w:pPr>
          </w:p>
        </w:tc>
      </w:tr>
      <w:tr>
        <w:trPr>
          <w:trHeight w:val="153"/>
        </w:trPr>
        <w:tc>
          <w:tcPr>
            <w:tcW w:w="2160" w:type="dxa"/>
            <w:vAlign w:val="bottom"/>
            <w:shd w:val="clear" w:color="auto" w:fill="D1D2D4"/>
          </w:tcPr>
          <w:p>
            <w:pPr>
              <w:ind w:left="80"/>
              <w:spacing w:after="0"/>
              <w:rPr>
                <w:sz w:val="20"/>
                <w:szCs w:val="20"/>
                <w:color w:val="auto"/>
              </w:rPr>
            </w:pPr>
            <w:r>
              <w:rPr>
                <w:rFonts w:ascii="Arial" w:cs="Arial" w:eastAsia="Arial" w:hAnsi="Arial"/>
                <w:sz w:val="12"/>
                <w:szCs w:val="12"/>
                <w:color w:val="auto"/>
              </w:rPr>
              <w:t>Government securities</w:t>
            </w:r>
          </w:p>
        </w:tc>
        <w:tc>
          <w:tcPr>
            <w:tcW w:w="400" w:type="dxa"/>
            <w:vAlign w:val="bottom"/>
            <w:tcBorders>
              <w:bottom w:val="single" w:sz="8" w:color="auto"/>
            </w:tcBorders>
            <w:shd w:val="clear" w:color="auto" w:fill="D1D2D4"/>
          </w:tcPr>
          <w:p>
            <w:pPr>
              <w:spacing w:after="0"/>
              <w:rPr>
                <w:sz w:val="13"/>
                <w:szCs w:val="13"/>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w:t>
            </w:r>
          </w:p>
        </w:tc>
        <w:tc>
          <w:tcPr>
            <w:tcW w:w="500" w:type="dxa"/>
            <w:vAlign w:val="bottom"/>
            <w:tcBorders>
              <w:bottom w:val="single" w:sz="8" w:color="auto"/>
            </w:tcBorders>
            <w:shd w:val="clear" w:color="auto" w:fill="D1D2D4"/>
          </w:tcPr>
          <w:p>
            <w:pPr>
              <w:spacing w:after="0"/>
              <w:rPr>
                <w:sz w:val="13"/>
                <w:szCs w:val="13"/>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173</w:t>
            </w:r>
          </w:p>
        </w:tc>
        <w:tc>
          <w:tcPr>
            <w:tcW w:w="620" w:type="dxa"/>
            <w:vAlign w:val="bottom"/>
            <w:tcBorders>
              <w:bottom w:val="single" w:sz="8" w:color="auto"/>
            </w:tcBorders>
            <w:shd w:val="clear" w:color="auto" w:fill="D1D2D4"/>
          </w:tcPr>
          <w:p>
            <w:pPr>
              <w:spacing w:after="0"/>
              <w:rPr>
                <w:sz w:val="13"/>
                <w:szCs w:val="13"/>
                <w:color w:val="auto"/>
              </w:rPr>
            </w:pP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11</w:t>
            </w:r>
          </w:p>
        </w:tc>
        <w:tc>
          <w:tcPr>
            <w:tcW w:w="320" w:type="dxa"/>
            <w:vAlign w:val="bottom"/>
            <w:tcBorders>
              <w:bottom w:val="single" w:sz="8" w:color="auto"/>
            </w:tcBorders>
            <w:shd w:val="clear" w:color="auto" w:fill="D1D2D4"/>
          </w:tcPr>
          <w:p>
            <w:pPr>
              <w:spacing w:after="0"/>
              <w:rPr>
                <w:sz w:val="13"/>
                <w:szCs w:val="13"/>
                <w:color w:val="auto"/>
              </w:rPr>
            </w:pPr>
          </w:p>
        </w:tc>
        <w:tc>
          <w:tcPr>
            <w:tcW w:w="5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185</w:t>
            </w:r>
          </w:p>
        </w:tc>
        <w:tc>
          <w:tcPr>
            <w:tcW w:w="100" w:type="dxa"/>
            <w:vAlign w:val="bottom"/>
            <w:shd w:val="clear" w:color="auto" w:fill="D1D2D4"/>
          </w:tcPr>
          <w:p>
            <w:pPr>
              <w:spacing w:after="0"/>
              <w:rPr>
                <w:sz w:val="13"/>
                <w:szCs w:val="13"/>
                <w:color w:val="auto"/>
              </w:rPr>
            </w:pPr>
          </w:p>
        </w:tc>
        <w:tc>
          <w:tcPr>
            <w:tcW w:w="420" w:type="dxa"/>
            <w:vAlign w:val="bottom"/>
            <w:tcBorders>
              <w:bottom w:val="single" w:sz="8" w:color="auto"/>
            </w:tcBorders>
            <w:shd w:val="clear" w:color="auto" w:fill="D1D2D4"/>
          </w:tcPr>
          <w:p>
            <w:pPr>
              <w:spacing w:after="0"/>
              <w:rPr>
                <w:sz w:val="13"/>
                <w:szCs w:val="13"/>
                <w:color w:val="auto"/>
              </w:rPr>
            </w:pP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5</w:t>
            </w:r>
          </w:p>
        </w:tc>
        <w:tc>
          <w:tcPr>
            <w:tcW w:w="460" w:type="dxa"/>
            <w:vAlign w:val="bottom"/>
            <w:tcBorders>
              <w:bottom w:val="single" w:sz="8" w:color="auto"/>
            </w:tcBorders>
            <w:shd w:val="clear" w:color="auto" w:fill="D1D2D4"/>
          </w:tcPr>
          <w:p>
            <w:pPr>
              <w:spacing w:after="0"/>
              <w:rPr>
                <w:sz w:val="13"/>
                <w:szCs w:val="13"/>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131</w:t>
            </w:r>
          </w:p>
        </w:tc>
        <w:tc>
          <w:tcPr>
            <w:tcW w:w="620" w:type="dxa"/>
            <w:vAlign w:val="bottom"/>
            <w:tcBorders>
              <w:bottom w:val="single" w:sz="8" w:color="auto"/>
            </w:tcBorders>
            <w:shd w:val="clear" w:color="auto" w:fill="D1D2D4"/>
          </w:tcPr>
          <w:p>
            <w:pPr>
              <w:spacing w:after="0"/>
              <w:rPr>
                <w:sz w:val="13"/>
                <w:szCs w:val="13"/>
                <w:color w:val="auto"/>
              </w:rPr>
            </w:pP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20</w:t>
            </w:r>
          </w:p>
        </w:tc>
        <w:tc>
          <w:tcPr>
            <w:tcW w:w="280" w:type="dxa"/>
            <w:vAlign w:val="bottom"/>
            <w:tcBorders>
              <w:bottom w:val="single" w:sz="8" w:color="auto"/>
            </w:tcBorders>
            <w:shd w:val="clear" w:color="auto" w:fill="D1D2D4"/>
          </w:tcPr>
          <w:p>
            <w:pPr>
              <w:spacing w:after="0"/>
              <w:rPr>
                <w:sz w:val="13"/>
                <w:szCs w:val="13"/>
                <w:color w:val="auto"/>
              </w:rPr>
            </w:pPr>
          </w:p>
        </w:tc>
        <w:tc>
          <w:tcPr>
            <w:tcW w:w="6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156</w:t>
            </w:r>
          </w:p>
        </w:tc>
        <w:tc>
          <w:tcPr>
            <w:tcW w:w="0" w:type="dxa"/>
            <w:vAlign w:val="bottom"/>
          </w:tcPr>
          <w:p>
            <w:pPr>
              <w:spacing w:after="0"/>
              <w:rPr>
                <w:sz w:val="1"/>
                <w:szCs w:val="1"/>
                <w:color w:val="auto"/>
              </w:rPr>
            </w:pPr>
          </w:p>
        </w:tc>
      </w:tr>
      <w:tr>
        <w:trPr>
          <w:trHeight w:val="158"/>
        </w:trPr>
        <w:tc>
          <w:tcPr>
            <w:tcW w:w="2160" w:type="dxa"/>
            <w:vAlign w:val="bottom"/>
            <w:tcBorders>
              <w:bottom w:val="single" w:sz="8" w:color="D1D2D4"/>
            </w:tcBorders>
          </w:tcPr>
          <w:p>
            <w:pPr>
              <w:spacing w:after="0"/>
              <w:rPr>
                <w:sz w:val="13"/>
                <w:szCs w:val="13"/>
                <w:color w:val="auto"/>
              </w:rPr>
            </w:pPr>
          </w:p>
        </w:tc>
        <w:tc>
          <w:tcPr>
            <w:tcW w:w="400" w:type="dxa"/>
            <w:vAlign w:val="bottom"/>
            <w:tcBorders>
              <w:bottom w:val="single" w:sz="8" w:color="D1D2D4"/>
            </w:tcBorders>
          </w:tcPr>
          <w:p>
            <w:pPr>
              <w:spacing w:after="0"/>
              <w:rPr>
                <w:sz w:val="13"/>
                <w:szCs w:val="13"/>
                <w:color w:val="auto"/>
              </w:rPr>
            </w:pPr>
          </w:p>
        </w:tc>
        <w:tc>
          <w:tcPr>
            <w:tcW w:w="700" w:type="dxa"/>
            <w:vAlign w:val="bottom"/>
            <w:tcBorders>
              <w:bottom w:val="single" w:sz="8" w:color="D1D2D4"/>
            </w:tcBorders>
          </w:tcPr>
          <w:p>
            <w:pPr>
              <w:jc w:val="right"/>
              <w:spacing w:after="0"/>
              <w:rPr>
                <w:sz w:val="20"/>
                <w:szCs w:val="20"/>
                <w:color w:val="auto"/>
              </w:rPr>
            </w:pPr>
            <w:r>
              <w:rPr>
                <w:rFonts w:ascii="Arial" w:cs="Arial" w:eastAsia="Arial" w:hAnsi="Arial"/>
                <w:sz w:val="12"/>
                <w:szCs w:val="12"/>
                <w:color w:val="auto"/>
              </w:rPr>
              <w:t>8,016</w:t>
            </w:r>
          </w:p>
        </w:tc>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990</w:t>
            </w:r>
          </w:p>
        </w:tc>
        <w:tc>
          <w:tcPr>
            <w:tcW w:w="62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627</w:t>
            </w:r>
          </w:p>
        </w:tc>
        <w:tc>
          <w:tcPr>
            <w:tcW w:w="32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9,633</w:t>
            </w:r>
          </w:p>
        </w:tc>
        <w:tc>
          <w:tcPr>
            <w:tcW w:w="100" w:type="dxa"/>
            <w:vAlign w:val="bottom"/>
            <w:tcBorders>
              <w:bottom w:val="single" w:sz="8" w:color="D1D2D4"/>
            </w:tcBorders>
          </w:tcPr>
          <w:p>
            <w:pPr>
              <w:spacing w:after="0"/>
              <w:rPr>
                <w:sz w:val="13"/>
                <w:szCs w:val="13"/>
                <w:color w:val="auto"/>
              </w:rPr>
            </w:pPr>
          </w:p>
        </w:tc>
        <w:tc>
          <w:tcPr>
            <w:tcW w:w="420" w:type="dxa"/>
            <w:vAlign w:val="bottom"/>
            <w:tcBorders>
              <w:bottom w:val="single" w:sz="8" w:color="D1D2D4"/>
            </w:tcBorders>
          </w:tcPr>
          <w:p>
            <w:pPr>
              <w:spacing w:after="0"/>
              <w:rPr>
                <w:sz w:val="13"/>
                <w:szCs w:val="13"/>
                <w:color w:val="auto"/>
              </w:rPr>
            </w:pP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2"/>
                <w:szCs w:val="12"/>
                <w:color w:val="auto"/>
              </w:rPr>
              <w:t>8,577</w:t>
            </w:r>
          </w:p>
        </w:tc>
        <w:tc>
          <w:tcPr>
            <w:tcW w:w="4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1,017</w:t>
            </w:r>
          </w:p>
        </w:tc>
        <w:tc>
          <w:tcPr>
            <w:tcW w:w="62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844</w:t>
            </w:r>
          </w:p>
        </w:tc>
        <w:tc>
          <w:tcPr>
            <w:tcW w:w="2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10,438</w:t>
            </w:r>
          </w:p>
        </w:tc>
        <w:tc>
          <w:tcPr>
            <w:tcW w:w="0" w:type="dxa"/>
            <w:vAlign w:val="bottom"/>
          </w:tcPr>
          <w:p>
            <w:pPr>
              <w:spacing w:after="0"/>
              <w:rPr>
                <w:sz w:val="1"/>
                <w:szCs w:val="1"/>
                <w:color w:val="auto"/>
              </w:rPr>
            </w:pPr>
          </w:p>
        </w:tc>
      </w:tr>
      <w:tr>
        <w:trPr>
          <w:trHeight w:val="135"/>
        </w:trPr>
        <w:tc>
          <w:tcPr>
            <w:tcW w:w="2160" w:type="dxa"/>
            <w:vAlign w:val="bottom"/>
            <w:shd w:val="clear" w:color="auto" w:fill="D1D2D4"/>
          </w:tcPr>
          <w:p>
            <w:pPr>
              <w:spacing w:after="0" w:line="135" w:lineRule="exact"/>
              <w:rPr>
                <w:sz w:val="20"/>
                <w:szCs w:val="20"/>
                <w:color w:val="auto"/>
              </w:rPr>
            </w:pPr>
            <w:r>
              <w:rPr>
                <w:rFonts w:ascii="Arial" w:cs="Arial" w:eastAsia="Arial" w:hAnsi="Arial"/>
                <w:sz w:val="12"/>
                <w:szCs w:val="12"/>
                <w:color w:val="auto"/>
              </w:rPr>
              <w:t>Restricted cash</w:t>
            </w:r>
            <w:r>
              <w:rPr>
                <w:rFonts w:ascii="Arial" w:cs="Arial" w:eastAsia="Arial" w:hAnsi="Arial"/>
                <w:sz w:val="15"/>
                <w:szCs w:val="15"/>
                <w:color w:val="auto"/>
                <w:vertAlign w:val="superscript"/>
              </w:rPr>
              <w:t>(4)</w:t>
            </w:r>
          </w:p>
        </w:tc>
        <w:tc>
          <w:tcPr>
            <w:tcW w:w="400" w:type="dxa"/>
            <w:vAlign w:val="bottom"/>
            <w:tcBorders>
              <w:bottom w:val="single" w:sz="8" w:color="auto"/>
            </w:tcBorders>
            <w:shd w:val="clear" w:color="auto" w:fill="D1D2D4"/>
          </w:tcPr>
          <w:p>
            <w:pPr>
              <w:spacing w:after="0"/>
              <w:rPr>
                <w:sz w:val="11"/>
                <w:szCs w:val="11"/>
                <w:color w:val="auto"/>
              </w:rPr>
            </w:pPr>
          </w:p>
        </w:tc>
        <w:tc>
          <w:tcPr>
            <w:tcW w:w="700" w:type="dxa"/>
            <w:vAlign w:val="bottom"/>
            <w:tcBorders>
              <w:bottom w:val="single" w:sz="8" w:color="auto"/>
            </w:tcBorders>
            <w:shd w:val="clear" w:color="auto" w:fill="D1D2D4"/>
          </w:tcPr>
          <w:p>
            <w:pPr>
              <w:jc w:val="right"/>
              <w:spacing w:after="0" w:line="135" w:lineRule="exact"/>
              <w:rPr>
                <w:sz w:val="20"/>
                <w:szCs w:val="20"/>
                <w:color w:val="auto"/>
              </w:rPr>
            </w:pPr>
            <w:r>
              <w:rPr>
                <w:rFonts w:ascii="Arial" w:cs="Arial" w:eastAsia="Arial" w:hAnsi="Arial"/>
                <w:sz w:val="12"/>
                <w:szCs w:val="12"/>
                <w:color w:val="auto"/>
              </w:rPr>
              <w:t>85</w:t>
            </w:r>
          </w:p>
        </w:tc>
        <w:tc>
          <w:tcPr>
            <w:tcW w:w="500" w:type="dxa"/>
            <w:vAlign w:val="bottom"/>
            <w:shd w:val="clear" w:color="auto" w:fill="D1D2D4"/>
          </w:tcPr>
          <w:p>
            <w:pPr>
              <w:spacing w:after="0"/>
              <w:rPr>
                <w:sz w:val="11"/>
                <w:szCs w:val="11"/>
                <w:color w:val="auto"/>
              </w:rPr>
            </w:pPr>
          </w:p>
        </w:tc>
        <w:tc>
          <w:tcPr>
            <w:tcW w:w="640" w:type="dxa"/>
            <w:vAlign w:val="bottom"/>
            <w:shd w:val="clear" w:color="auto" w:fill="D1D2D4"/>
          </w:tcPr>
          <w:p>
            <w:pPr>
              <w:spacing w:after="0"/>
              <w:rPr>
                <w:sz w:val="11"/>
                <w:szCs w:val="11"/>
                <w:color w:val="auto"/>
              </w:rPr>
            </w:pPr>
          </w:p>
        </w:tc>
        <w:tc>
          <w:tcPr>
            <w:tcW w:w="620" w:type="dxa"/>
            <w:vAlign w:val="bottom"/>
            <w:shd w:val="clear" w:color="auto" w:fill="D1D2D4"/>
          </w:tcPr>
          <w:p>
            <w:pPr>
              <w:spacing w:after="0"/>
              <w:rPr>
                <w:sz w:val="11"/>
                <w:szCs w:val="11"/>
                <w:color w:val="auto"/>
              </w:rPr>
            </w:pPr>
          </w:p>
        </w:tc>
        <w:tc>
          <w:tcPr>
            <w:tcW w:w="760" w:type="dxa"/>
            <w:vAlign w:val="bottom"/>
            <w:shd w:val="clear" w:color="auto" w:fill="D1D2D4"/>
          </w:tcPr>
          <w:p>
            <w:pPr>
              <w:spacing w:after="0"/>
              <w:rPr>
                <w:sz w:val="11"/>
                <w:szCs w:val="11"/>
                <w:color w:val="auto"/>
              </w:rPr>
            </w:pPr>
          </w:p>
        </w:tc>
        <w:tc>
          <w:tcPr>
            <w:tcW w:w="320" w:type="dxa"/>
            <w:vAlign w:val="bottom"/>
            <w:shd w:val="clear" w:color="auto" w:fill="D1D2D4"/>
          </w:tcPr>
          <w:p>
            <w:pPr>
              <w:spacing w:after="0"/>
              <w:rPr>
                <w:sz w:val="11"/>
                <w:szCs w:val="11"/>
                <w:color w:val="auto"/>
              </w:rPr>
            </w:pPr>
          </w:p>
        </w:tc>
        <w:tc>
          <w:tcPr>
            <w:tcW w:w="560" w:type="dxa"/>
            <w:vAlign w:val="bottom"/>
            <w:shd w:val="clear" w:color="auto" w:fill="D1D2D4"/>
          </w:tcPr>
          <w:p>
            <w:pPr>
              <w:spacing w:after="0"/>
              <w:rPr>
                <w:sz w:val="11"/>
                <w:szCs w:val="11"/>
                <w:color w:val="auto"/>
              </w:rPr>
            </w:pPr>
          </w:p>
        </w:tc>
        <w:tc>
          <w:tcPr>
            <w:tcW w:w="100" w:type="dxa"/>
            <w:vAlign w:val="bottom"/>
            <w:shd w:val="clear" w:color="auto" w:fill="D1D2D4"/>
          </w:tcPr>
          <w:p>
            <w:pPr>
              <w:spacing w:after="0"/>
              <w:rPr>
                <w:sz w:val="11"/>
                <w:szCs w:val="11"/>
                <w:color w:val="auto"/>
              </w:rPr>
            </w:pPr>
          </w:p>
        </w:tc>
        <w:tc>
          <w:tcPr>
            <w:tcW w:w="420" w:type="dxa"/>
            <w:vAlign w:val="bottom"/>
            <w:tcBorders>
              <w:bottom w:val="single" w:sz="8" w:color="auto"/>
            </w:tcBorders>
            <w:shd w:val="clear" w:color="auto" w:fill="D1D2D4"/>
          </w:tcPr>
          <w:p>
            <w:pPr>
              <w:spacing w:after="0"/>
              <w:rPr>
                <w:sz w:val="11"/>
                <w:szCs w:val="11"/>
                <w:color w:val="auto"/>
              </w:rPr>
            </w:pPr>
          </w:p>
        </w:tc>
        <w:tc>
          <w:tcPr>
            <w:tcW w:w="680" w:type="dxa"/>
            <w:vAlign w:val="bottom"/>
            <w:tcBorders>
              <w:bottom w:val="single" w:sz="8" w:color="auto"/>
            </w:tcBorders>
            <w:shd w:val="clear" w:color="auto" w:fill="D1D2D4"/>
          </w:tcPr>
          <w:p>
            <w:pPr>
              <w:jc w:val="right"/>
              <w:spacing w:after="0" w:line="135" w:lineRule="exact"/>
              <w:rPr>
                <w:sz w:val="20"/>
                <w:szCs w:val="20"/>
                <w:color w:val="auto"/>
              </w:rPr>
            </w:pPr>
            <w:r>
              <w:rPr>
                <w:rFonts w:ascii="Arial" w:cs="Arial" w:eastAsia="Arial" w:hAnsi="Arial"/>
                <w:sz w:val="12"/>
                <w:szCs w:val="12"/>
                <w:color w:val="auto"/>
              </w:rPr>
              <w:t>79</w:t>
            </w:r>
          </w:p>
        </w:tc>
        <w:tc>
          <w:tcPr>
            <w:tcW w:w="460" w:type="dxa"/>
            <w:vAlign w:val="bottom"/>
            <w:shd w:val="clear" w:color="auto" w:fill="D1D2D4"/>
          </w:tcPr>
          <w:p>
            <w:pPr>
              <w:spacing w:after="0"/>
              <w:rPr>
                <w:sz w:val="11"/>
                <w:szCs w:val="11"/>
                <w:color w:val="auto"/>
              </w:rPr>
            </w:pPr>
          </w:p>
        </w:tc>
        <w:tc>
          <w:tcPr>
            <w:tcW w:w="700" w:type="dxa"/>
            <w:vAlign w:val="bottom"/>
            <w:shd w:val="clear" w:color="auto" w:fill="D1D2D4"/>
          </w:tcPr>
          <w:p>
            <w:pPr>
              <w:spacing w:after="0"/>
              <w:rPr>
                <w:sz w:val="11"/>
                <w:szCs w:val="11"/>
                <w:color w:val="auto"/>
              </w:rPr>
            </w:pPr>
          </w:p>
        </w:tc>
        <w:tc>
          <w:tcPr>
            <w:tcW w:w="620" w:type="dxa"/>
            <w:vAlign w:val="bottom"/>
            <w:shd w:val="clear" w:color="auto" w:fill="D1D2D4"/>
          </w:tcPr>
          <w:p>
            <w:pPr>
              <w:spacing w:after="0"/>
              <w:rPr>
                <w:sz w:val="11"/>
                <w:szCs w:val="11"/>
                <w:color w:val="auto"/>
              </w:rPr>
            </w:pPr>
          </w:p>
        </w:tc>
        <w:tc>
          <w:tcPr>
            <w:tcW w:w="760" w:type="dxa"/>
            <w:vAlign w:val="bottom"/>
            <w:shd w:val="clear" w:color="auto" w:fill="D1D2D4"/>
          </w:tcPr>
          <w:p>
            <w:pPr>
              <w:spacing w:after="0"/>
              <w:rPr>
                <w:sz w:val="11"/>
                <w:szCs w:val="11"/>
                <w:color w:val="auto"/>
              </w:rPr>
            </w:pPr>
          </w:p>
        </w:tc>
        <w:tc>
          <w:tcPr>
            <w:tcW w:w="280" w:type="dxa"/>
            <w:vAlign w:val="bottom"/>
            <w:shd w:val="clear" w:color="auto" w:fill="D1D2D4"/>
          </w:tcPr>
          <w:p>
            <w:pPr>
              <w:spacing w:after="0"/>
              <w:rPr>
                <w:sz w:val="11"/>
                <w:szCs w:val="11"/>
                <w:color w:val="auto"/>
              </w:rPr>
            </w:pPr>
          </w:p>
        </w:tc>
        <w:tc>
          <w:tcPr>
            <w:tcW w:w="620" w:type="dxa"/>
            <w:vAlign w:val="bottom"/>
            <w:shd w:val="clear" w:color="auto" w:fill="D1D2D4"/>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160" w:type="dxa"/>
            <w:vAlign w:val="bottom"/>
          </w:tcPr>
          <w:p>
            <w:pPr>
              <w:spacing w:after="0" w:line="103" w:lineRule="exact"/>
              <w:rPr>
                <w:sz w:val="20"/>
                <w:szCs w:val="20"/>
                <w:color w:val="auto"/>
              </w:rPr>
            </w:pPr>
            <w:r>
              <w:rPr>
                <w:rFonts w:ascii="Arial" w:cs="Arial" w:eastAsia="Arial" w:hAnsi="Arial"/>
                <w:sz w:val="11"/>
                <w:szCs w:val="11"/>
                <w:color w:val="auto"/>
              </w:rPr>
              <w:t>Cash, cash equivalents, and restricted</w:t>
            </w:r>
          </w:p>
        </w:tc>
        <w:tc>
          <w:tcPr>
            <w:tcW w:w="400" w:type="dxa"/>
            <w:vAlign w:val="bottom"/>
            <w:vMerge w:val="restart"/>
          </w:tcPr>
          <w:p>
            <w:pPr>
              <w:jc w:val="right"/>
              <w:ind w:right="260"/>
              <w:spacing w:after="0"/>
              <w:rPr>
                <w:sz w:val="20"/>
                <w:szCs w:val="20"/>
                <w:color w:val="auto"/>
              </w:rPr>
            </w:pPr>
            <w:r>
              <w:rPr>
                <w:rFonts w:ascii="Arial" w:cs="Arial" w:eastAsia="Arial" w:hAnsi="Arial"/>
                <w:sz w:val="12"/>
                <w:szCs w:val="12"/>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8,101</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vMerge w:val="restart"/>
          </w:tcPr>
          <w:p>
            <w:pPr>
              <w:jc w:val="right"/>
              <w:ind w:right="280"/>
              <w:spacing w:after="0"/>
              <w:rPr>
                <w:sz w:val="20"/>
                <w:szCs w:val="20"/>
                <w:color w:val="auto"/>
              </w:rPr>
            </w:pPr>
            <w:r>
              <w:rPr>
                <w:rFonts w:ascii="Arial" w:cs="Arial" w:eastAsia="Arial" w:hAnsi="Arial"/>
                <w:sz w:val="12"/>
                <w:szCs w:val="12"/>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8,656</w:t>
            </w: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160" w:type="dxa"/>
            <w:vAlign w:val="bottom"/>
          </w:tcPr>
          <w:p>
            <w:pPr>
              <w:spacing w:after="0"/>
              <w:rPr>
                <w:sz w:val="20"/>
                <w:szCs w:val="20"/>
                <w:color w:val="auto"/>
              </w:rPr>
            </w:pPr>
            <w:r>
              <w:rPr>
                <w:rFonts w:ascii="Arial" w:cs="Arial" w:eastAsia="Arial" w:hAnsi="Arial"/>
                <w:sz w:val="12"/>
                <w:szCs w:val="12"/>
                <w:color w:val="auto"/>
              </w:rPr>
              <w:t>cash</w:t>
            </w:r>
          </w:p>
        </w:tc>
        <w:tc>
          <w:tcPr>
            <w:tcW w:w="40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68" w:hanging="168"/>
        <w:spacing w:after="0"/>
        <w:tabs>
          <w:tab w:leader="none" w:pos="168"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The maturities of long-term marketable investments primarily range from one to five years, except for asset-backed securities which are not due at a single maturity date.</w:t>
      </w:r>
    </w:p>
    <w:p>
      <w:pPr>
        <w:ind w:left="168" w:hanging="168"/>
        <w:spacing w:after="0" w:line="187" w:lineRule="auto"/>
        <w:tabs>
          <w:tab w:leader="none" w:pos="168"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i w:val="1"/>
          <w:iCs w:val="1"/>
          <w:color w:val="auto"/>
        </w:rPr>
        <w:t>The fair value of Level 1 securities is measured based on quoted prices in active markets for identical assets.</w:t>
      </w:r>
    </w:p>
    <w:p>
      <w:pPr>
        <w:ind w:left="168" w:right="160" w:hanging="168"/>
        <w:spacing w:after="0" w:line="225" w:lineRule="auto"/>
        <w:tabs>
          <w:tab w:leader="none" w:pos="164"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February 29, 2024 or August 31, 2023.</w:t>
      </w:r>
    </w:p>
    <w:p>
      <w:pPr>
        <w:ind w:left="168" w:right="500" w:hanging="168"/>
        <w:spacing w:after="0" w:line="216" w:lineRule="auto"/>
        <w:tabs>
          <w:tab w:leader="none" w:pos="164"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Restricted cash is included in other current assets and other noncurrent assets and primarily relates to certain government incentives received prior to being earned and for which restrictions lapse upon achieving certain performance conditions or which will be returned if performance conditions are not met.</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2"/>
          <w:szCs w:val="12"/>
          <w:color w:val="auto"/>
        </w:rPr>
        <w:t>Gross realized gains and losses from sales of available-for-sale securities were not significant for any period presented.</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Non-marketable Equity Investments</w:t>
      </w:r>
    </w:p>
    <w:p>
      <w:pPr>
        <w:spacing w:after="0" w:line="160" w:lineRule="exact"/>
        <w:rPr>
          <w:sz w:val="20"/>
          <w:szCs w:val="20"/>
          <w:color w:val="auto"/>
        </w:rPr>
      </w:pPr>
    </w:p>
    <w:p>
      <w:pPr>
        <w:ind w:left="8" w:right="40"/>
        <w:spacing w:after="0" w:line="252" w:lineRule="auto"/>
        <w:rPr>
          <w:sz w:val="20"/>
          <w:szCs w:val="20"/>
          <w:color w:val="auto"/>
        </w:rPr>
      </w:pPr>
      <w:r>
        <w:rPr>
          <w:rFonts w:ascii="Arial" w:cs="Arial" w:eastAsia="Arial" w:hAnsi="Arial"/>
          <w:sz w:val="12"/>
          <w:szCs w:val="12"/>
          <w:color w:val="auto"/>
        </w:rPr>
        <w:t>In addition to the amounts included in the table above, we had $189 million and $218 million of non-marketable equity investments without a readily determinable fair value that were included in other noncurrent assets as of February 29, 2024 and August 31, 2023, respectively. We recognized a loss in other non-operating income (expense) on our non-marketable investments of $31 million for the first quarter of 2024. The amounts recognized for the other periods presented were not significant. Our non-marketable equity investments are recorded at fair value on a non-recurring basis and classified as Level 3.</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58420</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type w:val="continuous"/>
        </w:sectPr>
      </w:pPr>
    </w:p>
    <w:bookmarkStart w:id="12" w:name="page13"/>
    <w:bookmarkEnd w:id="12"/>
    <w:tbl>
      <w:tblPr>
        <w:tblLayout w:type="fixed"/>
        <w:tblInd w:w="8" w:type="dxa"/>
        <w:tblCellMar>
          <w:top w:w="0" w:type="dxa"/>
          <w:left w:w="0" w:type="dxa"/>
          <w:bottom w:w="0" w:type="dxa"/>
          <w:right w:w="0" w:type="dxa"/>
        </w:tblCellMar>
      </w:tblPr>
      <w:tr>
        <w:trPr>
          <w:trHeight w:val="126"/>
        </w:trPr>
        <w:tc>
          <w:tcPr>
            <w:tcW w:w="8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2"/>
          </w:tcPr>
          <w:p>
            <w:pPr>
              <w:jc w:val="right"/>
              <w:spacing w:after="0"/>
              <w:rPr>
                <w:sz w:val="20"/>
                <w:szCs w:val="20"/>
                <w:color w:val="auto"/>
              </w:rPr>
            </w:pPr>
            <w:r>
              <w:rPr>
                <w:rFonts w:ascii="Arial" w:cs="Arial" w:eastAsia="Arial" w:hAnsi="Arial"/>
                <w:sz w:val="11"/>
                <w:szCs w:val="11"/>
                <w:b w:val="1"/>
                <w:bCs w:val="1"/>
                <w:color w:val="BD03F7"/>
              </w:rPr>
              <w:t>Table of Contents</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26"/>
                <w:szCs w:val="26"/>
                <w:b w:val="1"/>
                <w:bCs w:val="1"/>
                <w:color w:val="auto"/>
              </w:rPr>
              <w:t>Receivables</w:t>
            </w: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BD03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2"/>
        </w:trPr>
        <w:tc>
          <w:tcPr>
            <w:tcW w:w="8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center"/>
              <w:ind w:right="160"/>
              <w:spacing w:after="0"/>
              <w:rPr>
                <w:sz w:val="20"/>
                <w:szCs w:val="20"/>
                <w:color w:val="auto"/>
              </w:rPr>
            </w:pPr>
            <w:r>
              <w:rPr>
                <w:rFonts w:ascii="Arial" w:cs="Arial" w:eastAsia="Arial" w:hAnsi="Arial"/>
                <w:sz w:val="12"/>
                <w:szCs w:val="12"/>
                <w:b w:val="1"/>
                <w:bCs w:val="1"/>
                <w:color w:val="auto"/>
                <w:w w:val="98"/>
              </w:rPr>
              <w:t>February 29,</w:t>
            </w:r>
          </w:p>
        </w:tc>
        <w:tc>
          <w:tcPr>
            <w:tcW w:w="240" w:type="dxa"/>
            <w:vAlign w:val="bottom"/>
          </w:tcPr>
          <w:p>
            <w:pPr>
              <w:spacing w:after="0"/>
              <w:rPr>
                <w:sz w:val="24"/>
                <w:szCs w:val="24"/>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7"/>
              </w:rPr>
              <w:t>August 31,</w:t>
            </w:r>
          </w:p>
        </w:tc>
        <w:tc>
          <w:tcPr>
            <w:tcW w:w="0" w:type="dxa"/>
            <w:vAlign w:val="bottom"/>
          </w:tcPr>
          <w:p>
            <w:pPr>
              <w:spacing w:after="0"/>
              <w:rPr>
                <w:sz w:val="1"/>
                <w:szCs w:val="1"/>
                <w:color w:val="auto"/>
              </w:rPr>
            </w:pPr>
          </w:p>
        </w:tc>
      </w:tr>
      <w:tr>
        <w:trPr>
          <w:trHeight w:val="105"/>
        </w:trPr>
        <w:tc>
          <w:tcPr>
            <w:tcW w:w="8440" w:type="dxa"/>
            <w:vAlign w:val="bottom"/>
            <w:vMerge w:val="restart"/>
          </w:tcPr>
          <w:p>
            <w:pPr>
              <w:spacing w:after="0"/>
              <w:rPr>
                <w:sz w:val="20"/>
                <w:szCs w:val="20"/>
                <w:color w:val="auto"/>
              </w:rPr>
            </w:pPr>
            <w:r>
              <w:rPr>
                <w:rFonts w:ascii="Arial" w:cs="Arial" w:eastAsia="Arial" w:hAnsi="Arial"/>
                <w:sz w:val="12"/>
                <w:szCs w:val="12"/>
                <w:b w:val="1"/>
                <w:bCs w:val="1"/>
                <w:color w:val="auto"/>
              </w:rPr>
              <w:t>As of</w:t>
            </w: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84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97"/>
              </w:rPr>
              <w:t>2024</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61"/>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Trade receivables</w:t>
            </w:r>
          </w:p>
        </w:tc>
        <w:tc>
          <w:tcPr>
            <w:tcW w:w="220" w:type="dxa"/>
            <w:vAlign w:val="bottom"/>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3,648</w:t>
            </w:r>
          </w:p>
        </w:tc>
        <w:tc>
          <w:tcPr>
            <w:tcW w:w="240" w:type="dxa"/>
            <w:vAlign w:val="bottom"/>
            <w:shd w:val="clear" w:color="auto" w:fill="D1D2D4"/>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2,048</w:t>
            </w: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Income and other taxes</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188</w:t>
            </w:r>
          </w:p>
        </w:tc>
        <w:tc>
          <w:tcPr>
            <w:tcW w:w="24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194</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Other</w:t>
            </w:r>
          </w:p>
        </w:tc>
        <w:tc>
          <w:tcPr>
            <w:tcW w:w="22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460</w:t>
            </w:r>
          </w:p>
        </w:tc>
        <w:tc>
          <w:tcPr>
            <w:tcW w:w="24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4,296</w:t>
            </w: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2,443</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26"/>
                <w:szCs w:val="26"/>
                <w:b w:val="1"/>
                <w:bCs w:val="1"/>
                <w:color w:val="auto"/>
              </w:rPr>
              <w:t>Inventories</w:t>
            </w: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3"/>
        </w:trPr>
        <w:tc>
          <w:tcPr>
            <w:tcW w:w="8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center"/>
              <w:ind w:right="160"/>
              <w:spacing w:after="0"/>
              <w:rPr>
                <w:sz w:val="20"/>
                <w:szCs w:val="20"/>
                <w:color w:val="auto"/>
              </w:rPr>
            </w:pPr>
            <w:r>
              <w:rPr>
                <w:rFonts w:ascii="Arial" w:cs="Arial" w:eastAsia="Arial" w:hAnsi="Arial"/>
                <w:sz w:val="12"/>
                <w:szCs w:val="12"/>
                <w:b w:val="1"/>
                <w:bCs w:val="1"/>
                <w:color w:val="auto"/>
                <w:w w:val="98"/>
              </w:rPr>
              <w:t>February 29,</w:t>
            </w:r>
          </w:p>
        </w:tc>
        <w:tc>
          <w:tcPr>
            <w:tcW w:w="240" w:type="dxa"/>
            <w:vAlign w:val="bottom"/>
          </w:tcPr>
          <w:p>
            <w:pPr>
              <w:spacing w:after="0"/>
              <w:rPr>
                <w:sz w:val="24"/>
                <w:szCs w:val="24"/>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7"/>
              </w:rPr>
              <w:t>August 31,</w:t>
            </w:r>
          </w:p>
        </w:tc>
        <w:tc>
          <w:tcPr>
            <w:tcW w:w="0" w:type="dxa"/>
            <w:vAlign w:val="bottom"/>
          </w:tcPr>
          <w:p>
            <w:pPr>
              <w:spacing w:after="0"/>
              <w:rPr>
                <w:sz w:val="1"/>
                <w:szCs w:val="1"/>
                <w:color w:val="auto"/>
              </w:rPr>
            </w:pPr>
          </w:p>
        </w:tc>
      </w:tr>
      <w:tr>
        <w:trPr>
          <w:trHeight w:val="100"/>
        </w:trPr>
        <w:tc>
          <w:tcPr>
            <w:tcW w:w="8440" w:type="dxa"/>
            <w:vAlign w:val="bottom"/>
            <w:vMerge w:val="restart"/>
          </w:tcPr>
          <w:p>
            <w:pPr>
              <w:spacing w:after="0"/>
              <w:rPr>
                <w:sz w:val="20"/>
                <w:szCs w:val="20"/>
                <w:color w:val="auto"/>
              </w:rPr>
            </w:pPr>
            <w:r>
              <w:rPr>
                <w:rFonts w:ascii="Arial" w:cs="Arial" w:eastAsia="Arial" w:hAnsi="Arial"/>
                <w:sz w:val="12"/>
                <w:szCs w:val="12"/>
                <w:b w:val="1"/>
                <w:bCs w:val="1"/>
                <w:color w:val="auto"/>
              </w:rPr>
              <w:t>As of</w:t>
            </w:r>
          </w:p>
        </w:tc>
        <w:tc>
          <w:tcPr>
            <w:tcW w:w="2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84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97"/>
              </w:rPr>
              <w:t>2024</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61"/>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Finished goods</w:t>
            </w:r>
          </w:p>
        </w:tc>
        <w:tc>
          <w:tcPr>
            <w:tcW w:w="220" w:type="dxa"/>
            <w:vAlign w:val="bottom"/>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1,132</w:t>
            </w:r>
          </w:p>
        </w:tc>
        <w:tc>
          <w:tcPr>
            <w:tcW w:w="240" w:type="dxa"/>
            <w:vAlign w:val="bottom"/>
            <w:shd w:val="clear" w:color="auto" w:fill="D1D2D4"/>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1,616</w:t>
            </w: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Work in process</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6,622</w:t>
            </w:r>
          </w:p>
        </w:tc>
        <w:tc>
          <w:tcPr>
            <w:tcW w:w="24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6,111</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Raw materials and supplies</w:t>
            </w:r>
          </w:p>
        </w:tc>
        <w:tc>
          <w:tcPr>
            <w:tcW w:w="22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689</w:t>
            </w:r>
          </w:p>
        </w:tc>
        <w:tc>
          <w:tcPr>
            <w:tcW w:w="24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660</w:t>
            </w: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8,443</w:t>
            </w: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8,387</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26"/>
                <w:szCs w:val="26"/>
                <w:b w:val="1"/>
                <w:bCs w:val="1"/>
                <w:color w:val="auto"/>
              </w:rPr>
              <w:t>Property, Plant, and Equipment</w:t>
            </w: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3"/>
        </w:trPr>
        <w:tc>
          <w:tcPr>
            <w:tcW w:w="8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center"/>
              <w:ind w:right="160"/>
              <w:spacing w:after="0"/>
              <w:rPr>
                <w:sz w:val="20"/>
                <w:szCs w:val="20"/>
                <w:color w:val="auto"/>
              </w:rPr>
            </w:pPr>
            <w:r>
              <w:rPr>
                <w:rFonts w:ascii="Arial" w:cs="Arial" w:eastAsia="Arial" w:hAnsi="Arial"/>
                <w:sz w:val="12"/>
                <w:szCs w:val="12"/>
                <w:b w:val="1"/>
                <w:bCs w:val="1"/>
                <w:color w:val="auto"/>
                <w:w w:val="98"/>
              </w:rPr>
              <w:t>February 29,</w:t>
            </w:r>
          </w:p>
        </w:tc>
        <w:tc>
          <w:tcPr>
            <w:tcW w:w="240" w:type="dxa"/>
            <w:vAlign w:val="bottom"/>
          </w:tcPr>
          <w:p>
            <w:pPr>
              <w:spacing w:after="0"/>
              <w:rPr>
                <w:sz w:val="24"/>
                <w:szCs w:val="24"/>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7"/>
              </w:rPr>
              <w:t>August 31,</w:t>
            </w:r>
          </w:p>
        </w:tc>
        <w:tc>
          <w:tcPr>
            <w:tcW w:w="0" w:type="dxa"/>
            <w:vAlign w:val="bottom"/>
          </w:tcPr>
          <w:p>
            <w:pPr>
              <w:spacing w:after="0"/>
              <w:rPr>
                <w:sz w:val="1"/>
                <w:szCs w:val="1"/>
                <w:color w:val="auto"/>
              </w:rPr>
            </w:pPr>
          </w:p>
        </w:tc>
      </w:tr>
      <w:tr>
        <w:trPr>
          <w:trHeight w:val="100"/>
        </w:trPr>
        <w:tc>
          <w:tcPr>
            <w:tcW w:w="8440" w:type="dxa"/>
            <w:vAlign w:val="bottom"/>
            <w:vMerge w:val="restart"/>
          </w:tcPr>
          <w:p>
            <w:pPr>
              <w:spacing w:after="0"/>
              <w:rPr>
                <w:sz w:val="20"/>
                <w:szCs w:val="20"/>
                <w:color w:val="auto"/>
              </w:rPr>
            </w:pPr>
            <w:r>
              <w:rPr>
                <w:rFonts w:ascii="Arial" w:cs="Arial" w:eastAsia="Arial" w:hAnsi="Arial"/>
                <w:sz w:val="12"/>
                <w:szCs w:val="12"/>
                <w:b w:val="1"/>
                <w:bCs w:val="1"/>
                <w:color w:val="auto"/>
              </w:rPr>
              <w:t>As of</w:t>
            </w:r>
          </w:p>
        </w:tc>
        <w:tc>
          <w:tcPr>
            <w:tcW w:w="2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84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97"/>
              </w:rPr>
              <w:t>2024</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61"/>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Land</w:t>
            </w:r>
          </w:p>
        </w:tc>
        <w:tc>
          <w:tcPr>
            <w:tcW w:w="220" w:type="dxa"/>
            <w:vAlign w:val="bottom"/>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283</w:t>
            </w:r>
          </w:p>
        </w:tc>
        <w:tc>
          <w:tcPr>
            <w:tcW w:w="240" w:type="dxa"/>
            <w:vAlign w:val="bottom"/>
            <w:shd w:val="clear" w:color="auto" w:fill="D1D2D4"/>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283</w:t>
            </w: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Buildings</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18,963</w:t>
            </w:r>
          </w:p>
        </w:tc>
        <w:tc>
          <w:tcPr>
            <w:tcW w:w="24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17,967</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line="153" w:lineRule="exact"/>
              <w:rPr>
                <w:sz w:val="20"/>
                <w:szCs w:val="20"/>
                <w:color w:val="auto"/>
              </w:rPr>
            </w:pPr>
            <w:r>
              <w:rPr>
                <w:rFonts w:ascii="Arial" w:cs="Arial" w:eastAsia="Arial" w:hAnsi="Arial"/>
                <w:sz w:val="12"/>
                <w:szCs w:val="12"/>
                <w:color w:val="auto"/>
              </w:rPr>
              <w:t>Equipment</w:t>
            </w:r>
            <w:r>
              <w:rPr>
                <w:rFonts w:ascii="Arial" w:cs="Arial" w:eastAsia="Arial" w:hAnsi="Arial"/>
                <w:sz w:val="15"/>
                <w:szCs w:val="15"/>
                <w:color w:val="auto"/>
                <w:vertAlign w:val="superscript"/>
              </w:rPr>
              <w:t>(1)</w:t>
            </w: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67,273</w:t>
            </w:r>
          </w:p>
        </w:tc>
        <w:tc>
          <w:tcPr>
            <w:tcW w:w="240" w:type="dxa"/>
            <w:vAlign w:val="bottom"/>
            <w:shd w:val="clear" w:color="auto" w:fill="D1D2D4"/>
          </w:tcPr>
          <w:p>
            <w:pPr>
              <w:spacing w:after="0"/>
              <w:rPr>
                <w:sz w:val="13"/>
                <w:szCs w:val="13"/>
                <w:color w:val="auto"/>
              </w:rPr>
            </w:pP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65,555</w:t>
            </w:r>
          </w:p>
        </w:tc>
        <w:tc>
          <w:tcPr>
            <w:tcW w:w="0" w:type="dxa"/>
            <w:vAlign w:val="bottom"/>
          </w:tcPr>
          <w:p>
            <w:pPr>
              <w:spacing w:after="0"/>
              <w:rPr>
                <w:sz w:val="1"/>
                <w:szCs w:val="1"/>
                <w:color w:val="auto"/>
              </w:rPr>
            </w:pPr>
          </w:p>
        </w:tc>
      </w:tr>
      <w:tr>
        <w:trPr>
          <w:trHeight w:val="153"/>
        </w:trPr>
        <w:tc>
          <w:tcPr>
            <w:tcW w:w="8440" w:type="dxa"/>
            <w:vAlign w:val="bottom"/>
          </w:tcPr>
          <w:p>
            <w:pPr>
              <w:spacing w:after="0" w:line="153" w:lineRule="exact"/>
              <w:rPr>
                <w:sz w:val="20"/>
                <w:szCs w:val="20"/>
                <w:color w:val="auto"/>
              </w:rPr>
            </w:pPr>
            <w:r>
              <w:rPr>
                <w:rFonts w:ascii="Arial" w:cs="Arial" w:eastAsia="Arial" w:hAnsi="Arial"/>
                <w:sz w:val="12"/>
                <w:szCs w:val="12"/>
                <w:color w:val="auto"/>
              </w:rPr>
              <w:t>Construction in progress</w:t>
            </w:r>
            <w:r>
              <w:rPr>
                <w:rFonts w:ascii="Arial" w:cs="Arial" w:eastAsia="Arial" w:hAnsi="Arial"/>
                <w:sz w:val="15"/>
                <w:szCs w:val="15"/>
                <w:color w:val="auto"/>
                <w:vertAlign w:val="superscript"/>
              </w:rPr>
              <w:t>(2)</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2,636</w:t>
            </w:r>
          </w:p>
        </w:tc>
        <w:tc>
          <w:tcPr>
            <w:tcW w:w="24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2,464</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Software</w:t>
            </w:r>
          </w:p>
        </w:tc>
        <w:tc>
          <w:tcPr>
            <w:tcW w:w="22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1,393</w:t>
            </w:r>
          </w:p>
        </w:tc>
        <w:tc>
          <w:tcPr>
            <w:tcW w:w="24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1,316</w:t>
            </w: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90,548</w:t>
            </w:r>
          </w:p>
        </w:tc>
        <w:tc>
          <w:tcPr>
            <w:tcW w:w="240" w:type="dxa"/>
            <w:vAlign w:val="bottom"/>
          </w:tcPr>
          <w:p>
            <w:pPr>
              <w:spacing w:after="0"/>
              <w:rPr>
                <w:sz w:val="12"/>
                <w:szCs w:val="12"/>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87,585</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Accumulated depreciation</w:t>
            </w:r>
          </w:p>
        </w:tc>
        <w:tc>
          <w:tcPr>
            <w:tcW w:w="22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(52,961)</w:t>
            </w:r>
          </w:p>
        </w:tc>
        <w:tc>
          <w:tcPr>
            <w:tcW w:w="24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2"/>
                <w:szCs w:val="12"/>
                <w:color w:val="auto"/>
              </w:rPr>
              <w:t>(49,657)</w:t>
            </w: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37,587</w:t>
            </w: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37,928</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68" w:hanging="168"/>
        <w:spacing w:after="0"/>
        <w:tabs>
          <w:tab w:leader="none" w:pos="168"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Includes costs related to equipment not placed into service of $2.27 billion as of February 29, 2024 and $2.91 billion as of August 31, 2023.</w:t>
      </w:r>
    </w:p>
    <w:p>
      <w:pPr>
        <w:ind w:left="168" w:hanging="168"/>
        <w:spacing w:after="0" w:line="191" w:lineRule="auto"/>
        <w:tabs>
          <w:tab w:leader="none" w:pos="168"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Includes building-related construction, tool installation, and software costs for assets not placed into service.</w:t>
      </w:r>
    </w:p>
    <w:p>
      <w:pPr>
        <w:spacing w:after="0" w:line="309" w:lineRule="exact"/>
        <w:rPr>
          <w:sz w:val="20"/>
          <w:szCs w:val="20"/>
          <w:color w:val="auto"/>
        </w:rPr>
      </w:pPr>
    </w:p>
    <w:p>
      <w:pPr>
        <w:ind w:left="8"/>
        <w:spacing w:after="0"/>
        <w:rPr>
          <w:sz w:val="20"/>
          <w:szCs w:val="20"/>
          <w:color w:val="auto"/>
        </w:rPr>
      </w:pPr>
      <w:r>
        <w:rPr>
          <w:rFonts w:ascii="Arial" w:cs="Arial" w:eastAsia="Arial" w:hAnsi="Arial"/>
          <w:sz w:val="26"/>
          <w:szCs w:val="26"/>
          <w:b w:val="1"/>
          <w:bCs w:val="1"/>
          <w:color w:val="auto"/>
        </w:rPr>
        <w:t>Intangible Assets</w:t>
      </w:r>
    </w:p>
    <w:p>
      <w:pPr>
        <w:spacing w:after="0" w:line="55" w:lineRule="exact"/>
        <w:rPr>
          <w:sz w:val="20"/>
          <w:szCs w:val="20"/>
          <w:color w:val="auto"/>
        </w:rPr>
      </w:pPr>
    </w:p>
    <w:tbl>
      <w:tblPr>
        <w:tblLayout w:type="fixed"/>
        <w:tblInd w:w="8" w:type="dxa"/>
        <w:tblCellMar>
          <w:top w:w="0" w:type="dxa"/>
          <w:left w:w="0" w:type="dxa"/>
          <w:bottom w:w="0" w:type="dxa"/>
          <w:right w:w="0" w:type="dxa"/>
        </w:tblCellMar>
      </w:tblPr>
      <w:tr>
        <w:trPr>
          <w:trHeight w:val="145"/>
        </w:trPr>
        <w:tc>
          <w:tcPr>
            <w:tcW w:w="278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w w:val="99"/>
              </w:rPr>
              <w:t>As of February 29, 2024</w:t>
            </w: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As of August 31, 2023</w:t>
            </w: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r>
      <w:tr>
        <w:trPr>
          <w:trHeight w:val="106"/>
        </w:trPr>
        <w:tc>
          <w:tcPr>
            <w:tcW w:w="2780" w:type="dxa"/>
            <w:vAlign w:val="bottom"/>
          </w:tcPr>
          <w:p>
            <w:pPr>
              <w:spacing w:after="0"/>
              <w:rPr>
                <w:sz w:val="9"/>
                <w:szCs w:val="9"/>
                <w:color w:val="auto"/>
              </w:rPr>
            </w:pPr>
          </w:p>
        </w:tc>
        <w:tc>
          <w:tcPr>
            <w:tcW w:w="1040" w:type="dxa"/>
            <w:vAlign w:val="bottom"/>
          </w:tcPr>
          <w:p>
            <w:pPr>
              <w:jc w:val="right"/>
              <w:ind w:right="100"/>
              <w:spacing w:after="0" w:line="106" w:lineRule="exact"/>
              <w:rPr>
                <w:sz w:val="20"/>
                <w:szCs w:val="20"/>
                <w:color w:val="auto"/>
              </w:rPr>
            </w:pPr>
            <w:r>
              <w:rPr>
                <w:rFonts w:ascii="Arial" w:cs="Arial" w:eastAsia="Arial" w:hAnsi="Arial"/>
                <w:sz w:val="12"/>
                <w:szCs w:val="12"/>
                <w:b w:val="1"/>
                <w:bCs w:val="1"/>
                <w:color w:val="auto"/>
              </w:rPr>
              <w:t>Gross</w:t>
            </w: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jc w:val="right"/>
              <w:ind w:right="260"/>
              <w:spacing w:after="0" w:line="106" w:lineRule="exact"/>
              <w:rPr>
                <w:sz w:val="20"/>
                <w:szCs w:val="20"/>
                <w:color w:val="auto"/>
              </w:rPr>
            </w:pPr>
            <w:r>
              <w:rPr>
                <w:rFonts w:ascii="Arial" w:cs="Arial" w:eastAsia="Arial" w:hAnsi="Arial"/>
                <w:sz w:val="12"/>
                <w:szCs w:val="12"/>
                <w:b w:val="1"/>
                <w:bCs w:val="1"/>
                <w:color w:val="auto"/>
              </w:rPr>
              <w:t>Accumulated</w:t>
            </w:r>
          </w:p>
        </w:tc>
        <w:tc>
          <w:tcPr>
            <w:tcW w:w="220" w:type="dxa"/>
            <w:vAlign w:val="bottom"/>
          </w:tcPr>
          <w:p>
            <w:pPr>
              <w:spacing w:after="0"/>
              <w:rPr>
                <w:sz w:val="9"/>
                <w:szCs w:val="9"/>
                <w:color w:val="auto"/>
              </w:rPr>
            </w:pPr>
          </w:p>
        </w:tc>
        <w:tc>
          <w:tcPr>
            <w:tcW w:w="1200" w:type="dxa"/>
            <w:vAlign w:val="bottom"/>
          </w:tcPr>
          <w:p>
            <w:pPr>
              <w:jc w:val="center"/>
              <w:ind w:right="140"/>
              <w:spacing w:after="0" w:line="106" w:lineRule="exact"/>
              <w:rPr>
                <w:sz w:val="20"/>
                <w:szCs w:val="20"/>
                <w:color w:val="auto"/>
              </w:rPr>
            </w:pPr>
            <w:r>
              <w:rPr>
                <w:rFonts w:ascii="Arial" w:cs="Arial" w:eastAsia="Arial" w:hAnsi="Arial"/>
                <w:sz w:val="12"/>
                <w:szCs w:val="12"/>
                <w:b w:val="1"/>
                <w:bCs w:val="1"/>
                <w:color w:val="auto"/>
                <w:w w:val="99"/>
              </w:rPr>
              <w:t>Net Carrying</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Pr>
          <w:p>
            <w:pPr>
              <w:jc w:val="right"/>
              <w:ind w:right="440"/>
              <w:spacing w:after="0" w:line="106" w:lineRule="exact"/>
              <w:rPr>
                <w:sz w:val="20"/>
                <w:szCs w:val="20"/>
                <w:color w:val="auto"/>
              </w:rPr>
            </w:pPr>
            <w:r>
              <w:rPr>
                <w:rFonts w:ascii="Arial" w:cs="Arial" w:eastAsia="Arial" w:hAnsi="Arial"/>
                <w:sz w:val="12"/>
                <w:szCs w:val="12"/>
                <w:b w:val="1"/>
                <w:bCs w:val="1"/>
                <w:color w:val="auto"/>
              </w:rPr>
              <w:t>Gross</w:t>
            </w:r>
          </w:p>
        </w:tc>
        <w:tc>
          <w:tcPr>
            <w:tcW w:w="100" w:type="dxa"/>
            <w:vAlign w:val="bottom"/>
          </w:tcPr>
          <w:p>
            <w:pPr>
              <w:spacing w:after="0"/>
              <w:rPr>
                <w:sz w:val="9"/>
                <w:szCs w:val="9"/>
                <w:color w:val="auto"/>
              </w:rPr>
            </w:pPr>
          </w:p>
        </w:tc>
        <w:tc>
          <w:tcPr>
            <w:tcW w:w="132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w w:val="98"/>
              </w:rPr>
              <w:t>Accumulated</w:t>
            </w:r>
          </w:p>
        </w:tc>
        <w:tc>
          <w:tcPr>
            <w:tcW w:w="220" w:type="dxa"/>
            <w:vAlign w:val="bottom"/>
          </w:tcPr>
          <w:p>
            <w:pPr>
              <w:spacing w:after="0"/>
              <w:rPr>
                <w:sz w:val="9"/>
                <w:szCs w:val="9"/>
                <w:color w:val="auto"/>
              </w:rPr>
            </w:pPr>
          </w:p>
        </w:tc>
        <w:tc>
          <w:tcPr>
            <w:tcW w:w="1200" w:type="dxa"/>
            <w:vAlign w:val="bottom"/>
          </w:tcPr>
          <w:p>
            <w:pPr>
              <w:jc w:val="right"/>
              <w:ind w:right="280"/>
              <w:spacing w:after="0" w:line="106" w:lineRule="exact"/>
              <w:rPr>
                <w:sz w:val="20"/>
                <w:szCs w:val="20"/>
                <w:color w:val="auto"/>
              </w:rPr>
            </w:pPr>
            <w:r>
              <w:rPr>
                <w:rFonts w:ascii="Arial" w:cs="Arial" w:eastAsia="Arial" w:hAnsi="Arial"/>
                <w:sz w:val="12"/>
                <w:szCs w:val="12"/>
                <w:b w:val="1"/>
                <w:bCs w:val="1"/>
                <w:color w:val="auto"/>
              </w:rPr>
              <w:t>Net Carrying</w:t>
            </w:r>
          </w:p>
        </w:tc>
      </w:tr>
      <w:tr>
        <w:trPr>
          <w:trHeight w:val="170"/>
        </w:trPr>
        <w:tc>
          <w:tcPr>
            <w:tcW w:w="2780" w:type="dxa"/>
            <w:vAlign w:val="bottom"/>
          </w:tcPr>
          <w:p>
            <w:pPr>
              <w:spacing w:after="0"/>
              <w:rPr>
                <w:sz w:val="14"/>
                <w:szCs w:val="14"/>
                <w:color w:val="auto"/>
              </w:rPr>
            </w:pPr>
          </w:p>
        </w:tc>
        <w:tc>
          <w:tcPr>
            <w:tcW w:w="1040" w:type="dxa"/>
            <w:vAlign w:val="bottom"/>
          </w:tcPr>
          <w:p>
            <w:pPr>
              <w:jc w:val="right"/>
              <w:ind w:right="4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260"/>
              <w:spacing w:after="0"/>
              <w:rPr>
                <w:sz w:val="20"/>
                <w:szCs w:val="20"/>
                <w:color w:val="auto"/>
              </w:rPr>
            </w:pPr>
            <w:r>
              <w:rPr>
                <w:rFonts w:ascii="Arial" w:cs="Arial" w:eastAsia="Arial" w:hAnsi="Arial"/>
                <w:sz w:val="12"/>
                <w:szCs w:val="12"/>
                <w:b w:val="1"/>
                <w:bCs w:val="1"/>
                <w:color w:val="auto"/>
              </w:rPr>
              <w:t>Amortization</w:t>
            </w:r>
          </w:p>
        </w:tc>
        <w:tc>
          <w:tcPr>
            <w:tcW w:w="22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4"/>
                <w:szCs w:val="14"/>
                <w:color w:val="auto"/>
              </w:rPr>
            </w:pPr>
          </w:p>
        </w:tc>
        <w:tc>
          <w:tcPr>
            <w:tcW w:w="1100" w:type="dxa"/>
            <w:vAlign w:val="bottom"/>
          </w:tcPr>
          <w:p>
            <w:pPr>
              <w:jc w:val="right"/>
              <w:ind w:right="3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rPr>
              <w:t>Amortization</w:t>
            </w:r>
          </w:p>
        </w:tc>
        <w:tc>
          <w:tcPr>
            <w:tcW w:w="220" w:type="dxa"/>
            <w:vAlign w:val="bottom"/>
          </w:tcPr>
          <w:p>
            <w:pPr>
              <w:spacing w:after="0"/>
              <w:rPr>
                <w:sz w:val="14"/>
                <w:szCs w:val="14"/>
                <w:color w:val="auto"/>
              </w:rPr>
            </w:pPr>
          </w:p>
        </w:tc>
        <w:tc>
          <w:tcPr>
            <w:tcW w:w="1200" w:type="dxa"/>
            <w:vAlign w:val="bottom"/>
          </w:tcPr>
          <w:p>
            <w:pPr>
              <w:jc w:val="right"/>
              <w:ind w:right="420"/>
              <w:spacing w:after="0"/>
              <w:rPr>
                <w:sz w:val="20"/>
                <w:szCs w:val="20"/>
                <w:color w:val="auto"/>
              </w:rPr>
            </w:pPr>
            <w:r>
              <w:rPr>
                <w:rFonts w:ascii="Arial" w:cs="Arial" w:eastAsia="Arial" w:hAnsi="Arial"/>
                <w:sz w:val="12"/>
                <w:szCs w:val="12"/>
                <w:b w:val="1"/>
                <w:bCs w:val="1"/>
                <w:color w:val="auto"/>
              </w:rPr>
              <w:t>Amount</w:t>
            </w:r>
          </w:p>
        </w:tc>
      </w:tr>
      <w:tr>
        <w:trPr>
          <w:trHeight w:val="161"/>
        </w:trPr>
        <w:tc>
          <w:tcPr>
            <w:tcW w:w="2780" w:type="dxa"/>
            <w:vAlign w:val="bottom"/>
            <w:tcBorders>
              <w:top w:val="single" w:sz="8" w:color="auto"/>
            </w:tcBorders>
            <w:shd w:val="clear" w:color="auto" w:fill="D1D2D4"/>
          </w:tcPr>
          <w:p>
            <w:pPr>
              <w:spacing w:after="0"/>
              <w:rPr>
                <w:sz w:val="20"/>
                <w:szCs w:val="20"/>
                <w:color w:val="auto"/>
              </w:rPr>
            </w:pPr>
            <w:r>
              <w:rPr>
                <w:rFonts w:ascii="Arial" w:cs="Arial" w:eastAsia="Arial" w:hAnsi="Arial"/>
                <w:sz w:val="12"/>
                <w:szCs w:val="12"/>
                <w:color w:val="auto"/>
              </w:rPr>
              <w:t>Product and process technology</w:t>
            </w:r>
          </w:p>
        </w:tc>
        <w:tc>
          <w:tcPr>
            <w:tcW w:w="1040" w:type="dxa"/>
            <w:vAlign w:val="bottom"/>
            <w:tcBorders>
              <w:top w:val="single" w:sz="8" w:color="auto"/>
            </w:tcBorders>
            <w:shd w:val="clear" w:color="auto" w:fill="D1D2D4"/>
          </w:tcPr>
          <w:p>
            <w:pPr>
              <w:jc w:val="right"/>
              <w:ind w:right="900"/>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646</w:t>
            </w:r>
          </w:p>
        </w:tc>
        <w:tc>
          <w:tcPr>
            <w:tcW w:w="220" w:type="dxa"/>
            <w:vAlign w:val="bottom"/>
            <w:tcBorders>
              <w:top w:val="single" w:sz="8" w:color="auto"/>
            </w:tcBorders>
            <w:shd w:val="clear" w:color="auto" w:fill="D1D2D4"/>
          </w:tcPr>
          <w:p>
            <w:pPr>
              <w:ind w:left="40"/>
              <w:spacing w:after="0"/>
              <w:rPr>
                <w:sz w:val="20"/>
                <w:szCs w:val="20"/>
                <w:color w:val="auto"/>
              </w:rPr>
            </w:pPr>
            <w:r>
              <w:rPr>
                <w:rFonts w:ascii="Arial" w:cs="Arial" w:eastAsia="Arial" w:hAnsi="Arial"/>
                <w:sz w:val="12"/>
                <w:szCs w:val="12"/>
                <w:color w:val="auto"/>
              </w:rPr>
              <w:t>$</w:t>
            </w:r>
          </w:p>
        </w:tc>
        <w:tc>
          <w:tcPr>
            <w:tcW w:w="120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(243)</w:t>
            </w:r>
          </w:p>
        </w:tc>
        <w:tc>
          <w:tcPr>
            <w:tcW w:w="220" w:type="dxa"/>
            <w:vAlign w:val="bottom"/>
            <w:tcBorders>
              <w:top w:val="single" w:sz="8" w:color="auto"/>
            </w:tcBorders>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403</w:t>
            </w:r>
          </w:p>
        </w:tc>
        <w:tc>
          <w:tcPr>
            <w:tcW w:w="80" w:type="dxa"/>
            <w:vAlign w:val="bottom"/>
            <w:shd w:val="clear" w:color="auto" w:fill="D1D2D4"/>
          </w:tcPr>
          <w:p>
            <w:pPr>
              <w:spacing w:after="0"/>
              <w:rPr>
                <w:sz w:val="14"/>
                <w:szCs w:val="14"/>
                <w:color w:val="auto"/>
              </w:rPr>
            </w:pPr>
          </w:p>
        </w:tc>
        <w:tc>
          <w:tcPr>
            <w:tcW w:w="280" w:type="dxa"/>
            <w:vAlign w:val="bottom"/>
            <w:tcBorders>
              <w:top w:val="single" w:sz="8" w:color="auto"/>
            </w:tcBorders>
            <w:shd w:val="clear" w:color="auto" w:fill="D1D2D4"/>
          </w:tcPr>
          <w:p>
            <w:pPr>
              <w:jc w:val="right"/>
              <w:ind w:right="14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613</w:t>
            </w:r>
          </w:p>
        </w:tc>
        <w:tc>
          <w:tcPr>
            <w:tcW w:w="10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32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(209)</w:t>
            </w:r>
          </w:p>
        </w:tc>
        <w:tc>
          <w:tcPr>
            <w:tcW w:w="220" w:type="dxa"/>
            <w:vAlign w:val="bottom"/>
            <w:tcBorders>
              <w:top w:val="single" w:sz="8" w:color="auto"/>
            </w:tcBorders>
            <w:shd w:val="clear" w:color="auto" w:fill="D1D2D4"/>
          </w:tcPr>
          <w:p>
            <w:pPr>
              <w:jc w:val="right"/>
              <w:ind w:right="60"/>
              <w:spacing w:after="0"/>
              <w:rPr>
                <w:sz w:val="20"/>
                <w:szCs w:val="20"/>
                <w:color w:val="auto"/>
              </w:rPr>
            </w:pPr>
            <w:r>
              <w:rPr>
                <w:rFonts w:ascii="Arial" w:cs="Arial" w:eastAsia="Arial" w:hAnsi="Arial"/>
                <w:sz w:val="12"/>
                <w:szCs w:val="12"/>
                <w:color w:val="auto"/>
              </w:rPr>
              <w:t>$</w:t>
            </w:r>
          </w:p>
        </w:tc>
        <w:tc>
          <w:tcPr>
            <w:tcW w:w="120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404</w:t>
            </w:r>
          </w:p>
        </w:tc>
      </w:tr>
      <w:tr>
        <w:trPr>
          <w:trHeight w:val="153"/>
        </w:trPr>
        <w:tc>
          <w:tcPr>
            <w:tcW w:w="2780" w:type="dxa"/>
            <w:vAlign w:val="bottom"/>
            <w:tcBorders>
              <w:bottom w:val="single" w:sz="8" w:color="D1D2D4"/>
            </w:tcBorders>
          </w:tcPr>
          <w:p>
            <w:pPr>
              <w:spacing w:after="0"/>
              <w:rPr>
                <w:sz w:val="20"/>
                <w:szCs w:val="20"/>
                <w:color w:val="auto"/>
              </w:rPr>
            </w:pPr>
            <w:r>
              <w:rPr>
                <w:rFonts w:ascii="Arial" w:cs="Arial" w:eastAsia="Arial" w:hAnsi="Arial"/>
                <w:sz w:val="12"/>
                <w:szCs w:val="12"/>
                <w:color w:val="auto"/>
              </w:rPr>
              <w:t>Other</w:t>
            </w:r>
          </w:p>
        </w:tc>
        <w:tc>
          <w:tcPr>
            <w:tcW w:w="10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80" w:type="dxa"/>
            <w:vAlign w:val="bottom"/>
            <w:tcBorders>
              <w:bottom w:val="single" w:sz="8" w:color="D1D2D4"/>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2780" w:type="dxa"/>
            <w:vAlign w:val="bottom"/>
            <w:tcBorders>
              <w:bottom w:val="single" w:sz="8" w:color="D1D2D4"/>
            </w:tcBorders>
            <w:shd w:val="clear" w:color="auto" w:fill="D1D2D4"/>
          </w:tcPr>
          <w:p>
            <w:pPr>
              <w:spacing w:after="0"/>
              <w:rPr>
                <w:sz w:val="13"/>
                <w:szCs w:val="13"/>
                <w:color w:val="auto"/>
              </w:rPr>
            </w:pPr>
          </w:p>
        </w:tc>
        <w:tc>
          <w:tcPr>
            <w:tcW w:w="1040" w:type="dxa"/>
            <w:vAlign w:val="bottom"/>
            <w:tcBorders>
              <w:bottom w:val="single" w:sz="8" w:color="auto"/>
            </w:tcBorders>
            <w:shd w:val="clear" w:color="auto" w:fill="D1D2D4"/>
          </w:tcPr>
          <w:p>
            <w:pPr>
              <w:jc w:val="right"/>
              <w:ind w:right="900"/>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657</w:t>
            </w:r>
          </w:p>
        </w:tc>
        <w:tc>
          <w:tcPr>
            <w:tcW w:w="220" w:type="dxa"/>
            <w:vAlign w:val="bottom"/>
            <w:tcBorders>
              <w:bottom w:val="single" w:sz="8" w:color="auto"/>
            </w:tcBorders>
            <w:shd w:val="clear" w:color="auto" w:fill="D1D2D4"/>
          </w:tcPr>
          <w:p>
            <w:pPr>
              <w:ind w:left="4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(243)</w:t>
            </w:r>
          </w:p>
        </w:tc>
        <w:tc>
          <w:tcPr>
            <w:tcW w:w="220" w:type="dxa"/>
            <w:vAlign w:val="bottom"/>
            <w:tcBorders>
              <w:bottom w:val="single" w:sz="8" w:color="auto"/>
            </w:tcBorders>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414</w:t>
            </w:r>
          </w:p>
        </w:tc>
        <w:tc>
          <w:tcPr>
            <w:tcW w:w="80" w:type="dxa"/>
            <w:vAlign w:val="bottom"/>
            <w:tcBorders>
              <w:bottom w:val="single" w:sz="8" w:color="D1D2D4"/>
            </w:tcBorders>
            <w:shd w:val="clear" w:color="auto" w:fill="D1D2D4"/>
          </w:tcPr>
          <w:p>
            <w:pPr>
              <w:spacing w:after="0"/>
              <w:rPr>
                <w:sz w:val="13"/>
                <w:szCs w:val="13"/>
                <w:color w:val="auto"/>
              </w:rPr>
            </w:pPr>
          </w:p>
        </w:tc>
        <w:tc>
          <w:tcPr>
            <w:tcW w:w="280" w:type="dxa"/>
            <w:vAlign w:val="bottom"/>
            <w:tcBorders>
              <w:bottom w:val="single" w:sz="8" w:color="auto"/>
            </w:tcBorders>
            <w:shd w:val="clear" w:color="auto" w:fill="D1D2D4"/>
          </w:tcPr>
          <w:p>
            <w:pPr>
              <w:jc w:val="right"/>
              <w:ind w:right="14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613</w:t>
            </w:r>
          </w:p>
        </w:tc>
        <w:tc>
          <w:tcPr>
            <w:tcW w:w="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(209)</w:t>
            </w:r>
          </w:p>
        </w:tc>
        <w:tc>
          <w:tcPr>
            <w:tcW w:w="220" w:type="dxa"/>
            <w:vAlign w:val="bottom"/>
            <w:tcBorders>
              <w:bottom w:val="single" w:sz="8" w:color="auto"/>
            </w:tcBorders>
            <w:shd w:val="clear" w:color="auto" w:fill="D1D2D4"/>
          </w:tcPr>
          <w:p>
            <w:pPr>
              <w:jc w:val="right"/>
              <w:ind w:right="6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404</w:t>
            </w:r>
          </w:p>
        </w:tc>
      </w:tr>
    </w:tbl>
    <w:p>
      <w:pPr>
        <w:spacing w:after="0" w:line="203" w:lineRule="exact"/>
        <w:rPr>
          <w:sz w:val="20"/>
          <w:szCs w:val="20"/>
          <w:color w:val="auto"/>
        </w:rPr>
      </w:pPr>
    </w:p>
    <w:p>
      <w:pPr>
        <w:ind w:left="8" w:right="360"/>
        <w:spacing w:after="0" w:line="268" w:lineRule="auto"/>
        <w:rPr>
          <w:sz w:val="20"/>
          <w:szCs w:val="20"/>
          <w:color w:val="auto"/>
        </w:rPr>
      </w:pPr>
      <w:r>
        <w:rPr>
          <w:rFonts w:ascii="Arial" w:cs="Arial" w:eastAsia="Arial" w:hAnsi="Arial"/>
          <w:sz w:val="12"/>
          <w:szCs w:val="12"/>
          <w:color w:val="auto"/>
        </w:rPr>
        <w:t>In the first six months of 2024 and 2023, we capitalized $ 40 million and $51 million, respectively, for product and process technology with weighted-average useful lives of 9 years and 10 years, respectively. Amortization expense was $41 million and $45 million for the first six months of 2024 and 2023, respectively. Expected amortization expense is $44 million for the remainder of 2024, $57 million for 2025, $51 million for 2026, $47 million for 2027, and $45 million for 2028.</w:t>
      </w:r>
    </w:p>
    <w:p>
      <w:pPr>
        <w:spacing w:after="0" w:line="388"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13 | 2024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1" w:right="299" w:bottom="1440" w:gutter="0" w:footer="0" w:header="0"/>
        </w:sectPr>
      </w:pPr>
    </w:p>
    <w:bookmarkStart w:id="13" w:name="page14"/>
    <w:bookmarkEnd w:id="13"/>
    <w:tbl>
      <w:tblPr>
        <w:tblLayout w:type="fixed"/>
        <w:tblInd w:w="8" w:type="dxa"/>
        <w:tblCellMar>
          <w:top w:w="0" w:type="dxa"/>
          <w:left w:w="0" w:type="dxa"/>
          <w:bottom w:w="0" w:type="dxa"/>
          <w:right w:w="0" w:type="dxa"/>
        </w:tblCellMar>
      </w:tblPr>
      <w:tr>
        <w:trPr>
          <w:trHeight w:val="126"/>
        </w:trPr>
        <w:tc>
          <w:tcPr>
            <w:tcW w:w="55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gridSpan w:val="3"/>
          </w:tcPr>
          <w:p>
            <w:pPr>
              <w:ind w:left="260"/>
              <w:spacing w:after="0"/>
              <w:rPr>
                <w:sz w:val="20"/>
                <w:szCs w:val="20"/>
                <w:color w:val="auto"/>
              </w:rPr>
            </w:pPr>
            <w:r>
              <w:rPr>
                <w:rFonts w:ascii="Arial" w:cs="Arial" w:eastAsia="Arial" w:hAnsi="Arial"/>
                <w:sz w:val="11"/>
                <w:szCs w:val="11"/>
                <w:b w:val="1"/>
                <w:bCs w:val="1"/>
                <w:color w:val="BD03F7"/>
                <w:w w:val="96"/>
              </w:rPr>
              <w:t>Table of Contents</w:t>
            </w:r>
          </w:p>
        </w:tc>
      </w:tr>
      <w:tr>
        <w:trPr>
          <w:trHeight w:val="1086"/>
        </w:trPr>
        <w:tc>
          <w:tcPr>
            <w:tcW w:w="5500" w:type="dxa"/>
            <w:vAlign w:val="bottom"/>
          </w:tcPr>
          <w:p>
            <w:pPr>
              <w:spacing w:after="0"/>
              <w:rPr>
                <w:sz w:val="20"/>
                <w:szCs w:val="20"/>
                <w:color w:val="auto"/>
              </w:rPr>
            </w:pPr>
            <w:r>
              <w:rPr>
                <w:rFonts w:ascii="Arial" w:cs="Arial" w:eastAsia="Arial" w:hAnsi="Arial"/>
                <w:sz w:val="26"/>
                <w:szCs w:val="26"/>
                <w:b w:val="1"/>
                <w:bCs w:val="1"/>
                <w:color w:val="auto"/>
              </w:rPr>
              <w:t>Leases</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Borders>
              <w:top w:val="single" w:sz="8" w:color="BD03F7"/>
            </w:tcBorders>
          </w:tcPr>
          <w:p>
            <w:pPr>
              <w:spacing w:after="0"/>
              <w:rPr>
                <w:sz w:val="24"/>
                <w:szCs w:val="24"/>
                <w:color w:val="auto"/>
              </w:rPr>
            </w:pPr>
          </w:p>
        </w:tc>
        <w:tc>
          <w:tcPr>
            <w:tcW w:w="20" w:type="dxa"/>
            <w:vAlign w:val="bottom"/>
          </w:tcPr>
          <w:p>
            <w:pPr>
              <w:spacing w:after="0"/>
              <w:rPr>
                <w:sz w:val="24"/>
                <w:szCs w:val="24"/>
                <w:color w:val="auto"/>
              </w:rPr>
            </w:pPr>
          </w:p>
        </w:tc>
      </w:tr>
      <w:tr>
        <w:trPr>
          <w:trHeight w:val="273"/>
        </w:trPr>
        <w:tc>
          <w:tcPr>
            <w:tcW w:w="5500" w:type="dxa"/>
            <w:vAlign w:val="bottom"/>
          </w:tcPr>
          <w:p>
            <w:pPr>
              <w:spacing w:after="0"/>
              <w:rPr>
                <w:sz w:val="20"/>
                <w:szCs w:val="20"/>
                <w:color w:val="auto"/>
              </w:rPr>
            </w:pPr>
            <w:r>
              <w:rPr>
                <w:rFonts w:ascii="Arial" w:cs="Arial" w:eastAsia="Arial" w:hAnsi="Arial"/>
                <w:sz w:val="12"/>
                <w:szCs w:val="12"/>
                <w:color w:val="auto"/>
              </w:rPr>
              <w:t>The components of lease cost are presented below:</w:t>
            </w: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69"/>
        </w:trPr>
        <w:tc>
          <w:tcPr>
            <w:tcW w:w="5500" w:type="dxa"/>
            <w:vAlign w:val="bottom"/>
          </w:tcPr>
          <w:p>
            <w:pPr>
              <w:spacing w:after="0"/>
              <w:rPr>
                <w:sz w:val="14"/>
                <w:szCs w:val="14"/>
                <w:color w:val="auto"/>
              </w:rPr>
            </w:pPr>
          </w:p>
        </w:tc>
        <w:tc>
          <w:tcPr>
            <w:tcW w:w="2520" w:type="dxa"/>
            <w:vAlign w:val="bottom"/>
            <w:gridSpan w:val="3"/>
          </w:tcPr>
          <w:p>
            <w:pPr>
              <w:jc w:val="right"/>
              <w:ind w:right="620"/>
              <w:spacing w:after="0"/>
              <w:rPr>
                <w:sz w:val="20"/>
                <w:szCs w:val="20"/>
                <w:color w:val="auto"/>
              </w:rPr>
            </w:pPr>
            <w:r>
              <w:rPr>
                <w:rFonts w:ascii="Arial" w:cs="Arial" w:eastAsia="Arial" w:hAnsi="Arial"/>
                <w:sz w:val="12"/>
                <w:szCs w:val="12"/>
                <w:b w:val="1"/>
                <w:bCs w:val="1"/>
                <w:color w:val="auto"/>
              </w:rPr>
              <w:t>Quarter ended</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5"/>
          </w:tcPr>
          <w:p>
            <w:pPr>
              <w:ind w:left="700"/>
              <w:spacing w:after="0"/>
              <w:rPr>
                <w:sz w:val="20"/>
                <w:szCs w:val="20"/>
                <w:color w:val="auto"/>
              </w:rPr>
            </w:pPr>
            <w:r>
              <w:rPr>
                <w:rFonts w:ascii="Arial" w:cs="Arial" w:eastAsia="Arial" w:hAnsi="Arial"/>
                <w:sz w:val="12"/>
                <w:szCs w:val="12"/>
                <w:b w:val="1"/>
                <w:bCs w:val="1"/>
                <w:color w:val="auto"/>
              </w:rPr>
              <w:t>Six months ended</w:t>
            </w:r>
          </w:p>
        </w:tc>
      </w:tr>
      <w:tr>
        <w:trPr>
          <w:trHeight w:val="111"/>
        </w:trPr>
        <w:tc>
          <w:tcPr>
            <w:tcW w:w="5500" w:type="dxa"/>
            <w:vAlign w:val="bottom"/>
          </w:tcPr>
          <w:p>
            <w:pPr>
              <w:spacing w:after="0"/>
              <w:rPr>
                <w:sz w:val="9"/>
                <w:szCs w:val="9"/>
                <w:color w:val="auto"/>
              </w:rPr>
            </w:pPr>
          </w:p>
        </w:tc>
        <w:tc>
          <w:tcPr>
            <w:tcW w:w="1160" w:type="dxa"/>
            <w:vAlign w:val="bottom"/>
            <w:tcBorders>
              <w:top w:val="single" w:sz="8" w:color="auto"/>
            </w:tcBorders>
          </w:tcPr>
          <w:p>
            <w:pPr>
              <w:jc w:val="right"/>
              <w:ind w:right="45"/>
              <w:spacing w:after="0" w:line="111" w:lineRule="exact"/>
              <w:rPr>
                <w:sz w:val="20"/>
                <w:szCs w:val="20"/>
                <w:color w:val="auto"/>
              </w:rPr>
            </w:pPr>
            <w:r>
              <w:rPr>
                <w:rFonts w:ascii="Arial" w:cs="Arial" w:eastAsia="Arial" w:hAnsi="Arial"/>
                <w:sz w:val="12"/>
                <w:szCs w:val="12"/>
                <w:b w:val="1"/>
                <w:bCs w:val="1"/>
                <w:color w:val="auto"/>
              </w:rPr>
              <w:t>February 29,</w:t>
            </w:r>
          </w:p>
        </w:tc>
        <w:tc>
          <w:tcPr>
            <w:tcW w:w="24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right"/>
              <w:ind w:right="80"/>
              <w:spacing w:after="0" w:line="111" w:lineRule="exact"/>
              <w:rPr>
                <w:sz w:val="20"/>
                <w:szCs w:val="20"/>
                <w:color w:val="auto"/>
              </w:rPr>
            </w:pPr>
            <w:r>
              <w:rPr>
                <w:rFonts w:ascii="Arial" w:cs="Arial" w:eastAsia="Arial" w:hAnsi="Arial"/>
                <w:sz w:val="12"/>
                <w:szCs w:val="12"/>
                <w:b w:val="1"/>
                <w:bCs w:val="1"/>
                <w:color w:val="auto"/>
              </w:rPr>
              <w:t>March 2,</w:t>
            </w:r>
          </w:p>
        </w:tc>
        <w:tc>
          <w:tcPr>
            <w:tcW w:w="3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jc w:val="right"/>
              <w:ind w:right="280"/>
              <w:spacing w:after="0" w:line="111" w:lineRule="exact"/>
              <w:rPr>
                <w:sz w:val="20"/>
                <w:szCs w:val="20"/>
                <w:color w:val="auto"/>
              </w:rPr>
            </w:pPr>
            <w:r>
              <w:rPr>
                <w:rFonts w:ascii="Arial" w:cs="Arial" w:eastAsia="Arial" w:hAnsi="Arial"/>
                <w:sz w:val="12"/>
                <w:szCs w:val="12"/>
                <w:b w:val="1"/>
                <w:bCs w:val="1"/>
                <w:color w:val="auto"/>
              </w:rPr>
              <w:t>February 29,</w:t>
            </w:r>
          </w:p>
        </w:tc>
        <w:tc>
          <w:tcPr>
            <w:tcW w:w="30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gridSpan w:val="2"/>
          </w:tcPr>
          <w:p>
            <w:pPr>
              <w:jc w:val="right"/>
              <w:ind w:right="480"/>
              <w:spacing w:after="0" w:line="111" w:lineRule="exact"/>
              <w:rPr>
                <w:sz w:val="20"/>
                <w:szCs w:val="20"/>
                <w:color w:val="auto"/>
              </w:rPr>
            </w:pPr>
            <w:r>
              <w:rPr>
                <w:rFonts w:ascii="Arial" w:cs="Arial" w:eastAsia="Arial" w:hAnsi="Arial"/>
                <w:sz w:val="12"/>
                <w:szCs w:val="12"/>
                <w:b w:val="1"/>
                <w:bCs w:val="1"/>
                <w:color w:val="auto"/>
              </w:rPr>
              <w:t>March 2,</w:t>
            </w:r>
          </w:p>
        </w:tc>
        <w:tc>
          <w:tcPr>
            <w:tcW w:w="20" w:type="dxa"/>
            <w:vAlign w:val="bottom"/>
          </w:tcPr>
          <w:p>
            <w:pPr>
              <w:spacing w:after="0"/>
              <w:rPr>
                <w:sz w:val="9"/>
                <w:szCs w:val="9"/>
                <w:color w:val="auto"/>
              </w:rPr>
            </w:pPr>
          </w:p>
        </w:tc>
      </w:tr>
      <w:tr>
        <w:trPr>
          <w:trHeight w:val="165"/>
        </w:trPr>
        <w:tc>
          <w:tcPr>
            <w:tcW w:w="5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65"/>
              <w:spacing w:after="0"/>
              <w:rPr>
                <w:sz w:val="20"/>
                <w:szCs w:val="20"/>
                <w:color w:val="auto"/>
              </w:rPr>
            </w:pPr>
            <w:r>
              <w:rPr>
                <w:rFonts w:ascii="Arial" w:cs="Arial" w:eastAsia="Arial" w:hAnsi="Arial"/>
                <w:sz w:val="12"/>
                <w:szCs w:val="12"/>
                <w:b w:val="1"/>
                <w:bCs w:val="1"/>
                <w:color w:val="auto"/>
              </w:rPr>
              <w:t>2024</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2023</w:t>
            </w: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2024</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2"/>
                <w:szCs w:val="12"/>
                <w:b w:val="1"/>
                <w:bCs w:val="1"/>
                <w:color w:val="auto"/>
              </w:rPr>
              <w:t>2023</w:t>
            </w:r>
          </w:p>
        </w:tc>
        <w:tc>
          <w:tcPr>
            <w:tcW w:w="20" w:type="dxa"/>
            <w:vAlign w:val="bottom"/>
          </w:tcPr>
          <w:p>
            <w:pPr>
              <w:spacing w:after="0"/>
              <w:rPr>
                <w:sz w:val="14"/>
                <w:szCs w:val="14"/>
                <w:color w:val="auto"/>
              </w:rPr>
            </w:pPr>
          </w:p>
        </w:tc>
      </w:tr>
      <w:tr>
        <w:trPr>
          <w:trHeight w:val="161"/>
        </w:trPr>
        <w:tc>
          <w:tcPr>
            <w:tcW w:w="5500" w:type="dxa"/>
            <w:vAlign w:val="bottom"/>
            <w:shd w:val="clear" w:color="auto" w:fill="D1D2D4"/>
          </w:tcPr>
          <w:p>
            <w:pPr>
              <w:spacing w:after="0"/>
              <w:rPr>
                <w:sz w:val="20"/>
                <w:szCs w:val="20"/>
                <w:color w:val="auto"/>
              </w:rPr>
            </w:pPr>
            <w:r>
              <w:rPr>
                <w:rFonts w:ascii="Arial" w:cs="Arial" w:eastAsia="Arial" w:hAnsi="Arial"/>
                <w:sz w:val="12"/>
                <w:szCs w:val="12"/>
                <w:color w:val="auto"/>
              </w:rPr>
              <w:t>Finance lease cost</w:t>
            </w:r>
          </w:p>
        </w:tc>
        <w:tc>
          <w:tcPr>
            <w:tcW w:w="1160" w:type="dxa"/>
            <w:vAlign w:val="bottom"/>
            <w:shd w:val="clear" w:color="auto" w:fill="D1D2D4"/>
          </w:tcPr>
          <w:p>
            <w:pPr>
              <w:spacing w:after="0"/>
              <w:rPr>
                <w:sz w:val="14"/>
                <w:szCs w:val="14"/>
                <w:color w:val="auto"/>
              </w:rPr>
            </w:pPr>
          </w:p>
        </w:tc>
        <w:tc>
          <w:tcPr>
            <w:tcW w:w="240" w:type="dxa"/>
            <w:vAlign w:val="bottom"/>
            <w:shd w:val="clear" w:color="auto" w:fill="D1D2D4"/>
          </w:tcPr>
          <w:p>
            <w:pPr>
              <w:spacing w:after="0"/>
              <w:rPr>
                <w:sz w:val="14"/>
                <w:szCs w:val="14"/>
                <w:color w:val="auto"/>
              </w:rPr>
            </w:pPr>
          </w:p>
        </w:tc>
        <w:tc>
          <w:tcPr>
            <w:tcW w:w="1120" w:type="dxa"/>
            <w:vAlign w:val="bottom"/>
            <w:shd w:val="clear" w:color="auto" w:fill="D1D2D4"/>
          </w:tcPr>
          <w:p>
            <w:pPr>
              <w:spacing w:after="0"/>
              <w:rPr>
                <w:sz w:val="14"/>
                <w:szCs w:val="14"/>
                <w:color w:val="auto"/>
              </w:rPr>
            </w:pPr>
          </w:p>
        </w:tc>
        <w:tc>
          <w:tcPr>
            <w:tcW w:w="340" w:type="dxa"/>
            <w:vAlign w:val="bottom"/>
            <w:shd w:val="clear" w:color="auto" w:fill="D1D2D4"/>
          </w:tcPr>
          <w:p>
            <w:pPr>
              <w:spacing w:after="0"/>
              <w:rPr>
                <w:sz w:val="14"/>
                <w:szCs w:val="14"/>
                <w:color w:val="auto"/>
              </w:rPr>
            </w:pPr>
          </w:p>
        </w:tc>
        <w:tc>
          <w:tcPr>
            <w:tcW w:w="60" w:type="dxa"/>
            <w:vAlign w:val="bottom"/>
            <w:shd w:val="clear" w:color="auto" w:fill="D1D2D4"/>
          </w:tcPr>
          <w:p>
            <w:pPr>
              <w:spacing w:after="0"/>
              <w:rPr>
                <w:sz w:val="14"/>
                <w:szCs w:val="14"/>
                <w:color w:val="auto"/>
              </w:rPr>
            </w:pPr>
          </w:p>
        </w:tc>
        <w:tc>
          <w:tcPr>
            <w:tcW w:w="220" w:type="dxa"/>
            <w:vAlign w:val="bottom"/>
            <w:shd w:val="clear" w:color="auto" w:fill="D1D2D4"/>
          </w:tcPr>
          <w:p>
            <w:pPr>
              <w:spacing w:after="0"/>
              <w:rPr>
                <w:sz w:val="14"/>
                <w:szCs w:val="14"/>
                <w:color w:val="auto"/>
              </w:rPr>
            </w:pPr>
          </w:p>
        </w:tc>
        <w:tc>
          <w:tcPr>
            <w:tcW w:w="1200" w:type="dxa"/>
            <w:vAlign w:val="bottom"/>
            <w:shd w:val="clear" w:color="auto" w:fill="D1D2D4"/>
          </w:tcPr>
          <w:p>
            <w:pPr>
              <w:spacing w:after="0"/>
              <w:rPr>
                <w:sz w:val="14"/>
                <w:szCs w:val="14"/>
                <w:color w:val="auto"/>
              </w:rPr>
            </w:pPr>
          </w:p>
        </w:tc>
        <w:tc>
          <w:tcPr>
            <w:tcW w:w="300" w:type="dxa"/>
            <w:vAlign w:val="bottom"/>
            <w:shd w:val="clear" w:color="auto" w:fill="D1D2D4"/>
          </w:tcPr>
          <w:p>
            <w:pPr>
              <w:spacing w:after="0"/>
              <w:rPr>
                <w:sz w:val="14"/>
                <w:szCs w:val="14"/>
                <w:color w:val="auto"/>
              </w:rPr>
            </w:pPr>
          </w:p>
        </w:tc>
        <w:tc>
          <w:tcPr>
            <w:tcW w:w="260" w:type="dxa"/>
            <w:vAlign w:val="bottom"/>
            <w:shd w:val="clear" w:color="auto" w:fill="D1D2D4"/>
          </w:tcPr>
          <w:p>
            <w:pPr>
              <w:spacing w:after="0"/>
              <w:rPr>
                <w:sz w:val="14"/>
                <w:szCs w:val="14"/>
                <w:color w:val="auto"/>
              </w:rPr>
            </w:pPr>
          </w:p>
        </w:tc>
        <w:tc>
          <w:tcPr>
            <w:tcW w:w="900" w:type="dxa"/>
            <w:vAlign w:val="bottom"/>
            <w:shd w:val="clear" w:color="auto" w:fill="D1D2D4"/>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5500" w:type="dxa"/>
            <w:vAlign w:val="bottom"/>
          </w:tcPr>
          <w:p>
            <w:pPr>
              <w:ind w:left="80"/>
              <w:spacing w:after="0"/>
              <w:rPr>
                <w:sz w:val="20"/>
                <w:szCs w:val="20"/>
                <w:color w:val="auto"/>
              </w:rPr>
            </w:pPr>
            <w:r>
              <w:rPr>
                <w:rFonts w:ascii="Arial" w:cs="Arial" w:eastAsia="Arial" w:hAnsi="Arial"/>
                <w:sz w:val="12"/>
                <w:szCs w:val="12"/>
                <w:color w:val="auto"/>
              </w:rPr>
              <w:t>Amortization of right-of-use asset</w:t>
            </w:r>
          </w:p>
        </w:tc>
        <w:tc>
          <w:tcPr>
            <w:tcW w:w="1160" w:type="dxa"/>
            <w:vAlign w:val="bottom"/>
          </w:tcPr>
          <w:p>
            <w:pPr>
              <w:jc w:val="right"/>
              <w:ind w:right="1045"/>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37</w:t>
            </w:r>
          </w:p>
        </w:tc>
        <w:tc>
          <w:tcPr>
            <w:tcW w:w="1120" w:type="dxa"/>
            <w:vAlign w:val="bottom"/>
          </w:tcPr>
          <w:p>
            <w:pPr>
              <w:jc w:val="right"/>
              <w:ind w:right="960"/>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25</w:t>
            </w:r>
          </w:p>
        </w:tc>
        <w:tc>
          <w:tcPr>
            <w:tcW w:w="6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69</w:t>
            </w:r>
          </w:p>
        </w:tc>
        <w:tc>
          <w:tcPr>
            <w:tcW w:w="3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2"/>
                <w:szCs w:val="12"/>
                <w:color w:val="auto"/>
              </w:rPr>
              <w:t>49</w:t>
            </w:r>
          </w:p>
        </w:tc>
        <w:tc>
          <w:tcPr>
            <w:tcW w:w="20" w:type="dxa"/>
            <w:vAlign w:val="bottom"/>
          </w:tcPr>
          <w:p>
            <w:pPr>
              <w:spacing w:after="0"/>
              <w:rPr>
                <w:sz w:val="13"/>
                <w:szCs w:val="13"/>
                <w:color w:val="auto"/>
              </w:rPr>
            </w:pPr>
          </w:p>
        </w:tc>
      </w:tr>
      <w:tr>
        <w:trPr>
          <w:trHeight w:val="153"/>
        </w:trPr>
        <w:tc>
          <w:tcPr>
            <w:tcW w:w="5500" w:type="dxa"/>
            <w:vAlign w:val="bottom"/>
            <w:shd w:val="clear" w:color="auto" w:fill="D1D2D4"/>
          </w:tcPr>
          <w:p>
            <w:pPr>
              <w:ind w:left="80"/>
              <w:spacing w:after="0"/>
              <w:rPr>
                <w:sz w:val="20"/>
                <w:szCs w:val="20"/>
                <w:color w:val="auto"/>
              </w:rPr>
            </w:pPr>
            <w:r>
              <w:rPr>
                <w:rFonts w:ascii="Arial" w:cs="Arial" w:eastAsia="Arial" w:hAnsi="Arial"/>
                <w:sz w:val="12"/>
                <w:szCs w:val="12"/>
                <w:color w:val="auto"/>
              </w:rPr>
              <w:t>Interest on lease liability</w:t>
            </w:r>
          </w:p>
        </w:tc>
        <w:tc>
          <w:tcPr>
            <w:tcW w:w="1160" w:type="dxa"/>
            <w:vAlign w:val="bottom"/>
            <w:shd w:val="clear" w:color="auto" w:fill="D1D2D4"/>
          </w:tcPr>
          <w:p>
            <w:pPr>
              <w:spacing w:after="0"/>
              <w:rPr>
                <w:sz w:val="13"/>
                <w:szCs w:val="13"/>
                <w:color w:val="auto"/>
              </w:rPr>
            </w:pPr>
          </w:p>
        </w:tc>
        <w:tc>
          <w:tcPr>
            <w:tcW w:w="2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24</w:t>
            </w:r>
          </w:p>
        </w:tc>
        <w:tc>
          <w:tcPr>
            <w:tcW w:w="1120" w:type="dxa"/>
            <w:vAlign w:val="bottom"/>
            <w:shd w:val="clear" w:color="auto" w:fill="D1D2D4"/>
          </w:tcPr>
          <w:p>
            <w:pPr>
              <w:spacing w:after="0"/>
              <w:rPr>
                <w:sz w:val="13"/>
                <w:szCs w:val="13"/>
                <w:color w:val="auto"/>
              </w:rPr>
            </w:pPr>
          </w:p>
        </w:tc>
        <w:tc>
          <w:tcPr>
            <w:tcW w:w="3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w:t>
            </w:r>
          </w:p>
        </w:tc>
        <w:tc>
          <w:tcPr>
            <w:tcW w:w="6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30</w:t>
            </w:r>
          </w:p>
        </w:tc>
        <w:tc>
          <w:tcPr>
            <w:tcW w:w="300" w:type="dxa"/>
            <w:vAlign w:val="bottom"/>
            <w:shd w:val="clear" w:color="auto" w:fill="D1D2D4"/>
          </w:tcPr>
          <w:p>
            <w:pPr>
              <w:spacing w:after="0"/>
              <w:rPr>
                <w:sz w:val="13"/>
                <w:szCs w:val="13"/>
                <w:color w:val="auto"/>
              </w:rPr>
            </w:pPr>
          </w:p>
        </w:tc>
        <w:tc>
          <w:tcPr>
            <w:tcW w:w="116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12</w:t>
            </w:r>
          </w:p>
        </w:tc>
        <w:tc>
          <w:tcPr>
            <w:tcW w:w="20" w:type="dxa"/>
            <w:vAlign w:val="bottom"/>
          </w:tcPr>
          <w:p>
            <w:pPr>
              <w:spacing w:after="0"/>
              <w:rPr>
                <w:sz w:val="13"/>
                <w:szCs w:val="13"/>
                <w:color w:val="auto"/>
              </w:rPr>
            </w:pPr>
          </w:p>
        </w:tc>
      </w:tr>
      <w:tr>
        <w:trPr>
          <w:trHeight w:val="153"/>
        </w:trPr>
        <w:tc>
          <w:tcPr>
            <w:tcW w:w="5500" w:type="dxa"/>
            <w:vAlign w:val="bottom"/>
            <w:tcBorders>
              <w:bottom w:val="single" w:sz="8" w:color="D1D2D4"/>
            </w:tcBorders>
          </w:tcPr>
          <w:p>
            <w:pPr>
              <w:spacing w:after="0" w:line="153" w:lineRule="exact"/>
              <w:rPr>
                <w:sz w:val="20"/>
                <w:szCs w:val="20"/>
                <w:color w:val="auto"/>
              </w:rPr>
            </w:pPr>
            <w:r>
              <w:rPr>
                <w:rFonts w:ascii="Arial" w:cs="Arial" w:eastAsia="Arial" w:hAnsi="Arial"/>
                <w:sz w:val="12"/>
                <w:szCs w:val="12"/>
                <w:color w:val="auto"/>
              </w:rPr>
              <w:t>Operating lease cost</w:t>
            </w:r>
            <w:r>
              <w:rPr>
                <w:rFonts w:ascii="Arial" w:cs="Arial" w:eastAsia="Arial" w:hAnsi="Arial"/>
                <w:sz w:val="15"/>
                <w:szCs w:val="15"/>
                <w:color w:val="auto"/>
                <w:vertAlign w:val="superscript"/>
              </w:rPr>
              <w:t>(1)</w:t>
            </w:r>
          </w:p>
        </w:tc>
        <w:tc>
          <w:tcPr>
            <w:tcW w:w="1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w:t>
            </w:r>
          </w:p>
        </w:tc>
        <w:tc>
          <w:tcPr>
            <w:tcW w:w="1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w:t>
            </w:r>
          </w:p>
        </w:tc>
        <w:tc>
          <w:tcPr>
            <w:tcW w:w="60" w:type="dxa"/>
            <w:vAlign w:val="bottom"/>
            <w:tcBorders>
              <w:bottom w:val="single" w:sz="8" w:color="D1D2D4"/>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w:t>
            </w: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67</w:t>
            </w:r>
          </w:p>
        </w:tc>
        <w:tc>
          <w:tcPr>
            <w:tcW w:w="20" w:type="dxa"/>
            <w:vAlign w:val="bottom"/>
          </w:tcPr>
          <w:p>
            <w:pPr>
              <w:spacing w:after="0"/>
              <w:rPr>
                <w:sz w:val="13"/>
                <w:szCs w:val="13"/>
                <w:color w:val="auto"/>
              </w:rPr>
            </w:pPr>
          </w:p>
        </w:tc>
      </w:tr>
      <w:tr>
        <w:trPr>
          <w:trHeight w:val="158"/>
        </w:trPr>
        <w:tc>
          <w:tcPr>
            <w:tcW w:w="5500" w:type="dxa"/>
            <w:vAlign w:val="bottom"/>
            <w:tcBorders>
              <w:bottom w:val="single" w:sz="8" w:color="D1D2D4"/>
            </w:tcBorders>
            <w:shd w:val="clear" w:color="auto" w:fill="D1D2D4"/>
          </w:tcPr>
          <w:p>
            <w:pPr>
              <w:spacing w:after="0"/>
              <w:rPr>
                <w:sz w:val="13"/>
                <w:szCs w:val="13"/>
                <w:color w:val="auto"/>
              </w:rPr>
            </w:pPr>
          </w:p>
        </w:tc>
        <w:tc>
          <w:tcPr>
            <w:tcW w:w="1160" w:type="dxa"/>
            <w:vAlign w:val="bottom"/>
            <w:tcBorders>
              <w:bottom w:val="single" w:sz="8" w:color="auto"/>
            </w:tcBorders>
            <w:shd w:val="clear" w:color="auto" w:fill="D1D2D4"/>
          </w:tcPr>
          <w:p>
            <w:pPr>
              <w:jc w:val="right"/>
              <w:ind w:right="1045"/>
              <w:spacing w:after="0"/>
              <w:rPr>
                <w:sz w:val="20"/>
                <w:szCs w:val="20"/>
                <w:color w:val="auto"/>
              </w:rPr>
            </w:pPr>
            <w:r>
              <w:rPr>
                <w:rFonts w:ascii="Arial" w:cs="Arial" w:eastAsia="Arial" w:hAnsi="Arial"/>
                <w:sz w:val="10"/>
                <w:szCs w:val="10"/>
                <w:color w:val="auto"/>
                <w:w w:val="71"/>
              </w:rPr>
              <w:t>$</w:t>
            </w:r>
          </w:p>
        </w:tc>
        <w:tc>
          <w:tcPr>
            <w:tcW w:w="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96</w:t>
            </w:r>
          </w:p>
        </w:tc>
        <w:tc>
          <w:tcPr>
            <w:tcW w:w="1120" w:type="dxa"/>
            <w:vAlign w:val="bottom"/>
            <w:tcBorders>
              <w:bottom w:val="single" w:sz="8" w:color="auto"/>
            </w:tcBorders>
            <w:shd w:val="clear" w:color="auto" w:fill="D1D2D4"/>
          </w:tcPr>
          <w:p>
            <w:pPr>
              <w:jc w:val="right"/>
              <w:ind w:right="96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62</w:t>
            </w:r>
          </w:p>
        </w:tc>
        <w:tc>
          <w:tcPr>
            <w:tcW w:w="60" w:type="dxa"/>
            <w:vAlign w:val="bottom"/>
            <w:tcBorders>
              <w:bottom w:val="single" w:sz="8" w:color="D1D2D4"/>
            </w:tcBorders>
            <w:shd w:val="clear" w:color="auto" w:fill="D1D2D4"/>
          </w:tcPr>
          <w:p>
            <w:pPr>
              <w:spacing w:after="0"/>
              <w:rPr>
                <w:sz w:val="13"/>
                <w:szCs w:val="13"/>
                <w:color w:val="auto"/>
              </w:rPr>
            </w:pPr>
          </w:p>
        </w:tc>
        <w:tc>
          <w:tcPr>
            <w:tcW w:w="220" w:type="dxa"/>
            <w:vAlign w:val="bottom"/>
            <w:tcBorders>
              <w:bottom w:val="single" w:sz="8" w:color="auto"/>
            </w:tcBorders>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167</w:t>
            </w:r>
          </w:p>
        </w:tc>
        <w:tc>
          <w:tcPr>
            <w:tcW w:w="300" w:type="dxa"/>
            <w:vAlign w:val="bottom"/>
            <w:tcBorders>
              <w:bottom w:val="single" w:sz="8" w:color="auto"/>
            </w:tcBorders>
            <w:shd w:val="clear" w:color="auto" w:fill="D1D2D4"/>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128</w:t>
            </w:r>
          </w:p>
        </w:tc>
        <w:tc>
          <w:tcPr>
            <w:tcW w:w="20" w:type="dxa"/>
            <w:vAlign w:val="bottom"/>
          </w:tcPr>
          <w:p>
            <w:pPr>
              <w:spacing w:after="0"/>
              <w:rPr>
                <w:sz w:val="13"/>
                <w:szCs w:val="13"/>
                <w:color w:val="auto"/>
              </w:rPr>
            </w:pPr>
          </w:p>
        </w:tc>
      </w:tr>
    </w:tbl>
    <w:p>
      <w:pPr>
        <w:spacing w:after="0" w:line="52" w:lineRule="exact"/>
        <w:rPr>
          <w:sz w:val="20"/>
          <w:szCs w:val="20"/>
          <w:color w:val="auto"/>
        </w:rPr>
      </w:pPr>
    </w:p>
    <w:p>
      <w:pPr>
        <w:ind w:left="108" w:hanging="108"/>
        <w:spacing w:after="0"/>
        <w:tabs>
          <w:tab w:leader="none" w:pos="108" w:val="left"/>
        </w:tabs>
        <w:numPr>
          <w:ilvl w:val="0"/>
          <w:numId w:val="5"/>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Operating lease cost includes short-term and variable lease expenses, which were not material for the periods presented.</w:t>
      </w:r>
    </w:p>
    <w:p>
      <w:pPr>
        <w:spacing w:after="0" w:line="15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460" w:type="dxa"/>
            <w:vAlign w:val="bottom"/>
          </w:tcPr>
          <w:p>
            <w:pPr>
              <w:spacing w:after="0"/>
              <w:rPr>
                <w:sz w:val="20"/>
                <w:szCs w:val="20"/>
                <w:color w:val="auto"/>
              </w:rPr>
            </w:pPr>
            <w:r>
              <w:rPr>
                <w:rFonts w:ascii="Arial" w:cs="Arial" w:eastAsia="Arial" w:hAnsi="Arial"/>
                <w:sz w:val="12"/>
                <w:szCs w:val="12"/>
                <w:color w:val="auto"/>
              </w:rPr>
              <w:t>Supplemental cash flow information related to leases was as follows:</w:t>
            </w:r>
          </w:p>
        </w:tc>
        <w:tc>
          <w:tcPr>
            <w:tcW w:w="2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460" w:type="dxa"/>
            <w:vAlign w:val="bottom"/>
            <w:vMerge w:val="restart"/>
          </w:tcPr>
          <w:p>
            <w:pPr>
              <w:spacing w:after="0"/>
              <w:rPr>
                <w:sz w:val="20"/>
                <w:szCs w:val="20"/>
                <w:color w:val="auto"/>
              </w:rPr>
            </w:pPr>
            <w:r>
              <w:rPr>
                <w:rFonts w:ascii="Arial" w:cs="Arial" w:eastAsia="Arial" w:hAnsi="Arial"/>
                <w:sz w:val="12"/>
                <w:szCs w:val="12"/>
                <w:b w:val="1"/>
                <w:bCs w:val="1"/>
                <w:color w:val="auto"/>
              </w:rPr>
              <w:t>Six months ended</w:t>
            </w:r>
          </w:p>
        </w:tc>
        <w:tc>
          <w:tcPr>
            <w:tcW w:w="2120" w:type="dxa"/>
            <w:vAlign w:val="bottom"/>
          </w:tcPr>
          <w:p>
            <w:pPr>
              <w:spacing w:after="0"/>
              <w:rPr>
                <w:sz w:val="11"/>
                <w:szCs w:val="11"/>
                <w:color w:val="auto"/>
              </w:rPr>
            </w:pPr>
          </w:p>
        </w:tc>
        <w:tc>
          <w:tcPr>
            <w:tcW w:w="1060" w:type="dxa"/>
            <w:vAlign w:val="bottom"/>
          </w:tcPr>
          <w:p>
            <w:pPr>
              <w:jc w:val="right"/>
              <w:ind w:right="80"/>
              <w:spacing w:after="0" w:line="133" w:lineRule="exact"/>
              <w:rPr>
                <w:sz w:val="20"/>
                <w:szCs w:val="20"/>
                <w:color w:val="auto"/>
              </w:rPr>
            </w:pPr>
            <w:r>
              <w:rPr>
                <w:rFonts w:ascii="Arial" w:cs="Arial" w:eastAsia="Arial" w:hAnsi="Arial"/>
                <w:sz w:val="12"/>
                <w:szCs w:val="12"/>
                <w:b w:val="1"/>
                <w:bCs w:val="1"/>
                <w:color w:val="auto"/>
              </w:rPr>
              <w:t>February 29,</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right"/>
              <w:ind w:right="480"/>
              <w:spacing w:after="0" w:line="133" w:lineRule="exact"/>
              <w:rPr>
                <w:sz w:val="20"/>
                <w:szCs w:val="20"/>
                <w:color w:val="auto"/>
              </w:rPr>
            </w:pPr>
            <w:r>
              <w:rPr>
                <w:rFonts w:ascii="Arial" w:cs="Arial" w:eastAsia="Arial" w:hAnsi="Arial"/>
                <w:sz w:val="12"/>
                <w:szCs w:val="12"/>
                <w:b w:val="1"/>
                <w:bCs w:val="1"/>
                <w:color w:val="auto"/>
              </w:rPr>
              <w:t>March 2,</w:t>
            </w:r>
          </w:p>
        </w:tc>
        <w:tc>
          <w:tcPr>
            <w:tcW w:w="0" w:type="dxa"/>
            <w:vAlign w:val="bottom"/>
          </w:tcPr>
          <w:p>
            <w:pPr>
              <w:spacing w:after="0"/>
              <w:rPr>
                <w:sz w:val="1"/>
                <w:szCs w:val="1"/>
                <w:color w:val="auto"/>
              </w:rPr>
            </w:pPr>
          </w:p>
        </w:tc>
      </w:tr>
      <w:tr>
        <w:trPr>
          <w:trHeight w:val="170"/>
        </w:trPr>
        <w:tc>
          <w:tcPr>
            <w:tcW w:w="6460" w:type="dxa"/>
            <w:vAlign w:val="bottom"/>
            <w:tcBorders>
              <w:bottom w:val="single" w:sz="8" w:color="auto"/>
            </w:tcBorders>
            <w:vMerge w:val="continue"/>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2024</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2023</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60" w:type="dxa"/>
            <w:vAlign w:val="bottom"/>
            <w:shd w:val="clear" w:color="auto" w:fill="D1D2D4"/>
          </w:tcPr>
          <w:p>
            <w:pPr>
              <w:spacing w:after="0"/>
              <w:rPr>
                <w:sz w:val="20"/>
                <w:szCs w:val="20"/>
                <w:color w:val="auto"/>
              </w:rPr>
            </w:pPr>
            <w:r>
              <w:rPr>
                <w:rFonts w:ascii="Arial" w:cs="Arial" w:eastAsia="Arial" w:hAnsi="Arial"/>
                <w:sz w:val="12"/>
                <w:szCs w:val="12"/>
                <w:color w:val="auto"/>
              </w:rPr>
              <w:t>Cash flows used for operating activities</w:t>
            </w:r>
          </w:p>
        </w:tc>
        <w:tc>
          <w:tcPr>
            <w:tcW w:w="2120" w:type="dxa"/>
            <w:vAlign w:val="bottom"/>
            <w:shd w:val="clear" w:color="auto" w:fill="D1D2D4"/>
          </w:tcPr>
          <w:p>
            <w:pPr>
              <w:spacing w:after="0"/>
              <w:rPr>
                <w:sz w:val="14"/>
                <w:szCs w:val="14"/>
                <w:color w:val="auto"/>
              </w:rPr>
            </w:pPr>
          </w:p>
        </w:tc>
        <w:tc>
          <w:tcPr>
            <w:tcW w:w="1060" w:type="dxa"/>
            <w:vAlign w:val="bottom"/>
            <w:shd w:val="clear" w:color="auto" w:fill="D1D2D4"/>
          </w:tcPr>
          <w:p>
            <w:pPr>
              <w:spacing w:after="0"/>
              <w:rPr>
                <w:sz w:val="14"/>
                <w:szCs w:val="14"/>
                <w:color w:val="auto"/>
              </w:rPr>
            </w:pPr>
          </w:p>
        </w:tc>
        <w:tc>
          <w:tcPr>
            <w:tcW w:w="220" w:type="dxa"/>
            <w:vAlign w:val="bottom"/>
            <w:shd w:val="clear" w:color="auto" w:fill="D1D2D4"/>
          </w:tcPr>
          <w:p>
            <w:pPr>
              <w:spacing w:after="0"/>
              <w:rPr>
                <w:sz w:val="14"/>
                <w:szCs w:val="14"/>
                <w:color w:val="auto"/>
              </w:rPr>
            </w:pPr>
          </w:p>
        </w:tc>
        <w:tc>
          <w:tcPr>
            <w:tcW w:w="220" w:type="dxa"/>
            <w:vAlign w:val="bottom"/>
            <w:shd w:val="clear" w:color="auto" w:fill="D1D2D4"/>
          </w:tcPr>
          <w:p>
            <w:pPr>
              <w:spacing w:after="0"/>
              <w:rPr>
                <w:sz w:val="14"/>
                <w:szCs w:val="14"/>
                <w:color w:val="auto"/>
              </w:rPr>
            </w:pPr>
          </w:p>
        </w:tc>
        <w:tc>
          <w:tcPr>
            <w:tcW w:w="1200" w:type="dxa"/>
            <w:vAlign w:val="bottom"/>
            <w:shd w:val="clear" w:color="auto" w:fill="D1D2D4"/>
          </w:tcPr>
          <w:p>
            <w:pPr>
              <w:spacing w:after="0"/>
              <w:rPr>
                <w:sz w:val="14"/>
                <w:szCs w:val="14"/>
                <w:color w:val="auto"/>
              </w:rPr>
            </w:pPr>
          </w:p>
        </w:tc>
        <w:tc>
          <w:tcPr>
            <w:tcW w:w="2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460" w:type="dxa"/>
            <w:vAlign w:val="bottom"/>
          </w:tcPr>
          <w:p>
            <w:pPr>
              <w:ind w:left="80"/>
              <w:spacing w:after="0"/>
              <w:rPr>
                <w:sz w:val="20"/>
                <w:szCs w:val="20"/>
                <w:color w:val="auto"/>
              </w:rPr>
            </w:pPr>
            <w:r>
              <w:rPr>
                <w:rFonts w:ascii="Arial" w:cs="Arial" w:eastAsia="Arial" w:hAnsi="Arial"/>
                <w:sz w:val="12"/>
                <w:szCs w:val="12"/>
                <w:color w:val="auto"/>
              </w:rPr>
              <w:t>Finance leases</w:t>
            </w:r>
          </w:p>
        </w:tc>
        <w:tc>
          <w:tcPr>
            <w:tcW w:w="21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25</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60" w:type="dxa"/>
            <w:vAlign w:val="bottom"/>
            <w:shd w:val="clear" w:color="auto" w:fill="D1D2D4"/>
          </w:tcPr>
          <w:p>
            <w:pPr>
              <w:ind w:left="80"/>
              <w:spacing w:after="0"/>
              <w:rPr>
                <w:sz w:val="20"/>
                <w:szCs w:val="20"/>
                <w:color w:val="auto"/>
              </w:rPr>
            </w:pPr>
            <w:r>
              <w:rPr>
                <w:rFonts w:ascii="Arial" w:cs="Arial" w:eastAsia="Arial" w:hAnsi="Arial"/>
                <w:sz w:val="12"/>
                <w:szCs w:val="12"/>
                <w:color w:val="auto"/>
              </w:rPr>
              <w:t>Operating leases</w:t>
            </w:r>
          </w:p>
        </w:tc>
        <w:tc>
          <w:tcPr>
            <w:tcW w:w="2120" w:type="dxa"/>
            <w:vAlign w:val="bottom"/>
            <w:shd w:val="clear" w:color="auto" w:fill="D1D2D4"/>
          </w:tcPr>
          <w:p>
            <w:pPr>
              <w:spacing w:after="0"/>
              <w:rPr>
                <w:sz w:val="13"/>
                <w:szCs w:val="13"/>
                <w:color w:val="auto"/>
              </w:rPr>
            </w:pPr>
          </w:p>
        </w:tc>
        <w:tc>
          <w:tcPr>
            <w:tcW w:w="1060" w:type="dxa"/>
            <w:vAlign w:val="bottom"/>
            <w:shd w:val="clear" w:color="auto" w:fill="D1D2D4"/>
          </w:tcPr>
          <w:p>
            <w:pPr>
              <w:spacing w:after="0"/>
              <w:rPr>
                <w:sz w:val="13"/>
                <w:szCs w:val="13"/>
                <w:color w:val="auto"/>
              </w:rPr>
            </w:pPr>
          </w:p>
        </w:tc>
        <w:tc>
          <w:tcPr>
            <w:tcW w:w="2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66</w:t>
            </w: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60</w:t>
            </w:r>
          </w:p>
        </w:tc>
        <w:tc>
          <w:tcPr>
            <w:tcW w:w="2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Cash flows used for financing activities – Finance leases</w:t>
            </w:r>
          </w:p>
        </w:tc>
        <w:tc>
          <w:tcPr>
            <w:tcW w:w="2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60</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60" w:type="dxa"/>
            <w:vAlign w:val="bottom"/>
            <w:shd w:val="clear" w:color="auto" w:fill="D1D2D4"/>
          </w:tcPr>
          <w:p>
            <w:pPr>
              <w:spacing w:after="0"/>
              <w:rPr>
                <w:sz w:val="20"/>
                <w:szCs w:val="20"/>
                <w:color w:val="auto"/>
              </w:rPr>
            </w:pPr>
            <w:r>
              <w:rPr>
                <w:rFonts w:ascii="Arial" w:cs="Arial" w:eastAsia="Arial" w:hAnsi="Arial"/>
                <w:sz w:val="12"/>
                <w:szCs w:val="12"/>
                <w:color w:val="auto"/>
              </w:rPr>
              <w:t>Noncash acquisitions of right-of-use assets</w:t>
            </w:r>
          </w:p>
        </w:tc>
        <w:tc>
          <w:tcPr>
            <w:tcW w:w="2120" w:type="dxa"/>
            <w:vAlign w:val="bottom"/>
            <w:shd w:val="clear" w:color="auto" w:fill="D1D2D4"/>
          </w:tcPr>
          <w:p>
            <w:pPr>
              <w:spacing w:after="0"/>
              <w:rPr>
                <w:sz w:val="13"/>
                <w:szCs w:val="13"/>
                <w:color w:val="auto"/>
              </w:rPr>
            </w:pPr>
          </w:p>
        </w:tc>
        <w:tc>
          <w:tcPr>
            <w:tcW w:w="106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spacing w:after="0"/>
              <w:rPr>
                <w:sz w:val="13"/>
                <w:szCs w:val="13"/>
                <w:color w:val="auto"/>
              </w:rPr>
            </w:pPr>
          </w:p>
        </w:tc>
        <w:tc>
          <w:tcPr>
            <w:tcW w:w="2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60" w:type="dxa"/>
            <w:vAlign w:val="bottom"/>
          </w:tcPr>
          <w:p>
            <w:pPr>
              <w:ind w:left="80"/>
              <w:spacing w:after="0"/>
              <w:rPr>
                <w:sz w:val="20"/>
                <w:szCs w:val="20"/>
                <w:color w:val="auto"/>
              </w:rPr>
            </w:pPr>
            <w:r>
              <w:rPr>
                <w:rFonts w:ascii="Arial" w:cs="Arial" w:eastAsia="Arial" w:hAnsi="Arial"/>
                <w:sz w:val="12"/>
                <w:szCs w:val="12"/>
                <w:color w:val="auto"/>
              </w:rPr>
              <w:t>Finance leases</w:t>
            </w:r>
          </w:p>
        </w:tc>
        <w:tc>
          <w:tcPr>
            <w:tcW w:w="21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2"/>
                <w:szCs w:val="12"/>
                <w:color w:val="auto"/>
              </w:rPr>
              <w:t>483</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60" w:type="dxa"/>
            <w:vAlign w:val="bottom"/>
            <w:shd w:val="clear" w:color="auto" w:fill="D1D2D4"/>
          </w:tcPr>
          <w:p>
            <w:pPr>
              <w:ind w:left="80"/>
              <w:spacing w:after="0"/>
              <w:rPr>
                <w:sz w:val="20"/>
                <w:szCs w:val="20"/>
                <w:color w:val="auto"/>
              </w:rPr>
            </w:pPr>
            <w:r>
              <w:rPr>
                <w:rFonts w:ascii="Arial" w:cs="Arial" w:eastAsia="Arial" w:hAnsi="Arial"/>
                <w:sz w:val="12"/>
                <w:szCs w:val="12"/>
                <w:color w:val="auto"/>
              </w:rPr>
              <w:t>Operating leases</w:t>
            </w:r>
          </w:p>
        </w:tc>
        <w:tc>
          <w:tcPr>
            <w:tcW w:w="2120" w:type="dxa"/>
            <w:vAlign w:val="bottom"/>
            <w:shd w:val="clear" w:color="auto" w:fill="D1D2D4"/>
          </w:tcPr>
          <w:p>
            <w:pPr>
              <w:spacing w:after="0"/>
              <w:rPr>
                <w:sz w:val="13"/>
                <w:szCs w:val="13"/>
                <w:color w:val="auto"/>
              </w:rPr>
            </w:pPr>
          </w:p>
        </w:tc>
        <w:tc>
          <w:tcPr>
            <w:tcW w:w="1060" w:type="dxa"/>
            <w:vAlign w:val="bottom"/>
            <w:shd w:val="clear" w:color="auto" w:fill="D1D2D4"/>
          </w:tcPr>
          <w:p>
            <w:pPr>
              <w:spacing w:after="0"/>
              <w:rPr>
                <w:sz w:val="13"/>
                <w:szCs w:val="13"/>
                <w:color w:val="auto"/>
              </w:rPr>
            </w:pPr>
          </w:p>
        </w:tc>
        <w:tc>
          <w:tcPr>
            <w:tcW w:w="2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w:t>
            </w: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35</w:t>
            </w:r>
          </w:p>
        </w:tc>
        <w:tc>
          <w:tcPr>
            <w:tcW w:w="2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6460" w:type="dxa"/>
            <w:vAlign w:val="bottom"/>
          </w:tcPr>
          <w:p>
            <w:pPr>
              <w:spacing w:after="0"/>
              <w:rPr>
                <w:sz w:val="20"/>
                <w:szCs w:val="20"/>
                <w:color w:val="auto"/>
              </w:rPr>
            </w:pPr>
            <w:r>
              <w:rPr>
                <w:rFonts w:ascii="Arial" w:cs="Arial" w:eastAsia="Arial" w:hAnsi="Arial"/>
                <w:sz w:val="12"/>
                <w:szCs w:val="12"/>
                <w:color w:val="auto"/>
              </w:rPr>
              <w:t>Supplemental balance sheet information related to leases was as follows:</w:t>
            </w:r>
          </w:p>
        </w:tc>
        <w:tc>
          <w:tcPr>
            <w:tcW w:w="2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4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As of</w:t>
            </w:r>
          </w:p>
        </w:tc>
        <w:tc>
          <w:tcPr>
            <w:tcW w:w="2120" w:type="dxa"/>
            <w:vAlign w:val="bottom"/>
          </w:tcPr>
          <w:p>
            <w:pPr>
              <w:spacing w:after="0"/>
              <w:rPr>
                <w:sz w:val="11"/>
                <w:szCs w:val="11"/>
                <w:color w:val="auto"/>
              </w:rPr>
            </w:pPr>
          </w:p>
        </w:tc>
        <w:tc>
          <w:tcPr>
            <w:tcW w:w="1060" w:type="dxa"/>
            <w:vAlign w:val="bottom"/>
          </w:tcPr>
          <w:p>
            <w:pPr>
              <w:jc w:val="right"/>
              <w:ind w:right="200"/>
              <w:spacing w:after="0" w:line="133" w:lineRule="exact"/>
              <w:rPr>
                <w:sz w:val="20"/>
                <w:szCs w:val="20"/>
                <w:color w:val="auto"/>
              </w:rPr>
            </w:pPr>
            <w:r>
              <w:rPr>
                <w:rFonts w:ascii="Arial" w:cs="Arial" w:eastAsia="Arial" w:hAnsi="Arial"/>
                <w:sz w:val="12"/>
                <w:szCs w:val="12"/>
                <w:b w:val="1"/>
                <w:bCs w:val="1"/>
                <w:color w:val="auto"/>
              </w:rPr>
              <w:t>February 29,</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right"/>
              <w:ind w:right="460"/>
              <w:spacing w:after="0" w:line="133" w:lineRule="exact"/>
              <w:rPr>
                <w:sz w:val="20"/>
                <w:szCs w:val="20"/>
                <w:color w:val="auto"/>
              </w:rPr>
            </w:pPr>
            <w:r>
              <w:rPr>
                <w:rFonts w:ascii="Arial" w:cs="Arial" w:eastAsia="Arial" w:hAnsi="Arial"/>
                <w:sz w:val="12"/>
                <w:szCs w:val="12"/>
                <w:b w:val="1"/>
                <w:bCs w:val="1"/>
                <w:color w:val="auto"/>
              </w:rPr>
              <w:t>August 31,</w:t>
            </w:r>
          </w:p>
        </w:tc>
        <w:tc>
          <w:tcPr>
            <w:tcW w:w="0" w:type="dxa"/>
            <w:vAlign w:val="bottom"/>
          </w:tcPr>
          <w:p>
            <w:pPr>
              <w:spacing w:after="0"/>
              <w:rPr>
                <w:sz w:val="1"/>
                <w:szCs w:val="1"/>
                <w:color w:val="auto"/>
              </w:rPr>
            </w:pPr>
          </w:p>
        </w:tc>
      </w:tr>
      <w:tr>
        <w:trPr>
          <w:trHeight w:val="170"/>
        </w:trPr>
        <w:tc>
          <w:tcPr>
            <w:tcW w:w="6460" w:type="dxa"/>
            <w:vAlign w:val="bottom"/>
            <w:tcBorders>
              <w:bottom w:val="single" w:sz="8" w:color="auto"/>
            </w:tcBorders>
            <w:vMerge w:val="continue"/>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2024</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60" w:type="dxa"/>
            <w:vAlign w:val="bottom"/>
            <w:shd w:val="clear" w:color="auto" w:fill="D1D2D4"/>
          </w:tcPr>
          <w:p>
            <w:pPr>
              <w:ind w:left="20"/>
              <w:spacing w:after="0"/>
              <w:rPr>
                <w:sz w:val="20"/>
                <w:szCs w:val="20"/>
                <w:color w:val="auto"/>
              </w:rPr>
            </w:pPr>
            <w:r>
              <w:rPr>
                <w:rFonts w:ascii="Arial" w:cs="Arial" w:eastAsia="Arial" w:hAnsi="Arial"/>
                <w:sz w:val="12"/>
                <w:szCs w:val="12"/>
                <w:color w:val="auto"/>
              </w:rPr>
              <w:t>Finance lease right-of-use assets (included in property, plant, and equipment)</w:t>
            </w:r>
          </w:p>
        </w:tc>
        <w:tc>
          <w:tcPr>
            <w:tcW w:w="2120" w:type="dxa"/>
            <w:vAlign w:val="bottom"/>
            <w:shd w:val="clear" w:color="auto" w:fill="D1D2D4"/>
          </w:tcPr>
          <w:p>
            <w:pPr>
              <w:jc w:val="right"/>
              <w:ind w:right="180"/>
              <w:spacing w:after="0"/>
              <w:rPr>
                <w:sz w:val="20"/>
                <w:szCs w:val="20"/>
                <w:color w:val="auto"/>
              </w:rPr>
            </w:pPr>
            <w:r>
              <w:rPr>
                <w:rFonts w:ascii="Arial" w:cs="Arial" w:eastAsia="Arial" w:hAnsi="Arial"/>
                <w:sz w:val="12"/>
                <w:szCs w:val="12"/>
                <w:color w:val="auto"/>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1,725</w:t>
            </w:r>
          </w:p>
        </w:tc>
        <w:tc>
          <w:tcPr>
            <w:tcW w:w="2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D1D2D4"/>
          </w:tcPr>
          <w:p>
            <w:pPr>
              <w:spacing w:after="0"/>
              <w:rPr>
                <w:sz w:val="14"/>
                <w:szCs w:val="14"/>
                <w:color w:val="auto"/>
              </w:rPr>
            </w:pPr>
          </w:p>
        </w:tc>
        <w:tc>
          <w:tcPr>
            <w:tcW w:w="1200" w:type="dxa"/>
            <w:vAlign w:val="bottom"/>
            <w:shd w:val="clear" w:color="auto" w:fill="D1D2D4"/>
          </w:tcPr>
          <w:p>
            <w:pPr>
              <w:jc w:val="right"/>
              <w:ind w:right="100"/>
              <w:spacing w:after="0"/>
              <w:rPr>
                <w:sz w:val="20"/>
                <w:szCs w:val="20"/>
                <w:color w:val="auto"/>
              </w:rPr>
            </w:pPr>
            <w:r>
              <w:rPr>
                <w:rFonts w:ascii="Arial" w:cs="Arial" w:eastAsia="Arial" w:hAnsi="Arial"/>
                <w:sz w:val="12"/>
                <w:szCs w:val="12"/>
                <w:color w:val="auto"/>
              </w:rPr>
              <w:t>1,311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460" w:type="dxa"/>
            <w:vAlign w:val="bottom"/>
          </w:tcPr>
          <w:p>
            <w:pPr>
              <w:ind w:left="20"/>
              <w:spacing w:after="0"/>
              <w:rPr>
                <w:sz w:val="20"/>
                <w:szCs w:val="20"/>
                <w:color w:val="auto"/>
              </w:rPr>
            </w:pPr>
            <w:r>
              <w:rPr>
                <w:rFonts w:ascii="Arial" w:cs="Arial" w:eastAsia="Arial" w:hAnsi="Arial"/>
                <w:sz w:val="12"/>
                <w:szCs w:val="12"/>
                <w:color w:val="auto"/>
              </w:rPr>
              <w:t>Current operating lease liabilities (included in accounts payable and accrued expenses)</w:t>
            </w:r>
          </w:p>
        </w:tc>
        <w:tc>
          <w:tcPr>
            <w:tcW w:w="2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100"/>
              <w:spacing w:after="0"/>
              <w:rPr>
                <w:sz w:val="20"/>
                <w:szCs w:val="20"/>
                <w:color w:val="auto"/>
              </w:rPr>
            </w:pPr>
            <w:r>
              <w:rPr>
                <w:rFonts w:ascii="Arial" w:cs="Arial" w:eastAsia="Arial" w:hAnsi="Arial"/>
                <w:sz w:val="12"/>
                <w:szCs w:val="12"/>
                <w:color w:val="auto"/>
              </w:rPr>
              <w:t>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460" w:type="dxa"/>
            <w:vAlign w:val="bottom"/>
            <w:shd w:val="clear" w:color="auto" w:fill="D1D2D4"/>
          </w:tcPr>
          <w:p>
            <w:pPr>
              <w:spacing w:after="0"/>
              <w:rPr>
                <w:sz w:val="14"/>
                <w:szCs w:val="14"/>
                <w:color w:val="auto"/>
              </w:rPr>
            </w:pPr>
          </w:p>
        </w:tc>
        <w:tc>
          <w:tcPr>
            <w:tcW w:w="2120" w:type="dxa"/>
            <w:vAlign w:val="bottom"/>
            <w:shd w:val="clear" w:color="auto" w:fill="D1D2D4"/>
          </w:tcPr>
          <w:p>
            <w:pPr>
              <w:spacing w:after="0"/>
              <w:rPr>
                <w:sz w:val="14"/>
                <w:szCs w:val="14"/>
                <w:color w:val="auto"/>
              </w:rPr>
            </w:pPr>
          </w:p>
        </w:tc>
        <w:tc>
          <w:tcPr>
            <w:tcW w:w="1060" w:type="dxa"/>
            <w:vAlign w:val="bottom"/>
            <w:shd w:val="clear" w:color="auto" w:fill="D1D2D4"/>
          </w:tcPr>
          <w:p>
            <w:pPr>
              <w:spacing w:after="0"/>
              <w:rPr>
                <w:sz w:val="14"/>
                <w:szCs w:val="14"/>
                <w:color w:val="auto"/>
              </w:rPr>
            </w:pPr>
          </w:p>
        </w:tc>
        <w:tc>
          <w:tcPr>
            <w:tcW w:w="220" w:type="dxa"/>
            <w:vAlign w:val="bottom"/>
            <w:shd w:val="clear" w:color="auto" w:fill="D1D2D4"/>
          </w:tcPr>
          <w:p>
            <w:pPr>
              <w:spacing w:after="0"/>
              <w:rPr>
                <w:sz w:val="14"/>
                <w:szCs w:val="14"/>
                <w:color w:val="auto"/>
              </w:rPr>
            </w:pPr>
          </w:p>
        </w:tc>
        <w:tc>
          <w:tcPr>
            <w:tcW w:w="220" w:type="dxa"/>
            <w:vAlign w:val="bottom"/>
            <w:shd w:val="clear" w:color="auto" w:fill="D1D2D4"/>
          </w:tcPr>
          <w:p>
            <w:pPr>
              <w:spacing w:after="0"/>
              <w:rPr>
                <w:sz w:val="14"/>
                <w:szCs w:val="14"/>
                <w:color w:val="auto"/>
              </w:rPr>
            </w:pPr>
          </w:p>
        </w:tc>
        <w:tc>
          <w:tcPr>
            <w:tcW w:w="1200" w:type="dxa"/>
            <w:vAlign w:val="bottom"/>
            <w:shd w:val="clear" w:color="auto" w:fill="D1D2D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460" w:type="dxa"/>
            <w:vAlign w:val="bottom"/>
          </w:tcPr>
          <w:p>
            <w:pPr>
              <w:ind w:left="20"/>
              <w:spacing w:after="0"/>
              <w:rPr>
                <w:sz w:val="20"/>
                <w:szCs w:val="20"/>
                <w:color w:val="auto"/>
              </w:rPr>
            </w:pPr>
            <w:r>
              <w:rPr>
                <w:rFonts w:ascii="Arial" w:cs="Arial" w:eastAsia="Arial" w:hAnsi="Arial"/>
                <w:sz w:val="12"/>
                <w:szCs w:val="12"/>
                <w:color w:val="auto"/>
              </w:rPr>
              <w:t>Weighted-average remaining lease term (in years)</w:t>
            </w:r>
          </w:p>
        </w:tc>
        <w:tc>
          <w:tcPr>
            <w:tcW w:w="2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60" w:type="dxa"/>
            <w:vAlign w:val="bottom"/>
            <w:shd w:val="clear" w:color="auto" w:fill="D1D2D4"/>
          </w:tcPr>
          <w:p>
            <w:pPr>
              <w:ind w:left="80"/>
              <w:spacing w:after="0"/>
              <w:rPr>
                <w:sz w:val="20"/>
                <w:szCs w:val="20"/>
                <w:color w:val="auto"/>
              </w:rPr>
            </w:pPr>
            <w:r>
              <w:rPr>
                <w:rFonts w:ascii="Arial" w:cs="Arial" w:eastAsia="Arial" w:hAnsi="Arial"/>
                <w:sz w:val="12"/>
                <w:szCs w:val="12"/>
                <w:color w:val="auto"/>
              </w:rPr>
              <w:t>Finance leases</w:t>
            </w:r>
          </w:p>
        </w:tc>
        <w:tc>
          <w:tcPr>
            <w:tcW w:w="2120" w:type="dxa"/>
            <w:vAlign w:val="bottom"/>
            <w:shd w:val="clear" w:color="auto" w:fill="D1D2D4"/>
          </w:tcPr>
          <w:p>
            <w:pPr>
              <w:spacing w:after="0"/>
              <w:rPr>
                <w:sz w:val="13"/>
                <w:szCs w:val="13"/>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w:t>
            </w:r>
          </w:p>
        </w:tc>
        <w:tc>
          <w:tcPr>
            <w:tcW w:w="22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ind w:right="80"/>
              <w:spacing w:after="0"/>
              <w:rPr>
                <w:sz w:val="20"/>
                <w:szCs w:val="20"/>
                <w:color w:val="auto"/>
              </w:rPr>
            </w:pPr>
            <w:r>
              <w:rPr>
                <w:rFonts w:ascii="Arial" w:cs="Arial" w:eastAsia="Arial" w:hAnsi="Arial"/>
                <w:sz w:val="12"/>
                <w:szCs w:val="12"/>
                <w:color w:val="auto"/>
              </w:rPr>
              <w:t>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60" w:type="dxa"/>
            <w:vAlign w:val="bottom"/>
          </w:tcPr>
          <w:p>
            <w:pPr>
              <w:ind w:left="80"/>
              <w:spacing w:after="0"/>
              <w:rPr>
                <w:sz w:val="20"/>
                <w:szCs w:val="20"/>
                <w:color w:val="auto"/>
              </w:rPr>
            </w:pPr>
            <w:r>
              <w:rPr>
                <w:rFonts w:ascii="Arial" w:cs="Arial" w:eastAsia="Arial" w:hAnsi="Arial"/>
                <w:sz w:val="12"/>
                <w:szCs w:val="12"/>
                <w:color w:val="auto"/>
              </w:rPr>
              <w:t>Operating leases</w:t>
            </w:r>
          </w:p>
        </w:tc>
        <w:tc>
          <w:tcPr>
            <w:tcW w:w="2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60" w:type="dxa"/>
            <w:vAlign w:val="bottom"/>
            <w:shd w:val="clear" w:color="auto" w:fill="D1D2D4"/>
          </w:tcPr>
          <w:p>
            <w:pPr>
              <w:ind w:left="20"/>
              <w:spacing w:after="0"/>
              <w:rPr>
                <w:sz w:val="20"/>
                <w:szCs w:val="20"/>
                <w:color w:val="auto"/>
              </w:rPr>
            </w:pPr>
            <w:r>
              <w:rPr>
                <w:rFonts w:ascii="Arial" w:cs="Arial" w:eastAsia="Arial" w:hAnsi="Arial"/>
                <w:sz w:val="12"/>
                <w:szCs w:val="12"/>
                <w:color w:val="auto"/>
              </w:rPr>
              <w:t>Weighted-average discount rate</w:t>
            </w:r>
          </w:p>
        </w:tc>
        <w:tc>
          <w:tcPr>
            <w:tcW w:w="2120" w:type="dxa"/>
            <w:vAlign w:val="bottom"/>
            <w:shd w:val="clear" w:color="auto" w:fill="D1D2D4"/>
          </w:tcPr>
          <w:p>
            <w:pPr>
              <w:spacing w:after="0"/>
              <w:rPr>
                <w:sz w:val="13"/>
                <w:szCs w:val="13"/>
                <w:color w:val="auto"/>
              </w:rPr>
            </w:pPr>
          </w:p>
        </w:tc>
        <w:tc>
          <w:tcPr>
            <w:tcW w:w="106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60" w:type="dxa"/>
            <w:vAlign w:val="bottom"/>
          </w:tcPr>
          <w:p>
            <w:pPr>
              <w:ind w:left="80"/>
              <w:spacing w:after="0"/>
              <w:rPr>
                <w:sz w:val="20"/>
                <w:szCs w:val="20"/>
                <w:color w:val="auto"/>
              </w:rPr>
            </w:pPr>
            <w:r>
              <w:rPr>
                <w:rFonts w:ascii="Arial" w:cs="Arial" w:eastAsia="Arial" w:hAnsi="Arial"/>
                <w:sz w:val="12"/>
                <w:szCs w:val="12"/>
                <w:color w:val="auto"/>
              </w:rPr>
              <w:t>Finance leases</w:t>
            </w:r>
          </w:p>
        </w:tc>
        <w:tc>
          <w:tcPr>
            <w:tcW w:w="2120" w:type="dxa"/>
            <w:vAlign w:val="bottom"/>
          </w:tcPr>
          <w:p>
            <w:pPr>
              <w:spacing w:after="0"/>
              <w:rPr>
                <w:sz w:val="13"/>
                <w:szCs w:val="13"/>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2"/>
                <w:szCs w:val="12"/>
                <w:color w:val="auto"/>
              </w:rPr>
              <w:t>4.48 %</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3.86 %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60" w:type="dxa"/>
            <w:vAlign w:val="bottom"/>
            <w:shd w:val="clear" w:color="auto" w:fill="D1D2D4"/>
          </w:tcPr>
          <w:p>
            <w:pPr>
              <w:ind w:left="80"/>
              <w:spacing w:after="0"/>
              <w:rPr>
                <w:sz w:val="20"/>
                <w:szCs w:val="20"/>
                <w:color w:val="auto"/>
              </w:rPr>
            </w:pPr>
            <w:r>
              <w:rPr>
                <w:rFonts w:ascii="Arial" w:cs="Arial" w:eastAsia="Arial" w:hAnsi="Arial"/>
                <w:sz w:val="12"/>
                <w:szCs w:val="12"/>
                <w:color w:val="auto"/>
              </w:rPr>
              <w:t>Operating leases</w:t>
            </w:r>
          </w:p>
        </w:tc>
        <w:tc>
          <w:tcPr>
            <w:tcW w:w="2120" w:type="dxa"/>
            <w:vAlign w:val="bottom"/>
            <w:shd w:val="clear" w:color="auto" w:fill="D1D2D4"/>
          </w:tcPr>
          <w:p>
            <w:pPr>
              <w:spacing w:after="0"/>
              <w:rPr>
                <w:sz w:val="13"/>
                <w:szCs w:val="13"/>
                <w:color w:val="auto"/>
              </w:rPr>
            </w:pPr>
          </w:p>
        </w:tc>
        <w:tc>
          <w:tcPr>
            <w:tcW w:w="1280" w:type="dxa"/>
            <w:vAlign w:val="bottom"/>
            <w:gridSpan w:val="2"/>
            <w:shd w:val="clear" w:color="auto" w:fill="D1D2D4"/>
          </w:tcPr>
          <w:p>
            <w:pPr>
              <w:jc w:val="right"/>
              <w:ind w:right="40"/>
              <w:spacing w:after="0"/>
              <w:rPr>
                <w:sz w:val="20"/>
                <w:szCs w:val="20"/>
                <w:color w:val="auto"/>
              </w:rPr>
            </w:pPr>
            <w:r>
              <w:rPr>
                <w:rFonts w:ascii="Arial" w:cs="Arial" w:eastAsia="Arial" w:hAnsi="Arial"/>
                <w:sz w:val="12"/>
                <w:szCs w:val="12"/>
                <w:color w:val="auto"/>
              </w:rPr>
              <w:t>3.27 %</w:t>
            </w: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3.21 %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9"/>
        </w:trPr>
        <w:tc>
          <w:tcPr>
            <w:tcW w:w="64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1"/>
                <w:szCs w:val="11"/>
                <w:b w:val="1"/>
                <w:bCs w:val="1"/>
                <w:color w:val="auto"/>
              </w:rPr>
              <w:t>14</w:t>
            </w:r>
          </w:p>
        </w:tc>
        <w:tc>
          <w:tcPr>
            <w:tcW w:w="0" w:type="dxa"/>
            <w:vAlign w:val="bottom"/>
          </w:tcPr>
          <w:p>
            <w:pPr>
              <w:spacing w:after="0"/>
              <w:rPr>
                <w:sz w:val="1"/>
                <w:szCs w:val="1"/>
                <w:color w:val="auto"/>
              </w:rPr>
            </w:pPr>
          </w:p>
        </w:tc>
      </w:tr>
      <w:tr>
        <w:trPr>
          <w:trHeight w:val="59"/>
        </w:trPr>
        <w:tc>
          <w:tcPr>
            <w:tcW w:w="6460" w:type="dxa"/>
            <w:vAlign w:val="bottom"/>
            <w:tcBorders>
              <w:bottom w:val="single" w:sz="8" w:color="9A9A9A"/>
            </w:tcBorders>
          </w:tcPr>
          <w:p>
            <w:pPr>
              <w:spacing w:after="0"/>
              <w:rPr>
                <w:sz w:val="5"/>
                <w:szCs w:val="5"/>
                <w:color w:val="auto"/>
              </w:rPr>
            </w:pPr>
          </w:p>
        </w:tc>
        <w:tc>
          <w:tcPr>
            <w:tcW w:w="212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-216535</wp:posOffset>
            </wp:positionV>
            <wp:extent cx="440055"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0055" cy="120015"/>
                    </a:xfrm>
                    <a:prstGeom prst="rect">
                      <a:avLst/>
                    </a:prstGeom>
                    <a:noFill/>
                  </pic:spPr>
                </pic:pic>
              </a:graphicData>
            </a:graphic>
          </wp:anchor>
        </w:drawing>
      </w:r>
    </w:p>
    <w:p>
      <w:pPr>
        <w:sectPr>
          <w:pgSz w:w="11900" w:h="16838" w:orient="portrait"/>
          <w:cols w:equalWidth="0" w:num="1">
            <w:col w:w="11308"/>
          </w:cols>
          <w:pgMar w:left="292" w:top="121" w:right="2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26"/>
        </w:trPr>
        <w:tc>
          <w:tcPr>
            <w:tcW w:w="8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b w:val="1"/>
                <w:bCs w:val="1"/>
                <w:color w:val="BD03F7"/>
              </w:rPr>
              <w:t>Table of Contents</w:t>
            </w:r>
          </w:p>
        </w:tc>
      </w:tr>
      <w:tr>
        <w:trPr>
          <w:trHeight w:val="558"/>
        </w:trPr>
        <w:tc>
          <w:tcPr>
            <w:tcW w:w="8440" w:type="dxa"/>
            <w:vAlign w:val="bottom"/>
          </w:tcPr>
          <w:p>
            <w:pPr>
              <w:spacing w:after="0"/>
              <w:rPr>
                <w:sz w:val="20"/>
                <w:szCs w:val="20"/>
                <w:color w:val="auto"/>
              </w:rPr>
            </w:pPr>
            <w:r>
              <w:rPr>
                <w:rFonts w:ascii="Arial" w:cs="Arial" w:eastAsia="Arial" w:hAnsi="Arial"/>
                <w:sz w:val="12"/>
                <w:szCs w:val="12"/>
                <w:color w:val="auto"/>
              </w:rPr>
              <w:t>As of February 29, 2024, maturities of lease liabilities by fiscal year were as follows: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Borders>
              <w:top w:val="single" w:sz="8" w:color="BD03F7"/>
            </w:tcBorders>
          </w:tcPr>
          <w:p>
            <w:pPr>
              <w:spacing w:after="0"/>
              <w:rPr>
                <w:sz w:val="24"/>
                <w:szCs w:val="24"/>
                <w:color w:val="auto"/>
              </w:rPr>
            </w:pPr>
          </w:p>
        </w:tc>
      </w:tr>
      <w:tr>
        <w:trPr>
          <w:trHeight w:val="177"/>
        </w:trPr>
        <w:tc>
          <w:tcPr>
            <w:tcW w:w="84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For the year ending</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Finance Leases</w:t>
            </w: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Operating Leases</w:t>
            </w:r>
          </w:p>
        </w:tc>
      </w:tr>
      <w:tr>
        <w:trPr>
          <w:trHeight w:val="161"/>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Remainder of 2024</w:t>
            </w:r>
          </w:p>
        </w:tc>
        <w:tc>
          <w:tcPr>
            <w:tcW w:w="160" w:type="dxa"/>
            <w:vAlign w:val="bottom"/>
            <w:shd w:val="clear" w:color="auto" w:fill="D1D2D4"/>
          </w:tcPr>
          <w:p>
            <w:pPr>
              <w:jc w:val="right"/>
              <w:ind w:right="2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152</w:t>
            </w:r>
          </w:p>
        </w:tc>
        <w:tc>
          <w:tcPr>
            <w:tcW w:w="160" w:type="dxa"/>
            <w:vAlign w:val="bottom"/>
            <w:shd w:val="clear" w:color="auto" w:fill="D1D2D4"/>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31</w:t>
            </w: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2025</w:t>
            </w: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299</w:t>
            </w:r>
          </w:p>
        </w:tc>
        <w:tc>
          <w:tcPr>
            <w:tcW w:w="160" w:type="dxa"/>
            <w:vAlign w:val="bottom"/>
          </w:tcPr>
          <w:p>
            <w:pPr>
              <w:spacing w:after="0"/>
              <w:rPr>
                <w:sz w:val="13"/>
                <w:szCs w:val="13"/>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2"/>
                <w:szCs w:val="12"/>
                <w:color w:val="auto"/>
              </w:rPr>
              <w:t>83</w:t>
            </w: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2026</w:t>
            </w:r>
          </w:p>
        </w:tc>
        <w:tc>
          <w:tcPr>
            <w:tcW w:w="160" w:type="dxa"/>
            <w:vAlign w:val="bottom"/>
            <w:shd w:val="clear" w:color="auto" w:fill="D1D2D4"/>
          </w:tcPr>
          <w:p>
            <w:pPr>
              <w:spacing w:after="0"/>
              <w:rPr>
                <w:sz w:val="13"/>
                <w:szCs w:val="13"/>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285</w:t>
            </w:r>
          </w:p>
        </w:tc>
        <w:tc>
          <w:tcPr>
            <w:tcW w:w="160" w:type="dxa"/>
            <w:vAlign w:val="bottom"/>
            <w:shd w:val="clear" w:color="auto" w:fill="D1D2D4"/>
          </w:tcPr>
          <w:p>
            <w:pPr>
              <w:spacing w:after="0"/>
              <w:rPr>
                <w:sz w:val="13"/>
                <w:szCs w:val="13"/>
                <w:color w:val="auto"/>
              </w:rPr>
            </w:pPr>
          </w:p>
        </w:tc>
        <w:tc>
          <w:tcPr>
            <w:tcW w:w="128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80</w:t>
            </w: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2027</w:t>
            </w: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277</w:t>
            </w:r>
          </w:p>
        </w:tc>
        <w:tc>
          <w:tcPr>
            <w:tcW w:w="160" w:type="dxa"/>
            <w:vAlign w:val="bottom"/>
          </w:tcPr>
          <w:p>
            <w:pPr>
              <w:spacing w:after="0"/>
              <w:rPr>
                <w:sz w:val="13"/>
                <w:szCs w:val="13"/>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2"/>
                <w:szCs w:val="12"/>
                <w:color w:val="auto"/>
              </w:rPr>
              <w:t>77</w:t>
            </w: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2028</w:t>
            </w:r>
          </w:p>
        </w:tc>
        <w:tc>
          <w:tcPr>
            <w:tcW w:w="160" w:type="dxa"/>
            <w:vAlign w:val="bottom"/>
            <w:shd w:val="clear" w:color="auto" w:fill="D1D2D4"/>
          </w:tcPr>
          <w:p>
            <w:pPr>
              <w:spacing w:after="0"/>
              <w:rPr>
                <w:sz w:val="13"/>
                <w:szCs w:val="13"/>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267</w:t>
            </w:r>
          </w:p>
        </w:tc>
        <w:tc>
          <w:tcPr>
            <w:tcW w:w="160" w:type="dxa"/>
            <w:vAlign w:val="bottom"/>
            <w:shd w:val="clear" w:color="auto" w:fill="D1D2D4"/>
          </w:tcPr>
          <w:p>
            <w:pPr>
              <w:spacing w:after="0"/>
              <w:rPr>
                <w:sz w:val="13"/>
                <w:szCs w:val="13"/>
                <w:color w:val="auto"/>
              </w:rPr>
            </w:pPr>
          </w:p>
        </w:tc>
        <w:tc>
          <w:tcPr>
            <w:tcW w:w="128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74</w:t>
            </w: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2029 and thereafter</w:t>
            </w: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721</w:t>
            </w:r>
          </w:p>
        </w:tc>
        <w:tc>
          <w:tcPr>
            <w:tcW w:w="160" w:type="dxa"/>
            <w:vAlign w:val="bottom"/>
          </w:tcPr>
          <w:p>
            <w:pPr>
              <w:spacing w:after="0"/>
              <w:rPr>
                <w:sz w:val="13"/>
                <w:szCs w:val="13"/>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2"/>
                <w:szCs w:val="12"/>
                <w:color w:val="auto"/>
              </w:rPr>
              <w:t>452</w:t>
            </w: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Less imputed interest</w:t>
            </w:r>
          </w:p>
        </w:tc>
        <w:tc>
          <w:tcPr>
            <w:tcW w:w="160" w:type="dxa"/>
            <w:vAlign w:val="bottom"/>
            <w:tcBorders>
              <w:bottom w:val="single" w:sz="8" w:color="auto"/>
            </w:tcBorders>
            <w:shd w:val="clear" w:color="auto" w:fill="D1D2D4"/>
          </w:tcPr>
          <w:p>
            <w:pPr>
              <w:spacing w:after="0"/>
              <w:rPr>
                <w:sz w:val="13"/>
                <w:szCs w:val="13"/>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(297)</w:t>
            </w:r>
          </w:p>
        </w:tc>
        <w:tc>
          <w:tcPr>
            <w:tcW w:w="160" w:type="dxa"/>
            <w:vAlign w:val="bottom"/>
            <w:tcBorders>
              <w:bottom w:val="single" w:sz="8" w:color="auto"/>
            </w:tcBorders>
            <w:shd w:val="clear" w:color="auto" w:fill="D1D2D4"/>
          </w:tcPr>
          <w:p>
            <w:pPr>
              <w:spacing w:after="0"/>
              <w:rPr>
                <w:sz w:val="13"/>
                <w:szCs w:val="13"/>
                <w:color w:val="auto"/>
              </w:rPr>
            </w:pPr>
          </w:p>
        </w:tc>
        <w:tc>
          <w:tcPr>
            <w:tcW w:w="128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2"/>
                <w:szCs w:val="12"/>
                <w:color w:val="auto"/>
              </w:rPr>
              <w:t>(139)</w:t>
            </w:r>
          </w:p>
        </w:tc>
      </w:tr>
      <w:tr>
        <w:trPr>
          <w:trHeight w:val="142"/>
        </w:trPr>
        <w:tc>
          <w:tcPr>
            <w:tcW w:w="8440" w:type="dxa"/>
            <w:vAlign w:val="bottom"/>
          </w:tcPr>
          <w:p>
            <w:pPr>
              <w:spacing w:after="0"/>
              <w:rPr>
                <w:sz w:val="12"/>
                <w:szCs w:val="12"/>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1,704</w:t>
            </w: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658</w:t>
            </w: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The table above excludes obligations for leases that have been executed but have not yet commenced. As of February 29, 2024, excluded obligations consisted of $ 670 million of finance lease obligations over a weighted-average period of 14 years for gas supply arrangements deemed to contain embedded leases and equipment leases. We will recognize right-of-use assets and associated lease liabilities at the time such assets become available for our use.</w:t>
      </w:r>
    </w:p>
    <w:p>
      <w:pPr>
        <w:spacing w:after="0" w:line="293"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Accounts Payable and Accrued Expenses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40" w:type="dxa"/>
            <w:vAlign w:val="bottom"/>
            <w:vMerge w:val="restart"/>
          </w:tcPr>
          <w:p>
            <w:pPr>
              <w:spacing w:after="0"/>
              <w:rPr>
                <w:sz w:val="20"/>
                <w:szCs w:val="20"/>
                <w:color w:val="auto"/>
              </w:rPr>
            </w:pPr>
            <w:r>
              <w:rPr>
                <w:rFonts w:ascii="Arial" w:cs="Arial" w:eastAsia="Arial" w:hAnsi="Arial"/>
                <w:sz w:val="12"/>
                <w:szCs w:val="12"/>
                <w:b w:val="1"/>
                <w:bCs w:val="1"/>
                <w:color w:val="auto"/>
              </w:rPr>
              <w:t>As of</w:t>
            </w: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February 29,</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360"/>
              <w:spacing w:after="0"/>
              <w:rPr>
                <w:sz w:val="20"/>
                <w:szCs w:val="20"/>
                <w:color w:val="auto"/>
              </w:rPr>
            </w:pPr>
            <w:r>
              <w:rPr>
                <w:rFonts w:ascii="Arial" w:cs="Arial" w:eastAsia="Arial" w:hAnsi="Arial"/>
                <w:sz w:val="12"/>
                <w:szCs w:val="12"/>
                <w:b w:val="1"/>
                <w:bCs w:val="1"/>
                <w:color w:val="auto"/>
              </w:rPr>
              <w:t>August 31,</w:t>
            </w:r>
          </w:p>
        </w:tc>
        <w:tc>
          <w:tcPr>
            <w:tcW w:w="0" w:type="dxa"/>
            <w:vAlign w:val="bottom"/>
          </w:tcPr>
          <w:p>
            <w:pPr>
              <w:spacing w:after="0"/>
              <w:rPr>
                <w:sz w:val="1"/>
                <w:szCs w:val="1"/>
                <w:color w:val="auto"/>
              </w:rPr>
            </w:pPr>
          </w:p>
        </w:tc>
      </w:tr>
      <w:tr>
        <w:trPr>
          <w:trHeight w:val="170"/>
        </w:trPr>
        <w:tc>
          <w:tcPr>
            <w:tcW w:w="844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2024</w:t>
            </w: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61"/>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Accounts payable</w:t>
            </w:r>
          </w:p>
        </w:tc>
        <w:tc>
          <w:tcPr>
            <w:tcW w:w="1060" w:type="dxa"/>
            <w:vAlign w:val="bottom"/>
            <w:shd w:val="clear" w:color="auto" w:fill="D1D2D4"/>
          </w:tcPr>
          <w:p>
            <w:pPr>
              <w:jc w:val="right"/>
              <w:ind w:right="920"/>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D1D2D4"/>
          </w:tcPr>
          <w:p>
            <w:pPr>
              <w:jc w:val="right"/>
              <w:spacing w:after="0"/>
              <w:rPr>
                <w:sz w:val="20"/>
                <w:szCs w:val="20"/>
                <w:color w:val="auto"/>
              </w:rPr>
            </w:pPr>
            <w:r>
              <w:rPr>
                <w:rFonts w:ascii="Arial" w:cs="Arial" w:eastAsia="Arial" w:hAnsi="Arial"/>
                <w:sz w:val="12"/>
                <w:szCs w:val="12"/>
                <w:color w:val="auto"/>
                <w:w w:val="99"/>
              </w:rPr>
              <w:t>1,913</w:t>
            </w:r>
          </w:p>
        </w:tc>
        <w:tc>
          <w:tcPr>
            <w:tcW w:w="260" w:type="dxa"/>
            <w:vAlign w:val="bottom"/>
            <w:shd w:val="clear" w:color="auto" w:fill="D1D2D4"/>
          </w:tcPr>
          <w:p>
            <w:pPr>
              <w:jc w:val="right"/>
              <w:ind w:right="100"/>
              <w:spacing w:after="0"/>
              <w:rPr>
                <w:sz w:val="20"/>
                <w:szCs w:val="20"/>
                <w:color w:val="auto"/>
              </w:rPr>
            </w:pPr>
            <w:r>
              <w:rPr>
                <w:rFonts w:ascii="Arial" w:cs="Arial" w:eastAsia="Arial" w:hAnsi="Arial"/>
                <w:sz w:val="12"/>
                <w:szCs w:val="12"/>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1,725</w:t>
            </w: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Property, plant, and equipment</w:t>
            </w:r>
          </w:p>
        </w:tc>
        <w:tc>
          <w:tcPr>
            <w:tcW w:w="10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99"/>
              </w:rPr>
              <w:t>1,528</w:t>
            </w: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1,419</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Salaries, wages, and benefits</w:t>
            </w:r>
          </w:p>
        </w:tc>
        <w:tc>
          <w:tcPr>
            <w:tcW w:w="1060" w:type="dxa"/>
            <w:vAlign w:val="bottom"/>
            <w:shd w:val="clear" w:color="auto" w:fill="D1D2D4"/>
          </w:tcPr>
          <w:p>
            <w:pPr>
              <w:spacing w:after="0"/>
              <w:rPr>
                <w:sz w:val="13"/>
                <w:szCs w:val="13"/>
                <w:color w:val="auto"/>
              </w:rPr>
            </w:pPr>
          </w:p>
        </w:tc>
        <w:tc>
          <w:tcPr>
            <w:tcW w:w="3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637</w:t>
            </w:r>
          </w:p>
        </w:tc>
        <w:tc>
          <w:tcPr>
            <w:tcW w:w="26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367</w:t>
            </w: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Income and other taxes</w:t>
            </w:r>
          </w:p>
        </w:tc>
        <w:tc>
          <w:tcPr>
            <w:tcW w:w="10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188</w:t>
            </w: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Other</w:t>
            </w:r>
          </w:p>
        </w:tc>
        <w:tc>
          <w:tcPr>
            <w:tcW w:w="1060" w:type="dxa"/>
            <w:vAlign w:val="bottom"/>
            <w:tcBorders>
              <w:bottom w:val="single" w:sz="8" w:color="auto"/>
            </w:tcBorders>
            <w:shd w:val="clear" w:color="auto" w:fill="D1D2D4"/>
          </w:tcPr>
          <w:p>
            <w:pPr>
              <w:spacing w:after="0"/>
              <w:rPr>
                <w:sz w:val="13"/>
                <w:szCs w:val="13"/>
                <w:color w:val="auto"/>
              </w:rPr>
            </w:pPr>
          </w:p>
        </w:tc>
        <w:tc>
          <w:tcPr>
            <w:tcW w:w="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414</w:t>
            </w:r>
          </w:p>
        </w:tc>
        <w:tc>
          <w:tcPr>
            <w:tcW w:w="26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380</w:t>
            </w: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1060" w:type="dxa"/>
            <w:vAlign w:val="bottom"/>
            <w:tcBorders>
              <w:bottom w:val="single" w:sz="8" w:color="auto"/>
            </w:tcBorders>
          </w:tcPr>
          <w:p>
            <w:pPr>
              <w:jc w:val="right"/>
              <w:ind w:right="920"/>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4,680</w:t>
            </w: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3,958</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15 | 2024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5" w:name="page16"/>
    <w:bookmarkEnd w:id="15"/>
    <w:tbl>
      <w:tblPr>
        <w:tblLayout w:type="fixed"/>
        <w:tblInd w:w="8" w:type="dxa"/>
        <w:tblCellMar>
          <w:top w:w="0" w:type="dxa"/>
          <w:left w:w="0" w:type="dxa"/>
          <w:bottom w:w="0" w:type="dxa"/>
          <w:right w:w="0" w:type="dxa"/>
        </w:tblCellMar>
      </w:tblPr>
      <w:tr>
        <w:trPr>
          <w:trHeight w:val="126"/>
        </w:trPr>
        <w:tc>
          <w:tcPr>
            <w:tcW w:w="3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gridSpan w:val="4"/>
          </w:tcPr>
          <w:p>
            <w:pPr>
              <w:ind w:left="40"/>
              <w:spacing w:after="0"/>
              <w:rPr>
                <w:sz w:val="20"/>
                <w:szCs w:val="20"/>
                <w:color w:val="auto"/>
              </w:rPr>
            </w:pPr>
            <w:r>
              <w:rPr>
                <w:rFonts w:ascii="Arial" w:cs="Arial" w:eastAsia="Arial" w:hAnsi="Arial"/>
                <w:sz w:val="11"/>
                <w:szCs w:val="11"/>
                <w:b w:val="1"/>
                <w:bCs w:val="1"/>
                <w:color w:val="BD03F7"/>
                <w:w w:val="96"/>
              </w:rPr>
              <w:t>Table of Contents</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26"/>
                <w:szCs w:val="26"/>
                <w:b w:val="1"/>
                <w:bCs w:val="1"/>
                <w:color w:val="auto"/>
              </w:rPr>
              <w:t>Debt</w:t>
            </w: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BD03F7"/>
          </w:tcPr>
          <w:p>
            <w:pPr>
              <w:spacing w:after="0" w:line="20" w:lineRule="exact"/>
              <w:rPr>
                <w:sz w:val="1"/>
                <w:szCs w:val="1"/>
                <w:color w:val="auto"/>
              </w:rPr>
            </w:pPr>
          </w:p>
        </w:tc>
        <w:tc>
          <w:tcPr>
            <w:tcW w:w="660" w:type="dxa"/>
            <w:vAlign w:val="bottom"/>
            <w:shd w:val="clear" w:color="auto" w:fill="BD03F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2"/>
        </w:trPr>
        <w:tc>
          <w:tcPr>
            <w:tcW w:w="39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2700" w:type="dxa"/>
            <w:vAlign w:val="bottom"/>
            <w:gridSpan w:val="5"/>
            <w:vMerge w:val="restart"/>
          </w:tcPr>
          <w:p>
            <w:pPr>
              <w:jc w:val="right"/>
              <w:ind w:right="640"/>
              <w:spacing w:after="0"/>
              <w:rPr>
                <w:sz w:val="20"/>
                <w:szCs w:val="20"/>
                <w:color w:val="auto"/>
              </w:rPr>
            </w:pPr>
            <w:r>
              <w:rPr>
                <w:rFonts w:ascii="Arial" w:cs="Arial" w:eastAsia="Arial" w:hAnsi="Arial"/>
                <w:sz w:val="12"/>
                <w:szCs w:val="12"/>
                <w:b w:val="1"/>
                <w:bCs w:val="1"/>
                <w:color w:val="auto"/>
              </w:rPr>
              <w:t>As of February 29, 2024</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5"/>
            <w:vMerge w:val="restart"/>
          </w:tcPr>
          <w:p>
            <w:pPr>
              <w:jc w:val="center"/>
              <w:ind w:left="420"/>
              <w:spacing w:after="0"/>
              <w:rPr>
                <w:sz w:val="20"/>
                <w:szCs w:val="20"/>
                <w:color w:val="auto"/>
              </w:rPr>
            </w:pPr>
            <w:r>
              <w:rPr>
                <w:rFonts w:ascii="Arial" w:cs="Arial" w:eastAsia="Arial" w:hAnsi="Arial"/>
                <w:sz w:val="12"/>
                <w:szCs w:val="12"/>
                <w:b w:val="1"/>
                <w:bCs w:val="1"/>
                <w:color w:val="auto"/>
                <w:w w:val="99"/>
              </w:rPr>
              <w:t>As of August 31, 2023</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392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gridSpan w:val="5"/>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5"/>
            <w:vMerge w:val="continue"/>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2"/>
                <w:szCs w:val="12"/>
                <w:b w:val="1"/>
                <w:bCs w:val="1"/>
                <w:color w:val="auto"/>
              </w:rPr>
              <w:t>Net Carrying Amount</w:t>
            </w: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5"/>
          </w:tcPr>
          <w:p>
            <w:pPr>
              <w:jc w:val="center"/>
              <w:ind w:left="420"/>
              <w:spacing w:after="0"/>
              <w:rPr>
                <w:sz w:val="20"/>
                <w:szCs w:val="20"/>
                <w:color w:val="auto"/>
              </w:rPr>
            </w:pPr>
            <w:r>
              <w:rPr>
                <w:rFonts w:ascii="Arial" w:cs="Arial" w:eastAsia="Arial" w:hAnsi="Arial"/>
                <w:sz w:val="12"/>
                <w:szCs w:val="12"/>
                <w:b w:val="1"/>
                <w:bCs w:val="1"/>
                <w:color w:val="auto"/>
                <w:w w:val="99"/>
              </w:rPr>
              <w:t>Net Carrying Amount</w:t>
            </w:r>
          </w:p>
        </w:tc>
        <w:tc>
          <w:tcPr>
            <w:tcW w:w="6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9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Stated Rate</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Effective Rate</w:t>
            </w: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Current</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w w:val="98"/>
              </w:rPr>
              <w:t>Long-Term</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Current</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Long-Term</w:t>
            </w: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920" w:type="dxa"/>
            <w:vAlign w:val="bottom"/>
            <w:shd w:val="clear" w:color="auto" w:fill="D1D2D4"/>
          </w:tcPr>
          <w:p>
            <w:pPr>
              <w:spacing w:after="0"/>
              <w:rPr>
                <w:sz w:val="20"/>
                <w:szCs w:val="20"/>
                <w:color w:val="auto"/>
              </w:rPr>
            </w:pPr>
            <w:r>
              <w:rPr>
                <w:rFonts w:ascii="Arial" w:cs="Arial" w:eastAsia="Arial" w:hAnsi="Arial"/>
                <w:sz w:val="12"/>
                <w:szCs w:val="12"/>
                <w:color w:val="auto"/>
              </w:rPr>
              <w:t>2025 Term Loan A</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6.676 %</w:t>
            </w:r>
          </w:p>
        </w:tc>
        <w:tc>
          <w:tcPr>
            <w:tcW w:w="1080" w:type="dxa"/>
            <w:vAlign w:val="bottom"/>
            <w:gridSpan w:val="2"/>
            <w:shd w:val="clear" w:color="auto" w:fill="D1D2D4"/>
          </w:tcPr>
          <w:p>
            <w:pPr>
              <w:jc w:val="right"/>
              <w:ind w:right="20"/>
              <w:spacing w:after="0"/>
              <w:rPr>
                <w:sz w:val="20"/>
                <w:szCs w:val="20"/>
                <w:color w:val="auto"/>
              </w:rPr>
            </w:pPr>
            <w:r>
              <w:rPr>
                <w:rFonts w:ascii="Arial" w:cs="Arial" w:eastAsia="Arial" w:hAnsi="Arial"/>
                <w:sz w:val="12"/>
                <w:szCs w:val="12"/>
                <w:color w:val="auto"/>
              </w:rPr>
              <w:t>6.81 % $</w:t>
            </w:r>
          </w:p>
        </w:tc>
        <w:tc>
          <w:tcPr>
            <w:tcW w:w="86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 $</w:t>
            </w: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649</w:t>
            </w:r>
          </w:p>
        </w:tc>
        <w:tc>
          <w:tcPr>
            <w:tcW w:w="260" w:type="dxa"/>
            <w:vAlign w:val="bottom"/>
            <w:shd w:val="clear" w:color="auto" w:fill="D1D2D4"/>
          </w:tcPr>
          <w:p>
            <w:pPr>
              <w:jc w:val="right"/>
              <w:ind w:right="100"/>
              <w:spacing w:after="0"/>
              <w:rPr>
                <w:sz w:val="20"/>
                <w:szCs w:val="20"/>
                <w:color w:val="auto"/>
              </w:rPr>
            </w:pPr>
            <w:r>
              <w:rPr>
                <w:rFonts w:ascii="Arial" w:cs="Arial" w:eastAsia="Arial" w:hAnsi="Arial"/>
                <w:sz w:val="12"/>
                <w:szCs w:val="12"/>
                <w:color w:val="auto"/>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649</w:t>
            </w:r>
          </w:p>
        </w:tc>
        <w:tc>
          <w:tcPr>
            <w:tcW w:w="100" w:type="dxa"/>
            <w:vAlign w:val="bottom"/>
            <w:shd w:val="clear" w:color="auto" w:fill="D1D2D4"/>
          </w:tcPr>
          <w:p>
            <w:pPr>
              <w:spacing w:after="0"/>
              <w:rPr>
                <w:sz w:val="14"/>
                <w:szCs w:val="14"/>
                <w:color w:val="auto"/>
              </w:rPr>
            </w:pPr>
          </w:p>
        </w:tc>
        <w:tc>
          <w:tcPr>
            <w:tcW w:w="160" w:type="dxa"/>
            <w:vAlign w:val="bottom"/>
            <w:shd w:val="clear" w:color="auto" w:fill="D1D2D4"/>
          </w:tcPr>
          <w:p>
            <w:pPr>
              <w:jc w:val="right"/>
              <w:ind w:right="20"/>
              <w:spacing w:after="0"/>
              <w:rPr>
                <w:sz w:val="20"/>
                <w:szCs w:val="20"/>
                <w:color w:val="auto"/>
              </w:rPr>
            </w:pPr>
            <w:r>
              <w:rPr>
                <w:rFonts w:ascii="Arial" w:cs="Arial" w:eastAsia="Arial" w:hAnsi="Arial"/>
                <w:sz w:val="12"/>
                <w:szCs w:val="12"/>
                <w:color w:val="auto"/>
                <w:w w:val="89"/>
              </w:rPr>
              <w:t>$</w:t>
            </w:r>
          </w:p>
        </w:tc>
        <w:tc>
          <w:tcPr>
            <w:tcW w:w="84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 $</w:t>
            </w: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1,050</w:t>
            </w:r>
          </w:p>
        </w:tc>
        <w:tc>
          <w:tcPr>
            <w:tcW w:w="280" w:type="dxa"/>
            <w:vAlign w:val="bottom"/>
            <w:gridSpan w:val="2"/>
            <w:shd w:val="clear" w:color="auto" w:fill="D1D2D4"/>
          </w:tcPr>
          <w:p>
            <w:pPr>
              <w:ind w:left="40"/>
              <w:spacing w:after="0"/>
              <w:rPr>
                <w:sz w:val="20"/>
                <w:szCs w:val="20"/>
                <w:color w:val="auto"/>
              </w:rPr>
            </w:pPr>
            <w:r>
              <w:rPr>
                <w:rFonts w:ascii="Arial" w:cs="Arial" w:eastAsia="Arial" w:hAnsi="Arial"/>
                <w:sz w:val="12"/>
                <w:szCs w:val="12"/>
                <w:color w:val="auto"/>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920" w:type="dxa"/>
            <w:vAlign w:val="bottom"/>
          </w:tcPr>
          <w:p>
            <w:pPr>
              <w:spacing w:after="0"/>
              <w:rPr>
                <w:sz w:val="20"/>
                <w:szCs w:val="20"/>
                <w:color w:val="auto"/>
              </w:rPr>
            </w:pPr>
            <w:r>
              <w:rPr>
                <w:rFonts w:ascii="Arial" w:cs="Arial" w:eastAsia="Arial" w:hAnsi="Arial"/>
                <w:sz w:val="12"/>
                <w:szCs w:val="12"/>
                <w:color w:val="auto"/>
              </w:rPr>
              <w:t>2026 Term Loan A</w:t>
            </w:r>
          </w:p>
        </w:tc>
        <w:tc>
          <w:tcPr>
            <w:tcW w:w="960" w:type="dxa"/>
            <w:vAlign w:val="bottom"/>
          </w:tcPr>
          <w:p>
            <w:pPr>
              <w:jc w:val="right"/>
              <w:spacing w:after="0"/>
              <w:rPr>
                <w:sz w:val="20"/>
                <w:szCs w:val="20"/>
                <w:color w:val="auto"/>
              </w:rPr>
            </w:pPr>
            <w:r>
              <w:rPr>
                <w:rFonts w:ascii="Arial" w:cs="Arial" w:eastAsia="Arial" w:hAnsi="Arial"/>
                <w:sz w:val="12"/>
                <w:szCs w:val="12"/>
                <w:color w:val="auto"/>
              </w:rPr>
              <w:t>6.801 %</w:t>
            </w:r>
          </w:p>
        </w:tc>
        <w:tc>
          <w:tcPr>
            <w:tcW w:w="920" w:type="dxa"/>
            <w:vAlign w:val="bottom"/>
          </w:tcPr>
          <w:p>
            <w:pPr>
              <w:jc w:val="right"/>
              <w:spacing w:after="0"/>
              <w:rPr>
                <w:sz w:val="20"/>
                <w:szCs w:val="20"/>
                <w:color w:val="auto"/>
              </w:rPr>
            </w:pPr>
            <w:r>
              <w:rPr>
                <w:rFonts w:ascii="Arial" w:cs="Arial" w:eastAsia="Arial" w:hAnsi="Arial"/>
                <w:sz w:val="12"/>
                <w:szCs w:val="12"/>
                <w:color w:val="auto"/>
              </w:rPr>
              <w:t>6.94 %</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49</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896</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945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49</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921</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D1D2D4"/>
          </w:tcPr>
          <w:p>
            <w:pPr>
              <w:spacing w:after="0"/>
              <w:rPr>
                <w:sz w:val="20"/>
                <w:szCs w:val="20"/>
                <w:color w:val="auto"/>
              </w:rPr>
            </w:pPr>
            <w:r>
              <w:rPr>
                <w:rFonts w:ascii="Arial" w:cs="Arial" w:eastAsia="Arial" w:hAnsi="Arial"/>
                <w:sz w:val="12"/>
                <w:szCs w:val="12"/>
                <w:color w:val="auto"/>
              </w:rPr>
              <w:t>2027 Term Loan A</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6.926 %</w:t>
            </w:r>
          </w:p>
        </w:tc>
        <w:tc>
          <w:tcPr>
            <w:tcW w:w="9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7.06 %</w:t>
            </w:r>
          </w:p>
        </w:tc>
        <w:tc>
          <w:tcPr>
            <w:tcW w:w="160" w:type="dxa"/>
            <w:vAlign w:val="bottom"/>
            <w:shd w:val="clear" w:color="auto" w:fill="D1D2D4"/>
          </w:tcPr>
          <w:p>
            <w:pPr>
              <w:spacing w:after="0"/>
              <w:rPr>
                <w:sz w:val="13"/>
                <w:szCs w:val="13"/>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57</w:t>
            </w:r>
          </w:p>
        </w:tc>
        <w:tc>
          <w:tcPr>
            <w:tcW w:w="14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1,035</w:t>
            </w:r>
          </w:p>
        </w:tc>
        <w:tc>
          <w:tcPr>
            <w:tcW w:w="260" w:type="dxa"/>
            <w:vAlign w:val="bottom"/>
            <w:shd w:val="clear" w:color="auto" w:fill="D1D2D4"/>
          </w:tcPr>
          <w:p>
            <w:pPr>
              <w:spacing w:after="0"/>
              <w:rPr>
                <w:sz w:val="13"/>
                <w:szCs w:val="13"/>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1,092</w:t>
            </w:r>
          </w:p>
        </w:tc>
        <w:tc>
          <w:tcPr>
            <w:tcW w:w="10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57</w:t>
            </w:r>
          </w:p>
        </w:tc>
        <w:tc>
          <w:tcPr>
            <w:tcW w:w="12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1,063</w:t>
            </w:r>
          </w:p>
        </w:tc>
        <w:tc>
          <w:tcPr>
            <w:tcW w:w="40" w:type="dxa"/>
            <w:vAlign w:val="bottom"/>
            <w:shd w:val="clear" w:color="auto" w:fill="D1D2D4"/>
          </w:tcPr>
          <w:p>
            <w:pPr>
              <w:spacing w:after="0"/>
              <w:rPr>
                <w:sz w:val="13"/>
                <w:szCs w:val="13"/>
                <w:color w:val="auto"/>
              </w:rPr>
            </w:pPr>
          </w:p>
        </w:tc>
        <w:tc>
          <w:tcPr>
            <w:tcW w:w="240" w:type="dxa"/>
            <w:vAlign w:val="bottom"/>
            <w:shd w:val="clear" w:color="auto" w:fill="D1D2D4"/>
          </w:tcPr>
          <w:p>
            <w:pPr>
              <w:spacing w:after="0"/>
              <w:rPr>
                <w:sz w:val="13"/>
                <w:szCs w:val="13"/>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tcPr>
          <w:p>
            <w:pPr>
              <w:spacing w:after="0"/>
              <w:rPr>
                <w:sz w:val="20"/>
                <w:szCs w:val="20"/>
                <w:color w:val="auto"/>
              </w:rPr>
            </w:pPr>
            <w:r>
              <w:rPr>
                <w:rFonts w:ascii="Arial" w:cs="Arial" w:eastAsia="Arial" w:hAnsi="Arial"/>
                <w:sz w:val="12"/>
                <w:szCs w:val="12"/>
                <w:color w:val="auto"/>
              </w:rPr>
              <w:t>2026 Notes</w:t>
            </w:r>
          </w:p>
        </w:tc>
        <w:tc>
          <w:tcPr>
            <w:tcW w:w="960" w:type="dxa"/>
            <w:vAlign w:val="bottom"/>
          </w:tcPr>
          <w:p>
            <w:pPr>
              <w:jc w:val="right"/>
              <w:spacing w:after="0"/>
              <w:rPr>
                <w:sz w:val="20"/>
                <w:szCs w:val="20"/>
                <w:color w:val="auto"/>
              </w:rPr>
            </w:pPr>
            <w:r>
              <w:rPr>
                <w:rFonts w:ascii="Arial" w:cs="Arial" w:eastAsia="Arial" w:hAnsi="Arial"/>
                <w:sz w:val="12"/>
                <w:szCs w:val="12"/>
                <w:color w:val="auto"/>
              </w:rPr>
              <w:t>4.975 %</w:t>
            </w:r>
          </w:p>
        </w:tc>
        <w:tc>
          <w:tcPr>
            <w:tcW w:w="920" w:type="dxa"/>
            <w:vAlign w:val="bottom"/>
          </w:tcPr>
          <w:p>
            <w:pPr>
              <w:jc w:val="right"/>
              <w:spacing w:after="0"/>
              <w:rPr>
                <w:sz w:val="20"/>
                <w:szCs w:val="20"/>
                <w:color w:val="auto"/>
              </w:rPr>
            </w:pPr>
            <w:r>
              <w:rPr>
                <w:rFonts w:ascii="Arial" w:cs="Arial" w:eastAsia="Arial" w:hAnsi="Arial"/>
                <w:sz w:val="12"/>
                <w:szCs w:val="12"/>
                <w:color w:val="auto"/>
              </w:rPr>
              <w:t>5.07 %</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499</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499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499</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D1D2D4"/>
          </w:tcPr>
          <w:p>
            <w:pPr>
              <w:spacing w:after="0" w:line="153" w:lineRule="exact"/>
              <w:rPr>
                <w:sz w:val="20"/>
                <w:szCs w:val="20"/>
                <w:color w:val="auto"/>
              </w:rPr>
            </w:pPr>
            <w:r>
              <w:rPr>
                <w:rFonts w:ascii="Arial" w:cs="Arial" w:eastAsia="Arial" w:hAnsi="Arial"/>
                <w:sz w:val="12"/>
                <w:szCs w:val="12"/>
                <w:color w:val="auto"/>
              </w:rPr>
              <w:t>2027 Notes</w:t>
            </w:r>
            <w:r>
              <w:rPr>
                <w:rFonts w:ascii="Arial" w:cs="Arial" w:eastAsia="Arial" w:hAnsi="Arial"/>
                <w:sz w:val="15"/>
                <w:szCs w:val="15"/>
                <w:color w:val="auto"/>
                <w:vertAlign w:val="superscript"/>
              </w:rPr>
              <w:t>(1)</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4.185 %</w:t>
            </w:r>
          </w:p>
        </w:tc>
        <w:tc>
          <w:tcPr>
            <w:tcW w:w="9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4.27 %</w:t>
            </w:r>
          </w:p>
        </w:tc>
        <w:tc>
          <w:tcPr>
            <w:tcW w:w="160" w:type="dxa"/>
            <w:vAlign w:val="bottom"/>
            <w:shd w:val="clear" w:color="auto" w:fill="D1D2D4"/>
          </w:tcPr>
          <w:p>
            <w:pPr>
              <w:spacing w:after="0"/>
              <w:rPr>
                <w:sz w:val="13"/>
                <w:szCs w:val="13"/>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812</w:t>
            </w:r>
          </w:p>
        </w:tc>
        <w:tc>
          <w:tcPr>
            <w:tcW w:w="260" w:type="dxa"/>
            <w:vAlign w:val="bottom"/>
            <w:shd w:val="clear" w:color="auto" w:fill="D1D2D4"/>
          </w:tcPr>
          <w:p>
            <w:pPr>
              <w:spacing w:after="0"/>
              <w:rPr>
                <w:sz w:val="13"/>
                <w:szCs w:val="13"/>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812</w:t>
            </w:r>
          </w:p>
        </w:tc>
        <w:tc>
          <w:tcPr>
            <w:tcW w:w="10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798</w:t>
            </w:r>
          </w:p>
        </w:tc>
        <w:tc>
          <w:tcPr>
            <w:tcW w:w="40" w:type="dxa"/>
            <w:vAlign w:val="bottom"/>
            <w:shd w:val="clear" w:color="auto" w:fill="D1D2D4"/>
          </w:tcPr>
          <w:p>
            <w:pPr>
              <w:spacing w:after="0"/>
              <w:rPr>
                <w:sz w:val="13"/>
                <w:szCs w:val="13"/>
                <w:color w:val="auto"/>
              </w:rPr>
            </w:pPr>
          </w:p>
        </w:tc>
        <w:tc>
          <w:tcPr>
            <w:tcW w:w="240" w:type="dxa"/>
            <w:vAlign w:val="bottom"/>
            <w:shd w:val="clear" w:color="auto" w:fill="D1D2D4"/>
          </w:tcPr>
          <w:p>
            <w:pPr>
              <w:spacing w:after="0"/>
              <w:rPr>
                <w:sz w:val="13"/>
                <w:szCs w:val="13"/>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tcPr>
          <w:p>
            <w:pPr>
              <w:spacing w:after="0"/>
              <w:rPr>
                <w:sz w:val="20"/>
                <w:szCs w:val="20"/>
                <w:color w:val="auto"/>
              </w:rPr>
            </w:pPr>
            <w:r>
              <w:rPr>
                <w:rFonts w:ascii="Arial" w:cs="Arial" w:eastAsia="Arial" w:hAnsi="Arial"/>
                <w:sz w:val="12"/>
                <w:szCs w:val="12"/>
                <w:color w:val="auto"/>
              </w:rPr>
              <w:t>2028 Notes</w:t>
            </w:r>
          </w:p>
        </w:tc>
        <w:tc>
          <w:tcPr>
            <w:tcW w:w="960" w:type="dxa"/>
            <w:vAlign w:val="bottom"/>
          </w:tcPr>
          <w:p>
            <w:pPr>
              <w:jc w:val="right"/>
              <w:spacing w:after="0"/>
              <w:rPr>
                <w:sz w:val="20"/>
                <w:szCs w:val="20"/>
                <w:color w:val="auto"/>
              </w:rPr>
            </w:pPr>
            <w:r>
              <w:rPr>
                <w:rFonts w:ascii="Arial" w:cs="Arial" w:eastAsia="Arial" w:hAnsi="Arial"/>
                <w:sz w:val="12"/>
                <w:szCs w:val="12"/>
                <w:color w:val="auto"/>
              </w:rPr>
              <w:t>5.375 %</w:t>
            </w:r>
          </w:p>
        </w:tc>
        <w:tc>
          <w:tcPr>
            <w:tcW w:w="920" w:type="dxa"/>
            <w:vAlign w:val="bottom"/>
          </w:tcPr>
          <w:p>
            <w:pPr>
              <w:jc w:val="right"/>
              <w:spacing w:after="0"/>
              <w:rPr>
                <w:sz w:val="20"/>
                <w:szCs w:val="20"/>
                <w:color w:val="auto"/>
              </w:rPr>
            </w:pPr>
            <w:r>
              <w:rPr>
                <w:rFonts w:ascii="Arial" w:cs="Arial" w:eastAsia="Arial" w:hAnsi="Arial"/>
                <w:sz w:val="12"/>
                <w:szCs w:val="12"/>
                <w:color w:val="auto"/>
              </w:rPr>
              <w:t>5.52 %</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597</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597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596</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D1D2D4"/>
          </w:tcPr>
          <w:p>
            <w:pPr>
              <w:spacing w:after="0"/>
              <w:rPr>
                <w:sz w:val="20"/>
                <w:szCs w:val="20"/>
                <w:color w:val="auto"/>
              </w:rPr>
            </w:pPr>
            <w:r>
              <w:rPr>
                <w:rFonts w:ascii="Arial" w:cs="Arial" w:eastAsia="Arial" w:hAnsi="Arial"/>
                <w:sz w:val="12"/>
                <w:szCs w:val="12"/>
                <w:color w:val="auto"/>
              </w:rPr>
              <w:t>2029 A Notes</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5.327 %</w:t>
            </w:r>
          </w:p>
        </w:tc>
        <w:tc>
          <w:tcPr>
            <w:tcW w:w="9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5.40 %</w:t>
            </w:r>
          </w:p>
        </w:tc>
        <w:tc>
          <w:tcPr>
            <w:tcW w:w="160" w:type="dxa"/>
            <w:vAlign w:val="bottom"/>
            <w:shd w:val="clear" w:color="auto" w:fill="D1D2D4"/>
          </w:tcPr>
          <w:p>
            <w:pPr>
              <w:spacing w:after="0"/>
              <w:rPr>
                <w:sz w:val="13"/>
                <w:szCs w:val="13"/>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698</w:t>
            </w:r>
          </w:p>
        </w:tc>
        <w:tc>
          <w:tcPr>
            <w:tcW w:w="260" w:type="dxa"/>
            <w:vAlign w:val="bottom"/>
            <w:shd w:val="clear" w:color="auto" w:fill="D1D2D4"/>
          </w:tcPr>
          <w:p>
            <w:pPr>
              <w:spacing w:after="0"/>
              <w:rPr>
                <w:sz w:val="13"/>
                <w:szCs w:val="13"/>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698</w:t>
            </w:r>
          </w:p>
        </w:tc>
        <w:tc>
          <w:tcPr>
            <w:tcW w:w="10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697</w:t>
            </w:r>
          </w:p>
        </w:tc>
        <w:tc>
          <w:tcPr>
            <w:tcW w:w="40" w:type="dxa"/>
            <w:vAlign w:val="bottom"/>
            <w:shd w:val="clear" w:color="auto" w:fill="D1D2D4"/>
          </w:tcPr>
          <w:p>
            <w:pPr>
              <w:spacing w:after="0"/>
              <w:rPr>
                <w:sz w:val="13"/>
                <w:szCs w:val="13"/>
                <w:color w:val="auto"/>
              </w:rPr>
            </w:pPr>
          </w:p>
        </w:tc>
        <w:tc>
          <w:tcPr>
            <w:tcW w:w="240" w:type="dxa"/>
            <w:vAlign w:val="bottom"/>
            <w:shd w:val="clear" w:color="auto" w:fill="D1D2D4"/>
          </w:tcPr>
          <w:p>
            <w:pPr>
              <w:spacing w:after="0"/>
              <w:rPr>
                <w:sz w:val="13"/>
                <w:szCs w:val="13"/>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tcPr>
          <w:p>
            <w:pPr>
              <w:spacing w:after="0"/>
              <w:rPr>
                <w:sz w:val="20"/>
                <w:szCs w:val="20"/>
                <w:color w:val="auto"/>
              </w:rPr>
            </w:pPr>
            <w:r>
              <w:rPr>
                <w:rFonts w:ascii="Arial" w:cs="Arial" w:eastAsia="Arial" w:hAnsi="Arial"/>
                <w:sz w:val="12"/>
                <w:szCs w:val="12"/>
                <w:color w:val="auto"/>
              </w:rPr>
              <w:t>2029 B Notes</w:t>
            </w:r>
          </w:p>
        </w:tc>
        <w:tc>
          <w:tcPr>
            <w:tcW w:w="960" w:type="dxa"/>
            <w:vAlign w:val="bottom"/>
          </w:tcPr>
          <w:p>
            <w:pPr>
              <w:jc w:val="right"/>
              <w:spacing w:after="0"/>
              <w:rPr>
                <w:sz w:val="20"/>
                <w:szCs w:val="20"/>
                <w:color w:val="auto"/>
              </w:rPr>
            </w:pPr>
            <w:r>
              <w:rPr>
                <w:rFonts w:ascii="Arial" w:cs="Arial" w:eastAsia="Arial" w:hAnsi="Arial"/>
                <w:sz w:val="12"/>
                <w:szCs w:val="12"/>
                <w:color w:val="auto"/>
              </w:rPr>
              <w:t>6.750 %</w:t>
            </w:r>
          </w:p>
        </w:tc>
        <w:tc>
          <w:tcPr>
            <w:tcW w:w="920" w:type="dxa"/>
            <w:vAlign w:val="bottom"/>
          </w:tcPr>
          <w:p>
            <w:pPr>
              <w:jc w:val="right"/>
              <w:spacing w:after="0"/>
              <w:rPr>
                <w:sz w:val="20"/>
                <w:szCs w:val="20"/>
                <w:color w:val="auto"/>
              </w:rPr>
            </w:pPr>
            <w:r>
              <w:rPr>
                <w:rFonts w:ascii="Arial" w:cs="Arial" w:eastAsia="Arial" w:hAnsi="Arial"/>
                <w:sz w:val="12"/>
                <w:szCs w:val="12"/>
                <w:color w:val="auto"/>
              </w:rPr>
              <w:t>6.54 %</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1,262</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1,262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1,263</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D1D2D4"/>
          </w:tcPr>
          <w:p>
            <w:pPr>
              <w:spacing w:after="0"/>
              <w:rPr>
                <w:sz w:val="20"/>
                <w:szCs w:val="20"/>
                <w:color w:val="auto"/>
              </w:rPr>
            </w:pPr>
            <w:r>
              <w:rPr>
                <w:rFonts w:ascii="Arial" w:cs="Arial" w:eastAsia="Arial" w:hAnsi="Arial"/>
                <w:sz w:val="12"/>
                <w:szCs w:val="12"/>
                <w:color w:val="auto"/>
              </w:rPr>
              <w:t>2030 Notes</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4.663 %</w:t>
            </w:r>
          </w:p>
        </w:tc>
        <w:tc>
          <w:tcPr>
            <w:tcW w:w="9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4.73 %</w:t>
            </w:r>
          </w:p>
        </w:tc>
        <w:tc>
          <w:tcPr>
            <w:tcW w:w="160" w:type="dxa"/>
            <w:vAlign w:val="bottom"/>
            <w:shd w:val="clear" w:color="auto" w:fill="D1D2D4"/>
          </w:tcPr>
          <w:p>
            <w:pPr>
              <w:spacing w:after="0"/>
              <w:rPr>
                <w:sz w:val="13"/>
                <w:szCs w:val="13"/>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847</w:t>
            </w:r>
          </w:p>
        </w:tc>
        <w:tc>
          <w:tcPr>
            <w:tcW w:w="260" w:type="dxa"/>
            <w:vAlign w:val="bottom"/>
            <w:shd w:val="clear" w:color="auto" w:fill="D1D2D4"/>
          </w:tcPr>
          <w:p>
            <w:pPr>
              <w:spacing w:after="0"/>
              <w:rPr>
                <w:sz w:val="13"/>
                <w:szCs w:val="13"/>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847</w:t>
            </w:r>
          </w:p>
        </w:tc>
        <w:tc>
          <w:tcPr>
            <w:tcW w:w="10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846</w:t>
            </w:r>
          </w:p>
        </w:tc>
        <w:tc>
          <w:tcPr>
            <w:tcW w:w="40" w:type="dxa"/>
            <w:vAlign w:val="bottom"/>
            <w:shd w:val="clear" w:color="auto" w:fill="D1D2D4"/>
          </w:tcPr>
          <w:p>
            <w:pPr>
              <w:spacing w:after="0"/>
              <w:rPr>
                <w:sz w:val="13"/>
                <w:szCs w:val="13"/>
                <w:color w:val="auto"/>
              </w:rPr>
            </w:pPr>
          </w:p>
        </w:tc>
        <w:tc>
          <w:tcPr>
            <w:tcW w:w="240" w:type="dxa"/>
            <w:vAlign w:val="bottom"/>
            <w:shd w:val="clear" w:color="auto" w:fill="D1D2D4"/>
          </w:tcPr>
          <w:p>
            <w:pPr>
              <w:spacing w:after="0"/>
              <w:rPr>
                <w:sz w:val="13"/>
                <w:szCs w:val="13"/>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tcPr>
          <w:p>
            <w:pPr>
              <w:spacing w:after="0"/>
              <w:rPr>
                <w:sz w:val="20"/>
                <w:szCs w:val="20"/>
                <w:color w:val="auto"/>
              </w:rPr>
            </w:pPr>
            <w:r>
              <w:rPr>
                <w:rFonts w:ascii="Arial" w:cs="Arial" w:eastAsia="Arial" w:hAnsi="Arial"/>
                <w:sz w:val="12"/>
                <w:szCs w:val="12"/>
                <w:color w:val="auto"/>
              </w:rPr>
              <w:t>2031 Notes</w:t>
            </w:r>
          </w:p>
        </w:tc>
        <w:tc>
          <w:tcPr>
            <w:tcW w:w="960" w:type="dxa"/>
            <w:vAlign w:val="bottom"/>
          </w:tcPr>
          <w:p>
            <w:pPr>
              <w:jc w:val="right"/>
              <w:spacing w:after="0"/>
              <w:rPr>
                <w:sz w:val="20"/>
                <w:szCs w:val="20"/>
                <w:color w:val="auto"/>
              </w:rPr>
            </w:pPr>
            <w:r>
              <w:rPr>
                <w:rFonts w:ascii="Arial" w:cs="Arial" w:eastAsia="Arial" w:hAnsi="Arial"/>
                <w:sz w:val="12"/>
                <w:szCs w:val="12"/>
                <w:color w:val="auto"/>
              </w:rPr>
              <w:t>5.300 %</w:t>
            </w:r>
          </w:p>
        </w:tc>
        <w:tc>
          <w:tcPr>
            <w:tcW w:w="920" w:type="dxa"/>
            <w:vAlign w:val="bottom"/>
          </w:tcPr>
          <w:p>
            <w:pPr>
              <w:jc w:val="right"/>
              <w:spacing w:after="0"/>
              <w:rPr>
                <w:sz w:val="20"/>
                <w:szCs w:val="20"/>
                <w:color w:val="auto"/>
              </w:rPr>
            </w:pPr>
            <w:r>
              <w:rPr>
                <w:rFonts w:ascii="Arial" w:cs="Arial" w:eastAsia="Arial" w:hAnsi="Arial"/>
                <w:sz w:val="12"/>
                <w:szCs w:val="12"/>
                <w:color w:val="auto"/>
              </w:rPr>
              <w:t>5.41 %</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993</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993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D1D2D4"/>
          </w:tcPr>
          <w:p>
            <w:pPr>
              <w:spacing w:after="0"/>
              <w:rPr>
                <w:sz w:val="20"/>
                <w:szCs w:val="20"/>
                <w:color w:val="auto"/>
              </w:rPr>
            </w:pPr>
            <w:r>
              <w:rPr>
                <w:rFonts w:ascii="Arial" w:cs="Arial" w:eastAsia="Arial" w:hAnsi="Arial"/>
                <w:sz w:val="12"/>
                <w:szCs w:val="12"/>
                <w:color w:val="auto"/>
              </w:rPr>
              <w:t>2032 Green Bonds</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2.703 %</w:t>
            </w:r>
          </w:p>
        </w:tc>
        <w:tc>
          <w:tcPr>
            <w:tcW w:w="9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2.77 %</w:t>
            </w:r>
          </w:p>
        </w:tc>
        <w:tc>
          <w:tcPr>
            <w:tcW w:w="160" w:type="dxa"/>
            <w:vAlign w:val="bottom"/>
            <w:shd w:val="clear" w:color="auto" w:fill="D1D2D4"/>
          </w:tcPr>
          <w:p>
            <w:pPr>
              <w:spacing w:after="0"/>
              <w:rPr>
                <w:sz w:val="13"/>
                <w:szCs w:val="13"/>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995</w:t>
            </w:r>
          </w:p>
        </w:tc>
        <w:tc>
          <w:tcPr>
            <w:tcW w:w="260" w:type="dxa"/>
            <w:vAlign w:val="bottom"/>
            <w:shd w:val="clear" w:color="auto" w:fill="D1D2D4"/>
          </w:tcPr>
          <w:p>
            <w:pPr>
              <w:spacing w:after="0"/>
              <w:rPr>
                <w:sz w:val="13"/>
                <w:szCs w:val="13"/>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995</w:t>
            </w:r>
          </w:p>
        </w:tc>
        <w:tc>
          <w:tcPr>
            <w:tcW w:w="10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995</w:t>
            </w:r>
          </w:p>
        </w:tc>
        <w:tc>
          <w:tcPr>
            <w:tcW w:w="40" w:type="dxa"/>
            <w:vAlign w:val="bottom"/>
            <w:shd w:val="clear" w:color="auto" w:fill="D1D2D4"/>
          </w:tcPr>
          <w:p>
            <w:pPr>
              <w:spacing w:after="0"/>
              <w:rPr>
                <w:sz w:val="13"/>
                <w:szCs w:val="13"/>
                <w:color w:val="auto"/>
              </w:rPr>
            </w:pPr>
          </w:p>
        </w:tc>
        <w:tc>
          <w:tcPr>
            <w:tcW w:w="240" w:type="dxa"/>
            <w:vAlign w:val="bottom"/>
            <w:shd w:val="clear" w:color="auto" w:fill="D1D2D4"/>
          </w:tcPr>
          <w:p>
            <w:pPr>
              <w:spacing w:after="0"/>
              <w:rPr>
                <w:sz w:val="13"/>
                <w:szCs w:val="13"/>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tcPr>
          <w:p>
            <w:pPr>
              <w:spacing w:after="0"/>
              <w:rPr>
                <w:sz w:val="20"/>
                <w:szCs w:val="20"/>
                <w:color w:val="auto"/>
              </w:rPr>
            </w:pPr>
            <w:r>
              <w:rPr>
                <w:rFonts w:ascii="Arial" w:cs="Arial" w:eastAsia="Arial" w:hAnsi="Arial"/>
                <w:sz w:val="12"/>
                <w:szCs w:val="12"/>
                <w:color w:val="auto"/>
              </w:rPr>
              <w:t>2033 A Notes</w:t>
            </w:r>
          </w:p>
        </w:tc>
        <w:tc>
          <w:tcPr>
            <w:tcW w:w="960" w:type="dxa"/>
            <w:vAlign w:val="bottom"/>
          </w:tcPr>
          <w:p>
            <w:pPr>
              <w:jc w:val="right"/>
              <w:spacing w:after="0"/>
              <w:rPr>
                <w:sz w:val="20"/>
                <w:szCs w:val="20"/>
                <w:color w:val="auto"/>
              </w:rPr>
            </w:pPr>
            <w:r>
              <w:rPr>
                <w:rFonts w:ascii="Arial" w:cs="Arial" w:eastAsia="Arial" w:hAnsi="Arial"/>
                <w:sz w:val="12"/>
                <w:szCs w:val="12"/>
                <w:color w:val="auto"/>
              </w:rPr>
              <w:t>5.875 %</w:t>
            </w:r>
          </w:p>
        </w:tc>
        <w:tc>
          <w:tcPr>
            <w:tcW w:w="920" w:type="dxa"/>
            <w:vAlign w:val="bottom"/>
          </w:tcPr>
          <w:p>
            <w:pPr>
              <w:jc w:val="right"/>
              <w:spacing w:after="0"/>
              <w:rPr>
                <w:sz w:val="20"/>
                <w:szCs w:val="20"/>
                <w:color w:val="auto"/>
              </w:rPr>
            </w:pPr>
            <w:r>
              <w:rPr>
                <w:rFonts w:ascii="Arial" w:cs="Arial" w:eastAsia="Arial" w:hAnsi="Arial"/>
                <w:sz w:val="12"/>
                <w:szCs w:val="12"/>
                <w:color w:val="auto"/>
              </w:rPr>
              <w:t>5.96 %</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745</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745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745</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D1D2D4"/>
          </w:tcPr>
          <w:p>
            <w:pPr>
              <w:spacing w:after="0"/>
              <w:rPr>
                <w:sz w:val="20"/>
                <w:szCs w:val="20"/>
                <w:color w:val="auto"/>
              </w:rPr>
            </w:pPr>
            <w:r>
              <w:rPr>
                <w:rFonts w:ascii="Arial" w:cs="Arial" w:eastAsia="Arial" w:hAnsi="Arial"/>
                <w:sz w:val="12"/>
                <w:szCs w:val="12"/>
                <w:color w:val="auto"/>
              </w:rPr>
              <w:t>2033 B Notes</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5.875 %</w:t>
            </w:r>
          </w:p>
        </w:tc>
        <w:tc>
          <w:tcPr>
            <w:tcW w:w="9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6.01 %</w:t>
            </w:r>
          </w:p>
        </w:tc>
        <w:tc>
          <w:tcPr>
            <w:tcW w:w="160" w:type="dxa"/>
            <w:vAlign w:val="bottom"/>
            <w:shd w:val="clear" w:color="auto" w:fill="D1D2D4"/>
          </w:tcPr>
          <w:p>
            <w:pPr>
              <w:spacing w:after="0"/>
              <w:rPr>
                <w:sz w:val="13"/>
                <w:szCs w:val="13"/>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891</w:t>
            </w:r>
          </w:p>
        </w:tc>
        <w:tc>
          <w:tcPr>
            <w:tcW w:w="260" w:type="dxa"/>
            <w:vAlign w:val="bottom"/>
            <w:shd w:val="clear" w:color="auto" w:fill="D1D2D4"/>
          </w:tcPr>
          <w:p>
            <w:pPr>
              <w:spacing w:after="0"/>
              <w:rPr>
                <w:sz w:val="13"/>
                <w:szCs w:val="13"/>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891</w:t>
            </w:r>
          </w:p>
        </w:tc>
        <w:tc>
          <w:tcPr>
            <w:tcW w:w="10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890</w:t>
            </w:r>
          </w:p>
        </w:tc>
        <w:tc>
          <w:tcPr>
            <w:tcW w:w="40" w:type="dxa"/>
            <w:vAlign w:val="bottom"/>
            <w:shd w:val="clear" w:color="auto" w:fill="D1D2D4"/>
          </w:tcPr>
          <w:p>
            <w:pPr>
              <w:spacing w:after="0"/>
              <w:rPr>
                <w:sz w:val="13"/>
                <w:szCs w:val="13"/>
                <w:color w:val="auto"/>
              </w:rPr>
            </w:pPr>
          </w:p>
        </w:tc>
        <w:tc>
          <w:tcPr>
            <w:tcW w:w="240" w:type="dxa"/>
            <w:vAlign w:val="bottom"/>
            <w:shd w:val="clear" w:color="auto" w:fill="D1D2D4"/>
          </w:tcPr>
          <w:p>
            <w:pPr>
              <w:spacing w:after="0"/>
              <w:rPr>
                <w:sz w:val="13"/>
                <w:szCs w:val="13"/>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tcPr>
          <w:p>
            <w:pPr>
              <w:spacing w:after="0"/>
              <w:rPr>
                <w:sz w:val="20"/>
                <w:szCs w:val="20"/>
                <w:color w:val="auto"/>
              </w:rPr>
            </w:pPr>
            <w:r>
              <w:rPr>
                <w:rFonts w:ascii="Arial" w:cs="Arial" w:eastAsia="Arial" w:hAnsi="Arial"/>
                <w:sz w:val="12"/>
                <w:szCs w:val="12"/>
                <w:color w:val="auto"/>
              </w:rPr>
              <w:t>2041 Notes</w:t>
            </w:r>
          </w:p>
        </w:tc>
        <w:tc>
          <w:tcPr>
            <w:tcW w:w="960" w:type="dxa"/>
            <w:vAlign w:val="bottom"/>
          </w:tcPr>
          <w:p>
            <w:pPr>
              <w:jc w:val="right"/>
              <w:spacing w:after="0"/>
              <w:rPr>
                <w:sz w:val="20"/>
                <w:szCs w:val="20"/>
                <w:color w:val="auto"/>
              </w:rPr>
            </w:pPr>
            <w:r>
              <w:rPr>
                <w:rFonts w:ascii="Arial" w:cs="Arial" w:eastAsia="Arial" w:hAnsi="Arial"/>
                <w:sz w:val="12"/>
                <w:szCs w:val="12"/>
                <w:color w:val="auto"/>
              </w:rPr>
              <w:t>3.366 %</w:t>
            </w:r>
          </w:p>
        </w:tc>
        <w:tc>
          <w:tcPr>
            <w:tcW w:w="920" w:type="dxa"/>
            <w:vAlign w:val="bottom"/>
          </w:tcPr>
          <w:p>
            <w:pPr>
              <w:jc w:val="right"/>
              <w:spacing w:after="0"/>
              <w:rPr>
                <w:sz w:val="20"/>
                <w:szCs w:val="20"/>
                <w:color w:val="auto"/>
              </w:rPr>
            </w:pPr>
            <w:r>
              <w:rPr>
                <w:rFonts w:ascii="Arial" w:cs="Arial" w:eastAsia="Arial" w:hAnsi="Arial"/>
                <w:sz w:val="12"/>
                <w:szCs w:val="12"/>
                <w:color w:val="auto"/>
              </w:rPr>
              <w:t>3.41 %</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497</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497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497</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D1D2D4"/>
          </w:tcPr>
          <w:p>
            <w:pPr>
              <w:spacing w:after="0"/>
              <w:rPr>
                <w:sz w:val="20"/>
                <w:szCs w:val="20"/>
                <w:color w:val="auto"/>
              </w:rPr>
            </w:pPr>
            <w:r>
              <w:rPr>
                <w:rFonts w:ascii="Arial" w:cs="Arial" w:eastAsia="Arial" w:hAnsi="Arial"/>
                <w:sz w:val="12"/>
                <w:szCs w:val="12"/>
                <w:color w:val="auto"/>
              </w:rPr>
              <w:t>2051 Notes</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3.477 %</w:t>
            </w:r>
          </w:p>
        </w:tc>
        <w:tc>
          <w:tcPr>
            <w:tcW w:w="9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3.52 %</w:t>
            </w:r>
          </w:p>
        </w:tc>
        <w:tc>
          <w:tcPr>
            <w:tcW w:w="160" w:type="dxa"/>
            <w:vAlign w:val="bottom"/>
            <w:shd w:val="clear" w:color="auto" w:fill="D1D2D4"/>
          </w:tcPr>
          <w:p>
            <w:pPr>
              <w:spacing w:after="0"/>
              <w:rPr>
                <w:sz w:val="13"/>
                <w:szCs w:val="13"/>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496</w:t>
            </w:r>
          </w:p>
        </w:tc>
        <w:tc>
          <w:tcPr>
            <w:tcW w:w="260" w:type="dxa"/>
            <w:vAlign w:val="bottom"/>
            <w:shd w:val="clear" w:color="auto" w:fill="D1D2D4"/>
          </w:tcPr>
          <w:p>
            <w:pPr>
              <w:spacing w:after="0"/>
              <w:rPr>
                <w:sz w:val="13"/>
                <w:szCs w:val="13"/>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496</w:t>
            </w:r>
          </w:p>
        </w:tc>
        <w:tc>
          <w:tcPr>
            <w:tcW w:w="10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496</w:t>
            </w:r>
          </w:p>
        </w:tc>
        <w:tc>
          <w:tcPr>
            <w:tcW w:w="40" w:type="dxa"/>
            <w:vAlign w:val="bottom"/>
            <w:shd w:val="clear" w:color="auto" w:fill="D1D2D4"/>
          </w:tcPr>
          <w:p>
            <w:pPr>
              <w:spacing w:after="0"/>
              <w:rPr>
                <w:sz w:val="13"/>
                <w:szCs w:val="13"/>
                <w:color w:val="auto"/>
              </w:rPr>
            </w:pPr>
          </w:p>
        </w:tc>
        <w:tc>
          <w:tcPr>
            <w:tcW w:w="240" w:type="dxa"/>
            <w:vAlign w:val="bottom"/>
            <w:shd w:val="clear" w:color="auto" w:fill="D1D2D4"/>
          </w:tcPr>
          <w:p>
            <w:pPr>
              <w:spacing w:after="0"/>
              <w:rPr>
                <w:sz w:val="13"/>
                <w:szCs w:val="13"/>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tcPr>
          <w:p>
            <w:pPr>
              <w:spacing w:after="0"/>
              <w:rPr>
                <w:sz w:val="20"/>
                <w:szCs w:val="20"/>
                <w:color w:val="auto"/>
              </w:rPr>
            </w:pPr>
            <w:r>
              <w:rPr>
                <w:rFonts w:ascii="Arial" w:cs="Arial" w:eastAsia="Arial" w:hAnsi="Arial"/>
                <w:sz w:val="12"/>
                <w:szCs w:val="12"/>
                <w:color w:val="auto"/>
              </w:rPr>
              <w:t>2024 Term Loan A</w:t>
            </w:r>
          </w:p>
        </w:tc>
        <w:tc>
          <w:tcPr>
            <w:tcW w:w="960" w:type="dxa"/>
            <w:vAlign w:val="bottom"/>
          </w:tcPr>
          <w:p>
            <w:pPr>
              <w:jc w:val="right"/>
              <w:spacing w:after="0"/>
              <w:rPr>
                <w:sz w:val="20"/>
                <w:szCs w:val="20"/>
                <w:color w:val="auto"/>
              </w:rPr>
            </w:pPr>
            <w:r>
              <w:rPr>
                <w:rFonts w:ascii="Arial" w:cs="Arial" w:eastAsia="Arial" w:hAnsi="Arial"/>
                <w:sz w:val="12"/>
                <w:szCs w:val="12"/>
                <w:color w:val="auto"/>
              </w:rPr>
              <w:t>N/A</w:t>
            </w: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N/A</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587</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D1D2D4"/>
          </w:tcPr>
          <w:p>
            <w:pPr>
              <w:spacing w:after="0"/>
              <w:rPr>
                <w:sz w:val="20"/>
                <w:szCs w:val="20"/>
                <w:color w:val="auto"/>
              </w:rPr>
            </w:pPr>
            <w:r>
              <w:rPr>
                <w:rFonts w:ascii="Arial" w:cs="Arial" w:eastAsia="Arial" w:hAnsi="Arial"/>
                <w:sz w:val="12"/>
                <w:szCs w:val="12"/>
                <w:color w:val="auto"/>
              </w:rPr>
              <w:t>Finance lease obligations</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N/A</w:t>
            </w:r>
          </w:p>
        </w:tc>
        <w:tc>
          <w:tcPr>
            <w:tcW w:w="9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4.48 %</w:t>
            </w:r>
          </w:p>
        </w:tc>
        <w:tc>
          <w:tcPr>
            <w:tcW w:w="160" w:type="dxa"/>
            <w:vAlign w:val="bottom"/>
            <w:tcBorders>
              <w:bottom w:val="single" w:sz="8" w:color="auto"/>
            </w:tcBorders>
            <w:shd w:val="clear" w:color="auto" w:fill="D1D2D4"/>
          </w:tcPr>
          <w:p>
            <w:pPr>
              <w:spacing w:after="0"/>
              <w:rPr>
                <w:sz w:val="13"/>
                <w:szCs w:val="13"/>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238</w:t>
            </w:r>
          </w:p>
        </w:tc>
        <w:tc>
          <w:tcPr>
            <w:tcW w:w="140" w:type="dxa"/>
            <w:vAlign w:val="bottom"/>
            <w:tcBorders>
              <w:bottom w:val="single" w:sz="8" w:color="auto"/>
            </w:tcBorders>
            <w:shd w:val="clear" w:color="auto" w:fill="D1D2D4"/>
          </w:tcPr>
          <w:p>
            <w:pPr>
              <w:spacing w:after="0"/>
              <w:rPr>
                <w:sz w:val="13"/>
                <w:szCs w:val="13"/>
                <w:color w:val="auto"/>
              </w:rPr>
            </w:pP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1,466</w:t>
            </w:r>
          </w:p>
        </w:tc>
        <w:tc>
          <w:tcPr>
            <w:tcW w:w="260" w:type="dxa"/>
            <w:vAlign w:val="bottom"/>
            <w:tcBorders>
              <w:bottom w:val="single" w:sz="8" w:color="auto"/>
            </w:tcBorders>
            <w:shd w:val="clear" w:color="auto" w:fill="D1D2D4"/>
          </w:tcPr>
          <w:p>
            <w:pPr>
              <w:spacing w:after="0"/>
              <w:rPr>
                <w:sz w:val="13"/>
                <w:szCs w:val="13"/>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1,704</w:t>
            </w:r>
          </w:p>
        </w:tc>
        <w:tc>
          <w:tcPr>
            <w:tcW w:w="100" w:type="dxa"/>
            <w:vAlign w:val="bottom"/>
            <w:shd w:val="clear" w:color="auto" w:fill="D1D2D4"/>
          </w:tcPr>
          <w:p>
            <w:pPr>
              <w:spacing w:after="0"/>
              <w:rPr>
                <w:sz w:val="13"/>
                <w:szCs w:val="13"/>
                <w:color w:val="auto"/>
              </w:rPr>
            </w:pPr>
          </w:p>
        </w:tc>
        <w:tc>
          <w:tcPr>
            <w:tcW w:w="160" w:type="dxa"/>
            <w:vAlign w:val="bottom"/>
            <w:tcBorders>
              <w:bottom w:val="single" w:sz="8" w:color="auto"/>
            </w:tcBorders>
            <w:shd w:val="clear" w:color="auto" w:fill="D1D2D4"/>
          </w:tcPr>
          <w:p>
            <w:pPr>
              <w:spacing w:after="0"/>
              <w:rPr>
                <w:sz w:val="13"/>
                <w:szCs w:val="13"/>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172</w:t>
            </w:r>
          </w:p>
        </w:tc>
        <w:tc>
          <w:tcPr>
            <w:tcW w:w="120" w:type="dxa"/>
            <w:vAlign w:val="bottom"/>
            <w:tcBorders>
              <w:bottom w:val="single" w:sz="8" w:color="auto"/>
            </w:tcBorders>
            <w:shd w:val="clear" w:color="auto" w:fill="D1D2D4"/>
          </w:tcPr>
          <w:p>
            <w:pPr>
              <w:spacing w:after="0"/>
              <w:rPr>
                <w:sz w:val="13"/>
                <w:szCs w:val="13"/>
                <w:color w:val="auto"/>
              </w:rPr>
            </w:pP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1,109</w:t>
            </w:r>
          </w:p>
        </w:tc>
        <w:tc>
          <w:tcPr>
            <w:tcW w:w="40" w:type="dxa"/>
            <w:vAlign w:val="bottom"/>
            <w:tcBorders>
              <w:bottom w:val="single" w:sz="8" w:color="auto"/>
            </w:tcBorders>
            <w:shd w:val="clear" w:color="auto" w:fill="D1D2D4"/>
          </w:tcPr>
          <w:p>
            <w:pPr>
              <w:spacing w:after="0"/>
              <w:rPr>
                <w:sz w:val="13"/>
                <w:szCs w:val="13"/>
                <w:color w:val="auto"/>
              </w:rPr>
            </w:pPr>
          </w:p>
        </w:tc>
        <w:tc>
          <w:tcPr>
            <w:tcW w:w="240" w:type="dxa"/>
            <w:vAlign w:val="bottom"/>
            <w:tcBorders>
              <w:bottom w:val="single" w:sz="8" w:color="auto"/>
            </w:tcBorders>
            <w:shd w:val="clear" w:color="auto" w:fill="D1D2D4"/>
          </w:tcPr>
          <w:p>
            <w:pPr>
              <w:spacing w:after="0"/>
              <w:rPr>
                <w:sz w:val="13"/>
                <w:szCs w:val="13"/>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1,281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13,378</w:t>
            </w: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13,722</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13,052</w:t>
            </w:r>
          </w:p>
        </w:tc>
        <w:tc>
          <w:tcPr>
            <w:tcW w:w="28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108" w:right="240" w:hanging="108"/>
        <w:spacing w:after="0" w:line="256" w:lineRule="auto"/>
        <w:tabs>
          <w:tab w:leader="none" w:pos="129" w:val="left"/>
        </w:tabs>
        <w:numPr>
          <w:ilvl w:val="0"/>
          <w:numId w:val="6"/>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In 2021, we entered into fixed-to-floating interest rate swaps on the 2027 Notes with an aggregate $900 million notional amount equal to the principal amount of the 2027 Notes. The resulting variable interest paid is at a rate equal to SOFR plus approximately 3.33%. The fixed-to-floating interest rate swaps are accounted for as fair value hedges, and as a result, the carrying values of our 2027 Notes reflect adjustments in fair value.</w:t>
      </w:r>
    </w:p>
    <w:p>
      <w:pPr>
        <w:spacing w:after="0" w:line="289"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Debt Activity</w:t>
      </w:r>
    </w:p>
    <w:p>
      <w:pPr>
        <w:spacing w:after="0" w:line="16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table below presents the effects of debt financing and prepayment activities in the first six months of 2024:</w:t>
      </w:r>
    </w:p>
    <w:p>
      <w:pPr>
        <w:spacing w:after="0" w:line="16"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960" w:type="dxa"/>
            <w:vAlign w:val="bottom"/>
            <w:vMerge w:val="restart"/>
          </w:tcPr>
          <w:p>
            <w:pPr>
              <w:ind w:left="1940"/>
              <w:spacing w:after="0"/>
              <w:rPr>
                <w:sz w:val="20"/>
                <w:szCs w:val="20"/>
                <w:color w:val="auto"/>
              </w:rPr>
            </w:pPr>
            <w:r>
              <w:rPr>
                <w:rFonts w:ascii="Arial" w:cs="Arial" w:eastAsia="Arial" w:hAnsi="Arial"/>
                <w:sz w:val="12"/>
                <w:szCs w:val="12"/>
                <w:b w:val="1"/>
                <w:bCs w:val="1"/>
                <w:color w:val="auto"/>
              </w:rPr>
              <w:t>Transaction Date</w:t>
            </w:r>
          </w:p>
        </w:tc>
        <w:tc>
          <w:tcPr>
            <w:tcW w:w="80" w:type="dxa"/>
            <w:vAlign w:val="bottom"/>
          </w:tcPr>
          <w:p>
            <w:pPr>
              <w:spacing w:after="0"/>
              <w:rPr>
                <w:sz w:val="12"/>
                <w:szCs w:val="12"/>
                <w:color w:val="auto"/>
              </w:rPr>
            </w:pPr>
          </w:p>
        </w:tc>
        <w:tc>
          <w:tcPr>
            <w:tcW w:w="1360" w:type="dxa"/>
            <w:vAlign w:val="bottom"/>
          </w:tcPr>
          <w:p>
            <w:pPr>
              <w:jc w:val="right"/>
              <w:ind w:right="20"/>
              <w:spacing w:after="0"/>
              <w:rPr>
                <w:sz w:val="20"/>
                <w:szCs w:val="20"/>
                <w:color w:val="auto"/>
              </w:rPr>
            </w:pPr>
            <w:r>
              <w:rPr>
                <w:rFonts w:ascii="Arial" w:cs="Arial" w:eastAsia="Arial" w:hAnsi="Arial"/>
                <w:sz w:val="12"/>
                <w:szCs w:val="12"/>
                <w:b w:val="1"/>
                <w:bCs w:val="1"/>
                <w:color w:val="auto"/>
                <w:w w:val="98"/>
              </w:rPr>
              <w:t>Increase (Decrease) in</w:t>
            </w:r>
          </w:p>
        </w:tc>
        <w:tc>
          <w:tcPr>
            <w:tcW w:w="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b w:val="1"/>
                <w:bCs w:val="1"/>
                <w:color w:val="auto"/>
                <w:w w:val="98"/>
              </w:rPr>
              <w:t>Increase (Decrease) in</w:t>
            </w:r>
          </w:p>
        </w:tc>
        <w:tc>
          <w:tcPr>
            <w:tcW w:w="100" w:type="dxa"/>
            <w:vAlign w:val="bottom"/>
          </w:tcPr>
          <w:p>
            <w:pPr>
              <w:spacing w:after="0"/>
              <w:rPr>
                <w:sz w:val="12"/>
                <w:szCs w:val="12"/>
                <w:color w:val="auto"/>
              </w:rPr>
            </w:pPr>
          </w:p>
        </w:tc>
        <w:tc>
          <w:tcPr>
            <w:tcW w:w="1360" w:type="dxa"/>
            <w:vAlign w:val="bottom"/>
          </w:tcPr>
          <w:p>
            <w:pPr>
              <w:jc w:val="right"/>
              <w:ind w:right="20"/>
              <w:spacing w:after="0"/>
              <w:rPr>
                <w:sz w:val="20"/>
                <w:szCs w:val="20"/>
                <w:color w:val="auto"/>
              </w:rPr>
            </w:pPr>
            <w:r>
              <w:rPr>
                <w:rFonts w:ascii="Arial" w:cs="Arial" w:eastAsia="Arial" w:hAnsi="Arial"/>
                <w:sz w:val="12"/>
                <w:szCs w:val="12"/>
                <w:b w:val="1"/>
                <w:bCs w:val="1"/>
                <w:color w:val="auto"/>
                <w:w w:val="98"/>
              </w:rPr>
              <w:t>Increase (Decrease) in</w:t>
            </w:r>
          </w:p>
        </w:tc>
        <w:tc>
          <w:tcPr>
            <w:tcW w:w="0" w:type="dxa"/>
            <w:vAlign w:val="bottom"/>
          </w:tcPr>
          <w:p>
            <w:pPr>
              <w:spacing w:after="0"/>
              <w:rPr>
                <w:sz w:val="1"/>
                <w:szCs w:val="1"/>
                <w:color w:val="auto"/>
              </w:rPr>
            </w:pPr>
          </w:p>
        </w:tc>
      </w:tr>
      <w:tr>
        <w:trPr>
          <w:trHeight w:val="170"/>
        </w:trPr>
        <w:tc>
          <w:tcPr>
            <w:tcW w:w="3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Principal</w:t>
            </w: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Carrying Value</w:t>
            </w: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Cash</w:t>
            </w:r>
          </w:p>
        </w:tc>
        <w:tc>
          <w:tcPr>
            <w:tcW w:w="0" w:type="dxa"/>
            <w:vAlign w:val="bottom"/>
          </w:tcPr>
          <w:p>
            <w:pPr>
              <w:spacing w:after="0"/>
              <w:rPr>
                <w:sz w:val="1"/>
                <w:szCs w:val="1"/>
                <w:color w:val="auto"/>
              </w:rPr>
            </w:pPr>
          </w:p>
        </w:tc>
      </w:tr>
      <w:tr>
        <w:trPr>
          <w:trHeight w:val="161"/>
        </w:trPr>
        <w:tc>
          <w:tcPr>
            <w:tcW w:w="3000" w:type="dxa"/>
            <w:vAlign w:val="bottom"/>
            <w:gridSpan w:val="2"/>
            <w:shd w:val="clear" w:color="auto" w:fill="D1D2D4"/>
          </w:tcPr>
          <w:p>
            <w:pPr>
              <w:ind w:left="20"/>
              <w:spacing w:after="0"/>
              <w:rPr>
                <w:sz w:val="20"/>
                <w:szCs w:val="20"/>
                <w:color w:val="auto"/>
              </w:rPr>
            </w:pPr>
            <w:r>
              <w:rPr>
                <w:rFonts w:ascii="Arial" w:cs="Arial" w:eastAsia="Arial" w:hAnsi="Arial"/>
                <w:sz w:val="12"/>
                <w:szCs w:val="12"/>
                <w:b w:val="1"/>
                <w:bCs w:val="1"/>
                <w:color w:val="auto"/>
              </w:rPr>
              <w:t>Issuance</w:t>
            </w:r>
          </w:p>
        </w:tc>
        <w:tc>
          <w:tcPr>
            <w:tcW w:w="3960" w:type="dxa"/>
            <w:vAlign w:val="bottom"/>
            <w:shd w:val="clear" w:color="auto" w:fill="D1D2D4"/>
          </w:tcPr>
          <w:p>
            <w:pPr>
              <w:spacing w:after="0"/>
              <w:rPr>
                <w:sz w:val="14"/>
                <w:szCs w:val="14"/>
                <w:color w:val="auto"/>
              </w:rPr>
            </w:pPr>
          </w:p>
        </w:tc>
        <w:tc>
          <w:tcPr>
            <w:tcW w:w="80" w:type="dxa"/>
            <w:vAlign w:val="bottom"/>
            <w:shd w:val="clear" w:color="auto" w:fill="D1D2D4"/>
          </w:tcPr>
          <w:p>
            <w:pPr>
              <w:spacing w:after="0"/>
              <w:rPr>
                <w:sz w:val="14"/>
                <w:szCs w:val="14"/>
                <w:color w:val="auto"/>
              </w:rPr>
            </w:pPr>
          </w:p>
        </w:tc>
        <w:tc>
          <w:tcPr>
            <w:tcW w:w="1360" w:type="dxa"/>
            <w:vAlign w:val="bottom"/>
            <w:shd w:val="clear" w:color="auto" w:fill="D1D2D4"/>
          </w:tcPr>
          <w:p>
            <w:pPr>
              <w:spacing w:after="0"/>
              <w:rPr>
                <w:sz w:val="14"/>
                <w:szCs w:val="14"/>
                <w:color w:val="auto"/>
              </w:rPr>
            </w:pPr>
          </w:p>
        </w:tc>
        <w:tc>
          <w:tcPr>
            <w:tcW w:w="80" w:type="dxa"/>
            <w:vAlign w:val="bottom"/>
            <w:shd w:val="clear" w:color="auto" w:fill="D1D2D4"/>
          </w:tcPr>
          <w:p>
            <w:pPr>
              <w:spacing w:after="0"/>
              <w:rPr>
                <w:sz w:val="14"/>
                <w:szCs w:val="14"/>
                <w:color w:val="auto"/>
              </w:rPr>
            </w:pPr>
          </w:p>
        </w:tc>
        <w:tc>
          <w:tcPr>
            <w:tcW w:w="1340" w:type="dxa"/>
            <w:vAlign w:val="bottom"/>
            <w:shd w:val="clear" w:color="auto" w:fill="D1D2D4"/>
          </w:tcPr>
          <w:p>
            <w:pPr>
              <w:spacing w:after="0"/>
              <w:rPr>
                <w:sz w:val="14"/>
                <w:szCs w:val="14"/>
                <w:color w:val="auto"/>
              </w:rPr>
            </w:pPr>
          </w:p>
        </w:tc>
        <w:tc>
          <w:tcPr>
            <w:tcW w:w="100" w:type="dxa"/>
            <w:vAlign w:val="bottom"/>
            <w:shd w:val="clear" w:color="auto" w:fill="D1D2D4"/>
          </w:tcPr>
          <w:p>
            <w:pPr>
              <w:spacing w:after="0"/>
              <w:rPr>
                <w:sz w:val="14"/>
                <w:szCs w:val="14"/>
                <w:color w:val="auto"/>
              </w:rPr>
            </w:pPr>
          </w:p>
        </w:tc>
        <w:tc>
          <w:tcPr>
            <w:tcW w:w="136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0" w:type="dxa"/>
            <w:vAlign w:val="bottom"/>
          </w:tcPr>
          <w:p>
            <w:pPr>
              <w:jc w:val="right"/>
              <w:spacing w:after="0"/>
              <w:rPr>
                <w:sz w:val="20"/>
                <w:szCs w:val="20"/>
                <w:color w:val="auto"/>
              </w:rPr>
            </w:pPr>
            <w:r>
              <w:rPr>
                <w:rFonts w:ascii="Arial" w:cs="Arial" w:eastAsia="Arial" w:hAnsi="Arial"/>
                <w:sz w:val="12"/>
                <w:szCs w:val="12"/>
                <w:color w:val="auto"/>
              </w:rPr>
              <w:t>2031</w:t>
            </w:r>
          </w:p>
        </w:tc>
        <w:tc>
          <w:tcPr>
            <w:tcW w:w="2620" w:type="dxa"/>
            <w:vAlign w:val="bottom"/>
          </w:tcPr>
          <w:p>
            <w:pPr>
              <w:ind w:left="20"/>
              <w:spacing w:after="0"/>
              <w:rPr>
                <w:sz w:val="20"/>
                <w:szCs w:val="20"/>
                <w:color w:val="auto"/>
              </w:rPr>
            </w:pPr>
            <w:r>
              <w:rPr>
                <w:rFonts w:ascii="Arial" w:cs="Arial" w:eastAsia="Arial" w:hAnsi="Arial"/>
                <w:sz w:val="12"/>
                <w:szCs w:val="12"/>
                <w:color w:val="auto"/>
              </w:rPr>
              <w:t>Notes</w:t>
            </w:r>
          </w:p>
        </w:tc>
        <w:tc>
          <w:tcPr>
            <w:tcW w:w="3960" w:type="dxa"/>
            <w:vAlign w:val="bottom"/>
          </w:tcPr>
          <w:p>
            <w:pPr>
              <w:ind w:left="1940"/>
              <w:spacing w:after="0"/>
              <w:rPr>
                <w:sz w:val="20"/>
                <w:szCs w:val="20"/>
                <w:color w:val="auto"/>
              </w:rPr>
            </w:pPr>
            <w:r>
              <w:rPr>
                <w:rFonts w:ascii="Arial" w:cs="Arial" w:eastAsia="Arial" w:hAnsi="Arial"/>
                <w:sz w:val="12"/>
                <w:szCs w:val="12"/>
                <w:color w:val="auto"/>
              </w:rPr>
              <w:t>January 12, 2024</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1,000</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993</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993</w:t>
            </w:r>
          </w:p>
        </w:tc>
        <w:tc>
          <w:tcPr>
            <w:tcW w:w="0" w:type="dxa"/>
            <w:vAlign w:val="bottom"/>
          </w:tcPr>
          <w:p>
            <w:pPr>
              <w:spacing w:after="0"/>
              <w:rPr>
                <w:sz w:val="1"/>
                <w:szCs w:val="1"/>
                <w:color w:val="auto"/>
              </w:rPr>
            </w:pPr>
          </w:p>
        </w:tc>
      </w:tr>
      <w:tr>
        <w:trPr>
          <w:trHeight w:val="153"/>
        </w:trPr>
        <w:tc>
          <w:tcPr>
            <w:tcW w:w="3000" w:type="dxa"/>
            <w:vAlign w:val="bottom"/>
            <w:gridSpan w:val="2"/>
            <w:shd w:val="clear" w:color="auto" w:fill="D1D2D4"/>
          </w:tcPr>
          <w:p>
            <w:pPr>
              <w:ind w:left="20"/>
              <w:spacing w:after="0"/>
              <w:rPr>
                <w:sz w:val="20"/>
                <w:szCs w:val="20"/>
                <w:color w:val="auto"/>
              </w:rPr>
            </w:pPr>
            <w:r>
              <w:rPr>
                <w:rFonts w:ascii="Arial" w:cs="Arial" w:eastAsia="Arial" w:hAnsi="Arial"/>
                <w:sz w:val="12"/>
                <w:szCs w:val="12"/>
                <w:b w:val="1"/>
                <w:bCs w:val="1"/>
                <w:color w:val="auto"/>
              </w:rPr>
              <w:t>Prepayments</w:t>
            </w:r>
          </w:p>
        </w:tc>
        <w:tc>
          <w:tcPr>
            <w:tcW w:w="3960" w:type="dxa"/>
            <w:vAlign w:val="bottom"/>
            <w:shd w:val="clear" w:color="auto" w:fill="D1D2D4"/>
          </w:tcPr>
          <w:p>
            <w:pPr>
              <w:spacing w:after="0"/>
              <w:rPr>
                <w:sz w:val="13"/>
                <w:szCs w:val="13"/>
                <w:color w:val="auto"/>
              </w:rPr>
            </w:pPr>
          </w:p>
        </w:tc>
        <w:tc>
          <w:tcPr>
            <w:tcW w:w="80" w:type="dxa"/>
            <w:vAlign w:val="bottom"/>
            <w:shd w:val="clear" w:color="auto" w:fill="D1D2D4"/>
          </w:tcPr>
          <w:p>
            <w:pPr>
              <w:spacing w:after="0"/>
              <w:rPr>
                <w:sz w:val="13"/>
                <w:szCs w:val="13"/>
                <w:color w:val="auto"/>
              </w:rPr>
            </w:pPr>
          </w:p>
        </w:tc>
        <w:tc>
          <w:tcPr>
            <w:tcW w:w="1360" w:type="dxa"/>
            <w:vAlign w:val="bottom"/>
            <w:shd w:val="clear" w:color="auto" w:fill="D1D2D4"/>
          </w:tcPr>
          <w:p>
            <w:pPr>
              <w:spacing w:after="0"/>
              <w:rPr>
                <w:sz w:val="13"/>
                <w:szCs w:val="13"/>
                <w:color w:val="auto"/>
              </w:rPr>
            </w:pPr>
          </w:p>
        </w:tc>
        <w:tc>
          <w:tcPr>
            <w:tcW w:w="80" w:type="dxa"/>
            <w:vAlign w:val="bottom"/>
            <w:shd w:val="clear" w:color="auto" w:fill="D1D2D4"/>
          </w:tcPr>
          <w:p>
            <w:pPr>
              <w:spacing w:after="0"/>
              <w:rPr>
                <w:sz w:val="13"/>
                <w:szCs w:val="13"/>
                <w:color w:val="auto"/>
              </w:rPr>
            </w:pPr>
          </w:p>
        </w:tc>
        <w:tc>
          <w:tcPr>
            <w:tcW w:w="1340" w:type="dxa"/>
            <w:vAlign w:val="bottom"/>
            <w:shd w:val="clear" w:color="auto" w:fill="D1D2D4"/>
          </w:tcPr>
          <w:p>
            <w:pPr>
              <w:spacing w:after="0"/>
              <w:rPr>
                <w:sz w:val="13"/>
                <w:szCs w:val="13"/>
                <w:color w:val="auto"/>
              </w:rPr>
            </w:pPr>
          </w:p>
        </w:tc>
        <w:tc>
          <w:tcPr>
            <w:tcW w:w="100" w:type="dxa"/>
            <w:vAlign w:val="bottom"/>
            <w:shd w:val="clear" w:color="auto" w:fill="D1D2D4"/>
          </w:tcPr>
          <w:p>
            <w:pPr>
              <w:spacing w:after="0"/>
              <w:rPr>
                <w:sz w:val="13"/>
                <w:szCs w:val="13"/>
                <w:color w:val="auto"/>
              </w:rPr>
            </w:pPr>
          </w:p>
        </w:tc>
        <w:tc>
          <w:tcPr>
            <w:tcW w:w="136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0" w:type="dxa"/>
            <w:vAlign w:val="bottom"/>
          </w:tcPr>
          <w:p>
            <w:pPr>
              <w:jc w:val="right"/>
              <w:spacing w:after="0"/>
              <w:rPr>
                <w:sz w:val="20"/>
                <w:szCs w:val="20"/>
                <w:color w:val="auto"/>
              </w:rPr>
            </w:pPr>
            <w:r>
              <w:rPr>
                <w:rFonts w:ascii="Arial" w:cs="Arial" w:eastAsia="Arial" w:hAnsi="Arial"/>
                <w:sz w:val="12"/>
                <w:szCs w:val="12"/>
                <w:color w:val="auto"/>
              </w:rPr>
              <w:t>2024</w:t>
            </w:r>
          </w:p>
        </w:tc>
        <w:tc>
          <w:tcPr>
            <w:tcW w:w="2620" w:type="dxa"/>
            <w:vAlign w:val="bottom"/>
          </w:tcPr>
          <w:p>
            <w:pPr>
              <w:ind w:left="20"/>
              <w:spacing w:after="0"/>
              <w:rPr>
                <w:sz w:val="20"/>
                <w:szCs w:val="20"/>
                <w:color w:val="auto"/>
              </w:rPr>
            </w:pPr>
            <w:r>
              <w:rPr>
                <w:rFonts w:ascii="Arial" w:cs="Arial" w:eastAsia="Arial" w:hAnsi="Arial"/>
                <w:sz w:val="12"/>
                <w:szCs w:val="12"/>
                <w:color w:val="auto"/>
              </w:rPr>
              <w:t>Term Loan A</w:t>
            </w:r>
          </w:p>
        </w:tc>
        <w:tc>
          <w:tcPr>
            <w:tcW w:w="3960" w:type="dxa"/>
            <w:vAlign w:val="bottom"/>
          </w:tcPr>
          <w:p>
            <w:pPr>
              <w:ind w:left="1940"/>
              <w:spacing w:after="0"/>
              <w:rPr>
                <w:sz w:val="20"/>
                <w:szCs w:val="20"/>
                <w:color w:val="auto"/>
              </w:rPr>
            </w:pPr>
            <w:r>
              <w:rPr>
                <w:rFonts w:ascii="Arial" w:cs="Arial" w:eastAsia="Arial" w:hAnsi="Arial"/>
                <w:sz w:val="12"/>
                <w:szCs w:val="12"/>
                <w:color w:val="auto"/>
              </w:rPr>
              <w:t>January 12, 2024</w:t>
            </w: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(588)</w:t>
            </w:r>
          </w:p>
        </w:tc>
        <w:tc>
          <w:tcPr>
            <w:tcW w:w="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(587)</w:t>
            </w: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(588)</w:t>
            </w:r>
          </w:p>
        </w:tc>
        <w:tc>
          <w:tcPr>
            <w:tcW w:w="0" w:type="dxa"/>
            <w:vAlign w:val="bottom"/>
          </w:tcPr>
          <w:p>
            <w:pPr>
              <w:spacing w:after="0"/>
              <w:rPr>
                <w:sz w:val="1"/>
                <w:szCs w:val="1"/>
                <w:color w:val="auto"/>
              </w:rPr>
            </w:pPr>
          </w:p>
        </w:tc>
      </w:tr>
      <w:tr>
        <w:trPr>
          <w:trHeight w:val="153"/>
        </w:trPr>
        <w:tc>
          <w:tcPr>
            <w:tcW w:w="3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2025</w:t>
            </w:r>
          </w:p>
        </w:tc>
        <w:tc>
          <w:tcPr>
            <w:tcW w:w="2620" w:type="dxa"/>
            <w:vAlign w:val="bottom"/>
            <w:shd w:val="clear" w:color="auto" w:fill="D1D2D4"/>
          </w:tcPr>
          <w:p>
            <w:pPr>
              <w:ind w:left="20"/>
              <w:spacing w:after="0"/>
              <w:rPr>
                <w:sz w:val="20"/>
                <w:szCs w:val="20"/>
                <w:color w:val="auto"/>
              </w:rPr>
            </w:pPr>
            <w:r>
              <w:rPr>
                <w:rFonts w:ascii="Arial" w:cs="Arial" w:eastAsia="Arial" w:hAnsi="Arial"/>
                <w:sz w:val="12"/>
                <w:szCs w:val="12"/>
                <w:color w:val="auto"/>
              </w:rPr>
              <w:t>Term Loan A</w:t>
            </w:r>
          </w:p>
        </w:tc>
        <w:tc>
          <w:tcPr>
            <w:tcW w:w="3960" w:type="dxa"/>
            <w:vAlign w:val="bottom"/>
            <w:shd w:val="clear" w:color="auto" w:fill="D1D2D4"/>
          </w:tcPr>
          <w:p>
            <w:pPr>
              <w:ind w:left="1940"/>
              <w:spacing w:after="0"/>
              <w:rPr>
                <w:sz w:val="20"/>
                <w:szCs w:val="20"/>
                <w:color w:val="auto"/>
              </w:rPr>
            </w:pPr>
            <w:r>
              <w:rPr>
                <w:rFonts w:ascii="Arial" w:cs="Arial" w:eastAsia="Arial" w:hAnsi="Arial"/>
                <w:sz w:val="12"/>
                <w:szCs w:val="12"/>
                <w:color w:val="auto"/>
              </w:rPr>
              <w:t>January 12, 2024</w:t>
            </w:r>
          </w:p>
        </w:tc>
        <w:tc>
          <w:tcPr>
            <w:tcW w:w="80" w:type="dxa"/>
            <w:vAlign w:val="bottom"/>
            <w:tcBorders>
              <w:bottom w:val="single" w:sz="8" w:color="auto"/>
            </w:tcBorders>
            <w:shd w:val="clear" w:color="auto" w:fill="D1D2D4"/>
          </w:tcPr>
          <w:p>
            <w:pPr>
              <w:spacing w:after="0"/>
              <w:rPr>
                <w:sz w:val="13"/>
                <w:szCs w:val="13"/>
                <w:color w:val="auto"/>
              </w:rPr>
            </w:pPr>
          </w:p>
        </w:tc>
        <w:tc>
          <w:tcPr>
            <w:tcW w:w="13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(402)</w:t>
            </w:r>
          </w:p>
        </w:tc>
        <w:tc>
          <w:tcPr>
            <w:tcW w:w="80" w:type="dxa"/>
            <w:vAlign w:val="bottom"/>
            <w:tcBorders>
              <w:bottom w:val="single" w:sz="8" w:color="auto"/>
            </w:tcBorders>
            <w:shd w:val="clear" w:color="auto" w:fill="D1D2D4"/>
          </w:tcPr>
          <w:p>
            <w:pPr>
              <w:spacing w:after="0"/>
              <w:rPr>
                <w:sz w:val="13"/>
                <w:szCs w:val="13"/>
                <w:color w:val="auto"/>
              </w:rPr>
            </w:pPr>
          </w:p>
        </w:tc>
        <w:tc>
          <w:tcPr>
            <w:tcW w:w="1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(401)</w:t>
            </w:r>
          </w:p>
        </w:tc>
        <w:tc>
          <w:tcPr>
            <w:tcW w:w="100" w:type="dxa"/>
            <w:vAlign w:val="bottom"/>
            <w:tcBorders>
              <w:bottom w:val="single" w:sz="8" w:color="auto"/>
            </w:tcBorders>
            <w:shd w:val="clear" w:color="auto" w:fill="D1D2D4"/>
          </w:tcPr>
          <w:p>
            <w:pPr>
              <w:spacing w:after="0"/>
              <w:rPr>
                <w:sz w:val="13"/>
                <w:szCs w:val="13"/>
                <w:color w:val="auto"/>
              </w:rPr>
            </w:pPr>
          </w:p>
        </w:tc>
        <w:tc>
          <w:tcPr>
            <w:tcW w:w="13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(402)</w:t>
            </w: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2031 Notes</w:t>
      </w:r>
    </w:p>
    <w:p>
      <w:pPr>
        <w:spacing w:after="0" w:line="169" w:lineRule="exact"/>
        <w:rPr>
          <w:sz w:val="20"/>
          <w:szCs w:val="20"/>
          <w:color w:val="auto"/>
        </w:rPr>
      </w:pPr>
    </w:p>
    <w:p>
      <w:pPr>
        <w:ind w:left="8"/>
        <w:spacing w:after="0"/>
        <w:rPr>
          <w:sz w:val="20"/>
          <w:szCs w:val="20"/>
          <w:color w:val="auto"/>
        </w:rPr>
      </w:pPr>
      <w:r>
        <w:rPr>
          <w:rFonts w:ascii="Arial" w:cs="Arial" w:eastAsia="Arial" w:hAnsi="Arial"/>
          <w:sz w:val="12"/>
          <w:szCs w:val="12"/>
          <w:color w:val="auto"/>
        </w:rPr>
        <w:t>On January 12, 2024, we issued $1.00 billion principal amount of senior unsecured 2031 Notes in a public offering. The 2031 Notes bear interest at a rate of 5.300% per year and will mature on January 15, 2031.</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color w:val="auto"/>
        </w:rPr>
        <w:t>Issuance costs and debt discount for the 2031 Notes were $7 million.</w:t>
      </w:r>
    </w:p>
    <w:p>
      <w:pPr>
        <w:spacing w:after="0" w:line="295"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58420</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1" w:right="299" w:bottom="1440" w:gutter="0" w:footer="0" w:header="0"/>
        </w:sectPr>
      </w:pPr>
    </w:p>
    <w:bookmarkStart w:id="16" w:name="page17"/>
    <w:bookmarkEnd w:id="16"/>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372" w:lineRule="exact"/>
        <w:rPr>
          <w:sz w:val="20"/>
          <w:szCs w:val="20"/>
          <w:color w:val="auto"/>
        </w:rPr>
      </w:pPr>
    </w:p>
    <w:p>
      <w:pPr>
        <w:ind w:left="8" w:right="60"/>
        <w:spacing w:after="0" w:line="268" w:lineRule="auto"/>
        <w:rPr>
          <w:sz w:val="20"/>
          <w:szCs w:val="20"/>
          <w:color w:val="auto"/>
        </w:rPr>
      </w:pPr>
      <w:r>
        <w:rPr>
          <w:rFonts w:ascii="Arial" w:cs="Arial" w:eastAsia="Arial" w:hAnsi="Arial"/>
          <w:sz w:val="12"/>
          <w:szCs w:val="12"/>
          <w:color w:val="auto"/>
        </w:rPr>
        <w:t>We may redeem the 2031 Notes, in whole or in part, at our option prior to their maturity dates at a redemption price equal to the greater of (i) 100% of the principal amount of the notes to be redeemed and (ii) the present value of the remaining scheduled payments of principal and interest, plus accrued interest in each case. We may also redeem the 2031 Notes, in whole or in part, at a price equal to par two months prior to maturity in accordance with the terms of the 2031 Notes.</w:t>
      </w:r>
    </w:p>
    <w:p>
      <w:pPr>
        <w:spacing w:after="0" w:line="132" w:lineRule="exact"/>
        <w:rPr>
          <w:sz w:val="20"/>
          <w:szCs w:val="20"/>
          <w:color w:val="auto"/>
        </w:rPr>
      </w:pPr>
    </w:p>
    <w:p>
      <w:pPr>
        <w:ind w:left="8" w:right="100"/>
        <w:spacing w:after="0" w:line="284" w:lineRule="auto"/>
        <w:rPr>
          <w:sz w:val="20"/>
          <w:szCs w:val="20"/>
          <w:color w:val="auto"/>
        </w:rPr>
      </w:pPr>
      <w:r>
        <w:rPr>
          <w:rFonts w:ascii="Arial" w:cs="Arial" w:eastAsia="Arial" w:hAnsi="Arial"/>
          <w:sz w:val="11"/>
          <w:szCs w:val="11"/>
          <w:color w:val="auto"/>
        </w:rPr>
        <w:t>The 2031 Notes contain covenants that, among other things, limit, in certain circumstances, our ability and/or the ability of our restricted subsidiaries (which are generally domestic subsidiaries in which we own at least 80% of the voting stock and which own principal property, as defined in the indenture governing the 2031 Notes) to (1) create or incur certain liens; (2) enter into certain sale and lease-back transactions; and</w:t>
      </w:r>
    </w:p>
    <w:p>
      <w:pPr>
        <w:spacing w:after="0" w:line="1" w:lineRule="exact"/>
        <w:rPr>
          <w:sz w:val="20"/>
          <w:szCs w:val="20"/>
          <w:color w:val="auto"/>
        </w:rPr>
      </w:pPr>
    </w:p>
    <w:p>
      <w:pPr>
        <w:ind w:left="8" w:right="180" w:hanging="8"/>
        <w:spacing w:after="0" w:line="257" w:lineRule="auto"/>
        <w:tabs>
          <w:tab w:leader="none" w:pos="188" w:val="left"/>
        </w:tabs>
        <w:numPr>
          <w:ilvl w:val="0"/>
          <w:numId w:val="7"/>
        </w:numPr>
        <w:rPr>
          <w:rFonts w:ascii="Arial" w:cs="Arial" w:eastAsia="Arial" w:hAnsi="Arial"/>
          <w:sz w:val="12"/>
          <w:szCs w:val="12"/>
          <w:color w:val="auto"/>
        </w:rPr>
      </w:pPr>
      <w:r>
        <w:rPr>
          <w:rFonts w:ascii="Arial" w:cs="Arial" w:eastAsia="Arial" w:hAnsi="Arial"/>
          <w:sz w:val="12"/>
          <w:szCs w:val="12"/>
          <w:color w:val="auto"/>
        </w:rPr>
        <w:t>consolidate with or merge with or into, or convey, transfer, or lease all or substantially all of our properties and assets, to another entity. These covenants are subject to a number of limitations and exceptions. Additionally, if a change of control triggering event occurs, as defined in the indenture governing the 2031 Notes, we will be required to offer to purchase the 2031 Notes at 101% of the outstanding aggregate principal amount plus accrued interest up to the purchase date.</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Revolving Credit Facility</w:t>
      </w:r>
    </w:p>
    <w:p>
      <w:pPr>
        <w:spacing w:after="0" w:line="169" w:lineRule="exact"/>
        <w:rPr>
          <w:sz w:val="20"/>
          <w:szCs w:val="20"/>
          <w:color w:val="auto"/>
        </w:rPr>
      </w:pPr>
    </w:p>
    <w:p>
      <w:pPr>
        <w:ind w:left="8" w:right="100"/>
        <w:spacing w:after="0" w:line="262" w:lineRule="auto"/>
        <w:rPr>
          <w:sz w:val="20"/>
          <w:szCs w:val="20"/>
          <w:color w:val="auto"/>
        </w:rPr>
      </w:pPr>
      <w:r>
        <w:rPr>
          <w:rFonts w:ascii="Arial" w:cs="Arial" w:eastAsia="Arial" w:hAnsi="Arial"/>
          <w:sz w:val="12"/>
          <w:szCs w:val="12"/>
          <w:color w:val="auto"/>
        </w:rPr>
        <w:t>As of February 29, 2024, no amounts were outstanding under the Revolving Credit Facility and $2.50 billion was available to us. Under the Revolving Credit Facility, borrowings would generally bear interest at a rate equal to adjusted term SOFR plus 1.00% to 1.75%, depending on our corporate credit ratings. Adjusted term SOFR for the Revolving Credit Facility agreement is the SOFR benchmark plus a credit spread adjustment ranging from approximately 0.11% to 0.43% depending on the applicable interest period selected. Any amounts outstanding under the Revolving Credit Facility would mature in May 2026 and amounts borrowed may be prepaid without penalty.</w:t>
      </w:r>
    </w:p>
    <w:p>
      <w:pPr>
        <w:spacing w:after="0" w:line="135" w:lineRule="exact"/>
        <w:rPr>
          <w:sz w:val="20"/>
          <w:szCs w:val="20"/>
          <w:color w:val="auto"/>
        </w:rPr>
      </w:pPr>
    </w:p>
    <w:p>
      <w:pPr>
        <w:ind w:left="8" w:right="40"/>
        <w:spacing w:after="0" w:line="257" w:lineRule="auto"/>
        <w:rPr>
          <w:sz w:val="20"/>
          <w:szCs w:val="20"/>
          <w:color w:val="auto"/>
        </w:rPr>
      </w:pPr>
      <w:r>
        <w:rPr>
          <w:rFonts w:ascii="Arial" w:cs="Arial" w:eastAsia="Arial" w:hAnsi="Arial"/>
          <w:sz w:val="12"/>
          <w:szCs w:val="12"/>
          <w:color w:val="auto"/>
        </w:rPr>
        <w:t>The Revolving Credit Facility requires us to maintain, on a consolidated basis, a leverage ratio of total indebtedness to adjusted EBITDA, as defined in the Revolving Credit Facility and calculated as of the last day of each fiscal quarter, not to exceed 3.25 to 1.00. On March 27, 2023, we amended the Revolving Credit Facility to provide that in lieu of the foregoing leverage ratio, during the fourth quarter of 2023 and each quarter of 2024, we will be required to maintain, on a consolidated basis, a net leverage ratio of total net indebtedness to adjusted EBITDA, as defined in the Revolving Credit Facility and calculated as of the last day of each fiscal quarter, not to exceed 3.25 to 1.00. Alternatively, for up to three of such five quarters, we may elect to comply with a requirement of minimum liquidity, as defined in the Revolving Credit Facility, of not less than $ 5.0 billion. Through the second quarter of 2024, we complied with the net leverage ratio requirement. Each of the leverage ratio and net leverage ratio maximums, as applicable, is subject to a temporary four quarter increase in such ratio to 3.75 to 1.00 following certain material acquisitions.</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Maturities of Notes Payable</w:t>
      </w:r>
    </w:p>
    <w:p>
      <w:pPr>
        <w:spacing w:after="0" w:line="169" w:lineRule="exact"/>
        <w:rPr>
          <w:sz w:val="20"/>
          <w:szCs w:val="20"/>
          <w:color w:val="auto"/>
        </w:rPr>
      </w:pPr>
    </w:p>
    <w:tbl>
      <w:tblPr>
        <w:tblLayout w:type="fixed"/>
        <w:tblInd w:w="8" w:type="dxa"/>
        <w:tblCellMar>
          <w:top w:w="0" w:type="dxa"/>
          <w:left w:w="0" w:type="dxa"/>
          <w:bottom w:w="0" w:type="dxa"/>
          <w:right w:w="0" w:type="dxa"/>
        </w:tblCellMar>
      </w:tblPr>
      <w:tr>
        <w:trPr>
          <w:trHeight w:val="167"/>
        </w:trPr>
        <w:tc>
          <w:tcPr>
            <w:tcW w:w="9860" w:type="dxa"/>
            <w:vAlign w:val="bottom"/>
          </w:tcPr>
          <w:p>
            <w:pPr>
              <w:spacing w:after="0"/>
              <w:rPr>
                <w:sz w:val="20"/>
                <w:szCs w:val="20"/>
                <w:color w:val="auto"/>
              </w:rPr>
            </w:pPr>
            <w:r>
              <w:rPr>
                <w:rFonts w:ascii="Arial" w:cs="Arial" w:eastAsia="Arial" w:hAnsi="Arial"/>
                <w:sz w:val="12"/>
                <w:szCs w:val="12"/>
                <w:color w:val="auto"/>
              </w:rPr>
              <w:t>As of February 29, 2024, maturities of notes payable by fiscal year were as follows:</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1"/>
        </w:trPr>
        <w:tc>
          <w:tcPr>
            <w:tcW w:w="9860" w:type="dxa"/>
            <w:vAlign w:val="bottom"/>
            <w:shd w:val="clear" w:color="auto" w:fill="D1D2D4"/>
          </w:tcPr>
          <w:p>
            <w:pPr>
              <w:spacing w:after="0"/>
              <w:rPr>
                <w:sz w:val="20"/>
                <w:szCs w:val="20"/>
                <w:color w:val="auto"/>
              </w:rPr>
            </w:pPr>
            <w:r>
              <w:rPr>
                <w:rFonts w:ascii="Arial" w:cs="Arial" w:eastAsia="Arial" w:hAnsi="Arial"/>
                <w:sz w:val="12"/>
                <w:szCs w:val="12"/>
                <w:color w:val="auto"/>
              </w:rPr>
              <w:t>Remainder of 2024</w:t>
            </w:r>
          </w:p>
        </w:tc>
        <w:tc>
          <w:tcPr>
            <w:tcW w:w="560" w:type="dxa"/>
            <w:vAlign w:val="bottom"/>
            <w:shd w:val="clear" w:color="auto" w:fill="D1D2D4"/>
          </w:tcPr>
          <w:p>
            <w:pPr>
              <w:jc w:val="right"/>
              <w:ind w:right="4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54</w:t>
            </w:r>
          </w:p>
        </w:tc>
      </w:tr>
      <w:tr>
        <w:trPr>
          <w:trHeight w:val="153"/>
        </w:trPr>
        <w:tc>
          <w:tcPr>
            <w:tcW w:w="9860" w:type="dxa"/>
            <w:vAlign w:val="bottom"/>
          </w:tcPr>
          <w:p>
            <w:pPr>
              <w:spacing w:after="0"/>
              <w:rPr>
                <w:sz w:val="20"/>
                <w:szCs w:val="20"/>
                <w:color w:val="auto"/>
              </w:rPr>
            </w:pPr>
            <w:r>
              <w:rPr>
                <w:rFonts w:ascii="Arial" w:cs="Arial" w:eastAsia="Arial" w:hAnsi="Arial"/>
                <w:sz w:val="12"/>
                <w:szCs w:val="12"/>
                <w:color w:val="auto"/>
              </w:rPr>
              <w:t>2025</w:t>
            </w: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107</w:t>
            </w:r>
          </w:p>
        </w:tc>
      </w:tr>
      <w:tr>
        <w:trPr>
          <w:trHeight w:val="153"/>
        </w:trPr>
        <w:tc>
          <w:tcPr>
            <w:tcW w:w="9860" w:type="dxa"/>
            <w:vAlign w:val="bottom"/>
            <w:shd w:val="clear" w:color="auto" w:fill="D1D2D4"/>
          </w:tcPr>
          <w:p>
            <w:pPr>
              <w:spacing w:after="0"/>
              <w:rPr>
                <w:sz w:val="20"/>
                <w:szCs w:val="20"/>
                <w:color w:val="auto"/>
              </w:rPr>
            </w:pPr>
            <w:r>
              <w:rPr>
                <w:rFonts w:ascii="Arial" w:cs="Arial" w:eastAsia="Arial" w:hAnsi="Arial"/>
                <w:sz w:val="12"/>
                <w:szCs w:val="12"/>
                <w:color w:val="auto"/>
              </w:rPr>
              <w:t>2026</w:t>
            </w:r>
          </w:p>
        </w:tc>
        <w:tc>
          <w:tcPr>
            <w:tcW w:w="560" w:type="dxa"/>
            <w:vAlign w:val="bottom"/>
            <w:shd w:val="clear" w:color="auto" w:fill="D1D2D4"/>
          </w:tcPr>
          <w:p>
            <w:pPr>
              <w:spacing w:after="0"/>
              <w:rPr>
                <w:sz w:val="13"/>
                <w:szCs w:val="13"/>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1,257</w:t>
            </w:r>
          </w:p>
        </w:tc>
      </w:tr>
      <w:tr>
        <w:trPr>
          <w:trHeight w:val="153"/>
        </w:trPr>
        <w:tc>
          <w:tcPr>
            <w:tcW w:w="9860" w:type="dxa"/>
            <w:vAlign w:val="bottom"/>
          </w:tcPr>
          <w:p>
            <w:pPr>
              <w:spacing w:after="0"/>
              <w:rPr>
                <w:sz w:val="20"/>
                <w:szCs w:val="20"/>
                <w:color w:val="auto"/>
              </w:rPr>
            </w:pPr>
            <w:r>
              <w:rPr>
                <w:rFonts w:ascii="Arial" w:cs="Arial" w:eastAsia="Arial" w:hAnsi="Arial"/>
                <w:sz w:val="12"/>
                <w:szCs w:val="12"/>
                <w:color w:val="auto"/>
              </w:rPr>
              <w:t>2027</w:t>
            </w: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1,780</w:t>
            </w:r>
          </w:p>
        </w:tc>
      </w:tr>
      <w:tr>
        <w:trPr>
          <w:trHeight w:val="153"/>
        </w:trPr>
        <w:tc>
          <w:tcPr>
            <w:tcW w:w="9860" w:type="dxa"/>
            <w:vAlign w:val="bottom"/>
            <w:shd w:val="clear" w:color="auto" w:fill="D1D2D4"/>
          </w:tcPr>
          <w:p>
            <w:pPr>
              <w:spacing w:after="0"/>
              <w:rPr>
                <w:sz w:val="20"/>
                <w:szCs w:val="20"/>
                <w:color w:val="auto"/>
              </w:rPr>
            </w:pPr>
            <w:r>
              <w:rPr>
                <w:rFonts w:ascii="Arial" w:cs="Arial" w:eastAsia="Arial" w:hAnsi="Arial"/>
                <w:sz w:val="12"/>
                <w:szCs w:val="12"/>
                <w:color w:val="auto"/>
              </w:rPr>
              <w:t>2028</w:t>
            </w:r>
          </w:p>
        </w:tc>
        <w:tc>
          <w:tcPr>
            <w:tcW w:w="560" w:type="dxa"/>
            <w:vAlign w:val="bottom"/>
            <w:shd w:val="clear" w:color="auto" w:fill="D1D2D4"/>
          </w:tcPr>
          <w:p>
            <w:pPr>
              <w:spacing w:after="0"/>
              <w:rPr>
                <w:sz w:val="13"/>
                <w:szCs w:val="13"/>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1,493</w:t>
            </w:r>
          </w:p>
        </w:tc>
      </w:tr>
      <w:tr>
        <w:trPr>
          <w:trHeight w:val="153"/>
        </w:trPr>
        <w:tc>
          <w:tcPr>
            <w:tcW w:w="9860" w:type="dxa"/>
            <w:vAlign w:val="bottom"/>
          </w:tcPr>
          <w:p>
            <w:pPr>
              <w:spacing w:after="0"/>
              <w:rPr>
                <w:sz w:val="20"/>
                <w:szCs w:val="20"/>
                <w:color w:val="auto"/>
              </w:rPr>
            </w:pPr>
            <w:r>
              <w:rPr>
                <w:rFonts w:ascii="Arial" w:cs="Arial" w:eastAsia="Arial" w:hAnsi="Arial"/>
                <w:sz w:val="12"/>
                <w:szCs w:val="12"/>
                <w:color w:val="auto"/>
              </w:rPr>
              <w:t>2029 and thereafter</w:t>
            </w: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7,450</w:t>
            </w:r>
          </w:p>
        </w:tc>
      </w:tr>
      <w:tr>
        <w:trPr>
          <w:trHeight w:val="153"/>
        </w:trPr>
        <w:tc>
          <w:tcPr>
            <w:tcW w:w="9860" w:type="dxa"/>
            <w:vAlign w:val="bottom"/>
            <w:shd w:val="clear" w:color="auto" w:fill="D1D2D4"/>
          </w:tcPr>
          <w:p>
            <w:pPr>
              <w:spacing w:after="0"/>
              <w:rPr>
                <w:sz w:val="20"/>
                <w:szCs w:val="20"/>
                <w:color w:val="auto"/>
              </w:rPr>
            </w:pPr>
            <w:r>
              <w:rPr>
                <w:rFonts w:ascii="Arial" w:cs="Arial" w:eastAsia="Arial" w:hAnsi="Arial"/>
                <w:sz w:val="12"/>
                <w:szCs w:val="12"/>
                <w:color w:val="auto"/>
              </w:rPr>
              <w:t>Unamortized issuance costs, discounts, and premium, net</w:t>
            </w:r>
          </w:p>
        </w:tc>
        <w:tc>
          <w:tcPr>
            <w:tcW w:w="560" w:type="dxa"/>
            <w:vAlign w:val="bottom"/>
            <w:shd w:val="clear" w:color="auto" w:fill="D1D2D4"/>
          </w:tcPr>
          <w:p>
            <w:pPr>
              <w:spacing w:after="0"/>
              <w:rPr>
                <w:sz w:val="13"/>
                <w:szCs w:val="13"/>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(37)</w:t>
            </w:r>
          </w:p>
        </w:tc>
      </w:tr>
      <w:tr>
        <w:trPr>
          <w:trHeight w:val="153"/>
        </w:trPr>
        <w:tc>
          <w:tcPr>
            <w:tcW w:w="9860" w:type="dxa"/>
            <w:vAlign w:val="bottom"/>
            <w:tcBorders>
              <w:bottom w:val="single" w:sz="8" w:color="D1D2D4"/>
            </w:tcBorders>
          </w:tcPr>
          <w:p>
            <w:pPr>
              <w:spacing w:after="0"/>
              <w:rPr>
                <w:sz w:val="20"/>
                <w:szCs w:val="20"/>
                <w:color w:val="auto"/>
              </w:rPr>
            </w:pPr>
            <w:r>
              <w:rPr>
                <w:rFonts w:ascii="Arial" w:cs="Arial" w:eastAsia="Arial" w:hAnsi="Arial"/>
                <w:sz w:val="12"/>
                <w:szCs w:val="12"/>
                <w:color w:val="auto"/>
              </w:rPr>
              <w:t>Hedge accounting fair value adjustment</w:t>
            </w: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w:t>
            </w:r>
          </w:p>
        </w:tc>
      </w:tr>
      <w:tr>
        <w:trPr>
          <w:trHeight w:val="158"/>
        </w:trPr>
        <w:tc>
          <w:tcPr>
            <w:tcW w:w="9860" w:type="dxa"/>
            <w:vAlign w:val="bottom"/>
            <w:tcBorders>
              <w:bottom w:val="single" w:sz="8" w:color="D1D2D4"/>
            </w:tcBorders>
            <w:shd w:val="clear" w:color="auto" w:fill="D1D2D4"/>
          </w:tcPr>
          <w:p>
            <w:pPr>
              <w:spacing w:after="0"/>
              <w:rPr>
                <w:sz w:val="13"/>
                <w:szCs w:val="13"/>
                <w:color w:val="auto"/>
              </w:rPr>
            </w:pPr>
          </w:p>
        </w:tc>
        <w:tc>
          <w:tcPr>
            <w:tcW w:w="560" w:type="dxa"/>
            <w:vAlign w:val="bottom"/>
            <w:tcBorders>
              <w:bottom w:val="single" w:sz="8" w:color="auto"/>
            </w:tcBorders>
            <w:shd w:val="clear" w:color="auto" w:fill="D1D2D4"/>
          </w:tcPr>
          <w:p>
            <w:pPr>
              <w:jc w:val="right"/>
              <w:ind w:right="42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12,018</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17 | 2024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7" w:name="page18"/>
    <w:bookmarkEnd w:id="17"/>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Contingencies</w:t>
      </w:r>
    </w:p>
    <w:p>
      <w:pPr>
        <w:spacing w:after="0" w:line="178" w:lineRule="exact"/>
        <w:rPr>
          <w:sz w:val="20"/>
          <w:szCs w:val="20"/>
          <w:color w:val="auto"/>
        </w:rPr>
      </w:pPr>
    </w:p>
    <w:p>
      <w:pPr>
        <w:ind w:right="360"/>
        <w:spacing w:after="0" w:line="286" w:lineRule="auto"/>
        <w:rPr>
          <w:sz w:val="20"/>
          <w:szCs w:val="20"/>
          <w:color w:val="auto"/>
        </w:rPr>
      </w:pPr>
      <w:r>
        <w:rPr>
          <w:rFonts w:ascii="Arial" w:cs="Arial" w:eastAsia="Arial" w:hAnsi="Arial"/>
          <w:sz w:val="12"/>
          <w:szCs w:val="12"/>
          <w:color w:val="auto"/>
        </w:rPr>
        <w:t>We are currently a party to legal actions other than those described below arising from the normal course of business, none of which are expected to have a material adverse effect on our business, results of operations, or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Patent Matters</w:t>
      </w:r>
    </w:p>
    <w:p>
      <w:pPr>
        <w:spacing w:after="0" w:line="169" w:lineRule="exact"/>
        <w:rPr>
          <w:sz w:val="20"/>
          <w:szCs w:val="20"/>
          <w:color w:val="auto"/>
        </w:rPr>
      </w:pPr>
    </w:p>
    <w:p>
      <w:pPr>
        <w:ind w:right="140"/>
        <w:spacing w:after="0" w:line="286" w:lineRule="auto"/>
        <w:rPr>
          <w:sz w:val="20"/>
          <w:szCs w:val="20"/>
          <w:color w:val="auto"/>
        </w:rPr>
      </w:pPr>
      <w:r>
        <w:rPr>
          <w:rFonts w:ascii="Arial" w:cs="Arial" w:eastAsia="Arial" w:hAnsi="Arial"/>
          <w:sz w:val="12"/>
          <w:szCs w:val="12"/>
          <w:color w:val="auto"/>
        </w:rPr>
        <w:t>As is typical in the semiconductor and other high-tech industries, from time to time, others have asserted, and may in the future assert, that our products or manufacturing processes infringe upon their intellectual property rights. A description of certain claims is below.</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On March 19, 2018, Micron Semiconductor (Xi’an) Co., Ltd. (“MXA”) was served with a patent infringement complaint filed by Fujian Jinhua Integrated Circuit Co., Ltd. (“Jinhua”) in the Fuzhou Intermediate People’s Court in Fujian Province, China (the “Fuzhou Court”). On April 3, 2018, Micron Semiconductor (Shanghai) Co. Ltd. (“MSS”) was served with the same complaint. The complaint alleged that MXA and MSS infringed one Chinese patent by manufacturing and selling certain Crucial DDR4 DRAM modules. The complaint sought an order requiring MXA and MSS to destroy inventory of the accused products and equipment for manufacturing the accused products in China; to stop manufacturing, using, selling, and offering for sale the accused products in China; and to pay damages of 98 million Chinese yuan plus court fees incurred. On December 4, 2023, Micron and Jinhua entered a settlement agreement under which Jinhua filed an application to the Fuzhou Court to withdraw its complaints against MXA and MSS.</w:t>
      </w:r>
    </w:p>
    <w:p>
      <w:pPr>
        <w:spacing w:after="0" w:line="137"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On March 21, 2018, MXA was served with a patent infringement complaint filed by United Microelectronics Corporation (“UMC”) in the Fuzhou Court. On April 3, 2018, MSS was served with the same complaint. The complaint alleges that MXA and MSS infringed one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90 million Chinese yuan plus court fees incurred. On November 26, 2021, pursuant to a settlement agreement between UMC and Micron, UMC filed an application to the Fuzhou Court to withdraw its complaints against MXA and MSS.</w:t>
      </w:r>
    </w:p>
    <w:p>
      <w:pPr>
        <w:spacing w:after="0" w:line="137"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On April 3, 2018, MSS was served with another patent infringement complaint filed by Jinhua and an additional complaint filed by UMC in the Fuzhou Court. The additional complaints alleged that MSS infringed two Chinese patents by manufacturing and selling certain Crucial MX300 SSDs. The complaint filed by UMC sought an order requiring MSS to destroy inventory of the accused products and equipment for manufacturing the accused products in China; to stop manufacturing, using, selling, and offering for sale the accused products in China; and to pay damages of 90 million Chinese yuan plus court fees incurred. The complaint filed by Jinhua sought an order requiring MSS to destroy inventory of the accused products and equipment for manufacturing the accused products in China; to stop manufacturing, using, selling, and offering for sale the accused products in China; and to pay damages of 98 million Chinese yuan plus court fees incurred. On November 26, 2021, pursuant to a settlement agreement between UMC and Micron, UMC filed an application to the Fuzhou Court to withdraw its complaint against MSS. On December 4, 2023, Micron and Jinhua entered a settlement agreement under which Jinhua filed an application to the Fuzhou Court to withdraw its complaint against MSS.</w:t>
      </w:r>
    </w:p>
    <w:p>
      <w:pPr>
        <w:spacing w:after="0" w:line="140" w:lineRule="exact"/>
        <w:rPr>
          <w:sz w:val="20"/>
          <w:szCs w:val="20"/>
          <w:color w:val="auto"/>
        </w:rPr>
      </w:pPr>
    </w:p>
    <w:p>
      <w:pPr>
        <w:ind w:right="220"/>
        <w:spacing w:after="0" w:line="268" w:lineRule="auto"/>
        <w:rPr>
          <w:sz w:val="20"/>
          <w:szCs w:val="20"/>
          <w:color w:val="auto"/>
        </w:rPr>
      </w:pPr>
      <w:r>
        <w:rPr>
          <w:rFonts w:ascii="Arial" w:cs="Arial" w:eastAsia="Arial" w:hAnsi="Arial"/>
          <w:sz w:val="12"/>
          <w:szCs w:val="12"/>
          <w:color w:val="auto"/>
        </w:rPr>
        <w:t>On July 5, 2018, MXA and MSS were notified that the Fuzhou Court granted a preliminary injunction against those entities that enjoins them from manufacturing, selling, or importing certain Crucial and Ballistix-branded DRAM modules and solid-state drives in China. On December 4, 2023, Micron and Jinhua entered a settlement agreement under which Jinhua filed an application to the Fuzhou Court to withdraw the injunction.</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8" w:name="page19"/>
    <w:bookmarkEnd w:id="18"/>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ind w:right="80"/>
        <w:spacing w:after="0" w:line="255" w:lineRule="auto"/>
        <w:rPr>
          <w:sz w:val="20"/>
          <w:szCs w:val="20"/>
          <w:color w:val="auto"/>
        </w:rPr>
      </w:pPr>
      <w:r>
        <w:rPr>
          <w:rFonts w:ascii="Arial" w:cs="Arial" w:eastAsia="Arial" w:hAnsi="Arial"/>
          <w:sz w:val="12"/>
          <w:szCs w:val="12"/>
          <w:color w:val="auto"/>
        </w:rPr>
        <w:t>On April 28, 2021, Netlist, Inc. (“Netlist”) filed two patent infringement actions against Micron, Micron Semiconductor Products, Inc. (“MSP”), and Micron Technology Texas, LLC (“MTEC”) in the U.S. District Court for the Western District of Texas. The first complaint alleges that one U.S. patent is infringed by certain of our non-volatile dual in-line memory modules. The second complaint alleges that three U.S. patents are infringed by certain of our load-reduced dual in-line memory modules (“LRDIMMs”). Each complaint seeks injunctive relief, damages, attorneys’ fees, and costs. On March 31, 2022, Netlist filed a patent infringement complaint against Micron and Micron Semiconductor Germany, GmbH in Dusseldorf Regional Court alleging that two German patents are infringed by certain of our LRDIMMs. The complaint seeks damages, costs, and injunctive relief. On June 10, 2022, Netlist filed a patent infringement complaint against Micron, MSP, and MTEC in the U.S. District Court for the Eastern District of Texas (“E.D. Tex.”) alleging that six U.S. patents are infringed by certain of our memory modules and HBM products. On August 1, 2022, Netlist filed a second patent infringement complaint against the same defendants in E.D. Tex. alleging that one U.S. patent is infringed by certain of our LRDIMMs. On August 15, 2022, Netlist amended the second complaint to assert that two additional U.S. patents are infringed by certain of our LRDIMMs. The complaints in E.D. Tex. seek injunctive relief, damages, and attorneys’ fees.</w:t>
      </w:r>
    </w:p>
    <w:p>
      <w:pPr>
        <w:spacing w:after="0" w:line="141" w:lineRule="exact"/>
        <w:rPr>
          <w:sz w:val="20"/>
          <w:szCs w:val="20"/>
          <w:color w:val="auto"/>
        </w:rPr>
      </w:pPr>
    </w:p>
    <w:p>
      <w:pPr>
        <w:ind w:right="60"/>
        <w:spacing w:after="0" w:line="286" w:lineRule="auto"/>
        <w:rPr>
          <w:sz w:val="20"/>
          <w:szCs w:val="20"/>
          <w:color w:val="auto"/>
        </w:rPr>
      </w:pPr>
      <w:r>
        <w:rPr>
          <w:rFonts w:ascii="Arial" w:cs="Arial" w:eastAsia="Arial" w:hAnsi="Arial"/>
          <w:sz w:val="12"/>
          <w:szCs w:val="12"/>
          <w:color w:val="auto"/>
        </w:rPr>
        <w:t>On August 16, 2022, Sonrai Memory Ltd. filed a patent infringement complaint against Micron in the U.S. District Court for the Western District of Texas. The complaint alleges that two U.S. patents are infringed by certain SSD and NAND flash products. The complaint seeks damages, attorneys’ fees, and costs.</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2"/>
          <w:szCs w:val="12"/>
          <w:color w:val="auto"/>
        </w:rPr>
        <w:t>On January 23, 2023, Besang Inc. filed a patent infringement complaint against Micron in the U.S. District Court for the Eastern District of Texas. The complaint alleges that one U.S. patent is infringed by certain of our 3D NAND and SSD products. The complaint seeks an injunction, damages, attorneys’ fees, and costs.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On November 9, 2023, Yangtze Memory Technologies Company, Ltd. (“YMTC”) filed a patent infringement complaint against Micron and one of its subsidiaries in the U.S. District Court for the Northern District of California. The complaint alleges that eight U.S. patents are infringed by certain of our 3D NAND products. The complaint seeks an injunction, damages, attorneys’ fees, and costs. On January 22, 2024, Micron Semiconductor (Shanghai) Co., Ltd. (“MSS”) was served with three patent infringement complaints filed by YMTC in Beijing Intellectual Property Court and on February 27, 2024, Micron Technology, Inc. (“MTI”) was served with the same complaints. The complaints assert that MTI and MSS infringed three Chinese patents owned by YMTC by importing, selling, offering for sale, and assisting others to sell certain 3D NAND products and SSDs in China. The complaint seeks an injunction, damages, attorneys’ fees, and costs.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auto"/>
        </w:rPr>
        <w:t>The above lawsuits pertain to substantially all of our DRAM, NAND, and other memory and storage products we manufacture, which account for substantially all of our revenue.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Antitrust Matters</w:t>
      </w:r>
    </w:p>
    <w:p>
      <w:pPr>
        <w:spacing w:after="0" w:line="169" w:lineRule="exact"/>
        <w:rPr>
          <w:sz w:val="20"/>
          <w:szCs w:val="20"/>
          <w:color w:val="auto"/>
        </w:rPr>
      </w:pPr>
    </w:p>
    <w:p>
      <w:pPr>
        <w:ind w:right="40"/>
        <w:spacing w:after="0" w:line="262" w:lineRule="auto"/>
        <w:rPr>
          <w:sz w:val="20"/>
          <w:szCs w:val="20"/>
          <w:color w:val="auto"/>
        </w:rPr>
      </w:pPr>
      <w:r>
        <w:rPr>
          <w:rFonts w:ascii="Arial" w:cs="Arial" w:eastAsia="Arial" w:hAnsi="Arial"/>
          <w:sz w:val="12"/>
          <w:szCs w:val="12"/>
          <w:color w:val="auto"/>
        </w:rPr>
        <w:t>Six cases were filed against Micron alleging price fixing of DRAM products in the following Canadian courts on the dates indicated: Superior Court of Quebec (April 30, 2018 and May 3, 2018), the Federal Court of Canada (May 2, 2018), the Ontario Superior Court of Justice (May 15, 2018), and the Supreme Court of British Columbia (May 10, 2018). The plaintiffs in these cases are individuals seeking certification of class actions on behalf of direct and indirect purchasers of DRAM in Canada (or regions of Canada) between June 1, 2016 and February 1, 2018. Certification of class action status was denied in two of the cases. All six cases are now either inactive or have been dismissed.</w:t>
      </w:r>
    </w:p>
    <w:p>
      <w:pPr>
        <w:spacing w:after="0" w:line="135" w:lineRule="exact"/>
        <w:rPr>
          <w:sz w:val="20"/>
          <w:szCs w:val="20"/>
          <w:color w:val="auto"/>
        </w:rPr>
      </w:pPr>
    </w:p>
    <w:p>
      <w:pPr>
        <w:jc w:val="both"/>
        <w:ind w:right="200"/>
        <w:spacing w:after="0" w:line="334" w:lineRule="auto"/>
        <w:rPr>
          <w:sz w:val="20"/>
          <w:szCs w:val="20"/>
          <w:color w:val="auto"/>
        </w:rPr>
      </w:pPr>
      <w:r>
        <w:rPr>
          <w:rFonts w:ascii="Arial" w:cs="Arial" w:eastAsia="Arial" w:hAnsi="Arial"/>
          <w:sz w:val="11"/>
          <w:szCs w:val="11"/>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19 | 2024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9" w:name="page20"/>
    <w:bookmarkEnd w:id="19"/>
    <w:p>
      <w:pPr>
        <w:ind w:left="10400"/>
        <w:spacing w:after="0"/>
        <w:rPr>
          <w:sz w:val="20"/>
          <w:szCs w:val="20"/>
          <w:color w:val="auto"/>
        </w:rPr>
      </w:pPr>
      <w:r>
        <w:rPr>
          <w:rFonts w:ascii="Arial" w:cs="Arial" w:eastAsia="Arial" w:hAnsi="Arial"/>
          <w:sz w:val="10"/>
          <w:szCs w:val="10"/>
          <w:b w:val="1"/>
          <w:bCs w:val="1"/>
          <w:u w:val="single" w:color="auto"/>
          <w:color w:val="BD03F7"/>
        </w:rPr>
        <w:t>Table of Contents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Matters</w:t>
      </w:r>
    </w:p>
    <w:p>
      <w:pPr>
        <w:spacing w:after="0" w:line="169" w:lineRule="exact"/>
        <w:rPr>
          <w:sz w:val="20"/>
          <w:szCs w:val="20"/>
          <w:color w:val="auto"/>
        </w:rPr>
      </w:pPr>
    </w:p>
    <w:p>
      <w:pPr>
        <w:jc w:val="both"/>
        <w:ind w:right="200"/>
        <w:spacing w:after="0" w:line="268" w:lineRule="auto"/>
        <w:rPr>
          <w:sz w:val="20"/>
          <w:szCs w:val="20"/>
          <w:color w:val="auto"/>
        </w:rPr>
      </w:pPr>
      <w:r>
        <w:rPr>
          <w:rFonts w:ascii="Arial" w:cs="Arial" w:eastAsia="Arial" w:hAnsi="Arial"/>
          <w:sz w:val="12"/>
          <w:szCs w:val="12"/>
          <w:color w:val="auto"/>
        </w:rPr>
        <w:t>In the normal course of business, we are a party to a variety of agreements pursuant to which we may be obligated to indemnify another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Contingency Assessment</w:t>
      </w:r>
    </w:p>
    <w:p>
      <w:pPr>
        <w:spacing w:after="0" w:line="169"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We are unable to predict the outcome of any of the matters noted above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297"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Equity</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 Repurchases</w:t>
      </w:r>
    </w:p>
    <w:p>
      <w:pPr>
        <w:spacing w:after="0" w:line="169" w:lineRule="exact"/>
        <w:rPr>
          <w:sz w:val="20"/>
          <w:szCs w:val="20"/>
          <w:color w:val="auto"/>
        </w:rPr>
      </w:pPr>
    </w:p>
    <w:p>
      <w:pPr>
        <w:jc w:val="both"/>
        <w:ind w:right="160"/>
        <w:spacing w:after="0" w:line="262" w:lineRule="auto"/>
        <w:rPr>
          <w:sz w:val="20"/>
          <w:szCs w:val="20"/>
          <w:color w:val="auto"/>
        </w:rPr>
      </w:pPr>
      <w:r>
        <w:rPr>
          <w:rFonts w:ascii="Arial" w:cs="Arial" w:eastAsia="Arial" w:hAnsi="Arial"/>
          <w:sz w:val="12"/>
          <w:szCs w:val="12"/>
          <w:color w:val="auto"/>
        </w:rPr>
        <w:t>In May 2018, our Board of Directors authorized the discretionary repurchase of up to $ 10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No shares were repurchased in the first six months of 2024. Through February 29, 2024, we had repurchased an aggregate of $6.89 billion under the authorization. Amounts repurchased are included in treasury stock.</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169" w:lineRule="exact"/>
        <w:rPr>
          <w:sz w:val="20"/>
          <w:szCs w:val="20"/>
          <w:color w:val="auto"/>
        </w:rPr>
      </w:pPr>
    </w:p>
    <w:p>
      <w:pPr>
        <w:ind w:right="360"/>
        <w:spacing w:after="0" w:line="286" w:lineRule="auto"/>
        <w:rPr>
          <w:sz w:val="20"/>
          <w:szCs w:val="20"/>
          <w:color w:val="auto"/>
        </w:rPr>
      </w:pPr>
      <w:r>
        <w:rPr>
          <w:rFonts w:ascii="Arial" w:cs="Arial" w:eastAsia="Arial" w:hAnsi="Arial"/>
          <w:sz w:val="12"/>
          <w:szCs w:val="12"/>
          <w:color w:val="auto"/>
        </w:rPr>
        <w:t>We paid dividends of $ 127 million ($0.115 per share) and $129 million ($0.115 per share) in the second and first quarters of 2024, respectively. On March 20, 2024, our Board of Directors declared a quarterly dividend of $0.115 per share, payable in cash on April 16, 2024, to shareholders of record as of the close of business on April 1, 2024.</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Accumulated Other Comprehensive Income (Loss)</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Changes in accumulated other comprehensive income (loss) by component for the six months ended February 29, 2024 were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right"/>
              <w:ind w:right="80"/>
              <w:spacing w:after="0"/>
              <w:rPr>
                <w:sz w:val="20"/>
                <w:szCs w:val="20"/>
                <w:color w:val="auto"/>
              </w:rPr>
            </w:pPr>
            <w:r>
              <w:rPr>
                <w:rFonts w:ascii="Arial" w:cs="Arial" w:eastAsia="Arial" w:hAnsi="Arial"/>
                <w:sz w:val="12"/>
                <w:szCs w:val="12"/>
                <w:b w:val="1"/>
                <w:bCs w:val="1"/>
                <w:color w:val="auto"/>
                <w:w w:val="99"/>
              </w:rPr>
              <w:t>Gains (Losses) on</w:t>
            </w:r>
          </w:p>
        </w:tc>
        <w:tc>
          <w:tcPr>
            <w:tcW w:w="140" w:type="dxa"/>
            <w:vAlign w:val="bottom"/>
          </w:tcPr>
          <w:p>
            <w:pPr>
              <w:spacing w:after="0"/>
              <w:rPr>
                <w:sz w:val="12"/>
                <w:szCs w:val="12"/>
                <w:color w:val="auto"/>
              </w:rPr>
            </w:pPr>
          </w:p>
        </w:tc>
        <w:tc>
          <w:tcPr>
            <w:tcW w:w="1180" w:type="dxa"/>
            <w:vAlign w:val="bottom"/>
          </w:tcPr>
          <w:p>
            <w:pPr>
              <w:jc w:val="center"/>
              <w:ind w:right="60"/>
              <w:spacing w:after="0"/>
              <w:rPr>
                <w:sz w:val="20"/>
                <w:szCs w:val="20"/>
                <w:color w:val="auto"/>
              </w:rPr>
            </w:pPr>
            <w:r>
              <w:rPr>
                <w:rFonts w:ascii="Arial" w:cs="Arial" w:eastAsia="Arial" w:hAnsi="Arial"/>
                <w:sz w:val="12"/>
                <w:szCs w:val="12"/>
                <w:b w:val="1"/>
                <w:bCs w:val="1"/>
                <w:color w:val="auto"/>
              </w:rPr>
              <w:t>Unrealized Gains</w:t>
            </w:r>
          </w:p>
        </w:tc>
        <w:tc>
          <w:tcPr>
            <w:tcW w:w="140" w:type="dxa"/>
            <w:vAlign w:val="bottom"/>
          </w:tcPr>
          <w:p>
            <w:pPr>
              <w:spacing w:after="0"/>
              <w:rPr>
                <w:sz w:val="12"/>
                <w:szCs w:val="12"/>
                <w:color w:val="auto"/>
              </w:rPr>
            </w:pPr>
          </w:p>
        </w:tc>
        <w:tc>
          <w:tcPr>
            <w:tcW w:w="1180" w:type="dxa"/>
            <w:vAlign w:val="bottom"/>
            <w:vMerge w:val="restart"/>
          </w:tcPr>
          <w:p>
            <w:pPr>
              <w:jc w:val="right"/>
              <w:ind w:right="120"/>
              <w:spacing w:after="0"/>
              <w:rPr>
                <w:sz w:val="20"/>
                <w:szCs w:val="20"/>
                <w:color w:val="auto"/>
              </w:rPr>
            </w:pPr>
            <w:r>
              <w:rPr>
                <w:rFonts w:ascii="Arial" w:cs="Arial" w:eastAsia="Arial" w:hAnsi="Arial"/>
                <w:sz w:val="12"/>
                <w:szCs w:val="12"/>
                <w:b w:val="1"/>
                <w:bCs w:val="1"/>
                <w:color w:val="auto"/>
              </w:rPr>
              <w:t>Pension Liability</w:t>
            </w:r>
          </w:p>
        </w:tc>
        <w:tc>
          <w:tcPr>
            <w:tcW w:w="100" w:type="dxa"/>
            <w:vAlign w:val="bottom"/>
          </w:tcPr>
          <w:p>
            <w:pPr>
              <w:spacing w:after="0"/>
              <w:rPr>
                <w:sz w:val="12"/>
                <w:szCs w:val="12"/>
                <w:color w:val="auto"/>
              </w:rPr>
            </w:pPr>
          </w:p>
        </w:tc>
        <w:tc>
          <w:tcPr>
            <w:tcW w:w="124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Cumulative Foreign</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jc w:val="center"/>
              <w:ind w:right="80"/>
              <w:spacing w:after="0" w:line="117" w:lineRule="exact"/>
              <w:rPr>
                <w:sz w:val="20"/>
                <w:szCs w:val="20"/>
                <w:color w:val="auto"/>
              </w:rPr>
            </w:pPr>
            <w:r>
              <w:rPr>
                <w:rFonts w:ascii="Arial" w:cs="Arial" w:eastAsia="Arial" w:hAnsi="Arial"/>
                <w:sz w:val="12"/>
                <w:szCs w:val="12"/>
                <w:b w:val="1"/>
                <w:bCs w:val="1"/>
                <w:color w:val="auto"/>
              </w:rPr>
              <w:t>(Losses) on</w:t>
            </w:r>
          </w:p>
        </w:tc>
        <w:tc>
          <w:tcPr>
            <w:tcW w:w="14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340" w:type="dxa"/>
            <w:vAlign w:val="bottom"/>
            <w:gridSpan w:val="2"/>
          </w:tcPr>
          <w:p>
            <w:pPr>
              <w:jc w:val="center"/>
              <w:spacing w:after="0" w:line="117" w:lineRule="exact"/>
              <w:rPr>
                <w:sz w:val="20"/>
                <w:szCs w:val="20"/>
                <w:color w:val="auto"/>
              </w:rPr>
            </w:pPr>
            <w:r>
              <w:rPr>
                <w:rFonts w:ascii="Arial" w:cs="Arial" w:eastAsia="Arial" w:hAnsi="Arial"/>
                <w:sz w:val="12"/>
                <w:szCs w:val="12"/>
                <w:b w:val="1"/>
                <w:bCs w:val="1"/>
                <w:color w:val="auto"/>
                <w:w w:val="99"/>
              </w:rPr>
              <w:t>Currency Translation</w:t>
            </w:r>
          </w:p>
        </w:tc>
        <w:tc>
          <w:tcPr>
            <w:tcW w:w="300" w:type="dxa"/>
            <w:vAlign w:val="bottom"/>
          </w:tcPr>
          <w:p>
            <w:pPr>
              <w:spacing w:after="0"/>
              <w:rPr>
                <w:sz w:val="10"/>
                <w:szCs w:val="10"/>
                <w:color w:val="auto"/>
              </w:rPr>
            </w:pPr>
          </w:p>
        </w:tc>
        <w:tc>
          <w:tcPr>
            <w:tcW w:w="1020" w:type="dxa"/>
            <w:vAlign w:val="bottom"/>
            <w:vMerge w:val="restart"/>
          </w:tcPr>
          <w:p>
            <w:pPr>
              <w:jc w:val="right"/>
              <w:ind w:right="461"/>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0"/>
        </w:trPr>
        <w:tc>
          <w:tcPr>
            <w:tcW w:w="46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8"/>
              </w:rPr>
              <w:t>Derivative Instruments</w:t>
            </w: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99"/>
              </w:rPr>
              <w:t>Investments</w:t>
            </w: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Adjustments</w:t>
            </w: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99"/>
              </w:rPr>
              <w:t>Adjustment</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80" w:type="dxa"/>
            <w:vAlign w:val="bottom"/>
            <w:shd w:val="clear" w:color="auto" w:fill="D1D2D4"/>
          </w:tcPr>
          <w:p>
            <w:pPr>
              <w:spacing w:after="0"/>
              <w:rPr>
                <w:sz w:val="20"/>
                <w:szCs w:val="20"/>
                <w:color w:val="auto"/>
              </w:rPr>
            </w:pPr>
            <w:r>
              <w:rPr>
                <w:rFonts w:ascii="Arial" w:cs="Arial" w:eastAsia="Arial" w:hAnsi="Arial"/>
                <w:sz w:val="12"/>
                <w:szCs w:val="12"/>
                <w:b w:val="1"/>
                <w:bCs w:val="1"/>
                <w:color w:val="auto"/>
              </w:rPr>
              <w:t>As of August 31, 2023</w:t>
            </w:r>
          </w:p>
        </w:tc>
        <w:tc>
          <w:tcPr>
            <w:tcW w:w="120" w:type="dxa"/>
            <w:vAlign w:val="bottom"/>
            <w:tcBorders>
              <w:bottom w:val="single" w:sz="8" w:color="auto"/>
            </w:tcBorders>
            <w:shd w:val="clear" w:color="auto" w:fill="D1D2D4"/>
          </w:tcPr>
          <w:p>
            <w:pPr>
              <w:ind w:left="2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(304)</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(41)</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36</w:t>
            </w:r>
          </w:p>
        </w:tc>
        <w:tc>
          <w:tcPr>
            <w:tcW w:w="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D1D2D4"/>
          </w:tcPr>
          <w:p>
            <w:pPr>
              <w:ind w:left="1060"/>
              <w:spacing w:after="0"/>
              <w:rPr>
                <w:sz w:val="20"/>
                <w:szCs w:val="20"/>
                <w:color w:val="auto"/>
              </w:rPr>
            </w:pPr>
            <w:r>
              <w:rPr>
                <w:rFonts w:ascii="Arial" w:cs="Arial" w:eastAsia="Arial" w:hAnsi="Arial"/>
                <w:sz w:val="12"/>
                <w:szCs w:val="12"/>
                <w:color w:val="auto"/>
              </w:rPr>
              <w:t>(3)</w:t>
            </w:r>
          </w:p>
        </w:tc>
        <w:tc>
          <w:tcPr>
            <w:tcW w:w="300" w:type="dxa"/>
            <w:vAlign w:val="bottom"/>
            <w:tcBorders>
              <w:bottom w:val="single" w:sz="8" w:color="auto"/>
            </w:tcBorders>
            <w:shd w:val="clear" w:color="auto" w:fill="D1D2D4"/>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(312)</w:t>
            </w:r>
          </w:p>
        </w:tc>
        <w:tc>
          <w:tcPr>
            <w:tcW w:w="0" w:type="dxa"/>
            <w:vAlign w:val="bottom"/>
          </w:tcPr>
          <w:p>
            <w:pPr>
              <w:spacing w:after="0"/>
              <w:rPr>
                <w:sz w:val="1"/>
                <w:szCs w:val="1"/>
                <w:color w:val="auto"/>
              </w:rPr>
            </w:pPr>
          </w:p>
        </w:tc>
      </w:tr>
      <w:tr>
        <w:trPr>
          <w:trHeight w:val="142"/>
        </w:trPr>
        <w:tc>
          <w:tcPr>
            <w:tcW w:w="4680" w:type="dxa"/>
            <w:vAlign w:val="bottom"/>
          </w:tcPr>
          <w:p>
            <w:pPr>
              <w:ind w:left="140"/>
              <w:spacing w:after="0"/>
              <w:rPr>
                <w:sz w:val="20"/>
                <w:szCs w:val="20"/>
                <w:color w:val="auto"/>
              </w:rPr>
            </w:pPr>
            <w:r>
              <w:rPr>
                <w:rFonts w:ascii="Arial" w:cs="Arial" w:eastAsia="Arial" w:hAnsi="Arial"/>
                <w:sz w:val="12"/>
                <w:szCs w:val="12"/>
                <w:color w:val="auto"/>
              </w:rPr>
              <w:t>Other comprehensive income (loss) before reclassifications</w:t>
            </w:r>
          </w:p>
        </w:tc>
        <w:tc>
          <w:tcPr>
            <w:tcW w:w="1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(50)</w:t>
            </w:r>
          </w:p>
        </w:tc>
        <w:tc>
          <w:tcPr>
            <w:tcW w:w="1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16</w:t>
            </w:r>
          </w:p>
        </w:tc>
        <w:tc>
          <w:tcPr>
            <w:tcW w:w="1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40" w:type="dxa"/>
            <w:vAlign w:val="bottom"/>
          </w:tcPr>
          <w:p>
            <w:pPr>
              <w:ind w:left="10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53"/>
        </w:trPr>
        <w:tc>
          <w:tcPr>
            <w:tcW w:w="4680" w:type="dxa"/>
            <w:vAlign w:val="bottom"/>
            <w:shd w:val="clear" w:color="auto" w:fill="D1D2D4"/>
          </w:tcPr>
          <w:p>
            <w:pPr>
              <w:ind w:left="140"/>
              <w:spacing w:after="0"/>
              <w:rPr>
                <w:sz w:val="20"/>
                <w:szCs w:val="20"/>
                <w:color w:val="auto"/>
              </w:rPr>
            </w:pPr>
            <w:r>
              <w:rPr>
                <w:rFonts w:ascii="Arial" w:cs="Arial" w:eastAsia="Arial" w:hAnsi="Arial"/>
                <w:sz w:val="12"/>
                <w:szCs w:val="12"/>
                <w:color w:val="auto"/>
              </w:rPr>
              <w:t>Amount reclassified out of accumulated other comprehensive income (loss)</w:t>
            </w:r>
          </w:p>
        </w:tc>
        <w:tc>
          <w:tcPr>
            <w:tcW w:w="1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100</w:t>
            </w:r>
          </w:p>
        </w:tc>
        <w:tc>
          <w:tcPr>
            <w:tcW w:w="14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D1D2D4"/>
          </w:tcPr>
          <w:p>
            <w:pPr>
              <w:spacing w:after="0"/>
              <w:rPr>
                <w:sz w:val="13"/>
                <w:szCs w:val="13"/>
                <w:color w:val="auto"/>
              </w:rPr>
            </w:pPr>
          </w:p>
        </w:tc>
        <w:tc>
          <w:tcPr>
            <w:tcW w:w="1240" w:type="dxa"/>
            <w:vAlign w:val="bottom"/>
            <w:shd w:val="clear" w:color="auto" w:fill="D1D2D4"/>
          </w:tcPr>
          <w:p>
            <w:pPr>
              <w:ind w:left="1060"/>
              <w:spacing w:after="0"/>
              <w:rPr>
                <w:sz w:val="20"/>
                <w:szCs w:val="20"/>
                <w:color w:val="auto"/>
              </w:rPr>
            </w:pPr>
            <w:r>
              <w:rPr>
                <w:rFonts w:ascii="Arial" w:cs="Arial" w:eastAsia="Arial" w:hAnsi="Arial"/>
                <w:sz w:val="12"/>
                <w:szCs w:val="12"/>
                <w:color w:val="auto"/>
              </w:rPr>
              <w:t>—</w:t>
            </w:r>
          </w:p>
        </w:tc>
        <w:tc>
          <w:tcPr>
            <w:tcW w:w="300" w:type="dxa"/>
            <w:vAlign w:val="bottom"/>
            <w:shd w:val="clear" w:color="auto" w:fill="D1D2D4"/>
          </w:tcPr>
          <w:p>
            <w:pPr>
              <w:spacing w:after="0"/>
              <w:rPr>
                <w:sz w:val="13"/>
                <w:szCs w:val="13"/>
                <w:color w:val="auto"/>
              </w:rPr>
            </w:pPr>
          </w:p>
        </w:tc>
        <w:tc>
          <w:tcPr>
            <w:tcW w:w="1020" w:type="dxa"/>
            <w:vAlign w:val="bottom"/>
            <w:shd w:val="clear" w:color="auto" w:fill="D1D2D4"/>
          </w:tcPr>
          <w:p>
            <w:pPr>
              <w:jc w:val="right"/>
              <w:ind w:right="1"/>
              <w:spacing w:after="0"/>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53"/>
        </w:trPr>
        <w:tc>
          <w:tcPr>
            <w:tcW w:w="4680" w:type="dxa"/>
            <w:vAlign w:val="bottom"/>
            <w:tcBorders>
              <w:bottom w:val="single" w:sz="8" w:color="D1D2D4"/>
            </w:tcBorders>
          </w:tcPr>
          <w:p>
            <w:pPr>
              <w:ind w:left="160"/>
              <w:spacing w:after="0"/>
              <w:rPr>
                <w:sz w:val="20"/>
                <w:szCs w:val="20"/>
                <w:color w:val="auto"/>
              </w:rPr>
            </w:pPr>
            <w:r>
              <w:rPr>
                <w:rFonts w:ascii="Arial" w:cs="Arial" w:eastAsia="Arial" w:hAnsi="Arial"/>
                <w:sz w:val="12"/>
                <w:szCs w:val="12"/>
                <w:color w:val="auto"/>
              </w:rPr>
              <w:t>Tax effects</w:t>
            </w: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ind w:left="1060"/>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42"/>
        </w:trPr>
        <w:tc>
          <w:tcPr>
            <w:tcW w:w="4680" w:type="dxa"/>
            <w:vAlign w:val="bottom"/>
            <w:shd w:val="clear" w:color="auto" w:fill="D1D2D4"/>
          </w:tcPr>
          <w:p>
            <w:pPr>
              <w:spacing w:after="0"/>
              <w:rPr>
                <w:sz w:val="20"/>
                <w:szCs w:val="20"/>
                <w:color w:val="auto"/>
              </w:rPr>
            </w:pPr>
            <w:r>
              <w:rPr>
                <w:rFonts w:ascii="Arial" w:cs="Arial" w:eastAsia="Arial" w:hAnsi="Arial"/>
                <w:sz w:val="12"/>
                <w:szCs w:val="12"/>
                <w:color w:val="auto"/>
              </w:rPr>
              <w:t>Other comprehensive income (loss)</w:t>
            </w:r>
          </w:p>
        </w:tc>
        <w:tc>
          <w:tcPr>
            <w:tcW w:w="120" w:type="dxa"/>
            <w:vAlign w:val="bottom"/>
            <w:tcBorders>
              <w:bottom w:val="single" w:sz="8" w:color="auto"/>
            </w:tcBorders>
            <w:shd w:val="clear" w:color="auto" w:fill="D1D2D4"/>
          </w:tcPr>
          <w:p>
            <w:pPr>
              <w:spacing w:after="0"/>
              <w:rPr>
                <w:sz w:val="12"/>
                <w:szCs w:val="12"/>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33</w:t>
            </w:r>
          </w:p>
        </w:tc>
        <w:tc>
          <w:tcPr>
            <w:tcW w:w="140" w:type="dxa"/>
            <w:vAlign w:val="bottom"/>
            <w:tcBorders>
              <w:bottom w:val="single" w:sz="8" w:color="auto"/>
            </w:tcBorders>
            <w:shd w:val="clear" w:color="auto" w:fill="D1D2D4"/>
          </w:tcPr>
          <w:p>
            <w:pPr>
              <w:spacing w:after="0"/>
              <w:rPr>
                <w:sz w:val="12"/>
                <w:szCs w:val="12"/>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16</w:t>
            </w:r>
          </w:p>
        </w:tc>
        <w:tc>
          <w:tcPr>
            <w:tcW w:w="140" w:type="dxa"/>
            <w:vAlign w:val="bottom"/>
            <w:tcBorders>
              <w:bottom w:val="single" w:sz="8" w:color="auto"/>
            </w:tcBorders>
            <w:shd w:val="clear" w:color="auto" w:fill="D1D2D4"/>
          </w:tcPr>
          <w:p>
            <w:pPr>
              <w:spacing w:after="0"/>
              <w:rPr>
                <w:sz w:val="12"/>
                <w:szCs w:val="12"/>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auto"/>
            </w:tcBorders>
            <w:shd w:val="clear" w:color="auto" w:fill="D1D2D4"/>
          </w:tcPr>
          <w:p>
            <w:pPr>
              <w:spacing w:after="0"/>
              <w:rPr>
                <w:sz w:val="12"/>
                <w:szCs w:val="12"/>
                <w:color w:val="auto"/>
              </w:rPr>
            </w:pPr>
          </w:p>
        </w:tc>
        <w:tc>
          <w:tcPr>
            <w:tcW w:w="1240" w:type="dxa"/>
            <w:vAlign w:val="bottom"/>
            <w:tcBorders>
              <w:bottom w:val="single" w:sz="8" w:color="auto"/>
            </w:tcBorders>
            <w:shd w:val="clear" w:color="auto" w:fill="D1D2D4"/>
          </w:tcPr>
          <w:p>
            <w:pPr>
              <w:ind w:left="1060"/>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shd w:val="clear" w:color="auto" w:fill="D1D2D4"/>
          </w:tcPr>
          <w:p>
            <w:pPr>
              <w:spacing w:after="0"/>
              <w:rPr>
                <w:sz w:val="12"/>
                <w:szCs w:val="12"/>
                <w:color w:val="auto"/>
              </w:rPr>
            </w:pPr>
          </w:p>
        </w:tc>
        <w:tc>
          <w:tcPr>
            <w:tcW w:w="1020" w:type="dxa"/>
            <w:vAlign w:val="bottom"/>
            <w:tcBorders>
              <w:bottom w:val="single" w:sz="8" w:color="auto"/>
            </w:tcBorders>
            <w:shd w:val="clear" w:color="auto" w:fill="D1D2D4"/>
          </w:tcPr>
          <w:p>
            <w:pPr>
              <w:jc w:val="right"/>
              <w:ind w:right="1"/>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20"/>
                <w:szCs w:val="20"/>
                <w:color w:val="auto"/>
              </w:rPr>
            </w:pPr>
            <w:r>
              <w:rPr>
                <w:rFonts w:ascii="Arial" w:cs="Arial" w:eastAsia="Arial" w:hAnsi="Arial"/>
                <w:sz w:val="12"/>
                <w:szCs w:val="12"/>
                <w:b w:val="1"/>
                <w:bCs w:val="1"/>
                <w:color w:val="auto"/>
              </w:rPr>
              <w:t>As of February 29, 2024</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ind w:left="1060"/>
              <w:spacing w:after="0"/>
              <w:rPr>
                <w:sz w:val="20"/>
                <w:szCs w:val="20"/>
                <w:color w:val="auto"/>
              </w:rPr>
            </w:pPr>
            <w:r>
              <w:rPr>
                <w:rFonts w:ascii="Arial" w:cs="Arial" w:eastAsia="Arial" w:hAnsi="Arial"/>
                <w:sz w:val="12"/>
                <w:szCs w:val="12"/>
                <w:color w:val="auto"/>
              </w:rPr>
              <w:t>(3)</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5"/>
        </w:trPr>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20</w:t>
            </w:r>
          </w:p>
        </w:tc>
        <w:tc>
          <w:tcPr>
            <w:tcW w:w="0" w:type="dxa"/>
            <w:vAlign w:val="bottom"/>
          </w:tcPr>
          <w:p>
            <w:pPr>
              <w:spacing w:after="0"/>
              <w:rPr>
                <w:sz w:val="1"/>
                <w:szCs w:val="1"/>
                <w:color w:val="auto"/>
              </w:rPr>
            </w:pPr>
          </w:p>
        </w:tc>
      </w:tr>
      <w:tr>
        <w:trPr>
          <w:trHeight w:val="68"/>
        </w:trPr>
        <w:tc>
          <w:tcPr>
            <w:tcW w:w="46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24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6635750</wp:posOffset>
            </wp:positionH>
            <wp:positionV relativeFrom="paragraph">
              <wp:posOffset>-216535</wp:posOffset>
            </wp:positionV>
            <wp:extent cx="440055"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40055" cy="120015"/>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0" w:name="page21"/>
    <w:bookmarkEnd w:id="20"/>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371" w:lineRule="exact"/>
        <w:rPr>
          <w:sz w:val="20"/>
          <w:szCs w:val="20"/>
          <w:color w:val="auto"/>
        </w:rPr>
      </w:pPr>
    </w:p>
    <w:p>
      <w:pPr>
        <w:ind w:left="8"/>
        <w:spacing w:after="0"/>
        <w:rPr>
          <w:sz w:val="20"/>
          <w:szCs w:val="20"/>
          <w:color w:val="auto"/>
        </w:rPr>
      </w:pPr>
      <w:r>
        <w:rPr>
          <w:rFonts w:ascii="Arial" w:cs="Arial" w:eastAsia="Arial" w:hAnsi="Arial"/>
          <w:sz w:val="26"/>
          <w:szCs w:val="26"/>
          <w:b w:val="1"/>
          <w:bCs w:val="1"/>
          <w:color w:val="auto"/>
        </w:rPr>
        <w:t>Fair Value Measurements</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estimated fair values and carrying values of our outstanding debt instruments were as follows:</w:t>
      </w:r>
    </w:p>
    <w:p>
      <w:pPr>
        <w:sectPr>
          <w:pgSz w:w="11900" w:h="16838" w:orient="portrait"/>
          <w:cols w:equalWidth="0" w:num="1">
            <w:col w:w="11308"/>
          </w:cols>
          <w:pgMar w:left="292" w:top="131" w:right="299" w:bottom="1440" w:gutter="0" w:footer="0" w:header="0"/>
        </w:sectPr>
      </w:pPr>
    </w:p>
    <w:p>
      <w:pPr>
        <w:spacing w:after="0" w:line="33" w:lineRule="exact"/>
        <w:rPr>
          <w:sz w:val="20"/>
          <w:szCs w:val="20"/>
          <w:color w:val="auto"/>
        </w:rPr>
      </w:pPr>
    </w:p>
    <w:p>
      <w:pPr>
        <w:ind w:left="6228"/>
        <w:spacing w:after="0"/>
        <w:rPr>
          <w:sz w:val="20"/>
          <w:szCs w:val="20"/>
          <w:color w:val="auto"/>
        </w:rPr>
      </w:pPr>
      <w:r>
        <w:rPr>
          <w:rFonts w:ascii="Arial" w:cs="Arial" w:eastAsia="Arial" w:hAnsi="Arial"/>
          <w:sz w:val="12"/>
          <w:szCs w:val="12"/>
          <w:b w:val="1"/>
          <w:bCs w:val="1"/>
          <w:color w:val="auto"/>
        </w:rPr>
        <w:t>As of February 29, 2024</w:t>
      </w:r>
    </w:p>
    <w:p>
      <w:pPr>
        <w:spacing w:after="0" w:line="19" w:lineRule="exact"/>
        <w:rPr>
          <w:sz w:val="20"/>
          <w:szCs w:val="20"/>
          <w:color w:val="auto"/>
        </w:rPr>
      </w:pPr>
    </w:p>
    <w:tbl>
      <w:tblPr>
        <w:tblLayout w:type="fixed"/>
        <w:tblInd w:w="8" w:type="dxa"/>
        <w:tblCellMar>
          <w:top w:w="0" w:type="dxa"/>
          <w:left w:w="0" w:type="dxa"/>
          <w:bottom w:w="0" w:type="dxa"/>
          <w:right w:w="0" w:type="dxa"/>
        </w:tblCellMar>
      </w:tblPr>
      <w:tr>
        <w:trPr>
          <w:trHeight w:val="111"/>
        </w:trPr>
        <w:tc>
          <w:tcPr>
            <w:tcW w:w="5460" w:type="dxa"/>
            <w:vAlign w:val="bottom"/>
          </w:tcPr>
          <w:p>
            <w:pPr>
              <w:spacing w:after="0"/>
              <w:rPr>
                <w:sz w:val="9"/>
                <w:szCs w:val="9"/>
                <w:color w:val="auto"/>
              </w:rPr>
            </w:pPr>
          </w:p>
        </w:tc>
        <w:tc>
          <w:tcPr>
            <w:tcW w:w="140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w w:val="99"/>
              </w:rPr>
              <w:t>Fair</w:t>
            </w:r>
          </w:p>
        </w:tc>
        <w:tc>
          <w:tcPr>
            <w:tcW w:w="146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rPr>
              <w:t>Carrying</w:t>
            </w:r>
          </w:p>
        </w:tc>
      </w:tr>
      <w:tr>
        <w:trPr>
          <w:trHeight w:val="157"/>
        </w:trPr>
        <w:tc>
          <w:tcPr>
            <w:tcW w:w="54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Value</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Value</w:t>
            </w:r>
          </w:p>
        </w:tc>
      </w:tr>
    </w:tbl>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of August 31, 2023</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138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w w:val="99"/>
              </w:rPr>
              <w:t>Fair</w:t>
            </w:r>
          </w:p>
        </w:tc>
        <w:tc>
          <w:tcPr>
            <w:tcW w:w="150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rPr>
              <w:t>Carrying</w:t>
            </w:r>
          </w:p>
        </w:tc>
      </w:tr>
      <w:tr>
        <w:trPr>
          <w:trHeight w:val="157"/>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Value</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Value</w:t>
            </w:r>
          </w:p>
        </w:tc>
      </w:tr>
    </w:tbl>
    <w:p>
      <w:pPr>
        <w:spacing w:after="0" w:line="23" w:lineRule="exact"/>
        <w:rPr>
          <w:sz w:val="20"/>
          <w:szCs w:val="20"/>
          <w:color w:val="auto"/>
        </w:rPr>
      </w:pPr>
    </w:p>
    <w:p>
      <w:pPr>
        <w:sectPr>
          <w:pgSz w:w="11900" w:h="16838" w:orient="portrait"/>
          <w:cols w:equalWidth="0" w:num="2">
            <w:col w:w="8328" w:space="100"/>
            <w:col w:w="2880"/>
          </w:cols>
          <w:pgMar w:left="292" w:top="131" w:right="299" w:bottom="1440" w:gutter="0" w:footer="0" w:header="0"/>
          <w:type w:val="continuous"/>
        </w:sectPr>
      </w:pPr>
    </w:p>
    <w:p>
      <w:pPr>
        <w:ind w:left="8"/>
        <w:spacing w:after="0"/>
        <w:tabs>
          <w:tab w:leader="none" w:pos="5468" w:val="left"/>
          <w:tab w:leader="none" w:pos="6468" w:val="left"/>
          <w:tab w:leader="none" w:pos="7888" w:val="left"/>
          <w:tab w:leader="none" w:pos="8408" w:val="left"/>
          <w:tab w:leader="none" w:pos="9428" w:val="left"/>
          <w:tab w:leader="none" w:pos="10848" w:val="left"/>
        </w:tabs>
        <w:rPr>
          <w:sz w:val="20"/>
          <w:szCs w:val="20"/>
          <w:color w:val="auto"/>
        </w:rPr>
      </w:pPr>
      <w:r>
        <w:rPr>
          <w:rFonts w:ascii="Arial" w:cs="Arial" w:eastAsia="Arial" w:hAnsi="Arial"/>
          <w:sz w:val="12"/>
          <w:szCs w:val="12"/>
          <w:color w:val="auto"/>
        </w:rPr>
        <w:t>Notes</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11,733 $</w:t>
      </w:r>
      <w:r>
        <w:rPr>
          <w:sz w:val="20"/>
          <w:szCs w:val="20"/>
          <w:color w:val="auto"/>
        </w:rPr>
        <w:tab/>
      </w:r>
      <w:r>
        <w:rPr>
          <w:rFonts w:ascii="Arial" w:cs="Arial" w:eastAsia="Arial" w:hAnsi="Arial"/>
          <w:sz w:val="12"/>
          <w:szCs w:val="12"/>
          <w:color w:val="auto"/>
        </w:rPr>
        <w:t>12,018</w:t>
        <w:tab/>
        <w:t>$</w:t>
      </w:r>
      <w:r>
        <w:rPr>
          <w:sz w:val="20"/>
          <w:szCs w:val="20"/>
          <w:color w:val="auto"/>
        </w:rPr>
        <w:tab/>
      </w:r>
      <w:r>
        <w:rPr>
          <w:rFonts w:ascii="Arial" w:cs="Arial" w:eastAsia="Arial" w:hAnsi="Arial"/>
          <w:sz w:val="12"/>
          <w:szCs w:val="12"/>
          <w:color w:val="auto"/>
        </w:rPr>
        <w:t>11,549 $</w:t>
      </w:r>
      <w:r>
        <w:rPr>
          <w:sz w:val="20"/>
          <w:szCs w:val="20"/>
          <w:color w:val="auto"/>
        </w:rPr>
        <w:tab/>
      </w:r>
      <w:r>
        <w:rPr>
          <w:rFonts w:ascii="Arial" w:cs="Arial" w:eastAsia="Arial" w:hAnsi="Arial"/>
          <w:sz w:val="12"/>
          <w:szCs w:val="12"/>
          <w:color w:val="auto"/>
        </w:rPr>
        <w:t>12,049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178040" cy="971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211" w:lineRule="exact"/>
        <w:rPr>
          <w:sz w:val="20"/>
          <w:szCs w:val="20"/>
          <w:color w:val="auto"/>
        </w:rPr>
      </w:pPr>
    </w:p>
    <w:p>
      <w:pPr>
        <w:ind w:left="8" w:right="240"/>
        <w:spacing w:after="0" w:line="286" w:lineRule="auto"/>
        <w:rPr>
          <w:sz w:val="20"/>
          <w:szCs w:val="20"/>
          <w:color w:val="auto"/>
        </w:rPr>
      </w:pPr>
      <w:r>
        <w:rPr>
          <w:rFonts w:ascii="Arial" w:cs="Arial" w:eastAsia="Arial" w:hAnsi="Arial"/>
          <w:sz w:val="12"/>
          <w:szCs w:val="12"/>
          <w:color w:val="auto"/>
        </w:rPr>
        <w:t>The fair values of our debt instruments were estimated based on Level 2 inputs, including the trading price of our notes when available, discounted cash flows, and interest rates based on similar debt issued by parties with credit ratings similar to ours.</w:t>
      </w:r>
    </w:p>
    <w:p>
      <w:pPr>
        <w:spacing w:after="0" w:line="283" w:lineRule="exact"/>
        <w:rPr>
          <w:sz w:val="20"/>
          <w:szCs w:val="20"/>
          <w:color w:val="auto"/>
        </w:rPr>
      </w:pPr>
    </w:p>
    <w:p>
      <w:pPr>
        <w:ind w:left="8"/>
        <w:spacing w:after="0"/>
        <w:rPr>
          <w:sz w:val="20"/>
          <w:szCs w:val="20"/>
          <w:color w:val="auto"/>
        </w:rPr>
      </w:pPr>
      <w:r>
        <w:rPr>
          <w:rFonts w:ascii="Arial" w:cs="Arial" w:eastAsia="Arial" w:hAnsi="Arial"/>
          <w:sz w:val="26"/>
          <w:szCs w:val="26"/>
          <w:b w:val="1"/>
          <w:bCs w:val="1"/>
          <w:color w:val="auto"/>
        </w:rPr>
        <w:t>Derivative Instruments</w:t>
      </w:r>
    </w:p>
    <w:p>
      <w:pPr>
        <w:spacing w:after="0" w:line="97"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5120" w:type="dxa"/>
            <w:vAlign w:val="bottom"/>
          </w:tcPr>
          <w:p>
            <w:pPr>
              <w:spacing w:after="0"/>
              <w:rPr>
                <w:sz w:val="13"/>
                <w:szCs w:val="13"/>
                <w:color w:val="auto"/>
              </w:rPr>
            </w:pPr>
          </w:p>
        </w:tc>
        <w:tc>
          <w:tcPr>
            <w:tcW w:w="33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Notional or Contractual</w:t>
            </w: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Fair Value of</w:t>
            </w: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5120" w:type="dxa"/>
            <w:vAlign w:val="bottom"/>
          </w:tcPr>
          <w:p>
            <w:pPr>
              <w:spacing w:after="0"/>
              <w:rPr>
                <w:sz w:val="2"/>
                <w:szCs w:val="2"/>
                <w:color w:val="auto"/>
              </w:rPr>
            </w:pPr>
          </w:p>
        </w:tc>
        <w:tc>
          <w:tcPr>
            <w:tcW w:w="332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vMerge w:val="restart"/>
          </w:tcPr>
          <w:p>
            <w:pPr>
              <w:jc w:val="right"/>
              <w:ind w:right="380"/>
              <w:spacing w:after="0"/>
              <w:rPr>
                <w:sz w:val="20"/>
                <w:szCs w:val="20"/>
                <w:color w:val="auto"/>
              </w:rPr>
            </w:pPr>
            <w:r>
              <w:rPr>
                <w:rFonts w:ascii="Arial" w:cs="Arial" w:eastAsia="Arial" w:hAnsi="Arial"/>
                <w:sz w:val="12"/>
                <w:szCs w:val="12"/>
                <w:b w:val="1"/>
                <w:bCs w:val="1"/>
                <w:color w:val="auto"/>
              </w:rPr>
              <w:t>Assets</w:t>
            </w:r>
            <w:r>
              <w:rPr>
                <w:rFonts w:ascii="Arial" w:cs="Arial" w:eastAsia="Arial" w:hAnsi="Arial"/>
                <w:sz w:val="15"/>
                <w:szCs w:val="15"/>
                <w:b w:val="1"/>
                <w:bCs w:val="1"/>
                <w:color w:val="auto"/>
                <w:vertAlign w:val="superscript"/>
              </w:rPr>
              <w:t>(1)</w:t>
            </w:r>
          </w:p>
        </w:tc>
        <w:tc>
          <w:tcPr>
            <w:tcW w:w="400" w:type="dxa"/>
            <w:vAlign w:val="bottom"/>
          </w:tcPr>
          <w:p>
            <w:pPr>
              <w:spacing w:after="0"/>
              <w:rPr>
                <w:sz w:val="2"/>
                <w:szCs w:val="2"/>
                <w:color w:val="auto"/>
              </w:rPr>
            </w:pPr>
          </w:p>
        </w:tc>
        <w:tc>
          <w:tcPr>
            <w:tcW w:w="1060" w:type="dxa"/>
            <w:vAlign w:val="bottom"/>
            <w:vMerge w:val="restart"/>
          </w:tcPr>
          <w:p>
            <w:pPr>
              <w:jc w:val="right"/>
              <w:ind w:right="340"/>
              <w:spacing w:after="0"/>
              <w:rPr>
                <w:sz w:val="20"/>
                <w:szCs w:val="20"/>
                <w:color w:val="auto"/>
              </w:rPr>
            </w:pPr>
            <w:r>
              <w:rPr>
                <w:rFonts w:ascii="Arial" w:cs="Arial" w:eastAsia="Arial" w:hAnsi="Arial"/>
                <w:sz w:val="12"/>
                <w:szCs w:val="12"/>
                <w:b w:val="1"/>
                <w:bCs w:val="1"/>
                <w:color w:val="auto"/>
                <w:w w:val="94"/>
              </w:rPr>
              <w:t>Liabilities</w:t>
            </w:r>
            <w:r>
              <w:rPr>
                <w:rFonts w:ascii="Arial" w:cs="Arial" w:eastAsia="Arial" w:hAnsi="Arial"/>
                <w:sz w:val="15"/>
                <w:szCs w:val="15"/>
                <w:b w:val="1"/>
                <w:bCs w:val="1"/>
                <w:color w:val="auto"/>
                <w:w w:val="94"/>
                <w:vertAlign w:val="superscript"/>
              </w:rPr>
              <w:t>(2)</w:t>
            </w:r>
          </w:p>
        </w:tc>
        <w:tc>
          <w:tcPr>
            <w:tcW w:w="0" w:type="dxa"/>
            <w:vAlign w:val="bottom"/>
          </w:tcPr>
          <w:p>
            <w:pPr>
              <w:spacing w:after="0" w:line="20" w:lineRule="exact"/>
              <w:rPr>
                <w:sz w:val="1"/>
                <w:szCs w:val="1"/>
                <w:color w:val="auto"/>
              </w:rPr>
            </w:pPr>
          </w:p>
        </w:tc>
      </w:tr>
      <w:tr>
        <w:trPr>
          <w:trHeight w:val="170"/>
        </w:trPr>
        <w:tc>
          <w:tcPr>
            <w:tcW w:w="5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Amount</w:t>
            </w: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20" w:type="dxa"/>
            <w:vAlign w:val="bottom"/>
            <w:shd w:val="clear" w:color="auto" w:fill="D1D2D4"/>
          </w:tcPr>
          <w:p>
            <w:pPr>
              <w:spacing w:after="0"/>
              <w:rPr>
                <w:sz w:val="20"/>
                <w:szCs w:val="20"/>
                <w:color w:val="auto"/>
              </w:rPr>
            </w:pPr>
            <w:r>
              <w:rPr>
                <w:rFonts w:ascii="Arial" w:cs="Arial" w:eastAsia="Arial" w:hAnsi="Arial"/>
                <w:sz w:val="12"/>
                <w:szCs w:val="12"/>
                <w:b w:val="1"/>
                <w:bCs w:val="1"/>
                <w:color w:val="auto"/>
              </w:rPr>
              <w:t>As of February 29, 2024</w:t>
            </w:r>
          </w:p>
        </w:tc>
        <w:tc>
          <w:tcPr>
            <w:tcW w:w="2160" w:type="dxa"/>
            <w:vAlign w:val="bottom"/>
            <w:shd w:val="clear" w:color="auto" w:fill="D1D2D4"/>
          </w:tcPr>
          <w:p>
            <w:pPr>
              <w:spacing w:after="0"/>
              <w:rPr>
                <w:sz w:val="14"/>
                <w:szCs w:val="14"/>
                <w:color w:val="auto"/>
              </w:rPr>
            </w:pPr>
          </w:p>
        </w:tc>
        <w:tc>
          <w:tcPr>
            <w:tcW w:w="1160" w:type="dxa"/>
            <w:vAlign w:val="bottom"/>
            <w:shd w:val="clear" w:color="auto" w:fill="D1D2D4"/>
          </w:tcPr>
          <w:p>
            <w:pPr>
              <w:spacing w:after="0"/>
              <w:rPr>
                <w:sz w:val="14"/>
                <w:szCs w:val="14"/>
                <w:color w:val="auto"/>
              </w:rPr>
            </w:pPr>
          </w:p>
        </w:tc>
        <w:tc>
          <w:tcPr>
            <w:tcW w:w="260" w:type="dxa"/>
            <w:vAlign w:val="bottom"/>
            <w:shd w:val="clear" w:color="auto" w:fill="D1D2D4"/>
          </w:tcPr>
          <w:p>
            <w:pPr>
              <w:spacing w:after="0"/>
              <w:rPr>
                <w:sz w:val="14"/>
                <w:szCs w:val="14"/>
                <w:color w:val="auto"/>
              </w:rPr>
            </w:pPr>
          </w:p>
        </w:tc>
        <w:tc>
          <w:tcPr>
            <w:tcW w:w="1140" w:type="dxa"/>
            <w:vAlign w:val="bottom"/>
            <w:shd w:val="clear" w:color="auto" w:fill="D1D2D4"/>
          </w:tcPr>
          <w:p>
            <w:pPr>
              <w:spacing w:after="0"/>
              <w:rPr>
                <w:sz w:val="14"/>
                <w:szCs w:val="14"/>
                <w:color w:val="auto"/>
              </w:rPr>
            </w:pPr>
          </w:p>
        </w:tc>
        <w:tc>
          <w:tcPr>
            <w:tcW w:w="400" w:type="dxa"/>
            <w:vAlign w:val="bottom"/>
            <w:shd w:val="clear" w:color="auto" w:fill="D1D2D4"/>
          </w:tcPr>
          <w:p>
            <w:pPr>
              <w:spacing w:after="0"/>
              <w:rPr>
                <w:sz w:val="14"/>
                <w:szCs w:val="14"/>
                <w:color w:val="auto"/>
              </w:rPr>
            </w:pPr>
          </w:p>
        </w:tc>
        <w:tc>
          <w:tcPr>
            <w:tcW w:w="106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20" w:type="dxa"/>
            <w:vAlign w:val="bottom"/>
          </w:tcPr>
          <w:p>
            <w:pPr>
              <w:spacing w:after="0"/>
              <w:rPr>
                <w:sz w:val="20"/>
                <w:szCs w:val="20"/>
                <w:color w:val="auto"/>
              </w:rPr>
            </w:pPr>
            <w:r>
              <w:rPr>
                <w:rFonts w:ascii="Arial" w:cs="Arial" w:eastAsia="Arial" w:hAnsi="Arial"/>
                <w:sz w:val="12"/>
                <w:szCs w:val="12"/>
                <w:color w:val="auto"/>
              </w:rPr>
              <w:t>Derivative instruments with hedge accounting designation</w:t>
            </w:r>
          </w:p>
        </w:tc>
        <w:tc>
          <w:tcPr>
            <w:tcW w:w="2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20" w:type="dxa"/>
            <w:vAlign w:val="bottom"/>
            <w:shd w:val="clear" w:color="auto" w:fill="D1D2D4"/>
          </w:tcPr>
          <w:p>
            <w:pPr>
              <w:ind w:left="120"/>
              <w:spacing w:after="0"/>
              <w:rPr>
                <w:sz w:val="20"/>
                <w:szCs w:val="20"/>
                <w:color w:val="auto"/>
              </w:rPr>
            </w:pPr>
            <w:r>
              <w:rPr>
                <w:rFonts w:ascii="Arial" w:cs="Arial" w:eastAsia="Arial" w:hAnsi="Arial"/>
                <w:sz w:val="12"/>
                <w:szCs w:val="12"/>
                <w:color w:val="auto"/>
              </w:rPr>
              <w:t>Cash flow currency hedges</w:t>
            </w:r>
          </w:p>
        </w:tc>
        <w:tc>
          <w:tcPr>
            <w:tcW w:w="2160" w:type="dxa"/>
            <w:vAlign w:val="bottom"/>
            <w:shd w:val="clear" w:color="auto" w:fill="D1D2D4"/>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4,028</w:t>
            </w:r>
          </w:p>
        </w:tc>
        <w:tc>
          <w:tcPr>
            <w:tcW w:w="260" w:type="dxa"/>
            <w:vAlign w:val="bottom"/>
            <w:shd w:val="clear" w:color="auto" w:fill="D1D2D4"/>
          </w:tcPr>
          <w:p>
            <w:pPr>
              <w:jc w:val="right"/>
              <w:ind w:right="1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w:t>
            </w:r>
          </w:p>
        </w:tc>
        <w:tc>
          <w:tcPr>
            <w:tcW w:w="400" w:type="dxa"/>
            <w:vAlign w:val="bottom"/>
            <w:shd w:val="clear" w:color="auto" w:fill="D1D2D4"/>
          </w:tcPr>
          <w:p>
            <w:pPr>
              <w:jc w:val="right"/>
              <w:ind w:right="240"/>
              <w:spacing w:after="0"/>
              <w:rPr>
                <w:sz w:val="20"/>
                <w:szCs w:val="20"/>
                <w:color w:val="auto"/>
              </w:rPr>
            </w:pPr>
            <w:r>
              <w:rPr>
                <w:rFonts w:ascii="Arial" w:cs="Arial" w:eastAsia="Arial" w:hAnsi="Arial"/>
                <w:sz w:val="12"/>
                <w:szCs w:val="12"/>
                <w:color w:val="auto"/>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(173)</w:t>
            </w:r>
          </w:p>
        </w:tc>
        <w:tc>
          <w:tcPr>
            <w:tcW w:w="0" w:type="dxa"/>
            <w:vAlign w:val="bottom"/>
          </w:tcPr>
          <w:p>
            <w:pPr>
              <w:spacing w:after="0"/>
              <w:rPr>
                <w:sz w:val="1"/>
                <w:szCs w:val="1"/>
                <w:color w:val="auto"/>
              </w:rPr>
            </w:pPr>
          </w:p>
        </w:tc>
      </w:tr>
      <w:tr>
        <w:trPr>
          <w:trHeight w:val="153"/>
        </w:trPr>
        <w:tc>
          <w:tcPr>
            <w:tcW w:w="5120" w:type="dxa"/>
            <w:vAlign w:val="bottom"/>
          </w:tcPr>
          <w:p>
            <w:pPr>
              <w:ind w:left="120"/>
              <w:spacing w:after="0"/>
              <w:rPr>
                <w:sz w:val="20"/>
                <w:szCs w:val="20"/>
                <w:color w:val="auto"/>
              </w:rPr>
            </w:pPr>
            <w:r>
              <w:rPr>
                <w:rFonts w:ascii="Arial" w:cs="Arial" w:eastAsia="Arial" w:hAnsi="Arial"/>
                <w:sz w:val="12"/>
                <w:szCs w:val="12"/>
                <w:color w:val="auto"/>
              </w:rPr>
              <w:t>Cash flow commodity hedges</w:t>
            </w:r>
          </w:p>
        </w:tc>
        <w:tc>
          <w:tcPr>
            <w:tcW w:w="2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393</w:t>
            </w: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25</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3"/>
        </w:trPr>
        <w:tc>
          <w:tcPr>
            <w:tcW w:w="5120" w:type="dxa"/>
            <w:vAlign w:val="bottom"/>
            <w:shd w:val="clear" w:color="auto" w:fill="D1D2D4"/>
          </w:tcPr>
          <w:p>
            <w:pPr>
              <w:ind w:left="120"/>
              <w:spacing w:after="0"/>
              <w:rPr>
                <w:sz w:val="20"/>
                <w:szCs w:val="20"/>
                <w:color w:val="auto"/>
              </w:rPr>
            </w:pPr>
            <w:r>
              <w:rPr>
                <w:rFonts w:ascii="Arial" w:cs="Arial" w:eastAsia="Arial" w:hAnsi="Arial"/>
                <w:sz w:val="12"/>
                <w:szCs w:val="12"/>
                <w:color w:val="auto"/>
              </w:rPr>
              <w:t>Fair value interest rate hedges</w:t>
            </w:r>
          </w:p>
        </w:tc>
        <w:tc>
          <w:tcPr>
            <w:tcW w:w="2160" w:type="dxa"/>
            <w:vAlign w:val="bottom"/>
            <w:shd w:val="clear" w:color="auto" w:fill="D1D2D4"/>
          </w:tcPr>
          <w:p>
            <w:pPr>
              <w:spacing w:after="0"/>
              <w:rPr>
                <w:sz w:val="13"/>
                <w:szCs w:val="13"/>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900</w:t>
            </w:r>
          </w:p>
        </w:tc>
        <w:tc>
          <w:tcPr>
            <w:tcW w:w="260" w:type="dxa"/>
            <w:vAlign w:val="bottom"/>
            <w:shd w:val="clear" w:color="auto" w:fill="D1D2D4"/>
          </w:tcPr>
          <w:p>
            <w:pPr>
              <w:spacing w:after="0"/>
              <w:rPr>
                <w:sz w:val="13"/>
                <w:szCs w:val="13"/>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D1D2D4"/>
          </w:tcPr>
          <w:p>
            <w:pPr>
              <w:spacing w:after="0"/>
              <w:rPr>
                <w:sz w:val="13"/>
                <w:szCs w:val="13"/>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20" w:type="dxa"/>
            <w:vAlign w:val="bottom"/>
            <w:shd w:val="clear" w:color="auto" w:fill="D1D2D4"/>
          </w:tcPr>
          <w:p>
            <w:pPr>
              <w:spacing w:after="0"/>
              <w:rPr>
                <w:sz w:val="20"/>
                <w:szCs w:val="20"/>
                <w:color w:val="auto"/>
              </w:rPr>
            </w:pPr>
            <w:r>
              <w:rPr>
                <w:rFonts w:ascii="Arial" w:cs="Arial" w:eastAsia="Arial" w:hAnsi="Arial"/>
                <w:sz w:val="12"/>
                <w:szCs w:val="12"/>
                <w:color w:val="auto"/>
              </w:rPr>
              <w:t>Derivative instruments without hedge accounting designation</w:t>
            </w:r>
          </w:p>
        </w:tc>
        <w:tc>
          <w:tcPr>
            <w:tcW w:w="2160" w:type="dxa"/>
            <w:vAlign w:val="bottom"/>
            <w:shd w:val="clear" w:color="auto" w:fill="D1D2D4"/>
          </w:tcPr>
          <w:p>
            <w:pPr>
              <w:spacing w:after="0"/>
              <w:rPr>
                <w:sz w:val="13"/>
                <w:szCs w:val="13"/>
                <w:color w:val="auto"/>
              </w:rPr>
            </w:pPr>
          </w:p>
        </w:tc>
        <w:tc>
          <w:tcPr>
            <w:tcW w:w="1160" w:type="dxa"/>
            <w:vAlign w:val="bottom"/>
            <w:shd w:val="clear" w:color="auto" w:fill="D1D2D4"/>
          </w:tcPr>
          <w:p>
            <w:pPr>
              <w:spacing w:after="0"/>
              <w:rPr>
                <w:sz w:val="13"/>
                <w:szCs w:val="13"/>
                <w:color w:val="auto"/>
              </w:rPr>
            </w:pPr>
          </w:p>
        </w:tc>
        <w:tc>
          <w:tcPr>
            <w:tcW w:w="260" w:type="dxa"/>
            <w:vAlign w:val="bottom"/>
            <w:shd w:val="clear" w:color="auto" w:fill="D1D2D4"/>
          </w:tcPr>
          <w:p>
            <w:pPr>
              <w:spacing w:after="0"/>
              <w:rPr>
                <w:sz w:val="13"/>
                <w:szCs w:val="13"/>
                <w:color w:val="auto"/>
              </w:rPr>
            </w:pPr>
          </w:p>
        </w:tc>
        <w:tc>
          <w:tcPr>
            <w:tcW w:w="1140" w:type="dxa"/>
            <w:vAlign w:val="bottom"/>
            <w:shd w:val="clear" w:color="auto" w:fill="D1D2D4"/>
          </w:tcPr>
          <w:p>
            <w:pPr>
              <w:spacing w:after="0"/>
              <w:rPr>
                <w:sz w:val="13"/>
                <w:szCs w:val="13"/>
                <w:color w:val="auto"/>
              </w:rPr>
            </w:pPr>
          </w:p>
        </w:tc>
        <w:tc>
          <w:tcPr>
            <w:tcW w:w="400" w:type="dxa"/>
            <w:vAlign w:val="bottom"/>
            <w:shd w:val="clear" w:color="auto" w:fill="D1D2D4"/>
          </w:tcPr>
          <w:p>
            <w:pPr>
              <w:spacing w:after="0"/>
              <w:rPr>
                <w:sz w:val="13"/>
                <w:szCs w:val="13"/>
                <w:color w:val="auto"/>
              </w:rPr>
            </w:pPr>
          </w:p>
        </w:tc>
        <w:tc>
          <w:tcPr>
            <w:tcW w:w="106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20" w:type="dxa"/>
            <w:vAlign w:val="bottom"/>
            <w:tcBorders>
              <w:bottom w:val="single" w:sz="8" w:color="D1D2D4"/>
            </w:tcBorders>
          </w:tcPr>
          <w:p>
            <w:pPr>
              <w:ind w:left="120"/>
              <w:spacing w:after="0"/>
              <w:rPr>
                <w:sz w:val="20"/>
                <w:szCs w:val="20"/>
                <w:color w:val="auto"/>
              </w:rPr>
            </w:pPr>
            <w:r>
              <w:rPr>
                <w:rFonts w:ascii="Arial" w:cs="Arial" w:eastAsia="Arial" w:hAnsi="Arial"/>
                <w:sz w:val="12"/>
                <w:szCs w:val="12"/>
                <w:color w:val="auto"/>
              </w:rPr>
              <w:t>Non-designated currency hedges</w:t>
            </w:r>
          </w:p>
        </w:tc>
        <w:tc>
          <w:tcPr>
            <w:tcW w:w="2160" w:type="dxa"/>
            <w:vAlign w:val="bottom"/>
            <w:tcBorders>
              <w:bottom w:val="single" w:sz="8" w:color="D1D2D4"/>
            </w:tcBorders>
          </w:tcPr>
          <w:p>
            <w:pPr>
              <w:spacing w:after="0"/>
              <w:rPr>
                <w:sz w:val="13"/>
                <w:szCs w:val="13"/>
                <w:color w:val="auto"/>
              </w:rPr>
            </w:pPr>
          </w:p>
        </w:tc>
        <w:tc>
          <w:tcPr>
            <w:tcW w:w="1160" w:type="dxa"/>
            <w:vAlign w:val="bottom"/>
            <w:tcBorders>
              <w:bottom w:val="single" w:sz="8" w:color="D1D2D4"/>
            </w:tcBorders>
          </w:tcPr>
          <w:p>
            <w:pPr>
              <w:jc w:val="right"/>
              <w:spacing w:after="0"/>
              <w:rPr>
                <w:sz w:val="20"/>
                <w:szCs w:val="20"/>
                <w:color w:val="auto"/>
              </w:rPr>
            </w:pPr>
            <w:r>
              <w:rPr>
                <w:rFonts w:ascii="Arial" w:cs="Arial" w:eastAsia="Arial" w:hAnsi="Arial"/>
                <w:sz w:val="12"/>
                <w:szCs w:val="12"/>
                <w:color w:val="auto"/>
              </w:rPr>
              <w:t>2,061</w:t>
            </w: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58"/>
        </w:trPr>
        <w:tc>
          <w:tcPr>
            <w:tcW w:w="5120" w:type="dxa"/>
            <w:vAlign w:val="bottom"/>
            <w:tcBorders>
              <w:bottom w:val="single" w:sz="8" w:color="D1D2D4"/>
            </w:tcBorders>
            <w:shd w:val="clear" w:color="auto" w:fill="D1D2D4"/>
          </w:tcPr>
          <w:p>
            <w:pPr>
              <w:spacing w:after="0"/>
              <w:rPr>
                <w:sz w:val="13"/>
                <w:szCs w:val="13"/>
                <w:color w:val="auto"/>
              </w:rPr>
            </w:pPr>
          </w:p>
        </w:tc>
        <w:tc>
          <w:tcPr>
            <w:tcW w:w="2160" w:type="dxa"/>
            <w:vAlign w:val="bottom"/>
            <w:tcBorders>
              <w:bottom w:val="single" w:sz="8" w:color="D1D2D4"/>
            </w:tcBorders>
            <w:shd w:val="clear" w:color="auto" w:fill="D1D2D4"/>
          </w:tcPr>
          <w:p>
            <w:pPr>
              <w:spacing w:after="0"/>
              <w:rPr>
                <w:sz w:val="13"/>
                <w:szCs w:val="13"/>
                <w:color w:val="auto"/>
              </w:rPr>
            </w:pPr>
          </w:p>
        </w:tc>
        <w:tc>
          <w:tcPr>
            <w:tcW w:w="1160" w:type="dxa"/>
            <w:vAlign w:val="bottom"/>
            <w:tcBorders>
              <w:bottom w:val="single" w:sz="8" w:color="D1D2D4"/>
            </w:tcBorders>
            <w:shd w:val="clear" w:color="auto" w:fill="D1D2D4"/>
          </w:tcPr>
          <w:p>
            <w:pPr>
              <w:spacing w:after="0"/>
              <w:rPr>
                <w:sz w:val="13"/>
                <w:szCs w:val="13"/>
                <w:color w:val="auto"/>
              </w:rPr>
            </w:pPr>
          </w:p>
        </w:tc>
        <w:tc>
          <w:tcPr>
            <w:tcW w:w="260" w:type="dxa"/>
            <w:vAlign w:val="bottom"/>
            <w:tcBorders>
              <w:bottom w:val="single" w:sz="8" w:color="auto"/>
            </w:tcBorders>
            <w:shd w:val="clear" w:color="auto" w:fill="D1D2D4"/>
          </w:tcPr>
          <w:p>
            <w:pPr>
              <w:jc w:val="right"/>
              <w:ind w:right="1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36</w:t>
            </w:r>
          </w:p>
        </w:tc>
        <w:tc>
          <w:tcPr>
            <w:tcW w:w="400" w:type="dxa"/>
            <w:vAlign w:val="bottom"/>
            <w:tcBorders>
              <w:bottom w:val="single" w:sz="8" w:color="auto"/>
            </w:tcBorders>
            <w:shd w:val="clear" w:color="auto" w:fill="D1D2D4"/>
          </w:tcPr>
          <w:p>
            <w:pPr>
              <w:jc w:val="right"/>
              <w:ind w:right="24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(275)</w:t>
            </w:r>
          </w:p>
        </w:tc>
        <w:tc>
          <w:tcPr>
            <w:tcW w:w="0" w:type="dxa"/>
            <w:vAlign w:val="bottom"/>
          </w:tcPr>
          <w:p>
            <w:pPr>
              <w:spacing w:after="0"/>
              <w:rPr>
                <w:sz w:val="1"/>
                <w:szCs w:val="1"/>
                <w:color w:val="auto"/>
              </w:rPr>
            </w:pPr>
          </w:p>
        </w:tc>
      </w:tr>
      <w:tr>
        <w:trPr>
          <w:trHeight w:val="153"/>
        </w:trPr>
        <w:tc>
          <w:tcPr>
            <w:tcW w:w="5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20" w:type="dxa"/>
            <w:vAlign w:val="bottom"/>
            <w:shd w:val="clear" w:color="auto" w:fill="D1D2D4"/>
          </w:tcPr>
          <w:p>
            <w:pPr>
              <w:spacing w:after="0"/>
              <w:rPr>
                <w:sz w:val="20"/>
                <w:szCs w:val="20"/>
                <w:color w:val="auto"/>
              </w:rPr>
            </w:pPr>
            <w:r>
              <w:rPr>
                <w:rFonts w:ascii="Arial" w:cs="Arial" w:eastAsia="Arial" w:hAnsi="Arial"/>
                <w:sz w:val="12"/>
                <w:szCs w:val="12"/>
                <w:b w:val="1"/>
                <w:bCs w:val="1"/>
                <w:color w:val="auto"/>
              </w:rPr>
              <w:t>As of August 31, 2023</w:t>
            </w:r>
          </w:p>
        </w:tc>
        <w:tc>
          <w:tcPr>
            <w:tcW w:w="2160" w:type="dxa"/>
            <w:vAlign w:val="bottom"/>
            <w:shd w:val="clear" w:color="auto" w:fill="D1D2D4"/>
          </w:tcPr>
          <w:p>
            <w:pPr>
              <w:spacing w:after="0"/>
              <w:rPr>
                <w:sz w:val="13"/>
                <w:szCs w:val="13"/>
                <w:color w:val="auto"/>
              </w:rPr>
            </w:pPr>
          </w:p>
        </w:tc>
        <w:tc>
          <w:tcPr>
            <w:tcW w:w="1160" w:type="dxa"/>
            <w:vAlign w:val="bottom"/>
            <w:shd w:val="clear" w:color="auto" w:fill="D1D2D4"/>
          </w:tcPr>
          <w:p>
            <w:pPr>
              <w:spacing w:after="0"/>
              <w:rPr>
                <w:sz w:val="13"/>
                <w:szCs w:val="13"/>
                <w:color w:val="auto"/>
              </w:rPr>
            </w:pPr>
          </w:p>
        </w:tc>
        <w:tc>
          <w:tcPr>
            <w:tcW w:w="260" w:type="dxa"/>
            <w:vAlign w:val="bottom"/>
            <w:shd w:val="clear" w:color="auto" w:fill="D1D2D4"/>
          </w:tcPr>
          <w:p>
            <w:pPr>
              <w:spacing w:after="0"/>
              <w:rPr>
                <w:sz w:val="13"/>
                <w:szCs w:val="13"/>
                <w:color w:val="auto"/>
              </w:rPr>
            </w:pPr>
          </w:p>
        </w:tc>
        <w:tc>
          <w:tcPr>
            <w:tcW w:w="1140" w:type="dxa"/>
            <w:vAlign w:val="bottom"/>
            <w:shd w:val="clear" w:color="auto" w:fill="D1D2D4"/>
          </w:tcPr>
          <w:p>
            <w:pPr>
              <w:spacing w:after="0"/>
              <w:rPr>
                <w:sz w:val="13"/>
                <w:szCs w:val="13"/>
                <w:color w:val="auto"/>
              </w:rPr>
            </w:pPr>
          </w:p>
        </w:tc>
        <w:tc>
          <w:tcPr>
            <w:tcW w:w="400" w:type="dxa"/>
            <w:vAlign w:val="bottom"/>
            <w:shd w:val="clear" w:color="auto" w:fill="D1D2D4"/>
          </w:tcPr>
          <w:p>
            <w:pPr>
              <w:spacing w:after="0"/>
              <w:rPr>
                <w:sz w:val="13"/>
                <w:szCs w:val="13"/>
                <w:color w:val="auto"/>
              </w:rPr>
            </w:pPr>
          </w:p>
        </w:tc>
        <w:tc>
          <w:tcPr>
            <w:tcW w:w="106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20" w:type="dxa"/>
            <w:vAlign w:val="bottom"/>
          </w:tcPr>
          <w:p>
            <w:pPr>
              <w:spacing w:after="0"/>
              <w:rPr>
                <w:sz w:val="20"/>
                <w:szCs w:val="20"/>
                <w:color w:val="auto"/>
              </w:rPr>
            </w:pPr>
            <w:r>
              <w:rPr>
                <w:rFonts w:ascii="Arial" w:cs="Arial" w:eastAsia="Arial" w:hAnsi="Arial"/>
                <w:sz w:val="12"/>
                <w:szCs w:val="12"/>
                <w:color w:val="auto"/>
              </w:rPr>
              <w:t>Derivative instruments with hedge accounting designation</w:t>
            </w:r>
          </w:p>
        </w:tc>
        <w:tc>
          <w:tcPr>
            <w:tcW w:w="2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20" w:type="dxa"/>
            <w:vAlign w:val="bottom"/>
            <w:shd w:val="clear" w:color="auto" w:fill="D1D2D4"/>
          </w:tcPr>
          <w:p>
            <w:pPr>
              <w:ind w:left="120"/>
              <w:spacing w:after="0"/>
              <w:rPr>
                <w:sz w:val="20"/>
                <w:szCs w:val="20"/>
                <w:color w:val="auto"/>
              </w:rPr>
            </w:pPr>
            <w:r>
              <w:rPr>
                <w:rFonts w:ascii="Arial" w:cs="Arial" w:eastAsia="Arial" w:hAnsi="Arial"/>
                <w:sz w:val="12"/>
                <w:szCs w:val="12"/>
                <w:color w:val="auto"/>
              </w:rPr>
              <w:t>Cash flow currency hedges</w:t>
            </w:r>
          </w:p>
        </w:tc>
        <w:tc>
          <w:tcPr>
            <w:tcW w:w="2160" w:type="dxa"/>
            <w:vAlign w:val="bottom"/>
            <w:shd w:val="clear" w:color="auto" w:fill="D1D2D4"/>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3,873</w:t>
            </w:r>
          </w:p>
        </w:tc>
        <w:tc>
          <w:tcPr>
            <w:tcW w:w="260" w:type="dxa"/>
            <w:vAlign w:val="bottom"/>
            <w:shd w:val="clear" w:color="auto" w:fill="D1D2D4"/>
          </w:tcPr>
          <w:p>
            <w:pPr>
              <w:jc w:val="right"/>
              <w:ind w:right="1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16</w:t>
            </w:r>
          </w:p>
        </w:tc>
        <w:tc>
          <w:tcPr>
            <w:tcW w:w="400" w:type="dxa"/>
            <w:vAlign w:val="bottom"/>
            <w:shd w:val="clear" w:color="auto" w:fill="D1D2D4"/>
          </w:tcPr>
          <w:p>
            <w:pPr>
              <w:jc w:val="right"/>
              <w:ind w:right="240"/>
              <w:spacing w:after="0"/>
              <w:rPr>
                <w:sz w:val="20"/>
                <w:szCs w:val="20"/>
                <w:color w:val="auto"/>
              </w:rPr>
            </w:pPr>
            <w:r>
              <w:rPr>
                <w:rFonts w:ascii="Arial" w:cs="Arial" w:eastAsia="Arial" w:hAnsi="Arial"/>
                <w:sz w:val="12"/>
                <w:szCs w:val="12"/>
                <w:color w:val="auto"/>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(180)</w:t>
            </w:r>
          </w:p>
        </w:tc>
        <w:tc>
          <w:tcPr>
            <w:tcW w:w="0" w:type="dxa"/>
            <w:vAlign w:val="bottom"/>
          </w:tcPr>
          <w:p>
            <w:pPr>
              <w:spacing w:after="0"/>
              <w:rPr>
                <w:sz w:val="1"/>
                <w:szCs w:val="1"/>
                <w:color w:val="auto"/>
              </w:rPr>
            </w:pPr>
          </w:p>
        </w:tc>
      </w:tr>
      <w:tr>
        <w:trPr>
          <w:trHeight w:val="153"/>
        </w:trPr>
        <w:tc>
          <w:tcPr>
            <w:tcW w:w="5120" w:type="dxa"/>
            <w:vAlign w:val="bottom"/>
          </w:tcPr>
          <w:p>
            <w:pPr>
              <w:ind w:left="140"/>
              <w:spacing w:after="0"/>
              <w:rPr>
                <w:sz w:val="20"/>
                <w:szCs w:val="20"/>
                <w:color w:val="auto"/>
              </w:rPr>
            </w:pPr>
            <w:r>
              <w:rPr>
                <w:rFonts w:ascii="Arial" w:cs="Arial" w:eastAsia="Arial" w:hAnsi="Arial"/>
                <w:sz w:val="12"/>
                <w:szCs w:val="12"/>
                <w:color w:val="auto"/>
              </w:rPr>
              <w:t>Cash flow commodity hedges</w:t>
            </w:r>
          </w:p>
        </w:tc>
        <w:tc>
          <w:tcPr>
            <w:tcW w:w="2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331</w:t>
            </w: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45</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120" w:type="dxa"/>
            <w:vAlign w:val="bottom"/>
            <w:shd w:val="clear" w:color="auto" w:fill="D1D2D4"/>
          </w:tcPr>
          <w:p>
            <w:pPr>
              <w:ind w:left="140"/>
              <w:spacing w:after="0"/>
              <w:rPr>
                <w:sz w:val="20"/>
                <w:szCs w:val="20"/>
                <w:color w:val="auto"/>
              </w:rPr>
            </w:pPr>
            <w:r>
              <w:rPr>
                <w:rFonts w:ascii="Arial" w:cs="Arial" w:eastAsia="Arial" w:hAnsi="Arial"/>
                <w:sz w:val="12"/>
                <w:szCs w:val="12"/>
                <w:color w:val="auto"/>
              </w:rPr>
              <w:t>Fair value interest rate hedges</w:t>
            </w:r>
          </w:p>
        </w:tc>
        <w:tc>
          <w:tcPr>
            <w:tcW w:w="2160" w:type="dxa"/>
            <w:vAlign w:val="bottom"/>
            <w:shd w:val="clear" w:color="auto" w:fill="D1D2D4"/>
          </w:tcPr>
          <w:p>
            <w:pPr>
              <w:spacing w:after="0"/>
              <w:rPr>
                <w:sz w:val="13"/>
                <w:szCs w:val="13"/>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900</w:t>
            </w:r>
          </w:p>
        </w:tc>
        <w:tc>
          <w:tcPr>
            <w:tcW w:w="260" w:type="dxa"/>
            <w:vAlign w:val="bottom"/>
            <w:shd w:val="clear" w:color="auto" w:fill="D1D2D4"/>
          </w:tcPr>
          <w:p>
            <w:pPr>
              <w:spacing w:after="0"/>
              <w:rPr>
                <w:sz w:val="13"/>
                <w:szCs w:val="13"/>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D1D2D4"/>
          </w:tcPr>
          <w:p>
            <w:pPr>
              <w:spacing w:after="0"/>
              <w:rPr>
                <w:sz w:val="13"/>
                <w:szCs w:val="13"/>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20" w:type="dxa"/>
            <w:vAlign w:val="bottom"/>
            <w:shd w:val="clear" w:color="auto" w:fill="D1D2D4"/>
          </w:tcPr>
          <w:p>
            <w:pPr>
              <w:spacing w:after="0"/>
              <w:rPr>
                <w:sz w:val="20"/>
                <w:szCs w:val="20"/>
                <w:color w:val="auto"/>
              </w:rPr>
            </w:pPr>
            <w:r>
              <w:rPr>
                <w:rFonts w:ascii="Arial" w:cs="Arial" w:eastAsia="Arial" w:hAnsi="Arial"/>
                <w:sz w:val="12"/>
                <w:szCs w:val="12"/>
                <w:color w:val="auto"/>
              </w:rPr>
              <w:t>Derivative instruments without hedge accounting designation</w:t>
            </w:r>
          </w:p>
        </w:tc>
        <w:tc>
          <w:tcPr>
            <w:tcW w:w="2160" w:type="dxa"/>
            <w:vAlign w:val="bottom"/>
            <w:shd w:val="clear" w:color="auto" w:fill="D1D2D4"/>
          </w:tcPr>
          <w:p>
            <w:pPr>
              <w:spacing w:after="0"/>
              <w:rPr>
                <w:sz w:val="13"/>
                <w:szCs w:val="13"/>
                <w:color w:val="auto"/>
              </w:rPr>
            </w:pPr>
          </w:p>
        </w:tc>
        <w:tc>
          <w:tcPr>
            <w:tcW w:w="1160" w:type="dxa"/>
            <w:vAlign w:val="bottom"/>
            <w:shd w:val="clear" w:color="auto" w:fill="D1D2D4"/>
          </w:tcPr>
          <w:p>
            <w:pPr>
              <w:spacing w:after="0"/>
              <w:rPr>
                <w:sz w:val="13"/>
                <w:szCs w:val="13"/>
                <w:color w:val="auto"/>
              </w:rPr>
            </w:pPr>
          </w:p>
        </w:tc>
        <w:tc>
          <w:tcPr>
            <w:tcW w:w="260" w:type="dxa"/>
            <w:vAlign w:val="bottom"/>
            <w:shd w:val="clear" w:color="auto" w:fill="D1D2D4"/>
          </w:tcPr>
          <w:p>
            <w:pPr>
              <w:spacing w:after="0"/>
              <w:rPr>
                <w:sz w:val="13"/>
                <w:szCs w:val="13"/>
                <w:color w:val="auto"/>
              </w:rPr>
            </w:pPr>
          </w:p>
        </w:tc>
        <w:tc>
          <w:tcPr>
            <w:tcW w:w="1140" w:type="dxa"/>
            <w:vAlign w:val="bottom"/>
            <w:shd w:val="clear" w:color="auto" w:fill="D1D2D4"/>
          </w:tcPr>
          <w:p>
            <w:pPr>
              <w:spacing w:after="0"/>
              <w:rPr>
                <w:sz w:val="13"/>
                <w:szCs w:val="13"/>
                <w:color w:val="auto"/>
              </w:rPr>
            </w:pPr>
          </w:p>
        </w:tc>
        <w:tc>
          <w:tcPr>
            <w:tcW w:w="400" w:type="dxa"/>
            <w:vAlign w:val="bottom"/>
            <w:shd w:val="clear" w:color="auto" w:fill="D1D2D4"/>
          </w:tcPr>
          <w:p>
            <w:pPr>
              <w:spacing w:after="0"/>
              <w:rPr>
                <w:sz w:val="13"/>
                <w:szCs w:val="13"/>
                <w:color w:val="auto"/>
              </w:rPr>
            </w:pPr>
          </w:p>
        </w:tc>
        <w:tc>
          <w:tcPr>
            <w:tcW w:w="106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20" w:type="dxa"/>
            <w:vAlign w:val="bottom"/>
            <w:tcBorders>
              <w:bottom w:val="single" w:sz="8" w:color="D1D2D4"/>
            </w:tcBorders>
          </w:tcPr>
          <w:p>
            <w:pPr>
              <w:ind w:left="120"/>
              <w:spacing w:after="0"/>
              <w:rPr>
                <w:sz w:val="20"/>
                <w:szCs w:val="20"/>
                <w:color w:val="auto"/>
              </w:rPr>
            </w:pPr>
            <w:r>
              <w:rPr>
                <w:rFonts w:ascii="Arial" w:cs="Arial" w:eastAsia="Arial" w:hAnsi="Arial"/>
                <w:sz w:val="12"/>
                <w:szCs w:val="12"/>
                <w:color w:val="auto"/>
              </w:rPr>
              <w:t>Non-designated currency hedges</w:t>
            </w:r>
          </w:p>
        </w:tc>
        <w:tc>
          <w:tcPr>
            <w:tcW w:w="2160" w:type="dxa"/>
            <w:vAlign w:val="bottom"/>
            <w:tcBorders>
              <w:bottom w:val="single" w:sz="8" w:color="D1D2D4"/>
            </w:tcBorders>
          </w:tcPr>
          <w:p>
            <w:pPr>
              <w:spacing w:after="0"/>
              <w:rPr>
                <w:sz w:val="13"/>
                <w:szCs w:val="13"/>
                <w:color w:val="auto"/>
              </w:rPr>
            </w:pPr>
          </w:p>
        </w:tc>
        <w:tc>
          <w:tcPr>
            <w:tcW w:w="1160" w:type="dxa"/>
            <w:vAlign w:val="bottom"/>
            <w:tcBorders>
              <w:bottom w:val="single" w:sz="8" w:color="D1D2D4"/>
            </w:tcBorders>
          </w:tcPr>
          <w:p>
            <w:pPr>
              <w:jc w:val="right"/>
              <w:spacing w:after="0"/>
              <w:rPr>
                <w:sz w:val="20"/>
                <w:szCs w:val="20"/>
                <w:color w:val="auto"/>
              </w:rPr>
            </w:pPr>
            <w:r>
              <w:rPr>
                <w:rFonts w:ascii="Arial" w:cs="Arial" w:eastAsia="Arial" w:hAnsi="Arial"/>
                <w:sz w:val="12"/>
                <w:szCs w:val="12"/>
                <w:color w:val="auto"/>
              </w:rPr>
              <w:t>1,839</w:t>
            </w: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58"/>
        </w:trPr>
        <w:tc>
          <w:tcPr>
            <w:tcW w:w="5120" w:type="dxa"/>
            <w:vAlign w:val="bottom"/>
            <w:tcBorders>
              <w:bottom w:val="single" w:sz="8" w:color="D1D2D4"/>
            </w:tcBorders>
            <w:shd w:val="clear" w:color="auto" w:fill="D1D2D4"/>
          </w:tcPr>
          <w:p>
            <w:pPr>
              <w:spacing w:after="0"/>
              <w:rPr>
                <w:sz w:val="13"/>
                <w:szCs w:val="13"/>
                <w:color w:val="auto"/>
              </w:rPr>
            </w:pPr>
          </w:p>
        </w:tc>
        <w:tc>
          <w:tcPr>
            <w:tcW w:w="2160" w:type="dxa"/>
            <w:vAlign w:val="bottom"/>
            <w:tcBorders>
              <w:bottom w:val="single" w:sz="8" w:color="D1D2D4"/>
            </w:tcBorders>
            <w:shd w:val="clear" w:color="auto" w:fill="D1D2D4"/>
          </w:tcPr>
          <w:p>
            <w:pPr>
              <w:spacing w:after="0"/>
              <w:rPr>
                <w:sz w:val="13"/>
                <w:szCs w:val="13"/>
                <w:color w:val="auto"/>
              </w:rPr>
            </w:pPr>
          </w:p>
        </w:tc>
        <w:tc>
          <w:tcPr>
            <w:tcW w:w="1160" w:type="dxa"/>
            <w:vAlign w:val="bottom"/>
            <w:tcBorders>
              <w:bottom w:val="single" w:sz="8" w:color="D1D2D4"/>
            </w:tcBorders>
            <w:shd w:val="clear" w:color="auto" w:fill="D1D2D4"/>
          </w:tcPr>
          <w:p>
            <w:pPr>
              <w:spacing w:after="0"/>
              <w:rPr>
                <w:sz w:val="13"/>
                <w:szCs w:val="13"/>
                <w:color w:val="auto"/>
              </w:rPr>
            </w:pPr>
          </w:p>
        </w:tc>
        <w:tc>
          <w:tcPr>
            <w:tcW w:w="260" w:type="dxa"/>
            <w:vAlign w:val="bottom"/>
            <w:tcBorders>
              <w:bottom w:val="single" w:sz="8" w:color="auto"/>
            </w:tcBorders>
            <w:shd w:val="clear" w:color="auto" w:fill="D1D2D4"/>
          </w:tcPr>
          <w:p>
            <w:pPr>
              <w:jc w:val="right"/>
              <w:ind w:right="1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63</w:t>
            </w:r>
          </w:p>
        </w:tc>
        <w:tc>
          <w:tcPr>
            <w:tcW w:w="400" w:type="dxa"/>
            <w:vAlign w:val="bottom"/>
            <w:tcBorders>
              <w:bottom w:val="single" w:sz="8" w:color="auto"/>
            </w:tcBorders>
            <w:shd w:val="clear" w:color="auto" w:fill="D1D2D4"/>
          </w:tcPr>
          <w:p>
            <w:pPr>
              <w:jc w:val="right"/>
              <w:ind w:right="24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(297)</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68" w:hanging="168"/>
        <w:spacing w:after="0"/>
        <w:tabs>
          <w:tab w:leader="none" w:pos="168"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Included in receivables and other noncurrent assets.</w:t>
      </w:r>
    </w:p>
    <w:p>
      <w:pPr>
        <w:ind w:left="168" w:hanging="168"/>
        <w:spacing w:after="0" w:line="191" w:lineRule="auto"/>
        <w:tabs>
          <w:tab w:leader="none" w:pos="168"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Included in accounts payable and accrued expenses and other noncurrent liabilities.</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Derivative Instruments with Hedge Accounting Designation</w:t>
      </w:r>
    </w:p>
    <w:p>
      <w:pPr>
        <w:spacing w:after="0" w:line="169" w:lineRule="exact"/>
        <w:rPr>
          <w:sz w:val="20"/>
          <w:szCs w:val="20"/>
          <w:color w:val="auto"/>
        </w:rPr>
      </w:pPr>
    </w:p>
    <w:p>
      <w:pPr>
        <w:ind w:left="8" w:right="120"/>
        <w:spacing w:after="0" w:line="262" w:lineRule="auto"/>
        <w:rPr>
          <w:sz w:val="20"/>
          <w:szCs w:val="20"/>
          <w:color w:val="auto"/>
        </w:rPr>
      </w:pPr>
      <w:r>
        <w:rPr>
          <w:rFonts w:ascii="Arial" w:cs="Arial" w:eastAsia="Arial" w:hAnsi="Arial"/>
          <w:sz w:val="12"/>
          <w:szCs w:val="12"/>
          <w:b w:val="1"/>
          <w:bCs w:val="1"/>
          <w:i w:val="1"/>
          <w:iCs w:val="1"/>
          <w:color w:val="auto"/>
        </w:rPr>
        <w:t>Cash Flow Hedges</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We utilize forward and swap contracts that generally mature within two years designated as cash flow hedges to minimize our exposure to changes in currency exchange rates or commodity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prices for certain capital expenditures and manufacturing costs. Forward and swap contracts are measured at fair value based on market-based observable inputs including market spot and forward rates, interest rates, and credit-risk spreads (Level 2). We recognized gains from cash flow hedges of $75 million and $128 million for the second quarter and first six months of 2023, respectively, in accumulated other comprehensive income (loss). The amounts recognized for the second quarter and first six months of 2024 were not significant.</w:t>
      </w:r>
    </w:p>
    <w:p>
      <w:pPr>
        <w:spacing w:after="0" w:line="38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21 | 2024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type w:val="continuous"/>
        </w:sectPr>
      </w:pPr>
    </w:p>
    <w:bookmarkStart w:id="21" w:name="page22"/>
    <w:bookmarkEnd w:id="21"/>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1" w:lineRule="exact"/>
        <w:rPr>
          <w:sz w:val="20"/>
          <w:szCs w:val="20"/>
          <w:color w:val="auto"/>
        </w:rPr>
      </w:pPr>
    </w:p>
    <w:p>
      <w:pPr>
        <w:ind w:right="120"/>
        <w:spacing w:after="0" w:line="270" w:lineRule="auto"/>
        <w:rPr>
          <w:sz w:val="20"/>
          <w:szCs w:val="20"/>
          <w:color w:val="auto"/>
        </w:rPr>
      </w:pPr>
      <w:r>
        <w:rPr>
          <w:rFonts w:ascii="Arial" w:cs="Arial" w:eastAsia="Arial" w:hAnsi="Arial"/>
          <w:sz w:val="12"/>
          <w:szCs w:val="12"/>
          <w:color w:val="auto"/>
        </w:rPr>
        <w:t>For forward points excluded from our effectiveness testing, we recognized losses of $34 million and $70 million for the second quarter and first six months of 2024, respectively, in cost of goods sold. The amounts recognized for the second quarter and first six months of 2023 were not significant.</w:t>
      </w:r>
    </w:p>
    <w:p>
      <w:pPr>
        <w:spacing w:after="0" w:line="131"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We reclassified losses of $56 million and $100 million for the second quarter and first six months of 2024, respectively, and losses of $54 million and $ 122 million for the second quarter and first six months of 2023, respectively, from accumulated other comprehensive income (loss) to earnings, primarily to cost of goods sold. As of February 29, 2024, we expect to reclassify $126 million of pre-tax losses related to cash flow hedges from accumulated other comprehensive income (loss) into earnings in the next 12 months.</w:t>
      </w:r>
    </w:p>
    <w:p>
      <w:pPr>
        <w:spacing w:after="0" w:line="132" w:lineRule="exact"/>
        <w:rPr>
          <w:sz w:val="20"/>
          <w:szCs w:val="20"/>
          <w:color w:val="auto"/>
        </w:rPr>
      </w:pPr>
    </w:p>
    <w:p>
      <w:pPr>
        <w:ind w:right="100"/>
        <w:spacing w:after="0" w:line="257" w:lineRule="auto"/>
        <w:rPr>
          <w:sz w:val="20"/>
          <w:szCs w:val="20"/>
          <w:color w:val="auto"/>
        </w:rPr>
      </w:pPr>
      <w:r>
        <w:rPr>
          <w:rFonts w:ascii="Arial" w:cs="Arial" w:eastAsia="Arial" w:hAnsi="Arial"/>
          <w:sz w:val="12"/>
          <w:szCs w:val="12"/>
          <w:b w:val="1"/>
          <w:bCs w:val="1"/>
          <w:i w:val="1"/>
          <w:iCs w:val="1"/>
          <w:color w:val="auto"/>
        </w:rPr>
        <w:t>Fair Value Hedges</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We utilize fixed-to-floating interest rate swaps designated as fair value hedges to minimize certain exposures to changes in the fair value of fixed-rate debt that result from fluctuations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benchmark interest rates. Interest rate swaps are measured at fair value based on market-based observable inputs including interest rates and credit-risk spreads (Level 2). The changes in the fair values of derivatives designated as fair value hedges and the offsetting changes in the underlying fair values of the hedged items are both recognized in earnings. When a derivative is no longer designated as a fair value hedge for any reason, including termination and maturity, the remaining unamortized difference between the carrying value of the hedged item at that time and the face value of the hedged item is amortized to earnings over the remaining life of the hedged item, or immediately if the hedged item has matured or been extinguished. The effects of fair value hedges on our consolidated statements of operations, recognized in interest expense, were not significant for the periods presented.</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Derivative Instruments without Hedge Accounting Designation</w:t>
      </w:r>
    </w:p>
    <w:p>
      <w:pPr>
        <w:spacing w:after="0" w:line="169" w:lineRule="exact"/>
        <w:rPr>
          <w:sz w:val="20"/>
          <w:szCs w:val="20"/>
          <w:color w:val="auto"/>
        </w:rPr>
      </w:pPr>
    </w:p>
    <w:p>
      <w:pPr>
        <w:ind w:right="80"/>
        <w:spacing w:after="0" w:line="257" w:lineRule="auto"/>
        <w:rPr>
          <w:sz w:val="20"/>
          <w:szCs w:val="20"/>
          <w:color w:val="auto"/>
        </w:rPr>
      </w:pPr>
      <w:r>
        <w:rPr>
          <w:rFonts w:ascii="Arial" w:cs="Arial" w:eastAsia="Arial" w:hAnsi="Arial"/>
          <w:sz w:val="12"/>
          <w:szCs w:val="12"/>
          <w:b w:val="1"/>
          <w:bCs w:val="1"/>
          <w:i w:val="1"/>
          <w:iCs w:val="1"/>
          <w:color w:val="auto"/>
        </w:rPr>
        <w:t>Currency Derivatives</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We generally utilize a rolling hedge strategy with currency forward contracts that mature within three months to hedge our exposures of monetary assets and liabilities from changes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currency exchange rates. At the end of each reporting period, monetary assets and liabilities denominated in currencies other than the U.S. dollar are remeasured into U.S. dollars and the associated outstanding forward contracts are marked to market. Currency forward contracts are valued at fair values based on the middle of bid and ask prices of dealers or exchange quotations (Level 2). Realized and unrealized gains and losses on derivative instruments without hedge accounting designation as well as the changes in the underlying monetary assets and liabilities from changes in currency exchange rates are included in other non-operating income (expense), net. The amounts recognized for derivative instruments without hedge accounting designation were not significant for the periods presented. We do not use derivative instruments for speculative purposes.</w:t>
      </w:r>
    </w:p>
    <w:p>
      <w:pPr>
        <w:spacing w:after="0" w:line="301"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Equity Plans</w:t>
      </w:r>
    </w:p>
    <w:p>
      <w:pPr>
        <w:spacing w:after="0" w:line="178" w:lineRule="exact"/>
        <w:rPr>
          <w:sz w:val="20"/>
          <w:szCs w:val="20"/>
          <w:color w:val="auto"/>
        </w:rPr>
      </w:pPr>
    </w:p>
    <w:p>
      <w:pPr>
        <w:ind w:right="60"/>
        <w:spacing w:after="0" w:line="286" w:lineRule="auto"/>
        <w:rPr>
          <w:sz w:val="20"/>
          <w:szCs w:val="20"/>
          <w:color w:val="auto"/>
        </w:rPr>
      </w:pPr>
      <w:r>
        <w:rPr>
          <w:rFonts w:ascii="Arial" w:cs="Arial" w:eastAsia="Arial" w:hAnsi="Arial"/>
          <w:sz w:val="12"/>
          <w:szCs w:val="12"/>
          <w:color w:val="auto"/>
        </w:rPr>
        <w:t>As of February 29, 2024, 72 million shares of our common stock were available for future awards under our equity plans, including 12 million shares approved for issuance under our employee stock purchase plan (“ESPP”).</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Restricted Stock and Restricted Stock Units (“Restricted Stock Awards”)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780" w:type="dxa"/>
            <w:vAlign w:val="bottom"/>
          </w:tcPr>
          <w:p>
            <w:pPr>
              <w:spacing w:after="0"/>
              <w:rPr>
                <w:sz w:val="20"/>
                <w:szCs w:val="20"/>
                <w:color w:val="auto"/>
              </w:rPr>
            </w:pPr>
            <w:r>
              <w:rPr>
                <w:rFonts w:ascii="Arial" w:cs="Arial" w:eastAsia="Arial" w:hAnsi="Arial"/>
                <w:sz w:val="12"/>
                <w:szCs w:val="12"/>
                <w:color w:val="auto"/>
              </w:rPr>
              <w:t>Restricted Stock Awards activity is summarized as follows:</w:t>
            </w:r>
          </w:p>
        </w:tc>
        <w:tc>
          <w:tcPr>
            <w:tcW w:w="3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5780" w:type="dxa"/>
            <w:vAlign w:val="bottom"/>
            <w:vMerge w:val="restart"/>
          </w:tcPr>
          <w:p>
            <w:pPr>
              <w:spacing w:after="0"/>
              <w:rPr>
                <w:sz w:val="20"/>
                <w:szCs w:val="20"/>
                <w:color w:val="auto"/>
              </w:rPr>
            </w:pPr>
            <w:r>
              <w:rPr>
                <w:rFonts w:ascii="Arial" w:cs="Arial" w:eastAsia="Arial" w:hAnsi="Arial"/>
                <w:sz w:val="12"/>
                <w:szCs w:val="12"/>
                <w:b w:val="1"/>
                <w:bCs w:val="1"/>
                <w:color w:val="auto"/>
              </w:rPr>
              <w:t>Six months ended</w:t>
            </w:r>
          </w:p>
        </w:tc>
        <w:tc>
          <w:tcPr>
            <w:tcW w:w="3720" w:type="dxa"/>
            <w:vAlign w:val="bottom"/>
          </w:tcPr>
          <w:p>
            <w:pPr>
              <w:jc w:val="center"/>
              <w:ind w:left="2960"/>
              <w:spacing w:after="0"/>
              <w:rPr>
                <w:sz w:val="20"/>
                <w:szCs w:val="20"/>
                <w:color w:val="auto"/>
              </w:rPr>
            </w:pPr>
            <w:r>
              <w:rPr>
                <w:rFonts w:ascii="Arial" w:cs="Arial" w:eastAsia="Arial" w:hAnsi="Arial"/>
                <w:sz w:val="12"/>
                <w:szCs w:val="12"/>
                <w:b w:val="1"/>
                <w:bCs w:val="1"/>
                <w:color w:val="auto"/>
                <w:w w:val="98"/>
              </w:rPr>
              <w:t>February 29,</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220"/>
              <w:spacing w:after="0"/>
              <w:rPr>
                <w:sz w:val="20"/>
                <w:szCs w:val="20"/>
                <w:color w:val="auto"/>
              </w:rPr>
            </w:pPr>
            <w:r>
              <w:rPr>
                <w:rFonts w:ascii="Arial" w:cs="Arial" w:eastAsia="Arial" w:hAnsi="Arial"/>
                <w:sz w:val="12"/>
                <w:szCs w:val="12"/>
                <w:b w:val="1"/>
                <w:bCs w:val="1"/>
                <w:color w:val="auto"/>
                <w:w w:val="98"/>
              </w:rPr>
              <w:t>March 2,</w:t>
            </w:r>
          </w:p>
        </w:tc>
        <w:tc>
          <w:tcPr>
            <w:tcW w:w="0" w:type="dxa"/>
            <w:vAlign w:val="bottom"/>
          </w:tcPr>
          <w:p>
            <w:pPr>
              <w:spacing w:after="0"/>
              <w:rPr>
                <w:sz w:val="1"/>
                <w:szCs w:val="1"/>
                <w:color w:val="auto"/>
              </w:rPr>
            </w:pPr>
          </w:p>
        </w:tc>
      </w:tr>
      <w:tr>
        <w:trPr>
          <w:trHeight w:val="165"/>
        </w:trPr>
        <w:tc>
          <w:tcPr>
            <w:tcW w:w="5780" w:type="dxa"/>
            <w:vAlign w:val="bottom"/>
            <w:tcBorders>
              <w:bottom w:val="single" w:sz="8" w:color="auto"/>
            </w:tcBorders>
            <w:vMerge w:val="continue"/>
          </w:tcPr>
          <w:p>
            <w:pPr>
              <w:spacing w:after="0"/>
              <w:rPr>
                <w:sz w:val="14"/>
                <w:szCs w:val="14"/>
                <w:color w:val="auto"/>
              </w:rPr>
            </w:pPr>
          </w:p>
        </w:tc>
        <w:tc>
          <w:tcPr>
            <w:tcW w:w="372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2024</w:t>
            </w: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61"/>
        </w:trPr>
        <w:tc>
          <w:tcPr>
            <w:tcW w:w="5780" w:type="dxa"/>
            <w:vAlign w:val="bottom"/>
            <w:shd w:val="clear" w:color="auto" w:fill="D1D2D4"/>
          </w:tcPr>
          <w:p>
            <w:pPr>
              <w:spacing w:after="0"/>
              <w:rPr>
                <w:sz w:val="20"/>
                <w:szCs w:val="20"/>
                <w:color w:val="auto"/>
              </w:rPr>
            </w:pPr>
            <w:r>
              <w:rPr>
                <w:rFonts w:ascii="Arial" w:cs="Arial" w:eastAsia="Arial" w:hAnsi="Arial"/>
                <w:sz w:val="12"/>
                <w:szCs w:val="12"/>
                <w:color w:val="auto"/>
              </w:rPr>
              <w:t>Restricted stock award shares granted</w:t>
            </w:r>
          </w:p>
        </w:tc>
        <w:tc>
          <w:tcPr>
            <w:tcW w:w="3720" w:type="dxa"/>
            <w:vAlign w:val="bottom"/>
            <w:shd w:val="clear" w:color="auto" w:fill="D1D2D4"/>
          </w:tcPr>
          <w:p>
            <w:pPr>
              <w:spacing w:after="0"/>
              <w:rPr>
                <w:sz w:val="14"/>
                <w:szCs w:val="14"/>
                <w:color w:val="auto"/>
              </w:rPr>
            </w:pPr>
          </w:p>
        </w:tc>
        <w:tc>
          <w:tcPr>
            <w:tcW w:w="3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w:t>
            </w:r>
          </w:p>
        </w:tc>
        <w:tc>
          <w:tcPr>
            <w:tcW w:w="280" w:type="dxa"/>
            <w:vAlign w:val="bottom"/>
            <w:shd w:val="clear" w:color="auto" w:fill="D1D2D4"/>
          </w:tcPr>
          <w:p>
            <w:pPr>
              <w:spacing w:after="0"/>
              <w:rPr>
                <w:sz w:val="14"/>
                <w:szCs w:val="14"/>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59"/>
        </w:trPr>
        <w:tc>
          <w:tcPr>
            <w:tcW w:w="5780" w:type="dxa"/>
            <w:vAlign w:val="bottom"/>
          </w:tcPr>
          <w:p>
            <w:pPr>
              <w:spacing w:after="0"/>
              <w:rPr>
                <w:sz w:val="20"/>
                <w:szCs w:val="20"/>
                <w:color w:val="auto"/>
              </w:rPr>
            </w:pPr>
            <w:r>
              <w:rPr>
                <w:rFonts w:ascii="Arial" w:cs="Arial" w:eastAsia="Arial" w:hAnsi="Arial"/>
                <w:sz w:val="12"/>
                <w:szCs w:val="12"/>
                <w:color w:val="auto"/>
              </w:rPr>
              <w:t>Weighted-average grant-date fair value per share</w:t>
            </w:r>
          </w:p>
        </w:tc>
        <w:tc>
          <w:tcPr>
            <w:tcW w:w="3720" w:type="dxa"/>
            <w:vAlign w:val="bottom"/>
          </w:tcPr>
          <w:p>
            <w:pPr>
              <w:jc w:val="right"/>
              <w:ind w:right="920"/>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w w:val="99"/>
              </w:rPr>
              <w:t>67.78</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54.00</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 Stock Purchase Plan (“ESPP”)</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For each six-month ESPP offering period that ended in the second quarter of 2024 and 2023, employees purchased 2 million and 3 million shares, respectively, at a share price of $60.68 and $52.45, respectively.</w:t>
      </w: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2" w:name="page23"/>
    <w:bookmarkEnd w:id="22"/>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Stock-based Compensation Expense</w:t>
      </w:r>
    </w:p>
    <w:p>
      <w:pPr>
        <w:spacing w:after="0" w:line="169" w:lineRule="exact"/>
        <w:rPr>
          <w:sz w:val="20"/>
          <w:szCs w:val="20"/>
          <w:color w:val="auto"/>
        </w:rPr>
      </w:pPr>
    </w:p>
    <w:p>
      <w:pPr>
        <w:ind w:right="40"/>
        <w:spacing w:after="0" w:line="286" w:lineRule="auto"/>
        <w:rPr>
          <w:sz w:val="20"/>
          <w:szCs w:val="20"/>
          <w:color w:val="auto"/>
        </w:rPr>
      </w:pPr>
      <w:r>
        <w:rPr>
          <w:rFonts w:ascii="Arial" w:cs="Arial" w:eastAsia="Arial" w:hAnsi="Arial"/>
          <w:sz w:val="12"/>
          <w:szCs w:val="12"/>
          <w:color w:val="auto"/>
        </w:rPr>
        <w:t>Stock-based compensation expense recognized in our statements of operations is presented below. Stock-based compensation expense of $98 million and $88 million was capitalized and remained in inventory as of February 29, 2024 and August 31, 2023,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Quarter ended</w:t>
            </w: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3"/>
          </w:tcPr>
          <w:p>
            <w:pPr>
              <w:jc w:val="right"/>
              <w:ind w:right="860"/>
              <w:spacing w:after="0"/>
              <w:rPr>
                <w:sz w:val="20"/>
                <w:szCs w:val="20"/>
                <w:color w:val="auto"/>
              </w:rPr>
            </w:pPr>
            <w:r>
              <w:rPr>
                <w:rFonts w:ascii="Arial" w:cs="Arial" w:eastAsia="Arial" w:hAnsi="Arial"/>
                <w:sz w:val="12"/>
                <w:szCs w:val="12"/>
                <w:b w:val="1"/>
                <w:bCs w:val="1"/>
                <w:color w:val="auto"/>
              </w:rPr>
              <w:t>Six months ended</w:t>
            </w:r>
          </w:p>
        </w:tc>
      </w:tr>
      <w:tr>
        <w:trPr>
          <w:trHeight w:val="111"/>
        </w:trPr>
        <w:tc>
          <w:tcPr>
            <w:tcW w:w="5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jc w:val="right"/>
              <w:ind w:right="280"/>
              <w:spacing w:after="0" w:line="111" w:lineRule="exact"/>
              <w:rPr>
                <w:sz w:val="20"/>
                <w:szCs w:val="20"/>
                <w:color w:val="auto"/>
              </w:rPr>
            </w:pPr>
            <w:r>
              <w:rPr>
                <w:rFonts w:ascii="Arial" w:cs="Arial" w:eastAsia="Arial" w:hAnsi="Arial"/>
                <w:sz w:val="12"/>
                <w:szCs w:val="12"/>
                <w:b w:val="1"/>
                <w:bCs w:val="1"/>
                <w:color w:val="auto"/>
              </w:rPr>
              <w:t>February 29,</w:t>
            </w:r>
          </w:p>
        </w:tc>
        <w:tc>
          <w:tcPr>
            <w:tcW w:w="460" w:type="dxa"/>
            <w:vAlign w:val="bottom"/>
          </w:tcPr>
          <w:p>
            <w:pPr>
              <w:spacing w:after="0"/>
              <w:rPr>
                <w:sz w:val="9"/>
                <w:szCs w:val="9"/>
                <w:color w:val="auto"/>
              </w:rPr>
            </w:pPr>
          </w:p>
        </w:tc>
        <w:tc>
          <w:tcPr>
            <w:tcW w:w="980" w:type="dxa"/>
            <w:vAlign w:val="bottom"/>
          </w:tcPr>
          <w:p>
            <w:pPr>
              <w:jc w:val="right"/>
              <w:ind w:right="400"/>
              <w:spacing w:after="0" w:line="111" w:lineRule="exact"/>
              <w:rPr>
                <w:sz w:val="20"/>
                <w:szCs w:val="20"/>
                <w:color w:val="auto"/>
              </w:rPr>
            </w:pPr>
            <w:r>
              <w:rPr>
                <w:rFonts w:ascii="Arial" w:cs="Arial" w:eastAsia="Arial" w:hAnsi="Arial"/>
                <w:sz w:val="12"/>
                <w:szCs w:val="12"/>
                <w:b w:val="1"/>
                <w:bCs w:val="1"/>
                <w:color w:val="auto"/>
              </w:rPr>
              <w:t>March 2,</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jc w:val="right"/>
              <w:ind w:right="280"/>
              <w:spacing w:after="0" w:line="111" w:lineRule="exact"/>
              <w:rPr>
                <w:sz w:val="20"/>
                <w:szCs w:val="20"/>
                <w:color w:val="auto"/>
              </w:rPr>
            </w:pPr>
            <w:r>
              <w:rPr>
                <w:rFonts w:ascii="Arial" w:cs="Arial" w:eastAsia="Arial" w:hAnsi="Arial"/>
                <w:sz w:val="12"/>
                <w:szCs w:val="12"/>
                <w:b w:val="1"/>
                <w:bCs w:val="1"/>
                <w:color w:val="auto"/>
              </w:rPr>
              <w:t>February 29,</w:t>
            </w:r>
          </w:p>
        </w:tc>
        <w:tc>
          <w:tcPr>
            <w:tcW w:w="300" w:type="dxa"/>
            <w:vAlign w:val="bottom"/>
          </w:tcPr>
          <w:p>
            <w:pPr>
              <w:spacing w:after="0"/>
              <w:rPr>
                <w:sz w:val="9"/>
                <w:szCs w:val="9"/>
                <w:color w:val="auto"/>
              </w:rPr>
            </w:pPr>
          </w:p>
        </w:tc>
        <w:tc>
          <w:tcPr>
            <w:tcW w:w="1160" w:type="dxa"/>
            <w:vAlign w:val="bottom"/>
          </w:tcPr>
          <w:p>
            <w:pPr>
              <w:jc w:val="right"/>
              <w:ind w:right="420"/>
              <w:spacing w:after="0" w:line="111" w:lineRule="exact"/>
              <w:rPr>
                <w:sz w:val="20"/>
                <w:szCs w:val="20"/>
                <w:color w:val="auto"/>
              </w:rPr>
            </w:pPr>
            <w:r>
              <w:rPr>
                <w:rFonts w:ascii="Arial" w:cs="Arial" w:eastAsia="Arial" w:hAnsi="Arial"/>
                <w:sz w:val="12"/>
                <w:szCs w:val="12"/>
                <w:b w:val="1"/>
                <w:bCs w:val="1"/>
                <w:color w:val="auto"/>
              </w:rPr>
              <w:t>March 2,</w:t>
            </w:r>
          </w:p>
        </w:tc>
      </w:tr>
      <w:tr>
        <w:trPr>
          <w:trHeight w:val="165"/>
        </w:trPr>
        <w:tc>
          <w:tcPr>
            <w:tcW w:w="5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2024</w:t>
            </w: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2024</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r>
      <w:tr>
        <w:trPr>
          <w:trHeight w:val="161"/>
        </w:trPr>
        <w:tc>
          <w:tcPr>
            <w:tcW w:w="5500" w:type="dxa"/>
            <w:vAlign w:val="bottom"/>
            <w:shd w:val="clear" w:color="auto" w:fill="D1D2D4"/>
          </w:tcPr>
          <w:p>
            <w:pPr>
              <w:spacing w:after="0"/>
              <w:rPr>
                <w:sz w:val="20"/>
                <w:szCs w:val="20"/>
                <w:color w:val="auto"/>
              </w:rPr>
            </w:pPr>
            <w:r>
              <w:rPr>
                <w:rFonts w:ascii="Arial" w:cs="Arial" w:eastAsia="Arial" w:hAnsi="Arial"/>
                <w:sz w:val="12"/>
                <w:szCs w:val="12"/>
                <w:color w:val="auto"/>
              </w:rPr>
              <w:t>Stock-based compensation expense by caption</w:t>
            </w:r>
          </w:p>
        </w:tc>
        <w:tc>
          <w:tcPr>
            <w:tcW w:w="220" w:type="dxa"/>
            <w:vAlign w:val="bottom"/>
            <w:shd w:val="clear" w:color="auto" w:fill="D1D2D4"/>
          </w:tcPr>
          <w:p>
            <w:pPr>
              <w:spacing w:after="0"/>
              <w:rPr>
                <w:sz w:val="14"/>
                <w:szCs w:val="14"/>
                <w:color w:val="auto"/>
              </w:rPr>
            </w:pPr>
          </w:p>
        </w:tc>
        <w:tc>
          <w:tcPr>
            <w:tcW w:w="1200" w:type="dxa"/>
            <w:vAlign w:val="bottom"/>
            <w:shd w:val="clear" w:color="auto" w:fill="D1D2D4"/>
          </w:tcPr>
          <w:p>
            <w:pPr>
              <w:spacing w:after="0"/>
              <w:rPr>
                <w:sz w:val="14"/>
                <w:szCs w:val="14"/>
                <w:color w:val="auto"/>
              </w:rPr>
            </w:pPr>
          </w:p>
        </w:tc>
        <w:tc>
          <w:tcPr>
            <w:tcW w:w="460" w:type="dxa"/>
            <w:vAlign w:val="bottom"/>
            <w:shd w:val="clear" w:color="auto" w:fill="D1D2D4"/>
          </w:tcPr>
          <w:p>
            <w:pPr>
              <w:spacing w:after="0"/>
              <w:rPr>
                <w:sz w:val="14"/>
                <w:szCs w:val="14"/>
                <w:color w:val="auto"/>
              </w:rPr>
            </w:pPr>
          </w:p>
        </w:tc>
        <w:tc>
          <w:tcPr>
            <w:tcW w:w="980" w:type="dxa"/>
            <w:vAlign w:val="bottom"/>
            <w:shd w:val="clear" w:color="auto" w:fill="D1D2D4"/>
          </w:tcPr>
          <w:p>
            <w:pPr>
              <w:spacing w:after="0"/>
              <w:rPr>
                <w:sz w:val="14"/>
                <w:szCs w:val="14"/>
                <w:color w:val="auto"/>
              </w:rPr>
            </w:pPr>
          </w:p>
        </w:tc>
        <w:tc>
          <w:tcPr>
            <w:tcW w:w="80" w:type="dxa"/>
            <w:vAlign w:val="bottom"/>
            <w:shd w:val="clear" w:color="auto" w:fill="D1D2D4"/>
          </w:tcPr>
          <w:p>
            <w:pPr>
              <w:spacing w:after="0"/>
              <w:rPr>
                <w:sz w:val="14"/>
                <w:szCs w:val="14"/>
                <w:color w:val="auto"/>
              </w:rPr>
            </w:pPr>
          </w:p>
        </w:tc>
        <w:tc>
          <w:tcPr>
            <w:tcW w:w="220" w:type="dxa"/>
            <w:vAlign w:val="bottom"/>
            <w:shd w:val="clear" w:color="auto" w:fill="D1D2D4"/>
          </w:tcPr>
          <w:p>
            <w:pPr>
              <w:spacing w:after="0"/>
              <w:rPr>
                <w:sz w:val="14"/>
                <w:szCs w:val="14"/>
                <w:color w:val="auto"/>
              </w:rPr>
            </w:pPr>
          </w:p>
        </w:tc>
        <w:tc>
          <w:tcPr>
            <w:tcW w:w="1180" w:type="dxa"/>
            <w:vAlign w:val="bottom"/>
            <w:shd w:val="clear" w:color="auto" w:fill="D1D2D4"/>
          </w:tcPr>
          <w:p>
            <w:pPr>
              <w:spacing w:after="0"/>
              <w:rPr>
                <w:sz w:val="14"/>
                <w:szCs w:val="14"/>
                <w:color w:val="auto"/>
              </w:rPr>
            </w:pPr>
          </w:p>
        </w:tc>
        <w:tc>
          <w:tcPr>
            <w:tcW w:w="300" w:type="dxa"/>
            <w:vAlign w:val="bottom"/>
            <w:shd w:val="clear" w:color="auto" w:fill="D1D2D4"/>
          </w:tcPr>
          <w:p>
            <w:pPr>
              <w:spacing w:after="0"/>
              <w:rPr>
                <w:sz w:val="14"/>
                <w:szCs w:val="14"/>
                <w:color w:val="auto"/>
              </w:rPr>
            </w:pPr>
          </w:p>
        </w:tc>
        <w:tc>
          <w:tcPr>
            <w:tcW w:w="1160" w:type="dxa"/>
            <w:vAlign w:val="bottom"/>
            <w:shd w:val="clear" w:color="auto" w:fill="D1D2D4"/>
          </w:tcPr>
          <w:p>
            <w:pPr>
              <w:spacing w:after="0"/>
              <w:rPr>
                <w:sz w:val="14"/>
                <w:szCs w:val="14"/>
                <w:color w:val="auto"/>
              </w:rPr>
            </w:pPr>
          </w:p>
        </w:tc>
      </w:tr>
      <w:tr>
        <w:trPr>
          <w:trHeight w:val="153"/>
        </w:trPr>
        <w:tc>
          <w:tcPr>
            <w:tcW w:w="5500" w:type="dxa"/>
            <w:vAlign w:val="bottom"/>
          </w:tcPr>
          <w:p>
            <w:pPr>
              <w:ind w:left="80"/>
              <w:spacing w:after="0"/>
              <w:rPr>
                <w:sz w:val="20"/>
                <w:szCs w:val="20"/>
                <w:color w:val="auto"/>
              </w:rPr>
            </w:pPr>
            <w:r>
              <w:rPr>
                <w:rFonts w:ascii="Arial" w:cs="Arial" w:eastAsia="Arial" w:hAnsi="Arial"/>
                <w:sz w:val="12"/>
                <w:szCs w:val="12"/>
                <w:color w:val="auto"/>
              </w:rPr>
              <w:t>Cost of goods sold</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80</w:t>
            </w: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40</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147</w:t>
            </w:r>
          </w:p>
        </w:tc>
        <w:tc>
          <w:tcPr>
            <w:tcW w:w="3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76</w:t>
            </w:r>
          </w:p>
        </w:tc>
      </w:tr>
      <w:tr>
        <w:trPr>
          <w:trHeight w:val="153"/>
        </w:trPr>
        <w:tc>
          <w:tcPr>
            <w:tcW w:w="5500" w:type="dxa"/>
            <w:vAlign w:val="bottom"/>
            <w:shd w:val="clear" w:color="auto" w:fill="D1D2D4"/>
          </w:tcPr>
          <w:p>
            <w:pPr>
              <w:ind w:left="80"/>
              <w:spacing w:after="0"/>
              <w:rPr>
                <w:sz w:val="20"/>
                <w:szCs w:val="20"/>
                <w:color w:val="auto"/>
              </w:rPr>
            </w:pPr>
            <w:r>
              <w:rPr>
                <w:rFonts w:ascii="Arial" w:cs="Arial" w:eastAsia="Arial" w:hAnsi="Arial"/>
                <w:sz w:val="12"/>
                <w:szCs w:val="12"/>
                <w:color w:val="auto"/>
              </w:rPr>
              <w:t>Research and development</w:t>
            </w: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77</w:t>
            </w:r>
          </w:p>
        </w:tc>
        <w:tc>
          <w:tcPr>
            <w:tcW w:w="460" w:type="dxa"/>
            <w:vAlign w:val="bottom"/>
            <w:shd w:val="clear" w:color="auto" w:fill="D1D2D4"/>
          </w:tcPr>
          <w:p>
            <w:pPr>
              <w:spacing w:after="0"/>
              <w:rPr>
                <w:sz w:val="13"/>
                <w:szCs w:val="13"/>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59</w:t>
            </w:r>
          </w:p>
        </w:tc>
        <w:tc>
          <w:tcPr>
            <w:tcW w:w="8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145</w:t>
            </w:r>
          </w:p>
        </w:tc>
        <w:tc>
          <w:tcPr>
            <w:tcW w:w="300" w:type="dxa"/>
            <w:vAlign w:val="bottom"/>
            <w:shd w:val="clear" w:color="auto" w:fill="D1D2D4"/>
          </w:tcPr>
          <w:p>
            <w:pPr>
              <w:spacing w:after="0"/>
              <w:rPr>
                <w:sz w:val="13"/>
                <w:szCs w:val="13"/>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112</w:t>
            </w:r>
          </w:p>
        </w:tc>
      </w:tr>
      <w:tr>
        <w:trPr>
          <w:trHeight w:val="153"/>
        </w:trPr>
        <w:tc>
          <w:tcPr>
            <w:tcW w:w="5500" w:type="dxa"/>
            <w:vAlign w:val="bottom"/>
          </w:tcPr>
          <w:p>
            <w:pPr>
              <w:ind w:left="80"/>
              <w:spacing w:after="0"/>
              <w:rPr>
                <w:sz w:val="20"/>
                <w:szCs w:val="20"/>
                <w:color w:val="auto"/>
              </w:rPr>
            </w:pPr>
            <w:r>
              <w:rPr>
                <w:rFonts w:ascii="Arial" w:cs="Arial" w:eastAsia="Arial" w:hAnsi="Arial"/>
                <w:sz w:val="12"/>
                <w:szCs w:val="12"/>
                <w:color w:val="auto"/>
              </w:rPr>
              <w:t>Selling, general, and administrative</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52</w:t>
            </w: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99</w:t>
            </w:r>
          </w:p>
        </w:tc>
        <w:tc>
          <w:tcPr>
            <w:tcW w:w="3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153"/>
        </w:trPr>
        <w:tc>
          <w:tcPr>
            <w:tcW w:w="5500" w:type="dxa"/>
            <w:vAlign w:val="bottom"/>
            <w:shd w:val="clear" w:color="auto" w:fill="D1D2D4"/>
          </w:tcPr>
          <w:p>
            <w:pPr>
              <w:ind w:left="80"/>
              <w:spacing w:after="0"/>
              <w:rPr>
                <w:sz w:val="20"/>
                <w:szCs w:val="20"/>
                <w:color w:val="auto"/>
              </w:rPr>
            </w:pPr>
            <w:r>
              <w:rPr>
                <w:rFonts w:ascii="Arial" w:cs="Arial" w:eastAsia="Arial" w:hAnsi="Arial"/>
                <w:sz w:val="12"/>
                <w:szCs w:val="12"/>
                <w:color w:val="auto"/>
              </w:rPr>
              <w:t>Restructure</w:t>
            </w:r>
          </w:p>
        </w:tc>
        <w:tc>
          <w:tcPr>
            <w:tcW w:w="22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D1D2D4"/>
          </w:tcPr>
          <w:p>
            <w:pPr>
              <w:spacing w:after="0"/>
              <w:rPr>
                <w:sz w:val="13"/>
                <w:szCs w:val="13"/>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D1D2D4"/>
          </w:tcPr>
          <w:p>
            <w:pPr>
              <w:spacing w:after="0"/>
              <w:rPr>
                <w:sz w:val="13"/>
                <w:szCs w:val="13"/>
                <w:color w:val="auto"/>
              </w:rPr>
            </w:pPr>
          </w:p>
        </w:tc>
        <w:tc>
          <w:tcPr>
            <w:tcW w:w="220" w:type="dxa"/>
            <w:vAlign w:val="bottom"/>
            <w:tcBorders>
              <w:bottom w:val="single" w:sz="8" w:color="auto"/>
            </w:tcBorders>
            <w:shd w:val="clear" w:color="auto" w:fill="D1D2D4"/>
          </w:tcPr>
          <w:p>
            <w:pPr>
              <w:spacing w:after="0"/>
              <w:rPr>
                <w:sz w:val="13"/>
                <w:szCs w:val="13"/>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shd w:val="clear" w:color="auto" w:fill="D1D2D4"/>
          </w:tcPr>
          <w:p>
            <w:pPr>
              <w:spacing w:after="0"/>
              <w:rPr>
                <w:sz w:val="13"/>
                <w:szCs w:val="13"/>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w:t>
            </w:r>
          </w:p>
        </w:tc>
      </w:tr>
      <w:tr>
        <w:trPr>
          <w:trHeight w:val="158"/>
        </w:trPr>
        <w:tc>
          <w:tcPr>
            <w:tcW w:w="5500" w:type="dxa"/>
            <w:vAlign w:val="bottom"/>
            <w:tcBorders>
              <w:bottom w:val="single" w:sz="8" w:color="D1D2D4"/>
            </w:tcBorders>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209</w:t>
            </w:r>
          </w:p>
        </w:tc>
        <w:tc>
          <w:tcPr>
            <w:tcW w:w="4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w:t>
            </w:r>
          </w:p>
        </w:tc>
        <w:tc>
          <w:tcPr>
            <w:tcW w:w="80" w:type="dxa"/>
            <w:vAlign w:val="bottom"/>
            <w:tcBorders>
              <w:bottom w:val="single" w:sz="8" w:color="D1D2D4"/>
            </w:tcBorders>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391</w:t>
            </w:r>
          </w:p>
        </w:tc>
        <w:tc>
          <w:tcPr>
            <w:tcW w:w="3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259</w:t>
            </w:r>
          </w:p>
        </w:tc>
      </w:tr>
      <w:tr>
        <w:trPr>
          <w:trHeight w:val="153"/>
        </w:trPr>
        <w:tc>
          <w:tcPr>
            <w:tcW w:w="550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spacing w:after="0"/>
              <w:rPr>
                <w:sz w:val="13"/>
                <w:szCs w:val="13"/>
                <w:color w:val="auto"/>
              </w:rPr>
            </w:pPr>
          </w:p>
        </w:tc>
        <w:tc>
          <w:tcPr>
            <w:tcW w:w="460" w:type="dxa"/>
            <w:vAlign w:val="bottom"/>
            <w:shd w:val="clear" w:color="auto" w:fill="D1D2D4"/>
          </w:tcPr>
          <w:p>
            <w:pPr>
              <w:spacing w:after="0"/>
              <w:rPr>
                <w:sz w:val="13"/>
                <w:szCs w:val="13"/>
                <w:color w:val="auto"/>
              </w:rPr>
            </w:pPr>
          </w:p>
        </w:tc>
        <w:tc>
          <w:tcPr>
            <w:tcW w:w="980" w:type="dxa"/>
            <w:vAlign w:val="bottom"/>
            <w:shd w:val="clear" w:color="auto" w:fill="D1D2D4"/>
          </w:tcPr>
          <w:p>
            <w:pPr>
              <w:spacing w:after="0"/>
              <w:rPr>
                <w:sz w:val="13"/>
                <w:szCs w:val="13"/>
                <w:color w:val="auto"/>
              </w:rPr>
            </w:pPr>
          </w:p>
        </w:tc>
        <w:tc>
          <w:tcPr>
            <w:tcW w:w="8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180" w:type="dxa"/>
            <w:vAlign w:val="bottom"/>
            <w:shd w:val="clear" w:color="auto" w:fill="D1D2D4"/>
          </w:tcPr>
          <w:p>
            <w:pPr>
              <w:spacing w:after="0"/>
              <w:rPr>
                <w:sz w:val="13"/>
                <w:szCs w:val="13"/>
                <w:color w:val="auto"/>
              </w:rPr>
            </w:pPr>
          </w:p>
        </w:tc>
        <w:tc>
          <w:tcPr>
            <w:tcW w:w="300" w:type="dxa"/>
            <w:vAlign w:val="bottom"/>
            <w:shd w:val="clear" w:color="auto" w:fill="D1D2D4"/>
          </w:tcPr>
          <w:p>
            <w:pPr>
              <w:spacing w:after="0"/>
              <w:rPr>
                <w:sz w:val="13"/>
                <w:szCs w:val="13"/>
                <w:color w:val="auto"/>
              </w:rPr>
            </w:pPr>
          </w:p>
        </w:tc>
        <w:tc>
          <w:tcPr>
            <w:tcW w:w="1160" w:type="dxa"/>
            <w:vAlign w:val="bottom"/>
            <w:shd w:val="clear" w:color="auto" w:fill="D1D2D4"/>
          </w:tcPr>
          <w:p>
            <w:pPr>
              <w:spacing w:after="0"/>
              <w:rPr>
                <w:sz w:val="13"/>
                <w:szCs w:val="13"/>
                <w:color w:val="auto"/>
              </w:rPr>
            </w:pPr>
          </w:p>
        </w:tc>
      </w:tr>
      <w:tr>
        <w:trPr>
          <w:trHeight w:val="153"/>
        </w:trPr>
        <w:tc>
          <w:tcPr>
            <w:tcW w:w="5500" w:type="dxa"/>
            <w:vAlign w:val="bottom"/>
          </w:tcPr>
          <w:p>
            <w:pPr>
              <w:spacing w:after="0"/>
              <w:rPr>
                <w:sz w:val="20"/>
                <w:szCs w:val="20"/>
                <w:color w:val="auto"/>
              </w:rPr>
            </w:pPr>
            <w:r>
              <w:rPr>
                <w:rFonts w:ascii="Arial" w:cs="Arial" w:eastAsia="Arial" w:hAnsi="Arial"/>
                <w:sz w:val="12"/>
                <w:szCs w:val="12"/>
                <w:color w:val="auto"/>
              </w:rPr>
              <w:t>Stock-based compensation expense by type of award</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3"/>
        </w:trPr>
        <w:tc>
          <w:tcPr>
            <w:tcW w:w="5500" w:type="dxa"/>
            <w:vAlign w:val="bottom"/>
            <w:shd w:val="clear" w:color="auto" w:fill="D1D2D4"/>
          </w:tcPr>
          <w:p>
            <w:pPr>
              <w:ind w:left="80"/>
              <w:spacing w:after="0"/>
              <w:rPr>
                <w:sz w:val="20"/>
                <w:szCs w:val="20"/>
                <w:color w:val="auto"/>
              </w:rPr>
            </w:pPr>
            <w:r>
              <w:rPr>
                <w:rFonts w:ascii="Arial" w:cs="Arial" w:eastAsia="Arial" w:hAnsi="Arial"/>
                <w:sz w:val="12"/>
                <w:szCs w:val="12"/>
                <w:color w:val="auto"/>
              </w:rPr>
              <w:t>Restricted stock awards</w:t>
            </w:r>
          </w:p>
        </w:tc>
        <w:tc>
          <w:tcPr>
            <w:tcW w:w="220" w:type="dxa"/>
            <w:vAlign w:val="bottom"/>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191</w:t>
            </w:r>
          </w:p>
        </w:tc>
        <w:tc>
          <w:tcPr>
            <w:tcW w:w="460" w:type="dxa"/>
            <w:vAlign w:val="bottom"/>
            <w:shd w:val="clear" w:color="auto" w:fill="D1D2D4"/>
          </w:tcPr>
          <w:p>
            <w:pPr>
              <w:jc w:val="right"/>
              <w:ind w:right="32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116</w:t>
            </w:r>
          </w:p>
        </w:tc>
        <w:tc>
          <w:tcPr>
            <w:tcW w:w="80" w:type="dxa"/>
            <w:vAlign w:val="bottom"/>
            <w:shd w:val="clear" w:color="auto" w:fill="D1D2D4"/>
          </w:tcPr>
          <w:p>
            <w:pPr>
              <w:spacing w:after="0"/>
              <w:rPr>
                <w:sz w:val="13"/>
                <w:szCs w:val="13"/>
                <w:color w:val="auto"/>
              </w:rPr>
            </w:pPr>
          </w:p>
        </w:tc>
        <w:tc>
          <w:tcPr>
            <w:tcW w:w="220" w:type="dxa"/>
            <w:vAlign w:val="bottom"/>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354</w:t>
            </w:r>
          </w:p>
        </w:tc>
        <w:tc>
          <w:tcPr>
            <w:tcW w:w="300" w:type="dxa"/>
            <w:vAlign w:val="bottom"/>
            <w:shd w:val="clear" w:color="auto" w:fill="D1D2D4"/>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225</w:t>
            </w:r>
          </w:p>
        </w:tc>
      </w:tr>
      <w:tr>
        <w:trPr>
          <w:trHeight w:val="153"/>
        </w:trPr>
        <w:tc>
          <w:tcPr>
            <w:tcW w:w="5500" w:type="dxa"/>
            <w:vAlign w:val="bottom"/>
            <w:tcBorders>
              <w:bottom w:val="single" w:sz="8" w:color="D1D2D4"/>
            </w:tcBorders>
          </w:tcPr>
          <w:p>
            <w:pPr>
              <w:ind w:left="80"/>
              <w:spacing w:after="0"/>
              <w:rPr>
                <w:sz w:val="20"/>
                <w:szCs w:val="20"/>
                <w:color w:val="auto"/>
              </w:rPr>
            </w:pPr>
            <w:r>
              <w:rPr>
                <w:rFonts w:ascii="Arial" w:cs="Arial" w:eastAsia="Arial" w:hAnsi="Arial"/>
                <w:sz w:val="12"/>
                <w:szCs w:val="12"/>
                <w:color w:val="auto"/>
              </w:rPr>
              <w:t>ESPP</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w:t>
            </w: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80" w:type="dxa"/>
            <w:vAlign w:val="bottom"/>
            <w:tcBorders>
              <w:bottom w:val="single" w:sz="8" w:color="D1D2D4"/>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w:t>
            </w: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w:t>
            </w:r>
          </w:p>
        </w:tc>
      </w:tr>
      <w:tr>
        <w:trPr>
          <w:trHeight w:val="158"/>
        </w:trPr>
        <w:tc>
          <w:tcPr>
            <w:tcW w:w="5500" w:type="dxa"/>
            <w:vAlign w:val="bottom"/>
            <w:tcBorders>
              <w:bottom w:val="single" w:sz="8" w:color="D1D2D4"/>
            </w:tcBorders>
            <w:shd w:val="clear" w:color="auto" w:fill="D1D2D4"/>
          </w:tcPr>
          <w:p>
            <w:pPr>
              <w:spacing w:after="0"/>
              <w:rPr>
                <w:sz w:val="13"/>
                <w:szCs w:val="13"/>
                <w:color w:val="auto"/>
              </w:rPr>
            </w:pPr>
          </w:p>
        </w:tc>
        <w:tc>
          <w:tcPr>
            <w:tcW w:w="220" w:type="dxa"/>
            <w:vAlign w:val="bottom"/>
            <w:tcBorders>
              <w:bottom w:val="single" w:sz="8" w:color="auto"/>
            </w:tcBorders>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209</w:t>
            </w:r>
          </w:p>
        </w:tc>
        <w:tc>
          <w:tcPr>
            <w:tcW w:w="460" w:type="dxa"/>
            <w:vAlign w:val="bottom"/>
            <w:tcBorders>
              <w:bottom w:val="single" w:sz="8" w:color="auto"/>
            </w:tcBorders>
            <w:shd w:val="clear" w:color="auto" w:fill="D1D2D4"/>
          </w:tcPr>
          <w:p>
            <w:pPr>
              <w:jc w:val="right"/>
              <w:ind w:right="32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133</w:t>
            </w:r>
          </w:p>
        </w:tc>
        <w:tc>
          <w:tcPr>
            <w:tcW w:w="80" w:type="dxa"/>
            <w:vAlign w:val="bottom"/>
            <w:tcBorders>
              <w:bottom w:val="single" w:sz="8" w:color="D1D2D4"/>
            </w:tcBorders>
            <w:shd w:val="clear" w:color="auto" w:fill="D1D2D4"/>
          </w:tcPr>
          <w:p>
            <w:pPr>
              <w:spacing w:after="0"/>
              <w:rPr>
                <w:sz w:val="13"/>
                <w:szCs w:val="13"/>
                <w:color w:val="auto"/>
              </w:rPr>
            </w:pPr>
          </w:p>
        </w:tc>
        <w:tc>
          <w:tcPr>
            <w:tcW w:w="220" w:type="dxa"/>
            <w:vAlign w:val="bottom"/>
            <w:tcBorders>
              <w:bottom w:val="single" w:sz="8" w:color="auto"/>
            </w:tcBorders>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391</w:t>
            </w:r>
          </w:p>
        </w:tc>
        <w:tc>
          <w:tcPr>
            <w:tcW w:w="300" w:type="dxa"/>
            <w:vAlign w:val="bottom"/>
            <w:tcBorders>
              <w:bottom w:val="single" w:sz="8" w:color="auto"/>
            </w:tcBorders>
            <w:shd w:val="clear" w:color="auto" w:fill="D1D2D4"/>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259</w:t>
            </w:r>
          </w:p>
        </w:tc>
      </w:tr>
    </w:tbl>
    <w:p>
      <w:pPr>
        <w:spacing w:after="0" w:line="212" w:lineRule="exact"/>
        <w:rPr>
          <w:sz w:val="20"/>
          <w:szCs w:val="20"/>
          <w:color w:val="auto"/>
        </w:rPr>
      </w:pPr>
    </w:p>
    <w:p>
      <w:pPr>
        <w:ind w:right="100"/>
        <w:spacing w:after="0" w:line="286" w:lineRule="auto"/>
        <w:rPr>
          <w:sz w:val="20"/>
          <w:szCs w:val="20"/>
          <w:color w:val="auto"/>
        </w:rPr>
      </w:pPr>
      <w:r>
        <w:rPr>
          <w:rFonts w:ascii="Arial" w:cs="Arial" w:eastAsia="Arial" w:hAnsi="Arial"/>
          <w:sz w:val="12"/>
          <w:szCs w:val="12"/>
          <w:color w:val="auto"/>
        </w:rPr>
        <w:t>As of February 29, 2024, $1.69 billion of total unrecognized compensation costs for unvested awards, before the effect of any future forfeitures, was expected to be recognized through the second quarter of 2028, resulting in a weighted-average period of 1.3 years.</w:t>
      </w:r>
    </w:p>
    <w:p>
      <w:pPr>
        <w:spacing w:after="0" w:line="103"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Revenue and Customer Contract Liabilities</w:t>
      </w:r>
    </w:p>
    <w:p>
      <w:pPr>
        <w:spacing w:after="0" w:line="178" w:lineRule="exact"/>
        <w:rPr>
          <w:sz w:val="20"/>
          <w:szCs w:val="20"/>
          <w:color w:val="auto"/>
        </w:rPr>
      </w:pPr>
    </w:p>
    <w:p>
      <w:pPr>
        <w:ind w:right="160"/>
        <w:spacing w:after="0" w:line="268" w:lineRule="auto"/>
        <w:rPr>
          <w:sz w:val="20"/>
          <w:szCs w:val="20"/>
          <w:color w:val="auto"/>
        </w:rPr>
      </w:pPr>
      <w:r>
        <w:rPr>
          <w:rFonts w:ascii="Arial" w:cs="Arial" w:eastAsia="Arial" w:hAnsi="Arial"/>
          <w:sz w:val="12"/>
          <w:szCs w:val="12"/>
          <w:color w:val="auto"/>
        </w:rPr>
        <w:t>Revenue is primarily recognized at a point in time when control of the promised goods is transferred to our customers in an amount that reflects the consideration we expect to be entitled to in exchange for those goods. Substantially all contracts with our customers are short-term in duration at fixed, negotiated prices with payment generally due shortly after delivery. From time to time, we have contracts with initial terms that include performance obligations that extend beyond one year. As of February 29, 2024, our future performance obligations beyond one year were not significant.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by Technology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480" w:type="dxa"/>
            <w:vAlign w:val="bottom"/>
          </w:tcPr>
          <w:p>
            <w:pPr>
              <w:spacing w:after="0"/>
              <w:rPr>
                <w:sz w:val="13"/>
                <w:szCs w:val="13"/>
                <w:color w:val="auto"/>
              </w:rPr>
            </w:pPr>
          </w:p>
        </w:tc>
        <w:tc>
          <w:tcPr>
            <w:tcW w:w="246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2"/>
                <w:szCs w:val="12"/>
                <w:b w:val="1"/>
                <w:bCs w:val="1"/>
                <w:color w:val="auto"/>
              </w:rPr>
              <w:t>Quarter ended</w:t>
            </w: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3"/>
          </w:tcPr>
          <w:p>
            <w:pPr>
              <w:jc w:val="right"/>
              <w:ind w:right="860"/>
              <w:spacing w:after="0"/>
              <w:rPr>
                <w:sz w:val="20"/>
                <w:szCs w:val="20"/>
                <w:color w:val="auto"/>
              </w:rPr>
            </w:pPr>
            <w:r>
              <w:rPr>
                <w:rFonts w:ascii="Arial" w:cs="Arial" w:eastAsia="Arial" w:hAnsi="Arial"/>
                <w:sz w:val="12"/>
                <w:szCs w:val="12"/>
                <w:b w:val="1"/>
                <w:bCs w:val="1"/>
                <w:color w:val="auto"/>
              </w:rPr>
              <w:t>Six months ended</w:t>
            </w:r>
          </w:p>
        </w:tc>
      </w:tr>
      <w:tr>
        <w:trPr>
          <w:trHeight w:val="111"/>
        </w:trPr>
        <w:tc>
          <w:tcPr>
            <w:tcW w:w="5480" w:type="dxa"/>
            <w:vAlign w:val="bottom"/>
          </w:tcPr>
          <w:p>
            <w:pPr>
              <w:spacing w:after="0"/>
              <w:rPr>
                <w:sz w:val="9"/>
                <w:szCs w:val="9"/>
                <w:color w:val="auto"/>
              </w:rPr>
            </w:pPr>
          </w:p>
        </w:tc>
        <w:tc>
          <w:tcPr>
            <w:tcW w:w="108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February 29,</w:t>
            </w:r>
          </w:p>
        </w:tc>
        <w:tc>
          <w:tcPr>
            <w:tcW w:w="340" w:type="dxa"/>
            <w:vAlign w:val="bottom"/>
          </w:tcPr>
          <w:p>
            <w:pPr>
              <w:spacing w:after="0"/>
              <w:rPr>
                <w:sz w:val="9"/>
                <w:szCs w:val="9"/>
                <w:color w:val="auto"/>
              </w:rPr>
            </w:pPr>
          </w:p>
        </w:tc>
        <w:tc>
          <w:tcPr>
            <w:tcW w:w="104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March 2,</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jc w:val="right"/>
              <w:ind w:right="280"/>
              <w:spacing w:after="0" w:line="111" w:lineRule="exact"/>
              <w:rPr>
                <w:sz w:val="20"/>
                <w:szCs w:val="20"/>
                <w:color w:val="auto"/>
              </w:rPr>
            </w:pPr>
            <w:r>
              <w:rPr>
                <w:rFonts w:ascii="Arial" w:cs="Arial" w:eastAsia="Arial" w:hAnsi="Arial"/>
                <w:sz w:val="12"/>
                <w:szCs w:val="12"/>
                <w:b w:val="1"/>
                <w:bCs w:val="1"/>
                <w:color w:val="auto"/>
              </w:rPr>
              <w:t>February 29,</w:t>
            </w:r>
          </w:p>
        </w:tc>
        <w:tc>
          <w:tcPr>
            <w:tcW w:w="300" w:type="dxa"/>
            <w:vAlign w:val="bottom"/>
          </w:tcPr>
          <w:p>
            <w:pPr>
              <w:spacing w:after="0"/>
              <w:rPr>
                <w:sz w:val="9"/>
                <w:szCs w:val="9"/>
                <w:color w:val="auto"/>
              </w:rPr>
            </w:pPr>
          </w:p>
        </w:tc>
        <w:tc>
          <w:tcPr>
            <w:tcW w:w="1180" w:type="dxa"/>
            <w:vAlign w:val="bottom"/>
          </w:tcPr>
          <w:p>
            <w:pPr>
              <w:jc w:val="right"/>
              <w:ind w:right="420"/>
              <w:spacing w:after="0" w:line="111" w:lineRule="exact"/>
              <w:rPr>
                <w:sz w:val="20"/>
                <w:szCs w:val="20"/>
                <w:color w:val="auto"/>
              </w:rPr>
            </w:pPr>
            <w:r>
              <w:rPr>
                <w:rFonts w:ascii="Arial" w:cs="Arial" w:eastAsia="Arial" w:hAnsi="Arial"/>
                <w:sz w:val="12"/>
                <w:szCs w:val="12"/>
                <w:b w:val="1"/>
                <w:bCs w:val="1"/>
                <w:color w:val="auto"/>
              </w:rPr>
              <w:t>March 2,</w:t>
            </w:r>
          </w:p>
        </w:tc>
      </w:tr>
      <w:tr>
        <w:trPr>
          <w:trHeight w:val="165"/>
        </w:trPr>
        <w:tc>
          <w:tcPr>
            <w:tcW w:w="5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2024</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2023</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2024</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2023</w:t>
            </w:r>
          </w:p>
        </w:tc>
      </w:tr>
      <w:tr>
        <w:trPr>
          <w:trHeight w:val="161"/>
        </w:trPr>
        <w:tc>
          <w:tcPr>
            <w:tcW w:w="5480" w:type="dxa"/>
            <w:vAlign w:val="bottom"/>
            <w:shd w:val="clear" w:color="auto" w:fill="D1D2D4"/>
          </w:tcPr>
          <w:p>
            <w:pPr>
              <w:spacing w:after="0"/>
              <w:rPr>
                <w:sz w:val="20"/>
                <w:szCs w:val="20"/>
                <w:color w:val="auto"/>
              </w:rPr>
            </w:pPr>
            <w:r>
              <w:rPr>
                <w:rFonts w:ascii="Arial" w:cs="Arial" w:eastAsia="Arial" w:hAnsi="Arial"/>
                <w:sz w:val="12"/>
                <w:szCs w:val="12"/>
                <w:color w:val="auto"/>
              </w:rPr>
              <w:t>DRAM</w:t>
            </w:r>
          </w:p>
        </w:tc>
        <w:tc>
          <w:tcPr>
            <w:tcW w:w="1080" w:type="dxa"/>
            <w:vAlign w:val="bottom"/>
            <w:shd w:val="clear" w:color="auto" w:fill="D1D2D4"/>
          </w:tcPr>
          <w:p>
            <w:pPr>
              <w:jc w:val="right"/>
              <w:ind w:right="940"/>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D1D2D4"/>
          </w:tcPr>
          <w:p>
            <w:pPr>
              <w:jc w:val="right"/>
              <w:spacing w:after="0"/>
              <w:rPr>
                <w:sz w:val="20"/>
                <w:szCs w:val="20"/>
                <w:color w:val="auto"/>
              </w:rPr>
            </w:pPr>
            <w:r>
              <w:rPr>
                <w:rFonts w:ascii="Arial" w:cs="Arial" w:eastAsia="Arial" w:hAnsi="Arial"/>
                <w:sz w:val="12"/>
                <w:szCs w:val="12"/>
                <w:color w:val="auto"/>
                <w:w w:val="93"/>
              </w:rPr>
              <w:t>4,158</w:t>
            </w:r>
          </w:p>
        </w:tc>
        <w:tc>
          <w:tcPr>
            <w:tcW w:w="1040" w:type="dxa"/>
            <w:vAlign w:val="bottom"/>
            <w:shd w:val="clear" w:color="auto" w:fill="D1D2D4"/>
          </w:tcPr>
          <w:p>
            <w:pPr>
              <w:jc w:val="right"/>
              <w:ind w:right="880"/>
              <w:spacing w:after="0"/>
              <w:rPr>
                <w:sz w:val="20"/>
                <w:szCs w:val="20"/>
                <w:color w:val="auto"/>
              </w:rPr>
            </w:pPr>
            <w:r>
              <w:rPr>
                <w:rFonts w:ascii="Arial" w:cs="Arial" w:eastAsia="Arial" w:hAnsi="Arial"/>
                <w:sz w:val="12"/>
                <w:szCs w:val="12"/>
                <w:color w:val="auto"/>
              </w:rPr>
              <w:t>$</w:t>
            </w:r>
          </w:p>
        </w:tc>
        <w:tc>
          <w:tcPr>
            <w:tcW w:w="4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2,722</w:t>
            </w:r>
          </w:p>
        </w:tc>
        <w:tc>
          <w:tcPr>
            <w:tcW w:w="80" w:type="dxa"/>
            <w:vAlign w:val="bottom"/>
            <w:shd w:val="clear" w:color="auto" w:fill="D1D2D4"/>
          </w:tcPr>
          <w:p>
            <w:pPr>
              <w:spacing w:after="0"/>
              <w:rPr>
                <w:sz w:val="14"/>
                <w:szCs w:val="14"/>
                <w:color w:val="auto"/>
              </w:rPr>
            </w:pPr>
          </w:p>
        </w:tc>
        <w:tc>
          <w:tcPr>
            <w:tcW w:w="220" w:type="dxa"/>
            <w:vAlign w:val="bottom"/>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7,585</w:t>
            </w:r>
          </w:p>
        </w:tc>
        <w:tc>
          <w:tcPr>
            <w:tcW w:w="300" w:type="dxa"/>
            <w:vAlign w:val="bottom"/>
            <w:shd w:val="clear" w:color="auto" w:fill="D1D2D4"/>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5,551</w:t>
            </w:r>
          </w:p>
        </w:tc>
      </w:tr>
      <w:tr>
        <w:trPr>
          <w:trHeight w:val="153"/>
        </w:trPr>
        <w:tc>
          <w:tcPr>
            <w:tcW w:w="5480" w:type="dxa"/>
            <w:vAlign w:val="bottom"/>
          </w:tcPr>
          <w:p>
            <w:pPr>
              <w:spacing w:after="0"/>
              <w:rPr>
                <w:sz w:val="20"/>
                <w:szCs w:val="20"/>
                <w:color w:val="auto"/>
              </w:rPr>
            </w:pPr>
            <w:r>
              <w:rPr>
                <w:rFonts w:ascii="Arial" w:cs="Arial" w:eastAsia="Arial" w:hAnsi="Arial"/>
                <w:sz w:val="12"/>
                <w:szCs w:val="12"/>
                <w:color w:val="auto"/>
              </w:rPr>
              <w:t>NAND</w:t>
            </w:r>
          </w:p>
        </w:tc>
        <w:tc>
          <w:tcPr>
            <w:tcW w:w="10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93"/>
              </w:rPr>
              <w:t>1,567</w:t>
            </w:r>
          </w:p>
        </w:tc>
        <w:tc>
          <w:tcPr>
            <w:tcW w:w="10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885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2,797</w:t>
            </w:r>
          </w:p>
        </w:tc>
        <w:tc>
          <w:tcPr>
            <w:tcW w:w="3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1,988</w:t>
            </w:r>
          </w:p>
        </w:tc>
      </w:tr>
      <w:tr>
        <w:trPr>
          <w:trHeight w:val="153"/>
        </w:trPr>
        <w:tc>
          <w:tcPr>
            <w:tcW w:w="5480" w:type="dxa"/>
            <w:vAlign w:val="bottom"/>
            <w:shd w:val="clear" w:color="auto" w:fill="D1D2D4"/>
          </w:tcPr>
          <w:p>
            <w:pPr>
              <w:spacing w:after="0"/>
              <w:rPr>
                <w:sz w:val="20"/>
                <w:szCs w:val="20"/>
                <w:color w:val="auto"/>
              </w:rPr>
            </w:pPr>
            <w:r>
              <w:rPr>
                <w:rFonts w:ascii="Arial" w:cs="Arial" w:eastAsia="Arial" w:hAnsi="Arial"/>
                <w:sz w:val="12"/>
                <w:szCs w:val="12"/>
                <w:color w:val="auto"/>
              </w:rPr>
              <w:t>Other (primarily NOR)</w:t>
            </w:r>
          </w:p>
        </w:tc>
        <w:tc>
          <w:tcPr>
            <w:tcW w:w="1080" w:type="dxa"/>
            <w:vAlign w:val="bottom"/>
            <w:tcBorders>
              <w:bottom w:val="single" w:sz="8" w:color="auto"/>
            </w:tcBorders>
            <w:shd w:val="clear" w:color="auto" w:fill="D1D2D4"/>
          </w:tcPr>
          <w:p>
            <w:pPr>
              <w:spacing w:after="0"/>
              <w:rPr>
                <w:sz w:val="13"/>
                <w:szCs w:val="13"/>
                <w:color w:val="auto"/>
              </w:rPr>
            </w:pPr>
          </w:p>
        </w:tc>
        <w:tc>
          <w:tcPr>
            <w:tcW w:w="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99</w:t>
            </w:r>
          </w:p>
        </w:tc>
        <w:tc>
          <w:tcPr>
            <w:tcW w:w="1040" w:type="dxa"/>
            <w:vAlign w:val="bottom"/>
            <w:tcBorders>
              <w:bottom w:val="single" w:sz="8" w:color="auto"/>
            </w:tcBorders>
            <w:shd w:val="clear" w:color="auto" w:fill="D1D2D4"/>
          </w:tcPr>
          <w:p>
            <w:pPr>
              <w:spacing w:after="0"/>
              <w:rPr>
                <w:sz w:val="13"/>
                <w:szCs w:val="13"/>
                <w:color w:val="auto"/>
              </w:rPr>
            </w:pPr>
          </w:p>
        </w:tc>
        <w:tc>
          <w:tcPr>
            <w:tcW w:w="4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86</w:t>
            </w:r>
          </w:p>
        </w:tc>
        <w:tc>
          <w:tcPr>
            <w:tcW w:w="80" w:type="dxa"/>
            <w:vAlign w:val="bottom"/>
            <w:shd w:val="clear" w:color="auto" w:fill="D1D2D4"/>
          </w:tcPr>
          <w:p>
            <w:pPr>
              <w:spacing w:after="0"/>
              <w:rPr>
                <w:sz w:val="13"/>
                <w:szCs w:val="13"/>
                <w:color w:val="auto"/>
              </w:rPr>
            </w:pPr>
          </w:p>
        </w:tc>
        <w:tc>
          <w:tcPr>
            <w:tcW w:w="220" w:type="dxa"/>
            <w:vAlign w:val="bottom"/>
            <w:tcBorders>
              <w:bottom w:val="single" w:sz="8" w:color="auto"/>
            </w:tcBorders>
            <w:shd w:val="clear" w:color="auto" w:fill="D1D2D4"/>
          </w:tcPr>
          <w:p>
            <w:pPr>
              <w:spacing w:after="0"/>
              <w:rPr>
                <w:sz w:val="13"/>
                <w:szCs w:val="13"/>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168</w:t>
            </w:r>
          </w:p>
        </w:tc>
        <w:tc>
          <w:tcPr>
            <w:tcW w:w="300" w:type="dxa"/>
            <w:vAlign w:val="bottom"/>
            <w:tcBorders>
              <w:bottom w:val="single" w:sz="8" w:color="auto"/>
            </w:tcBorders>
            <w:shd w:val="clear" w:color="auto" w:fill="D1D2D4"/>
          </w:tcPr>
          <w:p>
            <w:pPr>
              <w:spacing w:after="0"/>
              <w:rPr>
                <w:sz w:val="13"/>
                <w:szCs w:val="13"/>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239</w:t>
            </w:r>
          </w:p>
        </w:tc>
      </w:tr>
      <w:tr>
        <w:trPr>
          <w:trHeight w:val="142"/>
        </w:trPr>
        <w:tc>
          <w:tcPr>
            <w:tcW w:w="5480" w:type="dxa"/>
            <w:vAlign w:val="bottom"/>
          </w:tcPr>
          <w:p>
            <w:pPr>
              <w:spacing w:after="0"/>
              <w:rPr>
                <w:sz w:val="12"/>
                <w:szCs w:val="12"/>
                <w:color w:val="auto"/>
              </w:rPr>
            </w:pPr>
          </w:p>
        </w:tc>
        <w:tc>
          <w:tcPr>
            <w:tcW w:w="1080" w:type="dxa"/>
            <w:vAlign w:val="bottom"/>
            <w:tcBorders>
              <w:bottom w:val="single" w:sz="8" w:color="auto"/>
            </w:tcBorders>
          </w:tcPr>
          <w:p>
            <w:pPr>
              <w:jc w:val="right"/>
              <w:ind w:right="940"/>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5,824</w:t>
            </w:r>
          </w:p>
        </w:tc>
        <w:tc>
          <w:tcPr>
            <w:tcW w:w="1040" w:type="dxa"/>
            <w:vAlign w:val="bottom"/>
            <w:tcBorders>
              <w:bottom w:val="single" w:sz="8" w:color="auto"/>
            </w:tcBorders>
          </w:tcPr>
          <w:p>
            <w:pPr>
              <w:jc w:val="right"/>
              <w:ind w:right="880"/>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3,693</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10,550</w:t>
            </w:r>
          </w:p>
        </w:tc>
        <w:tc>
          <w:tcPr>
            <w:tcW w:w="3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7,778</w:t>
            </w: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2"/>
          <w:szCs w:val="12"/>
          <w:color w:val="auto"/>
        </w:rPr>
        <w:t>See “Segment and Other Information” for disclosure of disaggregated revenue by market segment.</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23 | 2024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3" w:name="page24"/>
    <w:bookmarkEnd w:id="23"/>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 Contract Liabilities</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Contract liabilities from customer prepayments made to secure product supply in future periods were approximately $600 million as of February 29, 2024 and were reported within other current liabilities.</w:t>
      </w:r>
    </w:p>
    <w:p>
      <w:pPr>
        <w:spacing w:after="0" w:line="168" w:lineRule="exact"/>
        <w:rPr>
          <w:sz w:val="20"/>
          <w:szCs w:val="20"/>
          <w:color w:val="auto"/>
        </w:rPr>
      </w:pPr>
    </w:p>
    <w:p>
      <w:pPr>
        <w:ind w:right="220"/>
        <w:spacing w:after="0" w:line="286" w:lineRule="auto"/>
        <w:rPr>
          <w:sz w:val="20"/>
          <w:szCs w:val="20"/>
          <w:color w:val="auto"/>
        </w:rPr>
      </w:pPr>
      <w:r>
        <w:rPr>
          <w:rFonts w:ascii="Arial" w:cs="Arial" w:eastAsia="Arial" w:hAnsi="Arial"/>
          <w:sz w:val="12"/>
          <w:szCs w:val="12"/>
          <w:color w:val="auto"/>
        </w:rPr>
        <w:t>As of February 29, 2024 and August 31, 2023, other current liabilities also included $562 million and $453 million, respectively, for estimates of consideration payable to customers including estimates for pricing adjustments and returns.</w:t>
      </w:r>
    </w:p>
    <w:p>
      <w:pPr>
        <w:spacing w:after="0" w:line="283"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Restructure and Asset Impairments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5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ind w:left="800"/>
              <w:spacing w:after="0"/>
              <w:rPr>
                <w:sz w:val="20"/>
                <w:szCs w:val="20"/>
                <w:color w:val="auto"/>
              </w:rPr>
            </w:pPr>
            <w:r>
              <w:rPr>
                <w:rFonts w:ascii="Arial" w:cs="Arial" w:eastAsia="Arial" w:hAnsi="Arial"/>
                <w:sz w:val="12"/>
                <w:szCs w:val="12"/>
                <w:b w:val="1"/>
                <w:bCs w:val="1"/>
                <w:color w:val="auto"/>
              </w:rPr>
              <w:t>Quarter ended</w:t>
            </w:r>
          </w:p>
        </w:tc>
        <w:tc>
          <w:tcPr>
            <w:tcW w:w="9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2"/>
          </w:tcPr>
          <w:p>
            <w:pPr>
              <w:jc w:val="right"/>
              <w:ind w:right="860"/>
              <w:spacing w:after="0"/>
              <w:rPr>
                <w:sz w:val="20"/>
                <w:szCs w:val="20"/>
                <w:color w:val="auto"/>
              </w:rPr>
            </w:pPr>
            <w:r>
              <w:rPr>
                <w:rFonts w:ascii="Arial" w:cs="Arial" w:eastAsia="Arial" w:hAnsi="Arial"/>
                <w:sz w:val="12"/>
                <w:szCs w:val="12"/>
                <w:b w:val="1"/>
                <w:bCs w:val="1"/>
                <w:color w:val="auto"/>
              </w:rPr>
              <w:t>Six months ended</w:t>
            </w:r>
          </w:p>
        </w:tc>
      </w:tr>
      <w:tr>
        <w:trPr>
          <w:trHeight w:val="111"/>
        </w:trPr>
        <w:tc>
          <w:tcPr>
            <w:tcW w:w="5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tcPr>
          <w:p>
            <w:pPr>
              <w:ind w:left="140"/>
              <w:spacing w:after="0" w:line="111" w:lineRule="exact"/>
              <w:rPr>
                <w:sz w:val="20"/>
                <w:szCs w:val="20"/>
                <w:color w:val="auto"/>
              </w:rPr>
            </w:pPr>
            <w:r>
              <w:rPr>
                <w:rFonts w:ascii="Arial" w:cs="Arial" w:eastAsia="Arial" w:hAnsi="Arial"/>
                <w:sz w:val="12"/>
                <w:szCs w:val="12"/>
                <w:b w:val="1"/>
                <w:bCs w:val="1"/>
                <w:color w:val="auto"/>
              </w:rPr>
              <w:t>February 29,</w:t>
            </w:r>
          </w:p>
        </w:tc>
        <w:tc>
          <w:tcPr>
            <w:tcW w:w="980" w:type="dxa"/>
            <w:vAlign w:val="bottom"/>
          </w:tcPr>
          <w:p>
            <w:pPr>
              <w:jc w:val="right"/>
              <w:ind w:right="400"/>
              <w:spacing w:after="0" w:line="111" w:lineRule="exact"/>
              <w:rPr>
                <w:sz w:val="20"/>
                <w:szCs w:val="20"/>
                <w:color w:val="auto"/>
              </w:rPr>
            </w:pPr>
            <w:r>
              <w:rPr>
                <w:rFonts w:ascii="Arial" w:cs="Arial" w:eastAsia="Arial" w:hAnsi="Arial"/>
                <w:sz w:val="12"/>
                <w:szCs w:val="12"/>
                <w:b w:val="1"/>
                <w:bCs w:val="1"/>
                <w:color w:val="auto"/>
              </w:rPr>
              <w:t>March 2,</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ind w:left="140"/>
              <w:spacing w:after="0" w:line="111" w:lineRule="exact"/>
              <w:rPr>
                <w:sz w:val="20"/>
                <w:szCs w:val="20"/>
                <w:color w:val="auto"/>
              </w:rPr>
            </w:pPr>
            <w:r>
              <w:rPr>
                <w:rFonts w:ascii="Arial" w:cs="Arial" w:eastAsia="Arial" w:hAnsi="Arial"/>
                <w:sz w:val="12"/>
                <w:szCs w:val="12"/>
                <w:b w:val="1"/>
                <w:bCs w:val="1"/>
                <w:color w:val="auto"/>
              </w:rPr>
              <w:t>February 29,</w:t>
            </w:r>
          </w:p>
        </w:tc>
        <w:tc>
          <w:tcPr>
            <w:tcW w:w="1160" w:type="dxa"/>
            <w:vAlign w:val="bottom"/>
          </w:tcPr>
          <w:p>
            <w:pPr>
              <w:jc w:val="right"/>
              <w:ind w:right="420"/>
              <w:spacing w:after="0" w:line="111" w:lineRule="exact"/>
              <w:rPr>
                <w:sz w:val="20"/>
                <w:szCs w:val="20"/>
                <w:color w:val="auto"/>
              </w:rPr>
            </w:pPr>
            <w:r>
              <w:rPr>
                <w:rFonts w:ascii="Arial" w:cs="Arial" w:eastAsia="Arial" w:hAnsi="Arial"/>
                <w:sz w:val="12"/>
                <w:szCs w:val="12"/>
                <w:b w:val="1"/>
                <w:bCs w:val="1"/>
                <w:color w:val="auto"/>
              </w:rPr>
              <w:t>March 2,</w:t>
            </w:r>
          </w:p>
        </w:tc>
      </w:tr>
      <w:tr>
        <w:trPr>
          <w:trHeight w:val="165"/>
        </w:trPr>
        <w:tc>
          <w:tcPr>
            <w:tcW w:w="5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ind w:left="360"/>
              <w:spacing w:after="0"/>
              <w:rPr>
                <w:sz w:val="20"/>
                <w:szCs w:val="20"/>
                <w:color w:val="auto"/>
              </w:rPr>
            </w:pPr>
            <w:r>
              <w:rPr>
                <w:rFonts w:ascii="Arial" w:cs="Arial" w:eastAsia="Arial" w:hAnsi="Arial"/>
                <w:sz w:val="12"/>
                <w:szCs w:val="12"/>
                <w:b w:val="1"/>
                <w:bCs w:val="1"/>
                <w:color w:val="auto"/>
              </w:rPr>
              <w:t>2024</w:t>
            </w:r>
          </w:p>
        </w:tc>
        <w:tc>
          <w:tcPr>
            <w:tcW w:w="9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ind w:left="360"/>
              <w:spacing w:after="0"/>
              <w:rPr>
                <w:sz w:val="20"/>
                <w:szCs w:val="20"/>
                <w:color w:val="auto"/>
              </w:rPr>
            </w:pPr>
            <w:r>
              <w:rPr>
                <w:rFonts w:ascii="Arial" w:cs="Arial" w:eastAsia="Arial" w:hAnsi="Arial"/>
                <w:sz w:val="12"/>
                <w:szCs w:val="12"/>
                <w:b w:val="1"/>
                <w:bCs w:val="1"/>
                <w:color w:val="auto"/>
              </w:rPr>
              <w:t>2024</w:t>
            </w: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r>
      <w:tr>
        <w:trPr>
          <w:trHeight w:val="161"/>
        </w:trPr>
        <w:tc>
          <w:tcPr>
            <w:tcW w:w="5500" w:type="dxa"/>
            <w:vAlign w:val="bottom"/>
            <w:shd w:val="clear" w:color="auto" w:fill="DBDBDB"/>
          </w:tcPr>
          <w:p>
            <w:pPr>
              <w:spacing w:after="0"/>
              <w:rPr>
                <w:sz w:val="20"/>
                <w:szCs w:val="20"/>
                <w:color w:val="auto"/>
              </w:rPr>
            </w:pPr>
            <w:r>
              <w:rPr>
                <w:rFonts w:ascii="Arial" w:cs="Arial" w:eastAsia="Arial" w:hAnsi="Arial"/>
                <w:sz w:val="12"/>
                <w:szCs w:val="12"/>
                <w:color w:val="auto"/>
              </w:rPr>
              <w:t>Employee severance</w:t>
            </w:r>
          </w:p>
        </w:tc>
        <w:tc>
          <w:tcPr>
            <w:tcW w:w="220" w:type="dxa"/>
            <w:vAlign w:val="bottom"/>
            <w:shd w:val="clear" w:color="auto" w:fill="DBDBDB"/>
          </w:tcPr>
          <w:p>
            <w:pPr>
              <w:jc w:val="right"/>
              <w:ind w:right="80"/>
              <w:spacing w:after="0"/>
              <w:rPr>
                <w:sz w:val="20"/>
                <w:szCs w:val="20"/>
                <w:color w:val="auto"/>
              </w:rPr>
            </w:pPr>
            <w:r>
              <w:rPr>
                <w:rFonts w:ascii="Arial" w:cs="Arial" w:eastAsia="Arial" w:hAnsi="Arial"/>
                <w:sz w:val="12"/>
                <w:szCs w:val="12"/>
                <w:color w:val="auto"/>
                <w:w w:val="89"/>
              </w:rPr>
              <w:t>$</w:t>
            </w:r>
          </w:p>
        </w:tc>
        <w:tc>
          <w:tcPr>
            <w:tcW w:w="1660" w:type="dxa"/>
            <w:vAlign w:val="bottom"/>
            <w:shd w:val="clear" w:color="auto" w:fill="DBDBDB"/>
          </w:tcPr>
          <w:p>
            <w:pPr>
              <w:ind w:left="1040"/>
              <w:spacing w:after="0"/>
              <w:rPr>
                <w:sz w:val="20"/>
                <w:szCs w:val="20"/>
                <w:color w:val="auto"/>
              </w:rPr>
            </w:pPr>
            <w:r>
              <w:rPr>
                <w:rFonts w:ascii="Arial" w:cs="Arial" w:eastAsia="Arial" w:hAnsi="Arial"/>
                <w:sz w:val="12"/>
                <w:szCs w:val="12"/>
                <w:color w:val="auto"/>
              </w:rPr>
              <w:t>— $</w:t>
            </w: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80</w:t>
            </w: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jc w:val="right"/>
              <w:ind w:right="80"/>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DBDBDB"/>
          </w:tcPr>
          <w:p>
            <w:pPr>
              <w:ind w:left="1040"/>
              <w:spacing w:after="0"/>
              <w:rPr>
                <w:sz w:val="20"/>
                <w:szCs w:val="20"/>
                <w:color w:val="auto"/>
              </w:rPr>
            </w:pPr>
            <w:r>
              <w:rPr>
                <w:rFonts w:ascii="Arial" w:cs="Arial" w:eastAsia="Arial" w:hAnsi="Arial"/>
                <w:sz w:val="12"/>
                <w:szCs w:val="12"/>
                <w:color w:val="auto"/>
              </w:rPr>
              <w:t>— $</w:t>
            </w: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93</w:t>
            </w:r>
          </w:p>
        </w:tc>
      </w:tr>
      <w:tr>
        <w:trPr>
          <w:trHeight w:val="153"/>
        </w:trPr>
        <w:tc>
          <w:tcPr>
            <w:tcW w:w="5500" w:type="dxa"/>
            <w:vAlign w:val="bottom"/>
          </w:tcPr>
          <w:p>
            <w:pPr>
              <w:spacing w:after="0"/>
              <w:rPr>
                <w:sz w:val="20"/>
                <w:szCs w:val="20"/>
                <w:color w:val="auto"/>
              </w:rPr>
            </w:pPr>
            <w:r>
              <w:rPr>
                <w:rFonts w:ascii="Arial" w:cs="Arial" w:eastAsia="Arial" w:hAnsi="Arial"/>
                <w:sz w:val="12"/>
                <w:szCs w:val="12"/>
                <w:color w:val="auto"/>
              </w:rPr>
              <w:t>Asset impairments and other asset-related costs</w:t>
            </w:r>
          </w:p>
        </w:tc>
        <w:tc>
          <w:tcPr>
            <w:tcW w:w="220" w:type="dxa"/>
            <w:vAlign w:val="bottom"/>
          </w:tcPr>
          <w:p>
            <w:pPr>
              <w:spacing w:after="0"/>
              <w:rPr>
                <w:sz w:val="13"/>
                <w:szCs w:val="13"/>
                <w:color w:val="auto"/>
              </w:rPr>
            </w:pPr>
          </w:p>
        </w:tc>
        <w:tc>
          <w:tcPr>
            <w:tcW w:w="1660" w:type="dxa"/>
            <w:vAlign w:val="bottom"/>
          </w:tcPr>
          <w:p>
            <w:pPr>
              <w:ind w:left="1040"/>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ind w:left="1040"/>
              <w:spacing w:after="0"/>
              <w:rPr>
                <w:sz w:val="20"/>
                <w:szCs w:val="20"/>
                <w:color w:val="auto"/>
              </w:rPr>
            </w:pPr>
            <w:r>
              <w:rPr>
                <w:rFonts w:ascii="Arial" w:cs="Arial" w:eastAsia="Arial" w:hAnsi="Arial"/>
                <w:sz w:val="12"/>
                <w:szCs w:val="12"/>
                <w:color w:val="auto"/>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153"/>
        </w:trPr>
        <w:tc>
          <w:tcPr>
            <w:tcW w:w="5500" w:type="dxa"/>
            <w:vAlign w:val="bottom"/>
            <w:shd w:val="clear" w:color="auto" w:fill="DBDBDB"/>
          </w:tcPr>
          <w:p>
            <w:pPr>
              <w:spacing w:after="0"/>
              <w:rPr>
                <w:sz w:val="20"/>
                <w:szCs w:val="20"/>
                <w:color w:val="auto"/>
              </w:rPr>
            </w:pPr>
            <w:r>
              <w:rPr>
                <w:rFonts w:ascii="Arial" w:cs="Arial" w:eastAsia="Arial" w:hAnsi="Arial"/>
                <w:sz w:val="12"/>
                <w:szCs w:val="12"/>
                <w:color w:val="auto"/>
              </w:rPr>
              <w:t>Other</w:t>
            </w:r>
          </w:p>
        </w:tc>
        <w:tc>
          <w:tcPr>
            <w:tcW w:w="220" w:type="dxa"/>
            <w:vAlign w:val="bottom"/>
            <w:tcBorders>
              <w:bottom w:val="single" w:sz="8" w:color="auto"/>
            </w:tcBorders>
            <w:shd w:val="clear" w:color="auto" w:fill="DBDBDB"/>
          </w:tcPr>
          <w:p>
            <w:pPr>
              <w:spacing w:after="0"/>
              <w:rPr>
                <w:sz w:val="13"/>
                <w:szCs w:val="13"/>
                <w:color w:val="auto"/>
              </w:rPr>
            </w:pPr>
          </w:p>
        </w:tc>
        <w:tc>
          <w:tcPr>
            <w:tcW w:w="1660" w:type="dxa"/>
            <w:vAlign w:val="bottom"/>
            <w:tcBorders>
              <w:bottom w:val="single" w:sz="8" w:color="auto"/>
            </w:tcBorders>
            <w:shd w:val="clear" w:color="auto" w:fill="DBDBDB"/>
          </w:tcPr>
          <w:p>
            <w:pPr>
              <w:ind w:left="104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DBDBDB"/>
          </w:tcPr>
          <w:p>
            <w:pPr>
              <w:spacing w:after="0"/>
              <w:rPr>
                <w:sz w:val="13"/>
                <w:szCs w:val="13"/>
                <w:color w:val="auto"/>
              </w:rPr>
            </w:pPr>
          </w:p>
        </w:tc>
        <w:tc>
          <w:tcPr>
            <w:tcW w:w="220" w:type="dxa"/>
            <w:vAlign w:val="bottom"/>
            <w:tcBorders>
              <w:bottom w:val="single" w:sz="8" w:color="auto"/>
            </w:tcBorders>
            <w:shd w:val="clear" w:color="auto" w:fill="DBDBDB"/>
          </w:tcPr>
          <w:p>
            <w:pPr>
              <w:spacing w:after="0"/>
              <w:rPr>
                <w:sz w:val="13"/>
                <w:szCs w:val="13"/>
                <w:color w:val="auto"/>
              </w:rPr>
            </w:pPr>
          </w:p>
        </w:tc>
        <w:tc>
          <w:tcPr>
            <w:tcW w:w="1480" w:type="dxa"/>
            <w:vAlign w:val="bottom"/>
            <w:tcBorders>
              <w:bottom w:val="single" w:sz="8" w:color="auto"/>
            </w:tcBorders>
            <w:shd w:val="clear" w:color="auto" w:fill="DBDBDB"/>
          </w:tcPr>
          <w:p>
            <w:pPr>
              <w:ind w:left="104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w:t>
            </w:r>
          </w:p>
        </w:tc>
      </w:tr>
      <w:tr>
        <w:trPr>
          <w:trHeight w:val="142"/>
        </w:trPr>
        <w:tc>
          <w:tcPr>
            <w:tcW w:w="550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660" w:type="dxa"/>
            <w:vAlign w:val="bottom"/>
            <w:tcBorders>
              <w:bottom w:val="single" w:sz="8" w:color="auto"/>
            </w:tcBorders>
          </w:tcPr>
          <w:p>
            <w:pPr>
              <w:ind w:left="1040"/>
              <w:spacing w:after="0"/>
              <w:rPr>
                <w:sz w:val="20"/>
                <w:szCs w:val="20"/>
                <w:color w:val="auto"/>
              </w:rPr>
            </w:pPr>
            <w:r>
              <w:rPr>
                <w:rFonts w:ascii="Arial" w:cs="Arial" w:eastAsia="Arial" w:hAnsi="Arial"/>
                <w:sz w:val="12"/>
                <w:szCs w:val="12"/>
                <w:color w:val="auto"/>
              </w:rPr>
              <w:t>—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tcPr>
          <w:p>
            <w:pPr>
              <w:ind w:left="1040"/>
              <w:spacing w:after="0"/>
              <w:rPr>
                <w:sz w:val="20"/>
                <w:szCs w:val="20"/>
                <w:color w:val="auto"/>
              </w:rPr>
            </w:pPr>
            <w:r>
              <w:rPr>
                <w:rFonts w:ascii="Arial" w:cs="Arial" w:eastAsia="Arial" w:hAnsi="Arial"/>
                <w:sz w:val="12"/>
                <w:szCs w:val="12"/>
                <w:color w:val="auto"/>
              </w:rPr>
              <w:t>—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w:t>
            </w:r>
          </w:p>
        </w:tc>
      </w:tr>
      <w:tr>
        <w:trPr>
          <w:trHeight w:val="20"/>
        </w:trPr>
        <w:tc>
          <w:tcPr>
            <w:tcW w:w="5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right="120"/>
        <w:spacing w:after="0" w:line="286" w:lineRule="auto"/>
        <w:rPr>
          <w:sz w:val="20"/>
          <w:szCs w:val="20"/>
          <w:color w:val="auto"/>
        </w:rPr>
      </w:pPr>
      <w:r>
        <w:rPr>
          <w:rFonts w:ascii="Arial" w:cs="Arial" w:eastAsia="Arial" w:hAnsi="Arial"/>
          <w:sz w:val="12"/>
          <w:szCs w:val="12"/>
          <w:color w:val="auto"/>
        </w:rPr>
        <w:t>In 2023, we initiated a restructure plan in response to challenging industry conditions (the “2023 Restructure Plan”). Under the 2023 Restructure Plan, we reduced our headcount by approximately 15% by the end of calendar 2023, through a combination of voluntary attrition and personnel reductions. The plan was substantially completed in 2023.</w:t>
      </w:r>
    </w:p>
    <w:p>
      <w:pPr>
        <w:spacing w:after="0" w:line="283"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Other Operating (Income) Expense, Net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500" w:type="dxa"/>
            <w:vAlign w:val="bottom"/>
          </w:tcPr>
          <w:p>
            <w:pPr>
              <w:spacing w:after="0"/>
              <w:rPr>
                <w:sz w:val="12"/>
                <w:szCs w:val="12"/>
                <w:color w:val="auto"/>
              </w:rPr>
            </w:pPr>
          </w:p>
        </w:tc>
        <w:tc>
          <w:tcPr>
            <w:tcW w:w="254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2"/>
                <w:szCs w:val="12"/>
                <w:b w:val="1"/>
                <w:bCs w:val="1"/>
                <w:color w:val="auto"/>
              </w:rPr>
              <w:t>Quarter ended</w:t>
            </w: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3"/>
          </w:tcPr>
          <w:p>
            <w:pPr>
              <w:jc w:val="right"/>
              <w:ind w:right="860"/>
              <w:spacing w:after="0"/>
              <w:rPr>
                <w:sz w:val="20"/>
                <w:szCs w:val="20"/>
                <w:color w:val="auto"/>
              </w:rPr>
            </w:pPr>
            <w:r>
              <w:rPr>
                <w:rFonts w:ascii="Arial" w:cs="Arial" w:eastAsia="Arial" w:hAnsi="Arial"/>
                <w:sz w:val="12"/>
                <w:szCs w:val="12"/>
                <w:b w:val="1"/>
                <w:bCs w:val="1"/>
                <w:color w:val="auto"/>
              </w:rPr>
              <w:t>Six months ended</w:t>
            </w:r>
          </w:p>
        </w:tc>
      </w:tr>
      <w:tr>
        <w:trPr>
          <w:trHeight w:val="111"/>
        </w:trPr>
        <w:tc>
          <w:tcPr>
            <w:tcW w:w="5500" w:type="dxa"/>
            <w:vAlign w:val="bottom"/>
          </w:tcPr>
          <w:p>
            <w:pPr>
              <w:spacing w:after="0"/>
              <w:rPr>
                <w:sz w:val="9"/>
                <w:szCs w:val="9"/>
                <w:color w:val="auto"/>
              </w:rPr>
            </w:pPr>
          </w:p>
        </w:tc>
        <w:tc>
          <w:tcPr>
            <w:tcW w:w="110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February 29,</w:t>
            </w:r>
          </w:p>
        </w:tc>
        <w:tc>
          <w:tcPr>
            <w:tcW w:w="320" w:type="dxa"/>
            <w:vAlign w:val="bottom"/>
          </w:tcPr>
          <w:p>
            <w:pPr>
              <w:spacing w:after="0"/>
              <w:rPr>
                <w:sz w:val="9"/>
                <w:szCs w:val="9"/>
                <w:color w:val="auto"/>
              </w:rPr>
            </w:pPr>
          </w:p>
        </w:tc>
        <w:tc>
          <w:tcPr>
            <w:tcW w:w="1120" w:type="dxa"/>
            <w:vAlign w:val="bottom"/>
          </w:tcPr>
          <w:p>
            <w:pPr>
              <w:jc w:val="right"/>
              <w:ind w:right="80"/>
              <w:spacing w:after="0" w:line="111" w:lineRule="exact"/>
              <w:rPr>
                <w:sz w:val="20"/>
                <w:szCs w:val="20"/>
                <w:color w:val="auto"/>
              </w:rPr>
            </w:pPr>
            <w:r>
              <w:rPr>
                <w:rFonts w:ascii="Arial" w:cs="Arial" w:eastAsia="Arial" w:hAnsi="Arial"/>
                <w:sz w:val="12"/>
                <w:szCs w:val="12"/>
                <w:b w:val="1"/>
                <w:bCs w:val="1"/>
                <w:color w:val="auto"/>
              </w:rPr>
              <w:t>March 2,</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jc w:val="right"/>
              <w:ind w:right="300"/>
              <w:spacing w:after="0" w:line="111" w:lineRule="exact"/>
              <w:rPr>
                <w:sz w:val="20"/>
                <w:szCs w:val="20"/>
                <w:color w:val="auto"/>
              </w:rPr>
            </w:pPr>
            <w:r>
              <w:rPr>
                <w:rFonts w:ascii="Arial" w:cs="Arial" w:eastAsia="Arial" w:hAnsi="Arial"/>
                <w:sz w:val="12"/>
                <w:szCs w:val="12"/>
                <w:b w:val="1"/>
                <w:bCs w:val="1"/>
                <w:color w:val="auto"/>
              </w:rPr>
              <w:t>February 29,</w:t>
            </w:r>
          </w:p>
        </w:tc>
        <w:tc>
          <w:tcPr>
            <w:tcW w:w="280" w:type="dxa"/>
            <w:vAlign w:val="bottom"/>
          </w:tcPr>
          <w:p>
            <w:pPr>
              <w:spacing w:after="0"/>
              <w:rPr>
                <w:sz w:val="9"/>
                <w:szCs w:val="9"/>
                <w:color w:val="auto"/>
              </w:rPr>
            </w:pPr>
          </w:p>
        </w:tc>
        <w:tc>
          <w:tcPr>
            <w:tcW w:w="1160" w:type="dxa"/>
            <w:vAlign w:val="bottom"/>
          </w:tcPr>
          <w:p>
            <w:pPr>
              <w:jc w:val="right"/>
              <w:ind w:right="420"/>
              <w:spacing w:after="0" w:line="111" w:lineRule="exact"/>
              <w:rPr>
                <w:sz w:val="20"/>
                <w:szCs w:val="20"/>
                <w:color w:val="auto"/>
              </w:rPr>
            </w:pPr>
            <w:r>
              <w:rPr>
                <w:rFonts w:ascii="Arial" w:cs="Arial" w:eastAsia="Arial" w:hAnsi="Arial"/>
                <w:sz w:val="12"/>
                <w:szCs w:val="12"/>
                <w:b w:val="1"/>
                <w:bCs w:val="1"/>
                <w:color w:val="auto"/>
              </w:rPr>
              <w:t>March 2,</w:t>
            </w:r>
          </w:p>
        </w:tc>
      </w:tr>
      <w:tr>
        <w:trPr>
          <w:trHeight w:val="165"/>
        </w:trPr>
        <w:tc>
          <w:tcPr>
            <w:tcW w:w="5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2024</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2023</w:t>
            </w: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2024</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r>
      <w:tr>
        <w:trPr>
          <w:trHeight w:val="161"/>
        </w:trPr>
        <w:tc>
          <w:tcPr>
            <w:tcW w:w="5500" w:type="dxa"/>
            <w:vAlign w:val="bottom"/>
            <w:shd w:val="clear" w:color="auto" w:fill="DBDBDB"/>
          </w:tcPr>
          <w:p>
            <w:pPr>
              <w:spacing w:after="0"/>
              <w:rPr>
                <w:sz w:val="20"/>
                <w:szCs w:val="20"/>
                <w:color w:val="auto"/>
              </w:rPr>
            </w:pPr>
            <w:r>
              <w:rPr>
                <w:rFonts w:ascii="Arial" w:cs="Arial" w:eastAsia="Arial" w:hAnsi="Arial"/>
                <w:sz w:val="12"/>
                <w:szCs w:val="12"/>
                <w:color w:val="auto"/>
              </w:rPr>
              <w:t>Patent cross-license agreement gain</w:t>
            </w:r>
          </w:p>
        </w:tc>
        <w:tc>
          <w:tcPr>
            <w:tcW w:w="1100" w:type="dxa"/>
            <w:vAlign w:val="bottom"/>
            <w:shd w:val="clear" w:color="auto" w:fill="DBDBDB"/>
          </w:tcPr>
          <w:p>
            <w:pPr>
              <w:jc w:val="right"/>
              <w:ind w:right="960"/>
              <w:spacing w:after="0"/>
              <w:rPr>
                <w:sz w:val="20"/>
                <w:szCs w:val="20"/>
                <w:color w:val="auto"/>
              </w:rPr>
            </w:pPr>
            <w:r>
              <w:rPr>
                <w:rFonts w:ascii="Arial" w:cs="Arial" w:eastAsia="Arial" w:hAnsi="Arial"/>
                <w:sz w:val="12"/>
                <w:szCs w:val="12"/>
                <w:color w:val="auto"/>
                <w:w w:val="89"/>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(200)</w:t>
            </w:r>
          </w:p>
        </w:tc>
        <w:tc>
          <w:tcPr>
            <w:tcW w:w="1120" w:type="dxa"/>
            <w:vAlign w:val="bottom"/>
            <w:shd w:val="clear" w:color="auto" w:fill="DBDBDB"/>
          </w:tcPr>
          <w:p>
            <w:pPr>
              <w:jc w:val="right"/>
              <w:ind w:right="980"/>
              <w:spacing w:after="0"/>
              <w:rPr>
                <w:sz w:val="20"/>
                <w:szCs w:val="20"/>
                <w:color w:val="auto"/>
              </w:rPr>
            </w:pPr>
            <w:r>
              <w:rPr>
                <w:rFonts w:ascii="Arial" w:cs="Arial" w:eastAsia="Arial" w:hAnsi="Arial"/>
                <w:sz w:val="12"/>
                <w:szCs w:val="12"/>
                <w:color w:val="auto"/>
                <w:w w:val="89"/>
              </w:rPr>
              <w:t>$</w:t>
            </w:r>
          </w:p>
        </w:tc>
        <w:tc>
          <w:tcPr>
            <w:tcW w:w="400" w:type="dxa"/>
            <w:vAlign w:val="bottom"/>
            <w:gridSpan w:val="2"/>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DBDBDB"/>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(200)</w:t>
            </w:r>
          </w:p>
        </w:tc>
        <w:tc>
          <w:tcPr>
            <w:tcW w:w="280" w:type="dxa"/>
            <w:vAlign w:val="bottom"/>
            <w:shd w:val="clear" w:color="auto" w:fill="DBDBDB"/>
          </w:tcPr>
          <w:p>
            <w:pPr>
              <w:jc w:val="right"/>
              <w:ind w:right="14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5500" w:type="dxa"/>
            <w:vAlign w:val="bottom"/>
          </w:tcPr>
          <w:p>
            <w:pPr>
              <w:spacing w:after="0"/>
              <w:rPr>
                <w:sz w:val="20"/>
                <w:szCs w:val="20"/>
                <w:color w:val="auto"/>
              </w:rPr>
            </w:pPr>
            <w:r>
              <w:rPr>
                <w:rFonts w:ascii="Arial" w:cs="Arial" w:eastAsia="Arial" w:hAnsi="Arial"/>
                <w:sz w:val="12"/>
                <w:szCs w:val="12"/>
                <w:color w:val="auto"/>
              </w:rPr>
              <w:t>(Gain) loss on disposition of property, plant, and equipment</w:t>
            </w:r>
          </w:p>
        </w:tc>
        <w:tc>
          <w:tcPr>
            <w:tcW w:w="1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(9)</w:t>
            </w:r>
          </w:p>
        </w:tc>
        <w:tc>
          <w:tcPr>
            <w:tcW w:w="11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(25)</w:t>
            </w: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153"/>
        </w:trPr>
        <w:tc>
          <w:tcPr>
            <w:tcW w:w="5500" w:type="dxa"/>
            <w:vAlign w:val="bottom"/>
            <w:shd w:val="clear" w:color="auto" w:fill="DBDBDB"/>
          </w:tcPr>
          <w:p>
            <w:pPr>
              <w:spacing w:after="0"/>
              <w:rPr>
                <w:sz w:val="20"/>
                <w:szCs w:val="20"/>
                <w:color w:val="auto"/>
              </w:rPr>
            </w:pPr>
            <w:r>
              <w:rPr>
                <w:rFonts w:ascii="Arial" w:cs="Arial" w:eastAsia="Arial" w:hAnsi="Arial"/>
                <w:sz w:val="12"/>
                <w:szCs w:val="12"/>
                <w:color w:val="auto"/>
              </w:rPr>
              <w:t>Other</w:t>
            </w:r>
          </w:p>
        </w:tc>
        <w:tc>
          <w:tcPr>
            <w:tcW w:w="1100" w:type="dxa"/>
            <w:vAlign w:val="bottom"/>
            <w:tcBorders>
              <w:bottom w:val="single" w:sz="8" w:color="auto"/>
            </w:tcBorders>
            <w:shd w:val="clear" w:color="auto" w:fill="DBDBDB"/>
          </w:tcPr>
          <w:p>
            <w:pPr>
              <w:spacing w:after="0"/>
              <w:rPr>
                <w:sz w:val="13"/>
                <w:szCs w:val="13"/>
                <w:color w:val="auto"/>
              </w:rPr>
            </w:pP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(15)</w:t>
            </w:r>
          </w:p>
        </w:tc>
        <w:tc>
          <w:tcPr>
            <w:tcW w:w="1120" w:type="dxa"/>
            <w:vAlign w:val="bottom"/>
            <w:tcBorders>
              <w:bottom w:val="single" w:sz="8" w:color="auto"/>
            </w:tcBorders>
            <w:shd w:val="clear" w:color="auto" w:fill="DBDBDB"/>
          </w:tcPr>
          <w:p>
            <w:pPr>
              <w:spacing w:after="0"/>
              <w:rPr>
                <w:sz w:val="13"/>
                <w:szCs w:val="13"/>
                <w:color w:val="auto"/>
              </w:rPr>
            </w:pP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DBDBDB"/>
          </w:tcPr>
          <w:p>
            <w:pPr>
              <w:spacing w:after="0"/>
              <w:rPr>
                <w:sz w:val="13"/>
                <w:szCs w:val="13"/>
                <w:color w:val="auto"/>
              </w:rPr>
            </w:pPr>
          </w:p>
        </w:tc>
        <w:tc>
          <w:tcPr>
            <w:tcW w:w="220" w:type="dxa"/>
            <w:vAlign w:val="bottom"/>
            <w:tcBorders>
              <w:bottom w:val="single" w:sz="8" w:color="auto"/>
            </w:tcBorders>
            <w:shd w:val="clear" w:color="auto" w:fill="DBDBDB"/>
          </w:tcPr>
          <w:p>
            <w:pPr>
              <w:spacing w:after="0"/>
              <w:rPr>
                <w:sz w:val="13"/>
                <w:szCs w:val="13"/>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(14)</w:t>
            </w:r>
          </w:p>
        </w:tc>
        <w:tc>
          <w:tcPr>
            <w:tcW w:w="280" w:type="dxa"/>
            <w:vAlign w:val="bottom"/>
            <w:tcBorders>
              <w:bottom w:val="single" w:sz="8" w:color="auto"/>
            </w:tcBorders>
            <w:shd w:val="clear" w:color="auto" w:fill="DBDBDB"/>
          </w:tcPr>
          <w:p>
            <w:pPr>
              <w:spacing w:after="0"/>
              <w:rPr>
                <w:sz w:val="13"/>
                <w:szCs w:val="13"/>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w:t>
            </w:r>
          </w:p>
        </w:tc>
      </w:tr>
      <w:tr>
        <w:trPr>
          <w:trHeight w:val="142"/>
        </w:trPr>
        <w:tc>
          <w:tcPr>
            <w:tcW w:w="5500" w:type="dxa"/>
            <w:vAlign w:val="bottom"/>
          </w:tcPr>
          <w:p>
            <w:pPr>
              <w:spacing w:after="0"/>
              <w:rPr>
                <w:sz w:val="12"/>
                <w:szCs w:val="12"/>
                <w:color w:val="auto"/>
              </w:rPr>
            </w:pPr>
          </w:p>
        </w:tc>
        <w:tc>
          <w:tcPr>
            <w:tcW w:w="1100" w:type="dxa"/>
            <w:vAlign w:val="bottom"/>
            <w:tcBorders>
              <w:bottom w:val="single" w:sz="8" w:color="auto"/>
            </w:tcBorders>
          </w:tcPr>
          <w:p>
            <w:pPr>
              <w:jc w:val="right"/>
              <w:ind w:right="960"/>
              <w:spacing w:after="0"/>
              <w:rPr>
                <w:sz w:val="20"/>
                <w:szCs w:val="20"/>
                <w:color w:val="auto"/>
              </w:rPr>
            </w:pPr>
            <w:r>
              <w:rPr>
                <w:rFonts w:ascii="Arial" w:cs="Arial" w:eastAsia="Arial" w:hAnsi="Arial"/>
                <w:sz w:val="12"/>
                <w:szCs w:val="12"/>
                <w:color w:val="auto"/>
                <w:w w:val="8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(224)</w:t>
            </w:r>
          </w:p>
        </w:tc>
        <w:tc>
          <w:tcPr>
            <w:tcW w:w="1120" w:type="dxa"/>
            <w:vAlign w:val="bottom"/>
            <w:tcBorders>
              <w:bottom w:val="single" w:sz="8" w:color="auto"/>
            </w:tcBorders>
          </w:tcPr>
          <w:p>
            <w:pPr>
              <w:jc w:val="right"/>
              <w:ind w:right="980"/>
              <w:spacing w:after="0"/>
              <w:rPr>
                <w:sz w:val="20"/>
                <w:szCs w:val="20"/>
                <w:color w:val="auto"/>
              </w:rPr>
            </w:pPr>
            <w:r>
              <w:rPr>
                <w:rFonts w:ascii="Arial" w:cs="Arial" w:eastAsia="Arial" w:hAnsi="Arial"/>
                <w:sz w:val="12"/>
                <w:szCs w:val="12"/>
                <w:color w:val="auto"/>
                <w:w w:val="8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(239)</w:t>
            </w: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r>
      <w:tr>
        <w:trPr>
          <w:trHeight w:val="20"/>
        </w:trPr>
        <w:tc>
          <w:tcPr>
            <w:tcW w:w="5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74"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Income Taxes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20" w:type="dxa"/>
            <w:vAlign w:val="bottom"/>
          </w:tcPr>
          <w:p>
            <w:pPr>
              <w:spacing w:after="0"/>
              <w:rPr>
                <w:sz w:val="20"/>
                <w:szCs w:val="20"/>
                <w:color w:val="auto"/>
              </w:rPr>
            </w:pPr>
            <w:r>
              <w:rPr>
                <w:rFonts w:ascii="Arial" w:cs="Arial" w:eastAsia="Arial" w:hAnsi="Arial"/>
                <w:sz w:val="12"/>
                <w:szCs w:val="12"/>
                <w:color w:val="auto"/>
              </w:rPr>
              <w:t>Our income tax (provision) benefit consisted of the following:</w:t>
            </w: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2"/>
                <w:szCs w:val="12"/>
                <w:b w:val="1"/>
                <w:bCs w:val="1"/>
                <w:color w:val="auto"/>
              </w:rPr>
              <w:t>Quarter ended</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0" w:type="dxa"/>
            <w:vAlign w:val="bottom"/>
            <w:gridSpan w:val="4"/>
          </w:tcPr>
          <w:p>
            <w:pPr>
              <w:ind w:left="760"/>
              <w:spacing w:after="0"/>
              <w:rPr>
                <w:sz w:val="20"/>
                <w:szCs w:val="20"/>
                <w:color w:val="auto"/>
              </w:rPr>
            </w:pPr>
            <w:r>
              <w:rPr>
                <w:rFonts w:ascii="Arial" w:cs="Arial" w:eastAsia="Arial" w:hAnsi="Arial"/>
                <w:sz w:val="12"/>
                <w:szCs w:val="12"/>
                <w:b w:val="1"/>
                <w:bCs w:val="1"/>
                <w:color w:val="auto"/>
              </w:rPr>
              <w:t>Six months ended</w:t>
            </w:r>
          </w:p>
        </w:tc>
      </w:tr>
      <w:tr>
        <w:trPr>
          <w:trHeight w:val="106"/>
        </w:trPr>
        <w:tc>
          <w:tcPr>
            <w:tcW w:w="522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jc w:val="right"/>
              <w:ind w:right="320"/>
              <w:spacing w:after="0" w:line="106" w:lineRule="exact"/>
              <w:rPr>
                <w:sz w:val="20"/>
                <w:szCs w:val="20"/>
                <w:color w:val="auto"/>
              </w:rPr>
            </w:pPr>
            <w:r>
              <w:rPr>
                <w:rFonts w:ascii="Arial" w:cs="Arial" w:eastAsia="Arial" w:hAnsi="Arial"/>
                <w:sz w:val="12"/>
                <w:szCs w:val="12"/>
                <w:b w:val="1"/>
                <w:bCs w:val="1"/>
                <w:color w:val="auto"/>
              </w:rPr>
              <w:t>February 29,</w:t>
            </w:r>
          </w:p>
        </w:tc>
        <w:tc>
          <w:tcPr>
            <w:tcW w:w="46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jc w:val="right"/>
              <w:ind w:right="440"/>
              <w:spacing w:after="0" w:line="106" w:lineRule="exact"/>
              <w:rPr>
                <w:sz w:val="20"/>
                <w:szCs w:val="20"/>
                <w:color w:val="auto"/>
              </w:rPr>
            </w:pPr>
            <w:r>
              <w:rPr>
                <w:rFonts w:ascii="Arial" w:cs="Arial" w:eastAsia="Arial" w:hAnsi="Arial"/>
                <w:sz w:val="12"/>
                <w:szCs w:val="12"/>
                <w:b w:val="1"/>
                <w:bCs w:val="1"/>
                <w:color w:val="auto"/>
              </w:rPr>
              <w:t>March 2,</w:t>
            </w:r>
          </w:p>
        </w:tc>
        <w:tc>
          <w:tcPr>
            <w:tcW w:w="6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tcPr>
          <w:p>
            <w:pPr>
              <w:jc w:val="right"/>
              <w:ind w:right="340"/>
              <w:spacing w:after="0" w:line="106" w:lineRule="exact"/>
              <w:rPr>
                <w:sz w:val="20"/>
                <w:szCs w:val="20"/>
                <w:color w:val="auto"/>
              </w:rPr>
            </w:pPr>
            <w:r>
              <w:rPr>
                <w:rFonts w:ascii="Arial" w:cs="Arial" w:eastAsia="Arial" w:hAnsi="Arial"/>
                <w:sz w:val="12"/>
                <w:szCs w:val="12"/>
                <w:b w:val="1"/>
                <w:bCs w:val="1"/>
                <w:color w:val="auto"/>
              </w:rPr>
              <w:t>February 29,</w:t>
            </w:r>
          </w:p>
        </w:tc>
        <w:tc>
          <w:tcPr>
            <w:tcW w:w="28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tcPr>
          <w:p>
            <w:pPr>
              <w:jc w:val="right"/>
              <w:ind w:right="461"/>
              <w:spacing w:after="0" w:line="106" w:lineRule="exact"/>
              <w:rPr>
                <w:sz w:val="20"/>
                <w:szCs w:val="20"/>
                <w:color w:val="auto"/>
              </w:rPr>
            </w:pPr>
            <w:r>
              <w:rPr>
                <w:rFonts w:ascii="Arial" w:cs="Arial" w:eastAsia="Arial" w:hAnsi="Arial"/>
                <w:sz w:val="12"/>
                <w:szCs w:val="12"/>
                <w:b w:val="1"/>
                <w:bCs w:val="1"/>
                <w:color w:val="auto"/>
              </w:rPr>
              <w:t>March 2,</w:t>
            </w:r>
          </w:p>
        </w:tc>
        <w:tc>
          <w:tcPr>
            <w:tcW w:w="20" w:type="dxa"/>
            <w:vAlign w:val="bottom"/>
          </w:tcPr>
          <w:p>
            <w:pPr>
              <w:spacing w:after="0"/>
              <w:rPr>
                <w:sz w:val="9"/>
                <w:szCs w:val="9"/>
                <w:color w:val="auto"/>
              </w:rPr>
            </w:pPr>
          </w:p>
        </w:tc>
      </w:tr>
      <w:tr>
        <w:trPr>
          <w:trHeight w:val="170"/>
        </w:trPr>
        <w:tc>
          <w:tcPr>
            <w:tcW w:w="5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2024</w:t>
            </w: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2023</w:t>
            </w: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2024</w:t>
            </w: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2"/>
                <w:szCs w:val="12"/>
                <w:b w:val="1"/>
                <w:bCs w:val="1"/>
                <w:color w:val="auto"/>
              </w:rPr>
              <w:t>2023</w:t>
            </w:r>
          </w:p>
        </w:tc>
        <w:tc>
          <w:tcPr>
            <w:tcW w:w="20" w:type="dxa"/>
            <w:vAlign w:val="bottom"/>
          </w:tcPr>
          <w:p>
            <w:pPr>
              <w:spacing w:after="0"/>
              <w:rPr>
                <w:sz w:val="14"/>
                <w:szCs w:val="14"/>
                <w:color w:val="auto"/>
              </w:rPr>
            </w:pPr>
          </w:p>
        </w:tc>
      </w:tr>
      <w:tr>
        <w:trPr>
          <w:trHeight w:val="161"/>
        </w:trPr>
        <w:tc>
          <w:tcPr>
            <w:tcW w:w="5220" w:type="dxa"/>
            <w:vAlign w:val="bottom"/>
            <w:shd w:val="clear" w:color="auto" w:fill="D1D2D4"/>
          </w:tcPr>
          <w:p>
            <w:pPr>
              <w:spacing w:after="0"/>
              <w:rPr>
                <w:sz w:val="20"/>
                <w:szCs w:val="20"/>
                <w:color w:val="auto"/>
              </w:rPr>
            </w:pPr>
            <w:r>
              <w:rPr>
                <w:rFonts w:ascii="Arial" w:cs="Arial" w:eastAsia="Arial" w:hAnsi="Arial"/>
                <w:sz w:val="12"/>
                <w:szCs w:val="12"/>
                <w:color w:val="auto"/>
              </w:rPr>
              <w:t>Income (loss) before taxes</w:t>
            </w:r>
          </w:p>
        </w:tc>
        <w:tc>
          <w:tcPr>
            <w:tcW w:w="240" w:type="dxa"/>
            <w:vAlign w:val="bottom"/>
            <w:shd w:val="clear" w:color="auto" w:fill="D1D2D4"/>
          </w:tcPr>
          <w:p>
            <w:pPr>
              <w:jc w:val="right"/>
              <w:ind w:right="10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D1D2D4"/>
          </w:tcPr>
          <w:p>
            <w:pPr>
              <w:jc w:val="right"/>
              <w:ind w:right="100"/>
              <w:spacing w:after="0"/>
              <w:rPr>
                <w:sz w:val="20"/>
                <w:szCs w:val="20"/>
                <w:color w:val="auto"/>
              </w:rPr>
            </w:pPr>
            <w:r>
              <w:rPr>
                <w:rFonts w:ascii="Arial" w:cs="Arial" w:eastAsia="Arial" w:hAnsi="Arial"/>
                <w:sz w:val="12"/>
                <w:szCs w:val="12"/>
                <w:color w:val="auto"/>
              </w:rPr>
              <w:t>170</w:t>
            </w:r>
          </w:p>
        </w:tc>
        <w:tc>
          <w:tcPr>
            <w:tcW w:w="460" w:type="dxa"/>
            <w:vAlign w:val="bottom"/>
            <w:shd w:val="clear" w:color="auto" w:fill="D1D2D4"/>
          </w:tcPr>
          <w:p>
            <w:pPr>
              <w:jc w:val="right"/>
              <w:ind w:right="32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D1D2D4"/>
          </w:tcPr>
          <w:p>
            <w:pPr>
              <w:jc w:val="right"/>
              <w:ind w:right="60"/>
              <w:spacing w:after="0"/>
              <w:rPr>
                <w:sz w:val="20"/>
                <w:szCs w:val="20"/>
                <w:color w:val="auto"/>
              </w:rPr>
            </w:pPr>
            <w:r>
              <w:rPr>
                <w:rFonts w:ascii="Arial" w:cs="Arial" w:eastAsia="Arial" w:hAnsi="Arial"/>
                <w:sz w:val="12"/>
                <w:szCs w:val="12"/>
                <w:color w:val="auto"/>
              </w:rPr>
              <w:t>(2,271)</w:t>
            </w:r>
          </w:p>
        </w:tc>
        <w:tc>
          <w:tcPr>
            <w:tcW w:w="60" w:type="dxa"/>
            <w:vAlign w:val="bottom"/>
            <w:shd w:val="clear" w:color="auto" w:fill="D1D2D4"/>
          </w:tcPr>
          <w:p>
            <w:pPr>
              <w:spacing w:after="0"/>
              <w:rPr>
                <w:sz w:val="14"/>
                <w:szCs w:val="14"/>
                <w:color w:val="auto"/>
              </w:rPr>
            </w:pPr>
          </w:p>
        </w:tc>
        <w:tc>
          <w:tcPr>
            <w:tcW w:w="240" w:type="dxa"/>
            <w:vAlign w:val="bottom"/>
            <w:shd w:val="clear" w:color="auto" w:fill="D1D2D4"/>
          </w:tcPr>
          <w:p>
            <w:pPr>
              <w:jc w:val="right"/>
              <w:ind w:right="10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D1D2D4"/>
          </w:tcPr>
          <w:p>
            <w:pPr>
              <w:jc w:val="right"/>
              <w:ind w:right="80"/>
              <w:spacing w:after="0"/>
              <w:rPr>
                <w:sz w:val="20"/>
                <w:szCs w:val="20"/>
                <w:color w:val="auto"/>
              </w:rPr>
            </w:pPr>
            <w:r>
              <w:rPr>
                <w:rFonts w:ascii="Arial" w:cs="Arial" w:eastAsia="Arial" w:hAnsi="Arial"/>
                <w:sz w:val="12"/>
                <w:szCs w:val="12"/>
                <w:color w:val="auto"/>
              </w:rPr>
              <w:t>(985)</w:t>
            </w:r>
          </w:p>
        </w:tc>
        <w:tc>
          <w:tcPr>
            <w:tcW w:w="280" w:type="dxa"/>
            <w:vAlign w:val="bottom"/>
            <w:shd w:val="clear" w:color="auto" w:fill="D1D2D4"/>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D1D2D4"/>
          </w:tcPr>
          <w:p>
            <w:pPr>
              <w:jc w:val="right"/>
              <w:ind w:right="61"/>
              <w:spacing w:after="0"/>
              <w:rPr>
                <w:sz w:val="20"/>
                <w:szCs w:val="20"/>
                <w:color w:val="auto"/>
              </w:rPr>
            </w:pPr>
            <w:r>
              <w:rPr>
                <w:rFonts w:ascii="Arial" w:cs="Arial" w:eastAsia="Arial" w:hAnsi="Arial"/>
                <w:sz w:val="12"/>
                <w:szCs w:val="12"/>
                <w:color w:val="auto"/>
              </w:rPr>
              <w:t>(2,447)</w:t>
            </w:r>
          </w:p>
        </w:tc>
        <w:tc>
          <w:tcPr>
            <w:tcW w:w="20" w:type="dxa"/>
            <w:vAlign w:val="bottom"/>
          </w:tcPr>
          <w:p>
            <w:pPr>
              <w:spacing w:after="0"/>
              <w:rPr>
                <w:sz w:val="14"/>
                <w:szCs w:val="14"/>
                <w:color w:val="auto"/>
              </w:rPr>
            </w:pPr>
          </w:p>
        </w:tc>
      </w:tr>
      <w:tr>
        <w:trPr>
          <w:trHeight w:val="153"/>
        </w:trPr>
        <w:tc>
          <w:tcPr>
            <w:tcW w:w="5220" w:type="dxa"/>
            <w:vAlign w:val="bottom"/>
          </w:tcPr>
          <w:p>
            <w:pPr>
              <w:spacing w:after="0"/>
              <w:rPr>
                <w:sz w:val="20"/>
                <w:szCs w:val="20"/>
                <w:color w:val="auto"/>
              </w:rPr>
            </w:pPr>
            <w:r>
              <w:rPr>
                <w:rFonts w:ascii="Arial" w:cs="Arial" w:eastAsia="Arial" w:hAnsi="Arial"/>
                <w:sz w:val="12"/>
                <w:szCs w:val="12"/>
                <w:color w:val="auto"/>
              </w:rPr>
              <w:t>Income tax (provision) benefit</w:t>
            </w:r>
          </w:p>
        </w:tc>
        <w:tc>
          <w:tcPr>
            <w:tcW w:w="240" w:type="dxa"/>
            <w:vAlign w:val="bottom"/>
          </w:tcPr>
          <w:p>
            <w:pPr>
              <w:spacing w:after="0"/>
              <w:rPr>
                <w:sz w:val="13"/>
                <w:szCs w:val="13"/>
                <w:color w:val="auto"/>
              </w:rPr>
            </w:pPr>
          </w:p>
        </w:tc>
        <w:tc>
          <w:tcPr>
            <w:tcW w:w="1260" w:type="dxa"/>
            <w:vAlign w:val="bottom"/>
          </w:tcPr>
          <w:p>
            <w:pPr>
              <w:jc w:val="right"/>
              <w:ind w:right="100"/>
              <w:spacing w:after="0"/>
              <w:rPr>
                <w:sz w:val="20"/>
                <w:szCs w:val="20"/>
                <w:color w:val="auto"/>
              </w:rPr>
            </w:pPr>
            <w:r>
              <w:rPr>
                <w:rFonts w:ascii="Arial" w:cs="Arial" w:eastAsia="Arial" w:hAnsi="Arial"/>
                <w:sz w:val="12"/>
                <w:szCs w:val="12"/>
                <w:color w:val="auto"/>
              </w:rPr>
              <w:t>622</w:t>
            </w:r>
          </w:p>
        </w:tc>
        <w:tc>
          <w:tcPr>
            <w:tcW w:w="460" w:type="dxa"/>
            <w:vAlign w:val="bottom"/>
          </w:tcPr>
          <w:p>
            <w:pPr>
              <w:spacing w:after="0"/>
              <w:rPr>
                <w:sz w:val="13"/>
                <w:szCs w:val="13"/>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(54)</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ind w:right="100"/>
              <w:spacing w:after="0"/>
              <w:rPr>
                <w:sz w:val="20"/>
                <w:szCs w:val="20"/>
                <w:color w:val="auto"/>
              </w:rPr>
            </w:pPr>
            <w:r>
              <w:rPr>
                <w:rFonts w:ascii="Arial" w:cs="Arial" w:eastAsia="Arial" w:hAnsi="Arial"/>
                <w:sz w:val="12"/>
                <w:szCs w:val="12"/>
                <w:color w:val="auto"/>
              </w:rPr>
              <w:t>549</w:t>
            </w:r>
          </w:p>
        </w:tc>
        <w:tc>
          <w:tcPr>
            <w:tcW w:w="280" w:type="dxa"/>
            <w:vAlign w:val="bottom"/>
          </w:tcPr>
          <w:p>
            <w:pPr>
              <w:spacing w:after="0"/>
              <w:rPr>
                <w:sz w:val="13"/>
                <w:szCs w:val="13"/>
                <w:color w:val="auto"/>
              </w:rPr>
            </w:pPr>
          </w:p>
        </w:tc>
        <w:tc>
          <w:tcPr>
            <w:tcW w:w="1220" w:type="dxa"/>
            <w:vAlign w:val="bottom"/>
          </w:tcPr>
          <w:p>
            <w:pPr>
              <w:jc w:val="right"/>
              <w:ind w:right="61"/>
              <w:spacing w:after="0"/>
              <w:rPr>
                <w:sz w:val="20"/>
                <w:szCs w:val="20"/>
                <w:color w:val="auto"/>
              </w:rPr>
            </w:pPr>
            <w:r>
              <w:rPr>
                <w:rFonts w:ascii="Arial" w:cs="Arial" w:eastAsia="Arial" w:hAnsi="Arial"/>
                <w:sz w:val="12"/>
                <w:szCs w:val="12"/>
                <w:color w:val="auto"/>
              </w:rPr>
              <w:t>(62)</w:t>
            </w:r>
          </w:p>
        </w:tc>
        <w:tc>
          <w:tcPr>
            <w:tcW w:w="20" w:type="dxa"/>
            <w:vAlign w:val="bottom"/>
          </w:tcPr>
          <w:p>
            <w:pPr>
              <w:spacing w:after="0"/>
              <w:rPr>
                <w:sz w:val="13"/>
                <w:szCs w:val="13"/>
                <w:color w:val="auto"/>
              </w:rPr>
            </w:pPr>
          </w:p>
        </w:tc>
      </w:tr>
      <w:tr>
        <w:trPr>
          <w:trHeight w:val="153"/>
        </w:trPr>
        <w:tc>
          <w:tcPr>
            <w:tcW w:w="5220" w:type="dxa"/>
            <w:vAlign w:val="bottom"/>
            <w:shd w:val="clear" w:color="auto" w:fill="D1D2D4"/>
          </w:tcPr>
          <w:p>
            <w:pPr>
              <w:spacing w:after="0"/>
              <w:rPr>
                <w:sz w:val="20"/>
                <w:szCs w:val="20"/>
                <w:color w:val="auto"/>
              </w:rPr>
            </w:pPr>
            <w:r>
              <w:rPr>
                <w:rFonts w:ascii="Arial" w:cs="Arial" w:eastAsia="Arial" w:hAnsi="Arial"/>
                <w:sz w:val="12"/>
                <w:szCs w:val="12"/>
                <w:color w:val="auto"/>
              </w:rPr>
              <w:t>Effective tax rate</w:t>
            </w:r>
          </w:p>
        </w:tc>
        <w:tc>
          <w:tcPr>
            <w:tcW w:w="240" w:type="dxa"/>
            <w:vAlign w:val="bottom"/>
            <w:shd w:val="clear" w:color="auto" w:fill="D1D2D4"/>
          </w:tcPr>
          <w:p>
            <w:pPr>
              <w:spacing w:after="0"/>
              <w:rPr>
                <w:sz w:val="13"/>
                <w:szCs w:val="13"/>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(365.9)%</w:t>
            </w:r>
          </w:p>
        </w:tc>
        <w:tc>
          <w:tcPr>
            <w:tcW w:w="460" w:type="dxa"/>
            <w:vAlign w:val="bottom"/>
            <w:shd w:val="clear" w:color="auto" w:fill="D1D2D4"/>
          </w:tcPr>
          <w:p>
            <w:pPr>
              <w:spacing w:after="0"/>
              <w:rPr>
                <w:sz w:val="13"/>
                <w:szCs w:val="13"/>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(2.4)%</w:t>
            </w:r>
          </w:p>
        </w:tc>
        <w:tc>
          <w:tcPr>
            <w:tcW w:w="60" w:type="dxa"/>
            <w:vAlign w:val="bottom"/>
            <w:shd w:val="clear" w:color="auto" w:fill="D1D2D4"/>
          </w:tcPr>
          <w:p>
            <w:pPr>
              <w:spacing w:after="0"/>
              <w:rPr>
                <w:sz w:val="13"/>
                <w:szCs w:val="13"/>
                <w:color w:val="auto"/>
              </w:rPr>
            </w:pPr>
          </w:p>
        </w:tc>
        <w:tc>
          <w:tcPr>
            <w:tcW w:w="240" w:type="dxa"/>
            <w:vAlign w:val="bottom"/>
            <w:shd w:val="clear" w:color="auto" w:fill="D1D2D4"/>
          </w:tcPr>
          <w:p>
            <w:pPr>
              <w:spacing w:after="0"/>
              <w:rPr>
                <w:sz w:val="13"/>
                <w:szCs w:val="13"/>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55.7 %</w:t>
            </w:r>
          </w:p>
        </w:tc>
        <w:tc>
          <w:tcPr>
            <w:tcW w:w="280" w:type="dxa"/>
            <w:vAlign w:val="bottom"/>
            <w:shd w:val="clear" w:color="auto" w:fill="D1D2D4"/>
          </w:tcPr>
          <w:p>
            <w:pPr>
              <w:spacing w:after="0"/>
              <w:rPr>
                <w:sz w:val="13"/>
                <w:szCs w:val="13"/>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(2.5)%</w:t>
            </w:r>
          </w:p>
        </w:tc>
        <w:tc>
          <w:tcPr>
            <w:tcW w:w="20" w:type="dxa"/>
            <w:vAlign w:val="bottom"/>
          </w:tcPr>
          <w:p>
            <w:pPr>
              <w:spacing w:after="0"/>
              <w:rPr>
                <w:sz w:val="13"/>
                <w:szCs w:val="13"/>
                <w:color w:val="auto"/>
              </w:rPr>
            </w:pPr>
          </w:p>
        </w:tc>
      </w:tr>
      <w:tr>
        <w:trPr>
          <w:trHeight w:val="607"/>
        </w:trPr>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24</w:t>
            </w:r>
          </w:p>
        </w:tc>
      </w:tr>
      <w:tr>
        <w:trPr>
          <w:trHeight w:val="68"/>
        </w:trPr>
        <w:tc>
          <w:tcPr>
            <w:tcW w:w="522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126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128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6635750</wp:posOffset>
            </wp:positionH>
            <wp:positionV relativeFrom="paragraph">
              <wp:posOffset>-216535</wp:posOffset>
            </wp:positionV>
            <wp:extent cx="440055"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40055" cy="120015"/>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4" w:name="page25"/>
    <w:bookmarkEnd w:id="24"/>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363" w:lineRule="exact"/>
        <w:rPr>
          <w:sz w:val="20"/>
          <w:szCs w:val="20"/>
          <w:color w:val="auto"/>
        </w:rPr>
      </w:pPr>
    </w:p>
    <w:p>
      <w:pPr>
        <w:ind w:right="200"/>
        <w:spacing w:after="0" w:line="259" w:lineRule="auto"/>
        <w:rPr>
          <w:sz w:val="20"/>
          <w:szCs w:val="20"/>
          <w:color w:val="auto"/>
        </w:rPr>
      </w:pPr>
      <w:r>
        <w:rPr>
          <w:rFonts w:ascii="Arial" w:cs="Arial" w:eastAsia="Arial" w:hAnsi="Arial"/>
          <w:sz w:val="11"/>
          <w:szCs w:val="11"/>
          <w:color w:val="auto"/>
        </w:rPr>
        <w:t>In the first quarter of 2024, our tax expense was based on actual results for jurisdictions where small changes in our projected pre-tax income would have caused significant changes in the estimated annual effective tax rate. With our improved fiscal 2024 outlook, we can now estimate a more reliable annual effective tax rate and have reverted to a global annual effective tax rate method for all jurisdictions. Applying</w:t>
      </w:r>
    </w:p>
    <w:p>
      <w:pPr>
        <w:spacing w:after="0"/>
        <w:rPr>
          <w:sz w:val="20"/>
          <w:szCs w:val="20"/>
          <w:color w:val="auto"/>
        </w:rPr>
      </w:pPr>
      <w:r>
        <w:rPr>
          <w:rFonts w:ascii="Arial" w:cs="Arial" w:eastAsia="Arial" w:hAnsi="Arial"/>
          <w:sz w:val="12"/>
          <w:szCs w:val="12"/>
          <w:color w:val="auto"/>
        </w:rPr>
        <w:t>this updated rate to our year-to-date earnings resulted in the tax benefit of $622 million recognized in the second quarter of 2024.</w:t>
      </w:r>
    </w:p>
    <w:p>
      <w:pPr>
        <w:spacing w:after="0" w:line="138" w:lineRule="exact"/>
        <w:rPr>
          <w:sz w:val="20"/>
          <w:szCs w:val="20"/>
          <w:color w:val="auto"/>
        </w:rPr>
      </w:pPr>
    </w:p>
    <w:p>
      <w:pPr>
        <w:ind w:right="120"/>
        <w:spacing w:after="0" w:line="254" w:lineRule="auto"/>
        <w:rPr>
          <w:sz w:val="20"/>
          <w:szCs w:val="20"/>
          <w:color w:val="auto"/>
        </w:rPr>
      </w:pPr>
      <w:r>
        <w:rPr>
          <w:rFonts w:ascii="Arial" w:cs="Arial" w:eastAsia="Arial" w:hAnsi="Arial"/>
          <w:sz w:val="12"/>
          <w:szCs w:val="12"/>
          <w:color w:val="auto"/>
        </w:rPr>
        <w:t>The change in our effective tax rate for the second quarter of 2024 as compared to the first quarter of 2024 was primarily due to the use of the estimated annual effective tax rate for the quarter. The change in our effective tax rate for the first six months of 2024 as compared to the first six months of 2023 was primarily due to changes in levels of profitability and the geographic mix of earnings.</w:t>
      </w:r>
    </w:p>
    <w:p>
      <w:pPr>
        <w:spacing w:after="0" w:line="131" w:lineRule="exact"/>
        <w:rPr>
          <w:sz w:val="20"/>
          <w:szCs w:val="20"/>
          <w:color w:val="auto"/>
        </w:rPr>
      </w:pPr>
    </w:p>
    <w:p>
      <w:pPr>
        <w:ind w:right="160"/>
        <w:spacing w:after="0" w:line="268" w:lineRule="auto"/>
        <w:rPr>
          <w:sz w:val="20"/>
          <w:szCs w:val="20"/>
          <w:color w:val="auto"/>
        </w:rPr>
      </w:pPr>
      <w:r>
        <w:rPr>
          <w:rFonts w:ascii="Arial" w:cs="Arial" w:eastAsia="Arial" w:hAnsi="Arial"/>
          <w:sz w:val="12"/>
          <w:szCs w:val="12"/>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As a result of the low level of profitability and the geographic mix of income, the benefit from tax incentive arrangements was not material for the periods presented.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As of February 29, 2024, other current assets included $882 million related to income taxes.</w:t>
      </w:r>
    </w:p>
    <w:p>
      <w:pPr>
        <w:spacing w:after="0" w:line="33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Earnings Per Share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4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Quarter ended</w:t>
            </w:r>
          </w:p>
        </w:tc>
        <w:tc>
          <w:tcPr>
            <w:tcW w:w="9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3"/>
          </w:tcPr>
          <w:p>
            <w:pPr>
              <w:jc w:val="right"/>
              <w:ind w:right="860"/>
              <w:spacing w:after="0"/>
              <w:rPr>
                <w:sz w:val="20"/>
                <w:szCs w:val="20"/>
                <w:color w:val="auto"/>
              </w:rPr>
            </w:pPr>
            <w:r>
              <w:rPr>
                <w:rFonts w:ascii="Arial" w:cs="Arial" w:eastAsia="Arial" w:hAnsi="Arial"/>
                <w:sz w:val="12"/>
                <w:szCs w:val="12"/>
                <w:b w:val="1"/>
                <w:bCs w:val="1"/>
                <w:color w:val="auto"/>
              </w:rPr>
              <w:t>Six months ended</w:t>
            </w:r>
          </w:p>
        </w:tc>
      </w:tr>
      <w:tr>
        <w:trPr>
          <w:trHeight w:val="106"/>
        </w:trPr>
        <w:tc>
          <w:tcPr>
            <w:tcW w:w="5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jc w:val="right"/>
              <w:ind w:right="280"/>
              <w:spacing w:after="0" w:line="106" w:lineRule="exact"/>
              <w:rPr>
                <w:sz w:val="20"/>
                <w:szCs w:val="20"/>
                <w:color w:val="auto"/>
              </w:rPr>
            </w:pPr>
            <w:r>
              <w:rPr>
                <w:rFonts w:ascii="Arial" w:cs="Arial" w:eastAsia="Arial" w:hAnsi="Arial"/>
                <w:sz w:val="12"/>
                <w:szCs w:val="12"/>
                <w:b w:val="1"/>
                <w:bCs w:val="1"/>
                <w:color w:val="auto"/>
              </w:rPr>
              <w:t>February 29,</w:t>
            </w:r>
          </w:p>
        </w:tc>
        <w:tc>
          <w:tcPr>
            <w:tcW w:w="460" w:type="dxa"/>
            <w:vAlign w:val="bottom"/>
          </w:tcPr>
          <w:p>
            <w:pPr>
              <w:spacing w:after="0"/>
              <w:rPr>
                <w:sz w:val="9"/>
                <w:szCs w:val="9"/>
                <w:color w:val="auto"/>
              </w:rPr>
            </w:pPr>
          </w:p>
        </w:tc>
        <w:tc>
          <w:tcPr>
            <w:tcW w:w="980" w:type="dxa"/>
            <w:vAlign w:val="bottom"/>
          </w:tcPr>
          <w:p>
            <w:pPr>
              <w:jc w:val="right"/>
              <w:ind w:right="400"/>
              <w:spacing w:after="0" w:line="106" w:lineRule="exact"/>
              <w:rPr>
                <w:sz w:val="20"/>
                <w:szCs w:val="20"/>
                <w:color w:val="auto"/>
              </w:rPr>
            </w:pPr>
            <w:r>
              <w:rPr>
                <w:rFonts w:ascii="Arial" w:cs="Arial" w:eastAsia="Arial" w:hAnsi="Arial"/>
                <w:sz w:val="12"/>
                <w:szCs w:val="12"/>
                <w:b w:val="1"/>
                <w:bCs w:val="1"/>
                <w:color w:val="auto"/>
              </w:rPr>
              <w:t>March 2,</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jc w:val="right"/>
              <w:ind w:right="300"/>
              <w:spacing w:after="0" w:line="106" w:lineRule="exact"/>
              <w:rPr>
                <w:sz w:val="20"/>
                <w:szCs w:val="20"/>
                <w:color w:val="auto"/>
              </w:rPr>
            </w:pPr>
            <w:r>
              <w:rPr>
                <w:rFonts w:ascii="Arial" w:cs="Arial" w:eastAsia="Arial" w:hAnsi="Arial"/>
                <w:sz w:val="12"/>
                <w:szCs w:val="12"/>
                <w:b w:val="1"/>
                <w:bCs w:val="1"/>
                <w:color w:val="auto"/>
              </w:rPr>
              <w:t>February 29,</w:t>
            </w:r>
          </w:p>
        </w:tc>
        <w:tc>
          <w:tcPr>
            <w:tcW w:w="280" w:type="dxa"/>
            <w:vAlign w:val="bottom"/>
          </w:tcPr>
          <w:p>
            <w:pPr>
              <w:spacing w:after="0"/>
              <w:rPr>
                <w:sz w:val="9"/>
                <w:szCs w:val="9"/>
                <w:color w:val="auto"/>
              </w:rPr>
            </w:pPr>
          </w:p>
        </w:tc>
        <w:tc>
          <w:tcPr>
            <w:tcW w:w="1180" w:type="dxa"/>
            <w:vAlign w:val="bottom"/>
          </w:tcPr>
          <w:p>
            <w:pPr>
              <w:jc w:val="right"/>
              <w:ind w:right="420"/>
              <w:spacing w:after="0" w:line="106" w:lineRule="exact"/>
              <w:rPr>
                <w:sz w:val="20"/>
                <w:szCs w:val="20"/>
                <w:color w:val="auto"/>
              </w:rPr>
            </w:pPr>
            <w:r>
              <w:rPr>
                <w:rFonts w:ascii="Arial" w:cs="Arial" w:eastAsia="Arial" w:hAnsi="Arial"/>
                <w:sz w:val="12"/>
                <w:szCs w:val="12"/>
                <w:b w:val="1"/>
                <w:bCs w:val="1"/>
                <w:color w:val="auto"/>
              </w:rPr>
              <w:t>March 2,</w:t>
            </w:r>
          </w:p>
        </w:tc>
      </w:tr>
      <w:tr>
        <w:trPr>
          <w:trHeight w:val="170"/>
        </w:trPr>
        <w:tc>
          <w:tcPr>
            <w:tcW w:w="5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2024</w:t>
            </w: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2024</w:t>
            </w: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2023</w:t>
            </w:r>
          </w:p>
        </w:tc>
      </w:tr>
      <w:tr>
        <w:trPr>
          <w:trHeight w:val="161"/>
        </w:trPr>
        <w:tc>
          <w:tcPr>
            <w:tcW w:w="5480" w:type="dxa"/>
            <w:vAlign w:val="bottom"/>
            <w:shd w:val="clear" w:color="auto" w:fill="D1D2D4"/>
          </w:tcPr>
          <w:p>
            <w:pPr>
              <w:spacing w:after="0"/>
              <w:rPr>
                <w:sz w:val="20"/>
                <w:szCs w:val="20"/>
                <w:color w:val="auto"/>
              </w:rPr>
            </w:pPr>
            <w:r>
              <w:rPr>
                <w:rFonts w:ascii="Arial" w:cs="Arial" w:eastAsia="Arial" w:hAnsi="Arial"/>
                <w:sz w:val="12"/>
                <w:szCs w:val="12"/>
                <w:color w:val="auto"/>
              </w:rPr>
              <w:t>Net income (loss) – Basic and Diluted</w:t>
            </w:r>
          </w:p>
        </w:tc>
        <w:tc>
          <w:tcPr>
            <w:tcW w:w="220" w:type="dxa"/>
            <w:vAlign w:val="bottom"/>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793</w:t>
            </w:r>
          </w:p>
        </w:tc>
        <w:tc>
          <w:tcPr>
            <w:tcW w:w="460" w:type="dxa"/>
            <w:vAlign w:val="bottom"/>
            <w:shd w:val="clear" w:color="auto" w:fill="D1D2D4"/>
          </w:tcPr>
          <w:p>
            <w:pPr>
              <w:jc w:val="right"/>
              <w:ind w:right="300"/>
              <w:spacing w:after="0"/>
              <w:rPr>
                <w:sz w:val="20"/>
                <w:szCs w:val="20"/>
                <w:color w:val="auto"/>
              </w:rPr>
            </w:pPr>
            <w:r>
              <w:rPr>
                <w:rFonts w:ascii="Arial" w:cs="Arial" w:eastAsia="Arial" w:hAnsi="Arial"/>
                <w:sz w:val="12"/>
                <w:szCs w:val="12"/>
                <w:color w:val="auto"/>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(2,312)</w:t>
            </w:r>
          </w:p>
        </w:tc>
        <w:tc>
          <w:tcPr>
            <w:tcW w:w="80" w:type="dxa"/>
            <w:vAlign w:val="bottom"/>
            <w:shd w:val="clear" w:color="auto" w:fill="D1D2D4"/>
          </w:tcPr>
          <w:p>
            <w:pPr>
              <w:spacing w:after="0"/>
              <w:rPr>
                <w:sz w:val="14"/>
                <w:szCs w:val="14"/>
                <w:color w:val="auto"/>
              </w:rPr>
            </w:pPr>
          </w:p>
        </w:tc>
        <w:tc>
          <w:tcPr>
            <w:tcW w:w="220" w:type="dxa"/>
            <w:vAlign w:val="bottom"/>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(441)</w:t>
            </w:r>
          </w:p>
        </w:tc>
        <w:tc>
          <w:tcPr>
            <w:tcW w:w="280" w:type="dxa"/>
            <w:vAlign w:val="bottom"/>
            <w:shd w:val="clear" w:color="auto" w:fill="D1D2D4"/>
          </w:tcPr>
          <w:p>
            <w:pPr>
              <w:jc w:val="right"/>
              <w:ind w:right="14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(2,507)</w:t>
            </w:r>
          </w:p>
        </w:tc>
      </w:tr>
      <w:tr>
        <w:trPr>
          <w:trHeight w:val="171"/>
        </w:trPr>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3"/>
        </w:trPr>
        <w:tc>
          <w:tcPr>
            <w:tcW w:w="5480" w:type="dxa"/>
            <w:vAlign w:val="bottom"/>
            <w:shd w:val="clear" w:color="auto" w:fill="D1D2D4"/>
          </w:tcPr>
          <w:p>
            <w:pPr>
              <w:spacing w:after="0"/>
              <w:rPr>
                <w:sz w:val="20"/>
                <w:szCs w:val="20"/>
                <w:color w:val="auto"/>
              </w:rPr>
            </w:pPr>
            <w:r>
              <w:rPr>
                <w:rFonts w:ascii="Arial" w:cs="Arial" w:eastAsia="Arial" w:hAnsi="Arial"/>
                <w:sz w:val="12"/>
                <w:szCs w:val="12"/>
                <w:color w:val="auto"/>
              </w:rPr>
              <w:t>Weighted-average common shares outstanding – Basic</w:t>
            </w: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1,104</w:t>
            </w:r>
          </w:p>
        </w:tc>
        <w:tc>
          <w:tcPr>
            <w:tcW w:w="460" w:type="dxa"/>
            <w:vAlign w:val="bottom"/>
            <w:shd w:val="clear" w:color="auto" w:fill="D1D2D4"/>
          </w:tcPr>
          <w:p>
            <w:pPr>
              <w:spacing w:after="0"/>
              <w:rPr>
                <w:sz w:val="13"/>
                <w:szCs w:val="13"/>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1,091</w:t>
            </w:r>
          </w:p>
        </w:tc>
        <w:tc>
          <w:tcPr>
            <w:tcW w:w="8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1,102</w:t>
            </w:r>
          </w:p>
        </w:tc>
        <w:tc>
          <w:tcPr>
            <w:tcW w:w="28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1,091</w:t>
            </w:r>
          </w:p>
        </w:tc>
      </w:tr>
      <w:tr>
        <w:trPr>
          <w:trHeight w:val="153"/>
        </w:trPr>
        <w:tc>
          <w:tcPr>
            <w:tcW w:w="5480" w:type="dxa"/>
            <w:vAlign w:val="bottom"/>
          </w:tcPr>
          <w:p>
            <w:pPr>
              <w:spacing w:after="0"/>
              <w:rPr>
                <w:sz w:val="20"/>
                <w:szCs w:val="20"/>
                <w:color w:val="auto"/>
              </w:rPr>
            </w:pPr>
            <w:r>
              <w:rPr>
                <w:rFonts w:ascii="Arial" w:cs="Arial" w:eastAsia="Arial" w:hAnsi="Arial"/>
                <w:sz w:val="12"/>
                <w:szCs w:val="12"/>
                <w:color w:val="auto"/>
              </w:rPr>
              <w:t>Dilutive effect of equity plans</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10</w:t>
            </w:r>
          </w:p>
        </w:tc>
        <w:tc>
          <w:tcPr>
            <w:tcW w:w="46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5480" w:type="dxa"/>
            <w:vAlign w:val="bottom"/>
            <w:tcBorders>
              <w:top w:val="single" w:sz="8" w:color="D1D2D4"/>
              <w:bottom w:val="single" w:sz="8" w:color="D1D2D4"/>
            </w:tcBorders>
            <w:shd w:val="clear" w:color="auto" w:fill="D1D2D4"/>
          </w:tcPr>
          <w:p>
            <w:pPr>
              <w:spacing w:after="0"/>
              <w:rPr>
                <w:sz w:val="20"/>
                <w:szCs w:val="20"/>
                <w:color w:val="auto"/>
              </w:rPr>
            </w:pPr>
            <w:r>
              <w:rPr>
                <w:rFonts w:ascii="Arial" w:cs="Arial" w:eastAsia="Arial" w:hAnsi="Arial"/>
                <w:sz w:val="12"/>
                <w:szCs w:val="12"/>
                <w:color w:val="auto"/>
              </w:rPr>
              <w:t>Weighted-average common shares outstanding – Diluted</w:t>
            </w:r>
          </w:p>
        </w:tc>
        <w:tc>
          <w:tcPr>
            <w:tcW w:w="220" w:type="dxa"/>
            <w:vAlign w:val="bottom"/>
            <w:tcBorders>
              <w:top w:val="single" w:sz="8" w:color="auto"/>
              <w:bottom w:val="single" w:sz="8" w:color="auto"/>
            </w:tcBorders>
            <w:shd w:val="clear" w:color="auto" w:fill="D1D2D4"/>
          </w:tcPr>
          <w:p>
            <w:pPr>
              <w:spacing w:after="0"/>
              <w:rPr>
                <w:sz w:val="13"/>
                <w:szCs w:val="13"/>
                <w:color w:val="auto"/>
              </w:rPr>
            </w:pPr>
          </w:p>
        </w:tc>
        <w:tc>
          <w:tcPr>
            <w:tcW w:w="12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1,114</w:t>
            </w:r>
          </w:p>
        </w:tc>
        <w:tc>
          <w:tcPr>
            <w:tcW w:w="460" w:type="dxa"/>
            <w:vAlign w:val="bottom"/>
            <w:tcBorders>
              <w:top w:val="single" w:sz="8" w:color="auto"/>
              <w:bottom w:val="single" w:sz="8" w:color="auto"/>
            </w:tcBorders>
            <w:shd w:val="clear" w:color="auto" w:fill="D1D2D4"/>
          </w:tcPr>
          <w:p>
            <w:pPr>
              <w:spacing w:after="0"/>
              <w:rPr>
                <w:sz w:val="13"/>
                <w:szCs w:val="13"/>
                <w:color w:val="auto"/>
              </w:rPr>
            </w:pPr>
          </w:p>
        </w:tc>
        <w:tc>
          <w:tcPr>
            <w:tcW w:w="9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1,091</w:t>
            </w:r>
          </w:p>
        </w:tc>
        <w:tc>
          <w:tcPr>
            <w:tcW w:w="80" w:type="dxa"/>
            <w:vAlign w:val="bottom"/>
            <w:tcBorders>
              <w:top w:val="single" w:sz="8" w:color="D1D2D4"/>
              <w:bottom w:val="single" w:sz="8" w:color="D1D2D4"/>
            </w:tcBorders>
            <w:shd w:val="clear" w:color="auto" w:fill="D1D2D4"/>
          </w:tcPr>
          <w:p>
            <w:pPr>
              <w:spacing w:after="0"/>
              <w:rPr>
                <w:sz w:val="13"/>
                <w:szCs w:val="13"/>
                <w:color w:val="auto"/>
              </w:rPr>
            </w:pPr>
          </w:p>
        </w:tc>
        <w:tc>
          <w:tcPr>
            <w:tcW w:w="220" w:type="dxa"/>
            <w:vAlign w:val="bottom"/>
            <w:tcBorders>
              <w:top w:val="single" w:sz="8" w:color="auto"/>
              <w:bottom w:val="single" w:sz="8" w:color="auto"/>
            </w:tcBorders>
            <w:shd w:val="clear" w:color="auto" w:fill="D1D2D4"/>
          </w:tcPr>
          <w:p>
            <w:pPr>
              <w:spacing w:after="0"/>
              <w:rPr>
                <w:sz w:val="13"/>
                <w:szCs w:val="13"/>
                <w:color w:val="auto"/>
              </w:rPr>
            </w:pPr>
          </w:p>
        </w:tc>
        <w:tc>
          <w:tcPr>
            <w:tcW w:w="12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1,102</w:t>
            </w:r>
          </w:p>
        </w:tc>
        <w:tc>
          <w:tcPr>
            <w:tcW w:w="280" w:type="dxa"/>
            <w:vAlign w:val="bottom"/>
            <w:tcBorders>
              <w:top w:val="single" w:sz="8" w:color="auto"/>
              <w:bottom w:val="single" w:sz="8" w:color="auto"/>
            </w:tcBorders>
            <w:shd w:val="clear" w:color="auto" w:fill="D1D2D4"/>
          </w:tcPr>
          <w:p>
            <w:pPr>
              <w:spacing w:after="0"/>
              <w:rPr>
                <w:sz w:val="13"/>
                <w:szCs w:val="13"/>
                <w:color w:val="auto"/>
              </w:rPr>
            </w:pPr>
          </w:p>
        </w:tc>
        <w:tc>
          <w:tcPr>
            <w:tcW w:w="11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1,091</w:t>
            </w:r>
          </w:p>
        </w:tc>
      </w:tr>
      <w:tr>
        <w:trPr>
          <w:trHeight w:val="153"/>
        </w:trPr>
        <w:tc>
          <w:tcPr>
            <w:tcW w:w="5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3"/>
        </w:trPr>
        <w:tc>
          <w:tcPr>
            <w:tcW w:w="5480" w:type="dxa"/>
            <w:vAlign w:val="bottom"/>
            <w:shd w:val="clear" w:color="auto" w:fill="D1D2D4"/>
          </w:tcPr>
          <w:p>
            <w:pPr>
              <w:spacing w:after="0"/>
              <w:rPr>
                <w:sz w:val="20"/>
                <w:szCs w:val="20"/>
                <w:color w:val="auto"/>
              </w:rPr>
            </w:pPr>
            <w:r>
              <w:rPr>
                <w:rFonts w:ascii="Arial" w:cs="Arial" w:eastAsia="Arial" w:hAnsi="Arial"/>
                <w:sz w:val="12"/>
                <w:szCs w:val="12"/>
                <w:color w:val="auto"/>
              </w:rPr>
              <w:t>Earnings (loss) per share</w:t>
            </w: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spacing w:after="0"/>
              <w:rPr>
                <w:sz w:val="13"/>
                <w:szCs w:val="13"/>
                <w:color w:val="auto"/>
              </w:rPr>
            </w:pPr>
          </w:p>
        </w:tc>
        <w:tc>
          <w:tcPr>
            <w:tcW w:w="460" w:type="dxa"/>
            <w:vAlign w:val="bottom"/>
            <w:shd w:val="clear" w:color="auto" w:fill="D1D2D4"/>
          </w:tcPr>
          <w:p>
            <w:pPr>
              <w:spacing w:after="0"/>
              <w:rPr>
                <w:sz w:val="13"/>
                <w:szCs w:val="13"/>
                <w:color w:val="auto"/>
              </w:rPr>
            </w:pPr>
          </w:p>
        </w:tc>
        <w:tc>
          <w:tcPr>
            <w:tcW w:w="980" w:type="dxa"/>
            <w:vAlign w:val="bottom"/>
            <w:shd w:val="clear" w:color="auto" w:fill="D1D2D4"/>
          </w:tcPr>
          <w:p>
            <w:pPr>
              <w:spacing w:after="0"/>
              <w:rPr>
                <w:sz w:val="13"/>
                <w:szCs w:val="13"/>
                <w:color w:val="auto"/>
              </w:rPr>
            </w:pPr>
          </w:p>
        </w:tc>
        <w:tc>
          <w:tcPr>
            <w:tcW w:w="8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spacing w:after="0"/>
              <w:rPr>
                <w:sz w:val="13"/>
                <w:szCs w:val="13"/>
                <w:color w:val="auto"/>
              </w:rPr>
            </w:pPr>
          </w:p>
        </w:tc>
        <w:tc>
          <w:tcPr>
            <w:tcW w:w="280" w:type="dxa"/>
            <w:vAlign w:val="bottom"/>
            <w:shd w:val="clear" w:color="auto" w:fill="D1D2D4"/>
          </w:tcPr>
          <w:p>
            <w:pPr>
              <w:spacing w:after="0"/>
              <w:rPr>
                <w:sz w:val="13"/>
                <w:szCs w:val="13"/>
                <w:color w:val="auto"/>
              </w:rPr>
            </w:pPr>
          </w:p>
        </w:tc>
        <w:tc>
          <w:tcPr>
            <w:tcW w:w="1180" w:type="dxa"/>
            <w:vAlign w:val="bottom"/>
            <w:shd w:val="clear" w:color="auto" w:fill="D1D2D4"/>
          </w:tcPr>
          <w:p>
            <w:pPr>
              <w:spacing w:after="0"/>
              <w:rPr>
                <w:sz w:val="13"/>
                <w:szCs w:val="13"/>
                <w:color w:val="auto"/>
              </w:rPr>
            </w:pPr>
          </w:p>
        </w:tc>
      </w:tr>
      <w:tr>
        <w:trPr>
          <w:trHeight w:val="153"/>
        </w:trPr>
        <w:tc>
          <w:tcPr>
            <w:tcW w:w="5480" w:type="dxa"/>
            <w:vAlign w:val="bottom"/>
          </w:tcPr>
          <w:p>
            <w:pPr>
              <w:ind w:left="200"/>
              <w:spacing w:after="0"/>
              <w:rPr>
                <w:sz w:val="20"/>
                <w:szCs w:val="20"/>
                <w:color w:val="auto"/>
              </w:rPr>
            </w:pPr>
            <w:r>
              <w:rPr>
                <w:rFonts w:ascii="Arial" w:cs="Arial" w:eastAsia="Arial" w:hAnsi="Arial"/>
                <w:sz w:val="12"/>
                <w:szCs w:val="12"/>
                <w:color w:val="auto"/>
              </w:rPr>
              <w:t>Basic</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0.72</w:t>
            </w:r>
          </w:p>
        </w:tc>
        <w:tc>
          <w:tcPr>
            <w:tcW w:w="4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(2.12)</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(0.40)</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(2.30)</w:t>
            </w:r>
          </w:p>
        </w:tc>
      </w:tr>
      <w:tr>
        <w:trPr>
          <w:trHeight w:val="153"/>
        </w:trPr>
        <w:tc>
          <w:tcPr>
            <w:tcW w:w="5480" w:type="dxa"/>
            <w:vAlign w:val="bottom"/>
            <w:shd w:val="clear" w:color="auto" w:fill="D1D2D4"/>
          </w:tcPr>
          <w:p>
            <w:pPr>
              <w:ind w:left="200"/>
              <w:spacing w:after="0"/>
              <w:rPr>
                <w:sz w:val="20"/>
                <w:szCs w:val="20"/>
                <w:color w:val="auto"/>
              </w:rPr>
            </w:pPr>
            <w:r>
              <w:rPr>
                <w:rFonts w:ascii="Arial" w:cs="Arial" w:eastAsia="Arial" w:hAnsi="Arial"/>
                <w:sz w:val="12"/>
                <w:szCs w:val="12"/>
                <w:color w:val="auto"/>
              </w:rPr>
              <w:t>Diluted</w:t>
            </w: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0.71</w:t>
            </w:r>
          </w:p>
        </w:tc>
        <w:tc>
          <w:tcPr>
            <w:tcW w:w="460" w:type="dxa"/>
            <w:vAlign w:val="bottom"/>
            <w:shd w:val="clear" w:color="auto" w:fill="D1D2D4"/>
          </w:tcPr>
          <w:p>
            <w:pPr>
              <w:spacing w:after="0"/>
              <w:rPr>
                <w:sz w:val="13"/>
                <w:szCs w:val="13"/>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(2.12)</w:t>
            </w:r>
          </w:p>
        </w:tc>
        <w:tc>
          <w:tcPr>
            <w:tcW w:w="8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(0.40)</w:t>
            </w:r>
          </w:p>
        </w:tc>
        <w:tc>
          <w:tcPr>
            <w:tcW w:w="28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(2.30)</w:t>
            </w:r>
          </w:p>
        </w:tc>
      </w:tr>
    </w:tbl>
    <w:p>
      <w:pPr>
        <w:spacing w:after="0" w:line="203" w:lineRule="exact"/>
        <w:rPr>
          <w:sz w:val="20"/>
          <w:szCs w:val="20"/>
          <w:color w:val="auto"/>
        </w:rPr>
      </w:pPr>
    </w:p>
    <w:p>
      <w:pPr>
        <w:ind w:right="200"/>
        <w:spacing w:after="0" w:line="286" w:lineRule="auto"/>
        <w:rPr>
          <w:sz w:val="20"/>
          <w:szCs w:val="20"/>
          <w:color w:val="auto"/>
        </w:rPr>
      </w:pPr>
      <w:r>
        <w:rPr>
          <w:rFonts w:ascii="Arial" w:cs="Arial" w:eastAsia="Arial" w:hAnsi="Arial"/>
          <w:sz w:val="12"/>
          <w:szCs w:val="12"/>
          <w:color w:val="auto"/>
        </w:rPr>
        <w:t>Antidilutive potential common shares excluded from the computation of diluted earnings per share, that could dilute basic earnings per share in the future, were 4 million and 33 million for the second quarter and first six months of 2024, respectively, and were 33 million and 34 million for the second quarter and first six months of 2023,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Segment and Other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color w:val="auto"/>
        </w:rPr>
        <w:t>Segment information reported herein is consistent with how it is reviewed and evaluated by our chief operating decision maker. We have the following four business units, which are our reportable segments: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Compute and Networking Business Unit (“CNBU”)</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Includes memory products and solutions sold into the client, cloud server, enterprise, graphics, and networking markets.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Mobile Business Unit (“MBU”)</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Includes memory and storage products sold into the smartphone and other mobile-device markets.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Embedded Business Unit (“EBU”)</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Includes memory and storage products and solutions sold into the automotive, industrial, and consumer markets.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Storage Business Unit (“SBU”)</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Includes SSDs and component-level solutions sold into the enterprise and cloud, client, and consumer storage markets.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25 | 2024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5" w:name="page26"/>
    <w:bookmarkEnd w:id="25"/>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Quarter ended</w:t>
            </w: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3"/>
          </w:tcPr>
          <w:p>
            <w:pPr>
              <w:jc w:val="right"/>
              <w:ind w:right="860"/>
              <w:spacing w:after="0"/>
              <w:rPr>
                <w:sz w:val="20"/>
                <w:szCs w:val="20"/>
                <w:color w:val="auto"/>
              </w:rPr>
            </w:pPr>
            <w:r>
              <w:rPr>
                <w:rFonts w:ascii="Arial" w:cs="Arial" w:eastAsia="Arial" w:hAnsi="Arial"/>
                <w:sz w:val="12"/>
                <w:szCs w:val="12"/>
                <w:b w:val="1"/>
                <w:bCs w:val="1"/>
                <w:color w:val="auto"/>
              </w:rPr>
              <w:t>Six months ended</w:t>
            </w:r>
          </w:p>
        </w:tc>
      </w:tr>
      <w:tr>
        <w:trPr>
          <w:trHeight w:val="106"/>
        </w:trPr>
        <w:tc>
          <w:tcPr>
            <w:tcW w:w="5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jc w:val="right"/>
              <w:ind w:right="300"/>
              <w:spacing w:after="0" w:line="106" w:lineRule="exact"/>
              <w:rPr>
                <w:sz w:val="20"/>
                <w:szCs w:val="20"/>
                <w:color w:val="auto"/>
              </w:rPr>
            </w:pPr>
            <w:r>
              <w:rPr>
                <w:rFonts w:ascii="Arial" w:cs="Arial" w:eastAsia="Arial" w:hAnsi="Arial"/>
                <w:sz w:val="12"/>
                <w:szCs w:val="12"/>
                <w:b w:val="1"/>
                <w:bCs w:val="1"/>
                <w:color w:val="auto"/>
              </w:rPr>
              <w:t>February 29,</w:t>
            </w:r>
          </w:p>
        </w:tc>
        <w:tc>
          <w:tcPr>
            <w:tcW w:w="440" w:type="dxa"/>
            <w:vAlign w:val="bottom"/>
          </w:tcPr>
          <w:p>
            <w:pPr>
              <w:spacing w:after="0"/>
              <w:rPr>
                <w:sz w:val="9"/>
                <w:szCs w:val="9"/>
                <w:color w:val="auto"/>
              </w:rPr>
            </w:pPr>
          </w:p>
        </w:tc>
        <w:tc>
          <w:tcPr>
            <w:tcW w:w="980" w:type="dxa"/>
            <w:vAlign w:val="bottom"/>
          </w:tcPr>
          <w:p>
            <w:pPr>
              <w:jc w:val="right"/>
              <w:ind w:right="400"/>
              <w:spacing w:after="0" w:line="106" w:lineRule="exact"/>
              <w:rPr>
                <w:sz w:val="20"/>
                <w:szCs w:val="20"/>
                <w:color w:val="auto"/>
              </w:rPr>
            </w:pPr>
            <w:r>
              <w:rPr>
                <w:rFonts w:ascii="Arial" w:cs="Arial" w:eastAsia="Arial" w:hAnsi="Arial"/>
                <w:sz w:val="12"/>
                <w:szCs w:val="12"/>
                <w:b w:val="1"/>
                <w:bCs w:val="1"/>
                <w:color w:val="auto"/>
              </w:rPr>
              <w:t>March 2,</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jc w:val="right"/>
              <w:ind w:right="300"/>
              <w:spacing w:after="0" w:line="106" w:lineRule="exact"/>
              <w:rPr>
                <w:sz w:val="20"/>
                <w:szCs w:val="20"/>
                <w:color w:val="auto"/>
              </w:rPr>
            </w:pPr>
            <w:r>
              <w:rPr>
                <w:rFonts w:ascii="Arial" w:cs="Arial" w:eastAsia="Arial" w:hAnsi="Arial"/>
                <w:sz w:val="12"/>
                <w:szCs w:val="12"/>
                <w:b w:val="1"/>
                <w:bCs w:val="1"/>
                <w:color w:val="auto"/>
              </w:rPr>
              <w:t>February 29,</w:t>
            </w:r>
          </w:p>
        </w:tc>
        <w:tc>
          <w:tcPr>
            <w:tcW w:w="280" w:type="dxa"/>
            <w:vAlign w:val="bottom"/>
          </w:tcPr>
          <w:p>
            <w:pPr>
              <w:spacing w:after="0"/>
              <w:rPr>
                <w:sz w:val="9"/>
                <w:szCs w:val="9"/>
                <w:color w:val="auto"/>
              </w:rPr>
            </w:pPr>
          </w:p>
        </w:tc>
        <w:tc>
          <w:tcPr>
            <w:tcW w:w="1180" w:type="dxa"/>
            <w:vAlign w:val="bottom"/>
          </w:tcPr>
          <w:p>
            <w:pPr>
              <w:jc w:val="right"/>
              <w:ind w:right="420"/>
              <w:spacing w:after="0" w:line="106" w:lineRule="exact"/>
              <w:rPr>
                <w:sz w:val="20"/>
                <w:szCs w:val="20"/>
                <w:color w:val="auto"/>
              </w:rPr>
            </w:pPr>
            <w:r>
              <w:rPr>
                <w:rFonts w:ascii="Arial" w:cs="Arial" w:eastAsia="Arial" w:hAnsi="Arial"/>
                <w:sz w:val="12"/>
                <w:szCs w:val="12"/>
                <w:b w:val="1"/>
                <w:bCs w:val="1"/>
                <w:color w:val="auto"/>
              </w:rPr>
              <w:t>March 2,</w:t>
            </w:r>
          </w:p>
        </w:tc>
      </w:tr>
      <w:tr>
        <w:trPr>
          <w:trHeight w:val="170"/>
        </w:trPr>
        <w:tc>
          <w:tcPr>
            <w:tcW w:w="5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2024</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2024</w:t>
            </w: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2023</w:t>
            </w:r>
          </w:p>
        </w:tc>
      </w:tr>
      <w:tr>
        <w:trPr>
          <w:trHeight w:val="161"/>
        </w:trPr>
        <w:tc>
          <w:tcPr>
            <w:tcW w:w="5480" w:type="dxa"/>
            <w:vAlign w:val="bottom"/>
            <w:shd w:val="clear" w:color="auto" w:fill="D1D2D4"/>
          </w:tcPr>
          <w:p>
            <w:pPr>
              <w:spacing w:after="0"/>
              <w:rPr>
                <w:sz w:val="20"/>
                <w:szCs w:val="20"/>
                <w:color w:val="auto"/>
              </w:rPr>
            </w:pPr>
            <w:r>
              <w:rPr>
                <w:rFonts w:ascii="Arial" w:cs="Arial" w:eastAsia="Arial" w:hAnsi="Arial"/>
                <w:sz w:val="12"/>
                <w:szCs w:val="12"/>
                <w:color w:val="auto"/>
              </w:rPr>
              <w:t>Revenue</w:t>
            </w:r>
          </w:p>
        </w:tc>
        <w:tc>
          <w:tcPr>
            <w:tcW w:w="220" w:type="dxa"/>
            <w:vAlign w:val="bottom"/>
            <w:shd w:val="clear" w:color="auto" w:fill="D1D2D4"/>
          </w:tcPr>
          <w:p>
            <w:pPr>
              <w:spacing w:after="0"/>
              <w:rPr>
                <w:sz w:val="14"/>
                <w:szCs w:val="14"/>
                <w:color w:val="auto"/>
              </w:rPr>
            </w:pPr>
          </w:p>
        </w:tc>
        <w:tc>
          <w:tcPr>
            <w:tcW w:w="1220" w:type="dxa"/>
            <w:vAlign w:val="bottom"/>
            <w:shd w:val="clear" w:color="auto" w:fill="D1D2D4"/>
          </w:tcPr>
          <w:p>
            <w:pPr>
              <w:spacing w:after="0"/>
              <w:rPr>
                <w:sz w:val="14"/>
                <w:szCs w:val="14"/>
                <w:color w:val="auto"/>
              </w:rPr>
            </w:pPr>
          </w:p>
        </w:tc>
        <w:tc>
          <w:tcPr>
            <w:tcW w:w="440" w:type="dxa"/>
            <w:vAlign w:val="bottom"/>
            <w:shd w:val="clear" w:color="auto" w:fill="D1D2D4"/>
          </w:tcPr>
          <w:p>
            <w:pPr>
              <w:spacing w:after="0"/>
              <w:rPr>
                <w:sz w:val="14"/>
                <w:szCs w:val="14"/>
                <w:color w:val="auto"/>
              </w:rPr>
            </w:pPr>
          </w:p>
        </w:tc>
        <w:tc>
          <w:tcPr>
            <w:tcW w:w="980" w:type="dxa"/>
            <w:vAlign w:val="bottom"/>
            <w:shd w:val="clear" w:color="auto" w:fill="D1D2D4"/>
          </w:tcPr>
          <w:p>
            <w:pPr>
              <w:spacing w:after="0"/>
              <w:rPr>
                <w:sz w:val="14"/>
                <w:szCs w:val="14"/>
                <w:color w:val="auto"/>
              </w:rPr>
            </w:pPr>
          </w:p>
        </w:tc>
        <w:tc>
          <w:tcPr>
            <w:tcW w:w="80" w:type="dxa"/>
            <w:vAlign w:val="bottom"/>
            <w:shd w:val="clear" w:color="auto" w:fill="D1D2D4"/>
          </w:tcPr>
          <w:p>
            <w:pPr>
              <w:spacing w:after="0"/>
              <w:rPr>
                <w:sz w:val="14"/>
                <w:szCs w:val="14"/>
                <w:color w:val="auto"/>
              </w:rPr>
            </w:pPr>
          </w:p>
        </w:tc>
        <w:tc>
          <w:tcPr>
            <w:tcW w:w="220" w:type="dxa"/>
            <w:vAlign w:val="bottom"/>
            <w:shd w:val="clear" w:color="auto" w:fill="D1D2D4"/>
          </w:tcPr>
          <w:p>
            <w:pPr>
              <w:spacing w:after="0"/>
              <w:rPr>
                <w:sz w:val="14"/>
                <w:szCs w:val="14"/>
                <w:color w:val="auto"/>
              </w:rPr>
            </w:pPr>
          </w:p>
        </w:tc>
        <w:tc>
          <w:tcPr>
            <w:tcW w:w="1200" w:type="dxa"/>
            <w:vAlign w:val="bottom"/>
            <w:shd w:val="clear" w:color="auto" w:fill="D1D2D4"/>
          </w:tcPr>
          <w:p>
            <w:pPr>
              <w:spacing w:after="0"/>
              <w:rPr>
                <w:sz w:val="14"/>
                <w:szCs w:val="14"/>
                <w:color w:val="auto"/>
              </w:rPr>
            </w:pPr>
          </w:p>
        </w:tc>
        <w:tc>
          <w:tcPr>
            <w:tcW w:w="280" w:type="dxa"/>
            <w:vAlign w:val="bottom"/>
            <w:shd w:val="clear" w:color="auto" w:fill="D1D2D4"/>
          </w:tcPr>
          <w:p>
            <w:pPr>
              <w:spacing w:after="0"/>
              <w:rPr>
                <w:sz w:val="14"/>
                <w:szCs w:val="14"/>
                <w:color w:val="auto"/>
              </w:rPr>
            </w:pPr>
          </w:p>
        </w:tc>
        <w:tc>
          <w:tcPr>
            <w:tcW w:w="1180" w:type="dxa"/>
            <w:vAlign w:val="bottom"/>
            <w:shd w:val="clear" w:color="auto" w:fill="D1D2D4"/>
          </w:tcPr>
          <w:p>
            <w:pPr>
              <w:spacing w:after="0"/>
              <w:rPr>
                <w:sz w:val="14"/>
                <w:szCs w:val="14"/>
                <w:color w:val="auto"/>
              </w:rPr>
            </w:pPr>
          </w:p>
        </w:tc>
      </w:tr>
      <w:tr>
        <w:trPr>
          <w:trHeight w:val="153"/>
        </w:trPr>
        <w:tc>
          <w:tcPr>
            <w:tcW w:w="5480" w:type="dxa"/>
            <w:vAlign w:val="bottom"/>
          </w:tcPr>
          <w:p>
            <w:pPr>
              <w:ind w:left="80"/>
              <w:spacing w:after="0"/>
              <w:rPr>
                <w:sz w:val="20"/>
                <w:szCs w:val="20"/>
                <w:color w:val="auto"/>
              </w:rPr>
            </w:pPr>
            <w:r>
              <w:rPr>
                <w:rFonts w:ascii="Arial" w:cs="Arial" w:eastAsia="Arial" w:hAnsi="Arial"/>
                <w:sz w:val="12"/>
                <w:szCs w:val="12"/>
                <w:color w:val="auto"/>
              </w:rPr>
              <w:t>CNBU</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2,185</w:t>
            </w: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1,375</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3,922</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3,121</w:t>
            </w:r>
          </w:p>
        </w:tc>
      </w:tr>
      <w:tr>
        <w:trPr>
          <w:trHeight w:val="153"/>
        </w:trPr>
        <w:tc>
          <w:tcPr>
            <w:tcW w:w="5480" w:type="dxa"/>
            <w:vAlign w:val="bottom"/>
            <w:shd w:val="clear" w:color="auto" w:fill="D1D2D4"/>
          </w:tcPr>
          <w:p>
            <w:pPr>
              <w:ind w:left="80"/>
              <w:spacing w:after="0"/>
              <w:rPr>
                <w:sz w:val="20"/>
                <w:szCs w:val="20"/>
                <w:color w:val="auto"/>
              </w:rPr>
            </w:pPr>
            <w:r>
              <w:rPr>
                <w:rFonts w:ascii="Arial" w:cs="Arial" w:eastAsia="Arial" w:hAnsi="Arial"/>
                <w:sz w:val="12"/>
                <w:szCs w:val="12"/>
                <w:color w:val="auto"/>
              </w:rPr>
              <w:t>MBU</w:t>
            </w:r>
          </w:p>
        </w:tc>
        <w:tc>
          <w:tcPr>
            <w:tcW w:w="220" w:type="dxa"/>
            <w:vAlign w:val="bottom"/>
            <w:shd w:val="clear" w:color="auto" w:fill="D1D2D4"/>
          </w:tcPr>
          <w:p>
            <w:pPr>
              <w:spacing w:after="0"/>
              <w:rPr>
                <w:sz w:val="13"/>
                <w:szCs w:val="13"/>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1,598</w:t>
            </w:r>
          </w:p>
        </w:tc>
        <w:tc>
          <w:tcPr>
            <w:tcW w:w="440" w:type="dxa"/>
            <w:vAlign w:val="bottom"/>
            <w:shd w:val="clear" w:color="auto" w:fill="D1D2D4"/>
          </w:tcPr>
          <w:p>
            <w:pPr>
              <w:spacing w:after="0"/>
              <w:rPr>
                <w:sz w:val="13"/>
                <w:szCs w:val="13"/>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945</w:t>
            </w:r>
          </w:p>
        </w:tc>
        <w:tc>
          <w:tcPr>
            <w:tcW w:w="8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2,891</w:t>
            </w:r>
          </w:p>
        </w:tc>
        <w:tc>
          <w:tcPr>
            <w:tcW w:w="28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1,600</w:t>
            </w:r>
          </w:p>
        </w:tc>
      </w:tr>
      <w:tr>
        <w:trPr>
          <w:trHeight w:val="153"/>
        </w:trPr>
        <w:tc>
          <w:tcPr>
            <w:tcW w:w="5480" w:type="dxa"/>
            <w:vAlign w:val="bottom"/>
          </w:tcPr>
          <w:p>
            <w:pPr>
              <w:ind w:left="80"/>
              <w:spacing w:after="0"/>
              <w:rPr>
                <w:sz w:val="20"/>
                <w:szCs w:val="20"/>
                <w:color w:val="auto"/>
              </w:rPr>
            </w:pPr>
            <w:r>
              <w:rPr>
                <w:rFonts w:ascii="Arial" w:cs="Arial" w:eastAsia="Arial" w:hAnsi="Arial"/>
                <w:sz w:val="12"/>
                <w:szCs w:val="12"/>
                <w:color w:val="auto"/>
              </w:rPr>
              <w:t>EBU</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1,111</w:t>
            </w:r>
          </w:p>
        </w:tc>
        <w:tc>
          <w:tcPr>
            <w:tcW w:w="4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865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2,148</w:t>
            </w:r>
          </w:p>
        </w:tc>
        <w:tc>
          <w:tcPr>
            <w:tcW w:w="2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1,865</w:t>
            </w:r>
          </w:p>
        </w:tc>
      </w:tr>
      <w:tr>
        <w:trPr>
          <w:trHeight w:val="153"/>
        </w:trPr>
        <w:tc>
          <w:tcPr>
            <w:tcW w:w="5480" w:type="dxa"/>
            <w:vAlign w:val="bottom"/>
            <w:shd w:val="clear" w:color="auto" w:fill="D1D2D4"/>
          </w:tcPr>
          <w:p>
            <w:pPr>
              <w:ind w:left="80"/>
              <w:spacing w:after="0"/>
              <w:rPr>
                <w:sz w:val="20"/>
                <w:szCs w:val="20"/>
                <w:color w:val="auto"/>
              </w:rPr>
            </w:pPr>
            <w:r>
              <w:rPr>
                <w:rFonts w:ascii="Arial" w:cs="Arial" w:eastAsia="Arial" w:hAnsi="Arial"/>
                <w:sz w:val="12"/>
                <w:szCs w:val="12"/>
                <w:color w:val="auto"/>
              </w:rPr>
              <w:t>SBU</w:t>
            </w:r>
          </w:p>
        </w:tc>
        <w:tc>
          <w:tcPr>
            <w:tcW w:w="220" w:type="dxa"/>
            <w:vAlign w:val="bottom"/>
            <w:shd w:val="clear" w:color="auto" w:fill="D1D2D4"/>
          </w:tcPr>
          <w:p>
            <w:pPr>
              <w:spacing w:after="0"/>
              <w:rPr>
                <w:sz w:val="13"/>
                <w:szCs w:val="13"/>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905</w:t>
            </w:r>
          </w:p>
        </w:tc>
        <w:tc>
          <w:tcPr>
            <w:tcW w:w="440" w:type="dxa"/>
            <w:vAlign w:val="bottom"/>
            <w:shd w:val="clear" w:color="auto" w:fill="D1D2D4"/>
          </w:tcPr>
          <w:p>
            <w:pPr>
              <w:spacing w:after="0"/>
              <w:rPr>
                <w:sz w:val="13"/>
                <w:szCs w:val="13"/>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507</w:t>
            </w:r>
          </w:p>
        </w:tc>
        <w:tc>
          <w:tcPr>
            <w:tcW w:w="8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1,558</w:t>
            </w:r>
          </w:p>
        </w:tc>
        <w:tc>
          <w:tcPr>
            <w:tcW w:w="28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1,187</w:t>
            </w:r>
          </w:p>
        </w:tc>
      </w:tr>
      <w:tr>
        <w:trPr>
          <w:trHeight w:val="153"/>
        </w:trPr>
        <w:tc>
          <w:tcPr>
            <w:tcW w:w="5480" w:type="dxa"/>
            <w:vAlign w:val="bottom"/>
            <w:tcBorders>
              <w:bottom w:val="single" w:sz="8" w:color="D1D2D4"/>
            </w:tcBorders>
          </w:tcPr>
          <w:p>
            <w:pPr>
              <w:ind w:left="80"/>
              <w:spacing w:after="0"/>
              <w:rPr>
                <w:sz w:val="20"/>
                <w:szCs w:val="20"/>
                <w:color w:val="auto"/>
              </w:rPr>
            </w:pPr>
            <w:r>
              <w:rPr>
                <w:rFonts w:ascii="Arial" w:cs="Arial" w:eastAsia="Arial" w:hAnsi="Arial"/>
                <w:sz w:val="12"/>
                <w:szCs w:val="12"/>
                <w:color w:val="auto"/>
              </w:rPr>
              <w:t>All Other</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w:t>
            </w: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bottom w:val="single" w:sz="8" w:color="D1D2D4"/>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w:t>
            </w: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w:t>
            </w:r>
          </w:p>
        </w:tc>
      </w:tr>
      <w:tr>
        <w:trPr>
          <w:trHeight w:val="158"/>
        </w:trPr>
        <w:tc>
          <w:tcPr>
            <w:tcW w:w="5480" w:type="dxa"/>
            <w:vAlign w:val="bottom"/>
            <w:tcBorders>
              <w:bottom w:val="single" w:sz="8" w:color="D1D2D4"/>
            </w:tcBorders>
            <w:shd w:val="clear" w:color="auto" w:fill="D1D2D4"/>
          </w:tcPr>
          <w:p>
            <w:pPr>
              <w:spacing w:after="0"/>
              <w:rPr>
                <w:sz w:val="13"/>
                <w:szCs w:val="13"/>
                <w:color w:val="auto"/>
              </w:rPr>
            </w:pPr>
          </w:p>
        </w:tc>
        <w:tc>
          <w:tcPr>
            <w:tcW w:w="220" w:type="dxa"/>
            <w:vAlign w:val="bottom"/>
            <w:tcBorders>
              <w:bottom w:val="single" w:sz="8" w:color="auto"/>
            </w:tcBorders>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5,824</w:t>
            </w:r>
          </w:p>
        </w:tc>
        <w:tc>
          <w:tcPr>
            <w:tcW w:w="440" w:type="dxa"/>
            <w:vAlign w:val="bottom"/>
            <w:tcBorders>
              <w:bottom w:val="single" w:sz="8" w:color="auto"/>
            </w:tcBorders>
            <w:shd w:val="clear" w:color="auto" w:fill="D1D2D4"/>
          </w:tcPr>
          <w:p>
            <w:pPr>
              <w:jc w:val="right"/>
              <w:ind w:right="30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3,693</w:t>
            </w:r>
          </w:p>
        </w:tc>
        <w:tc>
          <w:tcPr>
            <w:tcW w:w="80" w:type="dxa"/>
            <w:vAlign w:val="bottom"/>
            <w:tcBorders>
              <w:bottom w:val="single" w:sz="8" w:color="D1D2D4"/>
            </w:tcBorders>
            <w:shd w:val="clear" w:color="auto" w:fill="D1D2D4"/>
          </w:tcPr>
          <w:p>
            <w:pPr>
              <w:spacing w:after="0"/>
              <w:rPr>
                <w:sz w:val="13"/>
                <w:szCs w:val="13"/>
                <w:color w:val="auto"/>
              </w:rPr>
            </w:pPr>
          </w:p>
        </w:tc>
        <w:tc>
          <w:tcPr>
            <w:tcW w:w="220" w:type="dxa"/>
            <w:vAlign w:val="bottom"/>
            <w:tcBorders>
              <w:bottom w:val="single" w:sz="8" w:color="auto"/>
            </w:tcBorders>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10,550</w:t>
            </w:r>
          </w:p>
        </w:tc>
        <w:tc>
          <w:tcPr>
            <w:tcW w:w="280" w:type="dxa"/>
            <w:vAlign w:val="bottom"/>
            <w:tcBorders>
              <w:bottom w:val="single" w:sz="8" w:color="auto"/>
            </w:tcBorders>
            <w:shd w:val="clear" w:color="auto" w:fill="D1D2D4"/>
          </w:tcPr>
          <w:p>
            <w:pPr>
              <w:jc w:val="right"/>
              <w:ind w:right="14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7,778</w:t>
            </w:r>
          </w:p>
        </w:tc>
      </w:tr>
      <w:tr>
        <w:trPr>
          <w:trHeight w:val="153"/>
        </w:trPr>
        <w:tc>
          <w:tcPr>
            <w:tcW w:w="5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3"/>
        </w:trPr>
        <w:tc>
          <w:tcPr>
            <w:tcW w:w="5480" w:type="dxa"/>
            <w:vAlign w:val="bottom"/>
            <w:shd w:val="clear" w:color="auto" w:fill="D1D2D4"/>
          </w:tcPr>
          <w:p>
            <w:pPr>
              <w:spacing w:after="0"/>
              <w:rPr>
                <w:sz w:val="20"/>
                <w:szCs w:val="20"/>
                <w:color w:val="auto"/>
              </w:rPr>
            </w:pPr>
            <w:r>
              <w:rPr>
                <w:rFonts w:ascii="Arial" w:cs="Arial" w:eastAsia="Arial" w:hAnsi="Arial"/>
                <w:sz w:val="12"/>
                <w:szCs w:val="12"/>
                <w:color w:val="auto"/>
              </w:rPr>
              <w:t>Operating income (loss)</w:t>
            </w:r>
          </w:p>
        </w:tc>
        <w:tc>
          <w:tcPr>
            <w:tcW w:w="220" w:type="dxa"/>
            <w:vAlign w:val="bottom"/>
            <w:shd w:val="clear" w:color="auto" w:fill="D1D2D4"/>
          </w:tcPr>
          <w:p>
            <w:pPr>
              <w:spacing w:after="0"/>
              <w:rPr>
                <w:sz w:val="13"/>
                <w:szCs w:val="13"/>
                <w:color w:val="auto"/>
              </w:rPr>
            </w:pPr>
          </w:p>
        </w:tc>
        <w:tc>
          <w:tcPr>
            <w:tcW w:w="1220" w:type="dxa"/>
            <w:vAlign w:val="bottom"/>
            <w:shd w:val="clear" w:color="auto" w:fill="D1D2D4"/>
          </w:tcPr>
          <w:p>
            <w:pPr>
              <w:spacing w:after="0"/>
              <w:rPr>
                <w:sz w:val="13"/>
                <w:szCs w:val="13"/>
                <w:color w:val="auto"/>
              </w:rPr>
            </w:pPr>
          </w:p>
        </w:tc>
        <w:tc>
          <w:tcPr>
            <w:tcW w:w="440" w:type="dxa"/>
            <w:vAlign w:val="bottom"/>
            <w:shd w:val="clear" w:color="auto" w:fill="D1D2D4"/>
          </w:tcPr>
          <w:p>
            <w:pPr>
              <w:spacing w:after="0"/>
              <w:rPr>
                <w:sz w:val="13"/>
                <w:szCs w:val="13"/>
                <w:color w:val="auto"/>
              </w:rPr>
            </w:pPr>
          </w:p>
        </w:tc>
        <w:tc>
          <w:tcPr>
            <w:tcW w:w="980" w:type="dxa"/>
            <w:vAlign w:val="bottom"/>
            <w:shd w:val="clear" w:color="auto" w:fill="D1D2D4"/>
          </w:tcPr>
          <w:p>
            <w:pPr>
              <w:spacing w:after="0"/>
              <w:rPr>
                <w:sz w:val="13"/>
                <w:szCs w:val="13"/>
                <w:color w:val="auto"/>
              </w:rPr>
            </w:pPr>
          </w:p>
        </w:tc>
        <w:tc>
          <w:tcPr>
            <w:tcW w:w="8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spacing w:after="0"/>
              <w:rPr>
                <w:sz w:val="13"/>
                <w:szCs w:val="13"/>
                <w:color w:val="auto"/>
              </w:rPr>
            </w:pPr>
          </w:p>
        </w:tc>
        <w:tc>
          <w:tcPr>
            <w:tcW w:w="280" w:type="dxa"/>
            <w:vAlign w:val="bottom"/>
            <w:shd w:val="clear" w:color="auto" w:fill="D1D2D4"/>
          </w:tcPr>
          <w:p>
            <w:pPr>
              <w:spacing w:after="0"/>
              <w:rPr>
                <w:sz w:val="13"/>
                <w:szCs w:val="13"/>
                <w:color w:val="auto"/>
              </w:rPr>
            </w:pPr>
          </w:p>
        </w:tc>
        <w:tc>
          <w:tcPr>
            <w:tcW w:w="1180" w:type="dxa"/>
            <w:vAlign w:val="bottom"/>
            <w:shd w:val="clear" w:color="auto" w:fill="D1D2D4"/>
          </w:tcPr>
          <w:p>
            <w:pPr>
              <w:spacing w:after="0"/>
              <w:rPr>
                <w:sz w:val="13"/>
                <w:szCs w:val="13"/>
                <w:color w:val="auto"/>
              </w:rPr>
            </w:pPr>
          </w:p>
        </w:tc>
      </w:tr>
      <w:tr>
        <w:trPr>
          <w:trHeight w:val="153"/>
        </w:trPr>
        <w:tc>
          <w:tcPr>
            <w:tcW w:w="5480" w:type="dxa"/>
            <w:vAlign w:val="bottom"/>
          </w:tcPr>
          <w:p>
            <w:pPr>
              <w:ind w:left="80"/>
              <w:spacing w:after="0"/>
              <w:rPr>
                <w:sz w:val="20"/>
                <w:szCs w:val="20"/>
                <w:color w:val="auto"/>
              </w:rPr>
            </w:pPr>
            <w:r>
              <w:rPr>
                <w:rFonts w:ascii="Arial" w:cs="Arial" w:eastAsia="Arial" w:hAnsi="Arial"/>
                <w:sz w:val="12"/>
                <w:szCs w:val="12"/>
                <w:color w:val="auto"/>
              </w:rPr>
              <w:t>CNBU</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28</w:t>
            </w: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(35)</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(369)</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155</w:t>
            </w:r>
          </w:p>
        </w:tc>
      </w:tr>
      <w:tr>
        <w:trPr>
          <w:trHeight w:val="153"/>
        </w:trPr>
        <w:tc>
          <w:tcPr>
            <w:tcW w:w="5480" w:type="dxa"/>
            <w:vAlign w:val="bottom"/>
            <w:shd w:val="clear" w:color="auto" w:fill="D1D2D4"/>
          </w:tcPr>
          <w:p>
            <w:pPr>
              <w:ind w:left="80"/>
              <w:spacing w:after="0"/>
              <w:rPr>
                <w:sz w:val="20"/>
                <w:szCs w:val="20"/>
                <w:color w:val="auto"/>
              </w:rPr>
            </w:pPr>
            <w:r>
              <w:rPr>
                <w:rFonts w:ascii="Arial" w:cs="Arial" w:eastAsia="Arial" w:hAnsi="Arial"/>
                <w:sz w:val="12"/>
                <w:szCs w:val="12"/>
                <w:color w:val="auto"/>
              </w:rPr>
              <w:t>MBU</w:t>
            </w:r>
          </w:p>
        </w:tc>
        <w:tc>
          <w:tcPr>
            <w:tcW w:w="220" w:type="dxa"/>
            <w:vAlign w:val="bottom"/>
            <w:shd w:val="clear" w:color="auto" w:fill="D1D2D4"/>
          </w:tcPr>
          <w:p>
            <w:pPr>
              <w:spacing w:after="0"/>
              <w:rPr>
                <w:sz w:val="13"/>
                <w:szCs w:val="13"/>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w:t>
            </w:r>
          </w:p>
        </w:tc>
        <w:tc>
          <w:tcPr>
            <w:tcW w:w="440" w:type="dxa"/>
            <w:vAlign w:val="bottom"/>
            <w:shd w:val="clear" w:color="auto" w:fill="D1D2D4"/>
          </w:tcPr>
          <w:p>
            <w:pPr>
              <w:spacing w:after="0"/>
              <w:rPr>
                <w:sz w:val="13"/>
                <w:szCs w:val="13"/>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(344)</w:t>
            </w:r>
          </w:p>
        </w:tc>
        <w:tc>
          <w:tcPr>
            <w:tcW w:w="8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(696)</w:t>
            </w:r>
          </w:p>
        </w:tc>
        <w:tc>
          <w:tcPr>
            <w:tcW w:w="28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(539)</w:t>
            </w:r>
          </w:p>
        </w:tc>
      </w:tr>
      <w:tr>
        <w:trPr>
          <w:trHeight w:val="153"/>
        </w:trPr>
        <w:tc>
          <w:tcPr>
            <w:tcW w:w="5480" w:type="dxa"/>
            <w:vAlign w:val="bottom"/>
          </w:tcPr>
          <w:p>
            <w:pPr>
              <w:ind w:left="80"/>
              <w:spacing w:after="0"/>
              <w:rPr>
                <w:sz w:val="20"/>
                <w:szCs w:val="20"/>
                <w:color w:val="auto"/>
              </w:rPr>
            </w:pPr>
            <w:r>
              <w:rPr>
                <w:rFonts w:ascii="Arial" w:cs="Arial" w:eastAsia="Arial" w:hAnsi="Arial"/>
                <w:sz w:val="12"/>
                <w:szCs w:val="12"/>
                <w:color w:val="auto"/>
              </w:rPr>
              <w:t>EBU</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w:t>
            </w:r>
          </w:p>
        </w:tc>
        <w:tc>
          <w:tcPr>
            <w:tcW w:w="4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9</w:t>
            </w:r>
          </w:p>
        </w:tc>
        <w:tc>
          <w:tcPr>
            <w:tcW w:w="2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282</w:t>
            </w:r>
          </w:p>
        </w:tc>
      </w:tr>
      <w:tr>
        <w:trPr>
          <w:trHeight w:val="153"/>
        </w:trPr>
        <w:tc>
          <w:tcPr>
            <w:tcW w:w="5480" w:type="dxa"/>
            <w:vAlign w:val="bottom"/>
            <w:shd w:val="clear" w:color="auto" w:fill="D1D2D4"/>
          </w:tcPr>
          <w:p>
            <w:pPr>
              <w:ind w:left="80"/>
              <w:spacing w:after="0"/>
              <w:rPr>
                <w:sz w:val="20"/>
                <w:szCs w:val="20"/>
                <w:color w:val="auto"/>
              </w:rPr>
            </w:pPr>
            <w:r>
              <w:rPr>
                <w:rFonts w:ascii="Arial" w:cs="Arial" w:eastAsia="Arial" w:hAnsi="Arial"/>
                <w:sz w:val="12"/>
                <w:szCs w:val="12"/>
                <w:color w:val="auto"/>
              </w:rPr>
              <w:t>SBU</w:t>
            </w:r>
          </w:p>
        </w:tc>
        <w:tc>
          <w:tcPr>
            <w:tcW w:w="220" w:type="dxa"/>
            <w:vAlign w:val="bottom"/>
            <w:shd w:val="clear" w:color="auto" w:fill="D1D2D4"/>
          </w:tcPr>
          <w:p>
            <w:pPr>
              <w:spacing w:after="0"/>
              <w:rPr>
                <w:sz w:val="13"/>
                <w:szCs w:val="13"/>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(217)</w:t>
            </w:r>
          </w:p>
        </w:tc>
        <w:tc>
          <w:tcPr>
            <w:tcW w:w="440" w:type="dxa"/>
            <w:vAlign w:val="bottom"/>
            <w:shd w:val="clear" w:color="auto" w:fill="D1D2D4"/>
          </w:tcPr>
          <w:p>
            <w:pPr>
              <w:spacing w:after="0"/>
              <w:rPr>
                <w:sz w:val="13"/>
                <w:szCs w:val="13"/>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(357)</w:t>
            </w:r>
          </w:p>
        </w:tc>
        <w:tc>
          <w:tcPr>
            <w:tcW w:w="8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(707)</w:t>
            </w:r>
          </w:p>
        </w:tc>
        <w:tc>
          <w:tcPr>
            <w:tcW w:w="28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(614)</w:t>
            </w:r>
          </w:p>
        </w:tc>
      </w:tr>
      <w:tr>
        <w:trPr>
          <w:trHeight w:val="153"/>
        </w:trPr>
        <w:tc>
          <w:tcPr>
            <w:tcW w:w="5480" w:type="dxa"/>
            <w:vAlign w:val="bottom"/>
            <w:tcBorders>
              <w:bottom w:val="single" w:sz="8" w:color="D1D2D4"/>
            </w:tcBorders>
          </w:tcPr>
          <w:p>
            <w:pPr>
              <w:ind w:left="80"/>
              <w:spacing w:after="0"/>
              <w:rPr>
                <w:sz w:val="20"/>
                <w:szCs w:val="20"/>
                <w:color w:val="auto"/>
              </w:rPr>
            </w:pPr>
            <w:r>
              <w:rPr>
                <w:rFonts w:ascii="Arial" w:cs="Arial" w:eastAsia="Arial" w:hAnsi="Arial"/>
                <w:sz w:val="12"/>
                <w:szCs w:val="12"/>
                <w:color w:val="auto"/>
              </w:rPr>
              <w:t>All Other</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w:t>
            </w: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bottom w:val="single" w:sz="8" w:color="D1D2D4"/>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w:t>
            </w: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r>
      <w:tr>
        <w:trPr>
          <w:trHeight w:val="142"/>
        </w:trPr>
        <w:tc>
          <w:tcPr>
            <w:tcW w:w="5480" w:type="dxa"/>
            <w:vAlign w:val="bottom"/>
            <w:shd w:val="clear" w:color="auto" w:fill="D1D2D4"/>
          </w:tcPr>
          <w:p>
            <w:pPr>
              <w:spacing w:after="0"/>
              <w:rPr>
                <w:sz w:val="12"/>
                <w:szCs w:val="12"/>
                <w:color w:val="auto"/>
              </w:rPr>
            </w:pPr>
          </w:p>
        </w:tc>
        <w:tc>
          <w:tcPr>
            <w:tcW w:w="220" w:type="dxa"/>
            <w:vAlign w:val="bottom"/>
            <w:tcBorders>
              <w:bottom w:val="single" w:sz="8" w:color="auto"/>
            </w:tcBorders>
            <w:shd w:val="clear" w:color="auto" w:fill="D1D2D4"/>
          </w:tcPr>
          <w:p>
            <w:pPr>
              <w:spacing w:after="0"/>
              <w:rPr>
                <w:sz w:val="12"/>
                <w:szCs w:val="12"/>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(178)</w:t>
            </w:r>
          </w:p>
        </w:tc>
        <w:tc>
          <w:tcPr>
            <w:tcW w:w="440" w:type="dxa"/>
            <w:vAlign w:val="bottom"/>
            <w:tcBorders>
              <w:bottom w:val="single" w:sz="8" w:color="auto"/>
            </w:tcBorders>
            <w:shd w:val="clear" w:color="auto" w:fill="D1D2D4"/>
          </w:tcPr>
          <w:p>
            <w:pPr>
              <w:spacing w:after="0"/>
              <w:rPr>
                <w:sz w:val="12"/>
                <w:szCs w:val="12"/>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(647)</w:t>
            </w:r>
          </w:p>
        </w:tc>
        <w:tc>
          <w:tcPr>
            <w:tcW w:w="80" w:type="dxa"/>
            <w:vAlign w:val="bottom"/>
            <w:shd w:val="clear" w:color="auto" w:fill="D1D2D4"/>
          </w:tcPr>
          <w:p>
            <w:pPr>
              <w:spacing w:after="0"/>
              <w:rPr>
                <w:sz w:val="12"/>
                <w:szCs w:val="12"/>
                <w:color w:val="auto"/>
              </w:rPr>
            </w:pPr>
          </w:p>
        </w:tc>
        <w:tc>
          <w:tcPr>
            <w:tcW w:w="220" w:type="dxa"/>
            <w:vAlign w:val="bottom"/>
            <w:tcBorders>
              <w:bottom w:val="single" w:sz="8" w:color="auto"/>
            </w:tcBorders>
            <w:shd w:val="clear" w:color="auto" w:fill="D1D2D4"/>
          </w:tcPr>
          <w:p>
            <w:pPr>
              <w:spacing w:after="0"/>
              <w:rPr>
                <w:sz w:val="12"/>
                <w:szCs w:val="12"/>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(1,738)</w:t>
            </w:r>
          </w:p>
        </w:tc>
        <w:tc>
          <w:tcPr>
            <w:tcW w:w="280" w:type="dxa"/>
            <w:vAlign w:val="bottom"/>
            <w:tcBorders>
              <w:bottom w:val="single" w:sz="8" w:color="auto"/>
            </w:tcBorders>
            <w:shd w:val="clear" w:color="auto" w:fill="D1D2D4"/>
          </w:tcPr>
          <w:p>
            <w:pPr>
              <w:spacing w:after="0"/>
              <w:rPr>
                <w:sz w:val="12"/>
                <w:szCs w:val="12"/>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(712)</w:t>
            </w:r>
          </w:p>
        </w:tc>
      </w:tr>
      <w:tr>
        <w:trPr>
          <w:trHeight w:val="151"/>
        </w:trPr>
        <w:tc>
          <w:tcPr>
            <w:tcW w:w="5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3"/>
        </w:trPr>
        <w:tc>
          <w:tcPr>
            <w:tcW w:w="5480" w:type="dxa"/>
            <w:vAlign w:val="bottom"/>
            <w:shd w:val="clear" w:color="auto" w:fill="D1D2D4"/>
          </w:tcPr>
          <w:p>
            <w:pPr>
              <w:spacing w:after="0"/>
              <w:rPr>
                <w:sz w:val="20"/>
                <w:szCs w:val="20"/>
                <w:color w:val="auto"/>
              </w:rPr>
            </w:pPr>
            <w:r>
              <w:rPr>
                <w:rFonts w:ascii="Arial" w:cs="Arial" w:eastAsia="Arial" w:hAnsi="Arial"/>
                <w:sz w:val="12"/>
                <w:szCs w:val="12"/>
                <w:color w:val="auto"/>
              </w:rPr>
              <w:t>Unallocated</w:t>
            </w:r>
          </w:p>
        </w:tc>
        <w:tc>
          <w:tcPr>
            <w:tcW w:w="220" w:type="dxa"/>
            <w:vAlign w:val="bottom"/>
            <w:shd w:val="clear" w:color="auto" w:fill="D1D2D4"/>
          </w:tcPr>
          <w:p>
            <w:pPr>
              <w:spacing w:after="0"/>
              <w:rPr>
                <w:sz w:val="13"/>
                <w:szCs w:val="13"/>
                <w:color w:val="auto"/>
              </w:rPr>
            </w:pPr>
          </w:p>
        </w:tc>
        <w:tc>
          <w:tcPr>
            <w:tcW w:w="1220" w:type="dxa"/>
            <w:vAlign w:val="bottom"/>
            <w:shd w:val="clear" w:color="auto" w:fill="D1D2D4"/>
          </w:tcPr>
          <w:p>
            <w:pPr>
              <w:spacing w:after="0"/>
              <w:rPr>
                <w:sz w:val="13"/>
                <w:szCs w:val="13"/>
                <w:color w:val="auto"/>
              </w:rPr>
            </w:pPr>
          </w:p>
        </w:tc>
        <w:tc>
          <w:tcPr>
            <w:tcW w:w="440" w:type="dxa"/>
            <w:vAlign w:val="bottom"/>
            <w:shd w:val="clear" w:color="auto" w:fill="D1D2D4"/>
          </w:tcPr>
          <w:p>
            <w:pPr>
              <w:spacing w:after="0"/>
              <w:rPr>
                <w:sz w:val="13"/>
                <w:szCs w:val="13"/>
                <w:color w:val="auto"/>
              </w:rPr>
            </w:pPr>
          </w:p>
        </w:tc>
        <w:tc>
          <w:tcPr>
            <w:tcW w:w="980" w:type="dxa"/>
            <w:vAlign w:val="bottom"/>
            <w:shd w:val="clear" w:color="auto" w:fill="D1D2D4"/>
          </w:tcPr>
          <w:p>
            <w:pPr>
              <w:spacing w:after="0"/>
              <w:rPr>
                <w:sz w:val="13"/>
                <w:szCs w:val="13"/>
                <w:color w:val="auto"/>
              </w:rPr>
            </w:pPr>
          </w:p>
        </w:tc>
        <w:tc>
          <w:tcPr>
            <w:tcW w:w="8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spacing w:after="0"/>
              <w:rPr>
                <w:sz w:val="13"/>
                <w:szCs w:val="13"/>
                <w:color w:val="auto"/>
              </w:rPr>
            </w:pPr>
          </w:p>
        </w:tc>
        <w:tc>
          <w:tcPr>
            <w:tcW w:w="280" w:type="dxa"/>
            <w:vAlign w:val="bottom"/>
            <w:shd w:val="clear" w:color="auto" w:fill="D1D2D4"/>
          </w:tcPr>
          <w:p>
            <w:pPr>
              <w:spacing w:after="0"/>
              <w:rPr>
                <w:sz w:val="13"/>
                <w:szCs w:val="13"/>
                <w:color w:val="auto"/>
              </w:rPr>
            </w:pPr>
          </w:p>
        </w:tc>
        <w:tc>
          <w:tcPr>
            <w:tcW w:w="1180" w:type="dxa"/>
            <w:vAlign w:val="bottom"/>
            <w:shd w:val="clear" w:color="auto" w:fill="D1D2D4"/>
          </w:tcPr>
          <w:p>
            <w:pPr>
              <w:spacing w:after="0"/>
              <w:rPr>
                <w:sz w:val="13"/>
                <w:szCs w:val="13"/>
                <w:color w:val="auto"/>
              </w:rPr>
            </w:pPr>
          </w:p>
        </w:tc>
      </w:tr>
      <w:tr>
        <w:trPr>
          <w:trHeight w:val="153"/>
        </w:trPr>
        <w:tc>
          <w:tcPr>
            <w:tcW w:w="5480" w:type="dxa"/>
            <w:vAlign w:val="bottom"/>
          </w:tcPr>
          <w:p>
            <w:pPr>
              <w:ind w:left="80"/>
              <w:spacing w:after="0"/>
              <w:rPr>
                <w:sz w:val="20"/>
                <w:szCs w:val="20"/>
                <w:color w:val="auto"/>
              </w:rPr>
            </w:pPr>
            <w:r>
              <w:rPr>
                <w:rFonts w:ascii="Arial" w:cs="Arial" w:eastAsia="Arial" w:hAnsi="Arial"/>
                <w:sz w:val="12"/>
                <w:szCs w:val="12"/>
                <w:color w:val="auto"/>
              </w:rPr>
              <w:t>Lower costs from sale of inventory written down in prior periods</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382</w:t>
            </w:r>
          </w:p>
        </w:tc>
        <w:tc>
          <w:tcPr>
            <w:tcW w:w="44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987</w:t>
            </w:r>
          </w:p>
        </w:tc>
        <w:tc>
          <w:tcPr>
            <w:tcW w:w="2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5480" w:type="dxa"/>
            <w:vAlign w:val="bottom"/>
            <w:shd w:val="clear" w:color="auto" w:fill="D1D2D4"/>
          </w:tcPr>
          <w:p>
            <w:pPr>
              <w:ind w:left="80"/>
              <w:spacing w:after="0"/>
              <w:rPr>
                <w:sz w:val="20"/>
                <w:szCs w:val="20"/>
                <w:color w:val="auto"/>
              </w:rPr>
            </w:pPr>
            <w:r>
              <w:rPr>
                <w:rFonts w:ascii="Arial" w:cs="Arial" w:eastAsia="Arial" w:hAnsi="Arial"/>
                <w:sz w:val="12"/>
                <w:szCs w:val="12"/>
                <w:color w:val="auto"/>
              </w:rPr>
              <w:t>Patent cross-license agreement gain</w:t>
            </w:r>
          </w:p>
        </w:tc>
        <w:tc>
          <w:tcPr>
            <w:tcW w:w="220" w:type="dxa"/>
            <w:vAlign w:val="bottom"/>
            <w:shd w:val="clear" w:color="auto" w:fill="D1D2D4"/>
          </w:tcPr>
          <w:p>
            <w:pPr>
              <w:spacing w:after="0"/>
              <w:rPr>
                <w:sz w:val="13"/>
                <w:szCs w:val="13"/>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200</w:t>
            </w:r>
          </w:p>
        </w:tc>
        <w:tc>
          <w:tcPr>
            <w:tcW w:w="440" w:type="dxa"/>
            <w:vAlign w:val="bottom"/>
            <w:shd w:val="clear" w:color="auto" w:fill="D1D2D4"/>
          </w:tcPr>
          <w:p>
            <w:pPr>
              <w:spacing w:after="0"/>
              <w:rPr>
                <w:sz w:val="13"/>
                <w:szCs w:val="13"/>
                <w:color w:val="auto"/>
              </w:rPr>
            </w:pPr>
          </w:p>
        </w:tc>
        <w:tc>
          <w:tcPr>
            <w:tcW w:w="1060" w:type="dxa"/>
            <w:vAlign w:val="bottom"/>
            <w:gridSpan w:val="2"/>
            <w:shd w:val="clear" w:color="auto" w:fill="D1D2D4"/>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200</w:t>
            </w:r>
          </w:p>
        </w:tc>
        <w:tc>
          <w:tcPr>
            <w:tcW w:w="28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5480" w:type="dxa"/>
            <w:vAlign w:val="bottom"/>
          </w:tcPr>
          <w:p>
            <w:pPr>
              <w:ind w:left="80"/>
              <w:spacing w:after="0"/>
              <w:rPr>
                <w:sz w:val="20"/>
                <w:szCs w:val="20"/>
                <w:color w:val="auto"/>
              </w:rPr>
            </w:pPr>
            <w:r>
              <w:rPr>
                <w:rFonts w:ascii="Arial" w:cs="Arial" w:eastAsia="Arial" w:hAnsi="Arial"/>
                <w:sz w:val="12"/>
                <w:szCs w:val="12"/>
                <w:color w:val="auto"/>
              </w:rPr>
              <w:t>Stock-based compensation</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(209)</w:t>
            </w:r>
          </w:p>
        </w:tc>
        <w:tc>
          <w:tcPr>
            <w:tcW w:w="4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(391)</w:t>
            </w:r>
          </w:p>
        </w:tc>
        <w:tc>
          <w:tcPr>
            <w:tcW w:w="2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(262)</w:t>
            </w:r>
          </w:p>
        </w:tc>
      </w:tr>
      <w:tr>
        <w:trPr>
          <w:trHeight w:val="153"/>
        </w:trPr>
        <w:tc>
          <w:tcPr>
            <w:tcW w:w="5480" w:type="dxa"/>
            <w:vAlign w:val="bottom"/>
            <w:shd w:val="clear" w:color="auto" w:fill="D1D2D4"/>
          </w:tcPr>
          <w:p>
            <w:pPr>
              <w:ind w:left="80"/>
              <w:spacing w:after="0"/>
              <w:rPr>
                <w:sz w:val="20"/>
                <w:szCs w:val="20"/>
                <w:color w:val="auto"/>
              </w:rPr>
            </w:pPr>
            <w:r>
              <w:rPr>
                <w:rFonts w:ascii="Arial" w:cs="Arial" w:eastAsia="Arial" w:hAnsi="Arial"/>
                <w:sz w:val="12"/>
                <w:szCs w:val="12"/>
                <w:color w:val="auto"/>
              </w:rPr>
              <w:t>Restructure and asset impairments</w:t>
            </w:r>
          </w:p>
        </w:tc>
        <w:tc>
          <w:tcPr>
            <w:tcW w:w="220" w:type="dxa"/>
            <w:vAlign w:val="bottom"/>
            <w:shd w:val="clear" w:color="auto" w:fill="D1D2D4"/>
          </w:tcPr>
          <w:p>
            <w:pPr>
              <w:spacing w:after="0"/>
              <w:rPr>
                <w:sz w:val="13"/>
                <w:szCs w:val="13"/>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440" w:type="dxa"/>
            <w:vAlign w:val="bottom"/>
            <w:shd w:val="clear" w:color="auto" w:fill="D1D2D4"/>
          </w:tcPr>
          <w:p>
            <w:pPr>
              <w:spacing w:after="0"/>
              <w:rPr>
                <w:sz w:val="13"/>
                <w:szCs w:val="13"/>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(86)</w:t>
            </w:r>
          </w:p>
        </w:tc>
        <w:tc>
          <w:tcPr>
            <w:tcW w:w="8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(99)</w:t>
            </w:r>
          </w:p>
        </w:tc>
      </w:tr>
      <w:tr>
        <w:trPr>
          <w:trHeight w:val="153"/>
        </w:trPr>
        <w:tc>
          <w:tcPr>
            <w:tcW w:w="5480" w:type="dxa"/>
            <w:vAlign w:val="bottom"/>
          </w:tcPr>
          <w:p>
            <w:pPr>
              <w:ind w:left="80"/>
              <w:spacing w:after="0"/>
              <w:rPr>
                <w:sz w:val="20"/>
                <w:szCs w:val="20"/>
                <w:color w:val="auto"/>
              </w:rPr>
            </w:pPr>
            <w:r>
              <w:rPr>
                <w:rFonts w:ascii="Arial" w:cs="Arial" w:eastAsia="Arial" w:hAnsi="Arial"/>
                <w:sz w:val="12"/>
                <w:szCs w:val="12"/>
                <w:color w:val="auto"/>
              </w:rPr>
              <w:t>Provision to write-down inventories to net realizable value</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(1,430)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(1,430)</w:t>
            </w:r>
          </w:p>
        </w:tc>
      </w:tr>
      <w:tr>
        <w:trPr>
          <w:trHeight w:val="153"/>
        </w:trPr>
        <w:tc>
          <w:tcPr>
            <w:tcW w:w="5480" w:type="dxa"/>
            <w:vAlign w:val="bottom"/>
            <w:shd w:val="clear" w:color="auto" w:fill="D1D2D4"/>
          </w:tcPr>
          <w:p>
            <w:pPr>
              <w:ind w:left="80"/>
              <w:spacing w:after="0"/>
              <w:rPr>
                <w:sz w:val="20"/>
                <w:szCs w:val="20"/>
                <w:color w:val="auto"/>
              </w:rPr>
            </w:pPr>
            <w:r>
              <w:rPr>
                <w:rFonts w:ascii="Arial" w:cs="Arial" w:eastAsia="Arial" w:hAnsi="Arial"/>
                <w:sz w:val="12"/>
                <w:szCs w:val="12"/>
                <w:color w:val="auto"/>
              </w:rPr>
              <w:t>Other</w:t>
            </w:r>
          </w:p>
        </w:tc>
        <w:tc>
          <w:tcPr>
            <w:tcW w:w="220" w:type="dxa"/>
            <w:vAlign w:val="bottom"/>
            <w:tcBorders>
              <w:bottom w:val="single" w:sz="8" w:color="auto"/>
            </w:tcBorders>
            <w:shd w:val="clear" w:color="auto" w:fill="D1D2D4"/>
          </w:tcPr>
          <w:p>
            <w:pPr>
              <w:spacing w:after="0"/>
              <w:rPr>
                <w:sz w:val="13"/>
                <w:szCs w:val="13"/>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w:t>
            </w:r>
          </w:p>
        </w:tc>
        <w:tc>
          <w:tcPr>
            <w:tcW w:w="440" w:type="dxa"/>
            <w:vAlign w:val="bottom"/>
            <w:tcBorders>
              <w:bottom w:val="single" w:sz="8" w:color="auto"/>
            </w:tcBorders>
            <w:shd w:val="clear" w:color="auto" w:fill="D1D2D4"/>
          </w:tcPr>
          <w:p>
            <w:pPr>
              <w:spacing w:after="0"/>
              <w:rPr>
                <w:sz w:val="13"/>
                <w:szCs w:val="13"/>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D1D2D4"/>
          </w:tcPr>
          <w:p>
            <w:pPr>
              <w:spacing w:after="0"/>
              <w:rPr>
                <w:sz w:val="13"/>
                <w:szCs w:val="13"/>
                <w:color w:val="auto"/>
              </w:rPr>
            </w:pPr>
          </w:p>
        </w:tc>
        <w:tc>
          <w:tcPr>
            <w:tcW w:w="22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5</w:t>
            </w:r>
          </w:p>
        </w:tc>
        <w:tc>
          <w:tcPr>
            <w:tcW w:w="280" w:type="dxa"/>
            <w:vAlign w:val="bottom"/>
            <w:tcBorders>
              <w:bottom w:val="single" w:sz="8" w:color="auto"/>
            </w:tcBorders>
            <w:shd w:val="clear" w:color="auto" w:fill="D1D2D4"/>
          </w:tcPr>
          <w:p>
            <w:pPr>
              <w:spacing w:after="0"/>
              <w:rPr>
                <w:sz w:val="13"/>
                <w:szCs w:val="13"/>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(9)</w:t>
            </w:r>
          </w:p>
        </w:tc>
      </w:tr>
      <w:tr>
        <w:trPr>
          <w:trHeight w:val="142"/>
        </w:trPr>
        <w:tc>
          <w:tcPr>
            <w:tcW w:w="5480" w:type="dxa"/>
            <w:vAlign w:val="bottom"/>
            <w:tcBorders>
              <w:bottom w:val="single" w:sz="8" w:color="D1D2D4"/>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369</w:t>
            </w: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(1,656)</w:t>
            </w:r>
          </w:p>
        </w:tc>
        <w:tc>
          <w:tcPr>
            <w:tcW w:w="80" w:type="dxa"/>
            <w:vAlign w:val="bottom"/>
            <w:tcBorders>
              <w:bottom w:val="single" w:sz="8" w:color="D1D2D4"/>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801</w:t>
            </w: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(1,800)</w:t>
            </w:r>
          </w:p>
        </w:tc>
      </w:tr>
      <w:tr>
        <w:trPr>
          <w:trHeight w:val="151"/>
        </w:trPr>
        <w:tc>
          <w:tcPr>
            <w:tcW w:w="5480" w:type="dxa"/>
            <w:vAlign w:val="bottom"/>
            <w:shd w:val="clear" w:color="auto" w:fill="D1D2D4"/>
          </w:tcPr>
          <w:p>
            <w:pPr>
              <w:spacing w:after="0"/>
              <w:rPr>
                <w:sz w:val="13"/>
                <w:szCs w:val="13"/>
                <w:color w:val="auto"/>
              </w:rPr>
            </w:pPr>
          </w:p>
        </w:tc>
        <w:tc>
          <w:tcPr>
            <w:tcW w:w="220" w:type="dxa"/>
            <w:vAlign w:val="bottom"/>
            <w:tcBorders>
              <w:bottom w:val="single" w:sz="8" w:color="auto"/>
            </w:tcBorders>
            <w:shd w:val="clear" w:color="auto" w:fill="D1D2D4"/>
          </w:tcPr>
          <w:p>
            <w:pPr>
              <w:spacing w:after="0"/>
              <w:rPr>
                <w:sz w:val="13"/>
                <w:szCs w:val="13"/>
                <w:color w:val="auto"/>
              </w:rPr>
            </w:pPr>
          </w:p>
        </w:tc>
        <w:tc>
          <w:tcPr>
            <w:tcW w:w="1220" w:type="dxa"/>
            <w:vAlign w:val="bottom"/>
            <w:tcBorders>
              <w:bottom w:val="single" w:sz="8" w:color="auto"/>
            </w:tcBorders>
            <w:shd w:val="clear" w:color="auto" w:fill="D1D2D4"/>
          </w:tcPr>
          <w:p>
            <w:pPr>
              <w:spacing w:after="0"/>
              <w:rPr>
                <w:sz w:val="13"/>
                <w:szCs w:val="13"/>
                <w:color w:val="auto"/>
              </w:rPr>
            </w:pPr>
          </w:p>
        </w:tc>
        <w:tc>
          <w:tcPr>
            <w:tcW w:w="440" w:type="dxa"/>
            <w:vAlign w:val="bottom"/>
            <w:tcBorders>
              <w:bottom w:val="single" w:sz="8" w:color="auto"/>
            </w:tcBorders>
            <w:shd w:val="clear" w:color="auto" w:fill="D1D2D4"/>
          </w:tcPr>
          <w:p>
            <w:pPr>
              <w:spacing w:after="0"/>
              <w:rPr>
                <w:sz w:val="13"/>
                <w:szCs w:val="13"/>
                <w:color w:val="auto"/>
              </w:rPr>
            </w:pPr>
          </w:p>
        </w:tc>
        <w:tc>
          <w:tcPr>
            <w:tcW w:w="980" w:type="dxa"/>
            <w:vAlign w:val="bottom"/>
            <w:tcBorders>
              <w:bottom w:val="single" w:sz="8" w:color="auto"/>
            </w:tcBorders>
            <w:shd w:val="clear" w:color="auto" w:fill="D1D2D4"/>
          </w:tcPr>
          <w:p>
            <w:pPr>
              <w:spacing w:after="0"/>
              <w:rPr>
                <w:sz w:val="13"/>
                <w:szCs w:val="13"/>
                <w:color w:val="auto"/>
              </w:rPr>
            </w:pPr>
          </w:p>
        </w:tc>
        <w:tc>
          <w:tcPr>
            <w:tcW w:w="80" w:type="dxa"/>
            <w:vAlign w:val="bottom"/>
            <w:shd w:val="clear" w:color="auto" w:fill="D1D2D4"/>
          </w:tcPr>
          <w:p>
            <w:pPr>
              <w:spacing w:after="0"/>
              <w:rPr>
                <w:sz w:val="13"/>
                <w:szCs w:val="13"/>
                <w:color w:val="auto"/>
              </w:rPr>
            </w:pPr>
          </w:p>
        </w:tc>
        <w:tc>
          <w:tcPr>
            <w:tcW w:w="22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shd w:val="clear" w:color="auto" w:fill="D1D2D4"/>
          </w:tcPr>
          <w:p>
            <w:pPr>
              <w:spacing w:after="0"/>
              <w:rPr>
                <w:sz w:val="13"/>
                <w:szCs w:val="13"/>
                <w:color w:val="auto"/>
              </w:rPr>
            </w:pPr>
          </w:p>
        </w:tc>
        <w:tc>
          <w:tcPr>
            <w:tcW w:w="280" w:type="dxa"/>
            <w:vAlign w:val="bottom"/>
            <w:tcBorders>
              <w:bottom w:val="single" w:sz="8" w:color="auto"/>
            </w:tcBorders>
            <w:shd w:val="clear" w:color="auto" w:fill="D1D2D4"/>
          </w:tcPr>
          <w:p>
            <w:pPr>
              <w:spacing w:after="0"/>
              <w:rPr>
                <w:sz w:val="13"/>
                <w:szCs w:val="13"/>
                <w:color w:val="auto"/>
              </w:rPr>
            </w:pPr>
          </w:p>
        </w:tc>
        <w:tc>
          <w:tcPr>
            <w:tcW w:w="1180" w:type="dxa"/>
            <w:vAlign w:val="bottom"/>
            <w:tcBorders>
              <w:bottom w:val="single" w:sz="8" w:color="auto"/>
            </w:tcBorders>
            <w:shd w:val="clear" w:color="auto" w:fill="D1D2D4"/>
          </w:tcPr>
          <w:p>
            <w:pPr>
              <w:spacing w:after="0"/>
              <w:rPr>
                <w:sz w:val="13"/>
                <w:szCs w:val="13"/>
                <w:color w:val="auto"/>
              </w:rPr>
            </w:pPr>
          </w:p>
        </w:tc>
      </w:tr>
      <w:tr>
        <w:trPr>
          <w:trHeight w:val="142"/>
        </w:trPr>
        <w:tc>
          <w:tcPr>
            <w:tcW w:w="5480" w:type="dxa"/>
            <w:vAlign w:val="bottom"/>
          </w:tcPr>
          <w:p>
            <w:pPr>
              <w:spacing w:after="0"/>
              <w:rPr>
                <w:sz w:val="20"/>
                <w:szCs w:val="20"/>
                <w:color w:val="auto"/>
              </w:rPr>
            </w:pPr>
            <w:r>
              <w:rPr>
                <w:rFonts w:ascii="Arial" w:cs="Arial" w:eastAsia="Arial" w:hAnsi="Arial"/>
                <w:sz w:val="12"/>
                <w:szCs w:val="12"/>
                <w:color w:val="auto"/>
              </w:rPr>
              <w:t>Operating income (loss)</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191</w:t>
            </w:r>
          </w:p>
        </w:tc>
        <w:tc>
          <w:tcPr>
            <w:tcW w:w="4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(2,303)</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(937)</w:t>
            </w: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(2,512)</w:t>
            </w:r>
          </w:p>
        </w:tc>
      </w:tr>
      <w:tr>
        <w:trPr>
          <w:trHeight w:val="20"/>
        </w:trPr>
        <w:tc>
          <w:tcPr>
            <w:tcW w:w="5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74"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Certain Concentrations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960" w:type="dxa"/>
            <w:vAlign w:val="bottom"/>
          </w:tcPr>
          <w:p>
            <w:pPr>
              <w:spacing w:after="0"/>
              <w:rPr>
                <w:sz w:val="20"/>
                <w:szCs w:val="20"/>
                <w:color w:val="auto"/>
              </w:rPr>
            </w:pPr>
            <w:r>
              <w:rPr>
                <w:rFonts w:ascii="Arial" w:cs="Arial" w:eastAsia="Arial" w:hAnsi="Arial"/>
                <w:sz w:val="12"/>
                <w:szCs w:val="12"/>
                <w:color w:val="auto"/>
              </w:rPr>
              <w:t>Revenue by end market as an approximate percent of total revenue is presented in the table below:</w:t>
            </w:r>
          </w:p>
        </w:tc>
        <w:tc>
          <w:tcPr>
            <w:tcW w:w="2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960" w:type="dxa"/>
            <w:vAlign w:val="bottom"/>
            <w:vMerge w:val="restart"/>
          </w:tcPr>
          <w:p>
            <w:pPr>
              <w:spacing w:after="0"/>
              <w:rPr>
                <w:sz w:val="20"/>
                <w:szCs w:val="20"/>
                <w:color w:val="auto"/>
              </w:rPr>
            </w:pPr>
            <w:r>
              <w:rPr>
                <w:rFonts w:ascii="Arial" w:cs="Arial" w:eastAsia="Arial" w:hAnsi="Arial"/>
                <w:sz w:val="12"/>
                <w:szCs w:val="12"/>
                <w:b w:val="1"/>
                <w:bCs w:val="1"/>
                <w:color w:val="auto"/>
              </w:rPr>
              <w:t>Six months ended</w:t>
            </w:r>
          </w:p>
        </w:tc>
        <w:tc>
          <w:tcPr>
            <w:tcW w:w="2460" w:type="dxa"/>
            <w:vAlign w:val="bottom"/>
          </w:tcPr>
          <w:p>
            <w:pPr>
              <w:jc w:val="center"/>
              <w:ind w:left="1580"/>
              <w:spacing w:after="0" w:line="133" w:lineRule="exact"/>
              <w:rPr>
                <w:sz w:val="20"/>
                <w:szCs w:val="20"/>
                <w:color w:val="auto"/>
              </w:rPr>
            </w:pPr>
            <w:r>
              <w:rPr>
                <w:rFonts w:ascii="Arial" w:cs="Arial" w:eastAsia="Arial" w:hAnsi="Arial"/>
                <w:sz w:val="12"/>
                <w:szCs w:val="12"/>
                <w:b w:val="1"/>
                <w:bCs w:val="1"/>
                <w:color w:val="auto"/>
                <w:w w:val="98"/>
              </w:rPr>
              <w:t>February 29,</w:t>
            </w:r>
          </w:p>
        </w:tc>
        <w:tc>
          <w:tcPr>
            <w:tcW w:w="600" w:type="dxa"/>
            <w:vAlign w:val="bottom"/>
          </w:tcPr>
          <w:p>
            <w:pPr>
              <w:spacing w:after="0"/>
              <w:rPr>
                <w:sz w:val="11"/>
                <w:szCs w:val="11"/>
                <w:color w:val="auto"/>
              </w:rPr>
            </w:pPr>
          </w:p>
        </w:tc>
        <w:tc>
          <w:tcPr>
            <w:tcW w:w="1280" w:type="dxa"/>
            <w:vAlign w:val="bottom"/>
          </w:tcPr>
          <w:p>
            <w:pPr>
              <w:jc w:val="right"/>
              <w:ind w:right="460"/>
              <w:spacing w:after="0" w:line="133" w:lineRule="exact"/>
              <w:rPr>
                <w:sz w:val="20"/>
                <w:szCs w:val="20"/>
                <w:color w:val="auto"/>
              </w:rPr>
            </w:pPr>
            <w:r>
              <w:rPr>
                <w:rFonts w:ascii="Arial" w:cs="Arial" w:eastAsia="Arial" w:hAnsi="Arial"/>
                <w:sz w:val="12"/>
                <w:szCs w:val="12"/>
                <w:b w:val="1"/>
                <w:bCs w:val="1"/>
                <w:color w:val="auto"/>
              </w:rPr>
              <w:t>March 2,</w:t>
            </w:r>
          </w:p>
        </w:tc>
        <w:tc>
          <w:tcPr>
            <w:tcW w:w="0" w:type="dxa"/>
            <w:vAlign w:val="bottom"/>
          </w:tcPr>
          <w:p>
            <w:pPr>
              <w:spacing w:after="0"/>
              <w:rPr>
                <w:sz w:val="1"/>
                <w:szCs w:val="1"/>
                <w:color w:val="auto"/>
              </w:rPr>
            </w:pPr>
          </w:p>
        </w:tc>
      </w:tr>
      <w:tr>
        <w:trPr>
          <w:trHeight w:val="170"/>
        </w:trPr>
        <w:tc>
          <w:tcPr>
            <w:tcW w:w="6960" w:type="dxa"/>
            <w:vAlign w:val="bottom"/>
            <w:tcBorders>
              <w:bottom w:val="single" w:sz="8" w:color="auto"/>
            </w:tcBorders>
            <w:vMerge w:val="continue"/>
          </w:tcPr>
          <w:p>
            <w:pPr>
              <w:spacing w:after="0"/>
              <w:rPr>
                <w:sz w:val="14"/>
                <w:szCs w:val="14"/>
                <w:color w:val="auto"/>
              </w:rPr>
            </w:pPr>
          </w:p>
        </w:tc>
        <w:tc>
          <w:tcPr>
            <w:tcW w:w="24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2024</w:t>
            </w:r>
          </w:p>
        </w:tc>
        <w:tc>
          <w:tcPr>
            <w:tcW w:w="6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61"/>
        </w:trPr>
        <w:tc>
          <w:tcPr>
            <w:tcW w:w="6960" w:type="dxa"/>
            <w:vAlign w:val="bottom"/>
            <w:shd w:val="clear" w:color="auto" w:fill="D1D2D4"/>
          </w:tcPr>
          <w:p>
            <w:pPr>
              <w:spacing w:after="0"/>
              <w:rPr>
                <w:sz w:val="20"/>
                <w:szCs w:val="20"/>
                <w:color w:val="auto"/>
              </w:rPr>
            </w:pPr>
            <w:r>
              <w:rPr>
                <w:rFonts w:ascii="Arial" w:cs="Arial" w:eastAsia="Arial" w:hAnsi="Arial"/>
                <w:sz w:val="12"/>
                <w:szCs w:val="12"/>
                <w:color w:val="auto"/>
              </w:rPr>
              <w:t>Mobile</w:t>
            </w:r>
          </w:p>
        </w:tc>
        <w:tc>
          <w:tcPr>
            <w:tcW w:w="2460" w:type="dxa"/>
            <w:vAlign w:val="bottom"/>
            <w:shd w:val="clear" w:color="auto" w:fill="D1D2D4"/>
          </w:tcPr>
          <w:p>
            <w:pPr>
              <w:spacing w:after="0"/>
              <w:rPr>
                <w:sz w:val="14"/>
                <w:szCs w:val="14"/>
                <w:color w:val="auto"/>
              </w:rPr>
            </w:pPr>
          </w:p>
        </w:tc>
        <w:tc>
          <w:tcPr>
            <w:tcW w:w="600" w:type="dxa"/>
            <w:vAlign w:val="bottom"/>
            <w:shd w:val="clear" w:color="auto" w:fill="D1D2D4"/>
          </w:tcPr>
          <w:p>
            <w:pPr>
              <w:jc w:val="right"/>
              <w:ind w:right="200"/>
              <w:spacing w:after="0"/>
              <w:rPr>
                <w:sz w:val="20"/>
                <w:szCs w:val="20"/>
                <w:color w:val="auto"/>
              </w:rPr>
            </w:pPr>
            <w:r>
              <w:rPr>
                <w:rFonts w:ascii="Arial" w:cs="Arial" w:eastAsia="Arial" w:hAnsi="Arial"/>
                <w:sz w:val="12"/>
                <w:szCs w:val="12"/>
                <w:color w:val="auto"/>
              </w:rPr>
              <w:t>25 %</w:t>
            </w:r>
          </w:p>
        </w:tc>
        <w:tc>
          <w:tcPr>
            <w:tcW w:w="12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20 %</w:t>
            </w:r>
          </w:p>
        </w:tc>
        <w:tc>
          <w:tcPr>
            <w:tcW w:w="0" w:type="dxa"/>
            <w:vAlign w:val="bottom"/>
          </w:tcPr>
          <w:p>
            <w:pPr>
              <w:spacing w:after="0"/>
              <w:rPr>
                <w:sz w:val="1"/>
                <w:szCs w:val="1"/>
                <w:color w:val="auto"/>
              </w:rPr>
            </w:pPr>
          </w:p>
        </w:tc>
      </w:tr>
      <w:tr>
        <w:trPr>
          <w:trHeight w:val="153"/>
        </w:trPr>
        <w:tc>
          <w:tcPr>
            <w:tcW w:w="6960" w:type="dxa"/>
            <w:vAlign w:val="bottom"/>
          </w:tcPr>
          <w:p>
            <w:pPr>
              <w:spacing w:after="0"/>
              <w:rPr>
                <w:sz w:val="20"/>
                <w:szCs w:val="20"/>
                <w:color w:val="auto"/>
              </w:rPr>
            </w:pPr>
            <w:r>
              <w:rPr>
                <w:rFonts w:ascii="Arial" w:cs="Arial" w:eastAsia="Arial" w:hAnsi="Arial"/>
                <w:sz w:val="12"/>
                <w:szCs w:val="12"/>
                <w:color w:val="auto"/>
              </w:rPr>
              <w:t>Automotive, industrial, and consumer</w:t>
            </w:r>
          </w:p>
        </w:tc>
        <w:tc>
          <w:tcPr>
            <w:tcW w:w="2460" w:type="dxa"/>
            <w:vAlign w:val="bottom"/>
          </w:tcPr>
          <w:p>
            <w:pPr>
              <w:spacing w:after="0"/>
              <w:rPr>
                <w:sz w:val="13"/>
                <w:szCs w:val="13"/>
                <w:color w:val="auto"/>
              </w:rPr>
            </w:pPr>
          </w:p>
        </w:tc>
        <w:tc>
          <w:tcPr>
            <w:tcW w:w="600" w:type="dxa"/>
            <w:vAlign w:val="bottom"/>
          </w:tcPr>
          <w:p>
            <w:pPr>
              <w:jc w:val="right"/>
              <w:ind w:right="200"/>
              <w:spacing w:after="0"/>
              <w:rPr>
                <w:sz w:val="20"/>
                <w:szCs w:val="20"/>
                <w:color w:val="auto"/>
              </w:rPr>
            </w:pPr>
            <w:r>
              <w:rPr>
                <w:rFonts w:ascii="Arial" w:cs="Arial" w:eastAsia="Arial" w:hAnsi="Arial"/>
                <w:sz w:val="12"/>
                <w:szCs w:val="12"/>
                <w:color w:val="auto"/>
              </w:rPr>
              <w:t>20 %</w:t>
            </w:r>
          </w:p>
        </w:tc>
        <w:tc>
          <w:tcPr>
            <w:tcW w:w="1280" w:type="dxa"/>
            <w:vAlign w:val="bottom"/>
          </w:tcPr>
          <w:p>
            <w:pPr>
              <w:jc w:val="right"/>
              <w:spacing w:after="0"/>
              <w:rPr>
                <w:sz w:val="20"/>
                <w:szCs w:val="20"/>
                <w:color w:val="auto"/>
              </w:rPr>
            </w:pPr>
            <w:r>
              <w:rPr>
                <w:rFonts w:ascii="Arial" w:cs="Arial" w:eastAsia="Arial" w:hAnsi="Arial"/>
                <w:sz w:val="12"/>
                <w:szCs w:val="12"/>
                <w:color w:val="auto"/>
              </w:rPr>
              <w:t>25 %</w:t>
            </w:r>
          </w:p>
        </w:tc>
        <w:tc>
          <w:tcPr>
            <w:tcW w:w="0" w:type="dxa"/>
            <w:vAlign w:val="bottom"/>
          </w:tcPr>
          <w:p>
            <w:pPr>
              <w:spacing w:after="0"/>
              <w:rPr>
                <w:sz w:val="1"/>
                <w:szCs w:val="1"/>
                <w:color w:val="auto"/>
              </w:rPr>
            </w:pPr>
          </w:p>
        </w:tc>
      </w:tr>
      <w:tr>
        <w:trPr>
          <w:trHeight w:val="153"/>
        </w:trPr>
        <w:tc>
          <w:tcPr>
            <w:tcW w:w="6960" w:type="dxa"/>
            <w:vAlign w:val="bottom"/>
            <w:shd w:val="clear" w:color="auto" w:fill="D1D2D4"/>
          </w:tcPr>
          <w:p>
            <w:pPr>
              <w:spacing w:after="0"/>
              <w:rPr>
                <w:sz w:val="20"/>
                <w:szCs w:val="20"/>
                <w:color w:val="auto"/>
              </w:rPr>
            </w:pPr>
            <w:r>
              <w:rPr>
                <w:rFonts w:ascii="Arial" w:cs="Arial" w:eastAsia="Arial" w:hAnsi="Arial"/>
                <w:sz w:val="12"/>
                <w:szCs w:val="12"/>
                <w:color w:val="auto"/>
              </w:rPr>
              <w:t>Client and graphics</w:t>
            </w:r>
          </w:p>
        </w:tc>
        <w:tc>
          <w:tcPr>
            <w:tcW w:w="2460" w:type="dxa"/>
            <w:vAlign w:val="bottom"/>
            <w:shd w:val="clear" w:color="auto" w:fill="D1D2D4"/>
          </w:tcPr>
          <w:p>
            <w:pPr>
              <w:spacing w:after="0"/>
              <w:rPr>
                <w:sz w:val="13"/>
                <w:szCs w:val="13"/>
                <w:color w:val="auto"/>
              </w:rPr>
            </w:pPr>
          </w:p>
        </w:tc>
        <w:tc>
          <w:tcPr>
            <w:tcW w:w="600" w:type="dxa"/>
            <w:vAlign w:val="bottom"/>
            <w:shd w:val="clear" w:color="auto" w:fill="D1D2D4"/>
          </w:tcPr>
          <w:p>
            <w:pPr>
              <w:jc w:val="right"/>
              <w:ind w:right="200"/>
              <w:spacing w:after="0"/>
              <w:rPr>
                <w:sz w:val="20"/>
                <w:szCs w:val="20"/>
                <w:color w:val="auto"/>
              </w:rPr>
            </w:pPr>
            <w:r>
              <w:rPr>
                <w:rFonts w:ascii="Arial" w:cs="Arial" w:eastAsia="Arial" w:hAnsi="Arial"/>
                <w:sz w:val="12"/>
                <w:szCs w:val="12"/>
                <w:color w:val="auto"/>
              </w:rPr>
              <w:t>20 %</w:t>
            </w:r>
          </w:p>
        </w:tc>
        <w:tc>
          <w:tcPr>
            <w:tcW w:w="12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20 %</w:t>
            </w:r>
          </w:p>
        </w:tc>
        <w:tc>
          <w:tcPr>
            <w:tcW w:w="0" w:type="dxa"/>
            <w:vAlign w:val="bottom"/>
          </w:tcPr>
          <w:p>
            <w:pPr>
              <w:spacing w:after="0"/>
              <w:rPr>
                <w:sz w:val="1"/>
                <w:szCs w:val="1"/>
                <w:color w:val="auto"/>
              </w:rPr>
            </w:pPr>
          </w:p>
        </w:tc>
      </w:tr>
      <w:tr>
        <w:trPr>
          <w:trHeight w:val="153"/>
        </w:trPr>
        <w:tc>
          <w:tcPr>
            <w:tcW w:w="6960" w:type="dxa"/>
            <w:vAlign w:val="bottom"/>
          </w:tcPr>
          <w:p>
            <w:pPr>
              <w:spacing w:after="0"/>
              <w:rPr>
                <w:sz w:val="20"/>
                <w:szCs w:val="20"/>
                <w:color w:val="auto"/>
              </w:rPr>
            </w:pPr>
            <w:r>
              <w:rPr>
                <w:rFonts w:ascii="Arial" w:cs="Arial" w:eastAsia="Arial" w:hAnsi="Arial"/>
                <w:sz w:val="12"/>
                <w:szCs w:val="12"/>
                <w:color w:val="auto"/>
              </w:rPr>
              <w:t>Enterprise and cloud server</w:t>
            </w:r>
          </w:p>
        </w:tc>
        <w:tc>
          <w:tcPr>
            <w:tcW w:w="2460" w:type="dxa"/>
            <w:vAlign w:val="bottom"/>
          </w:tcPr>
          <w:p>
            <w:pPr>
              <w:spacing w:after="0"/>
              <w:rPr>
                <w:sz w:val="13"/>
                <w:szCs w:val="13"/>
                <w:color w:val="auto"/>
              </w:rPr>
            </w:pPr>
          </w:p>
        </w:tc>
        <w:tc>
          <w:tcPr>
            <w:tcW w:w="600" w:type="dxa"/>
            <w:vAlign w:val="bottom"/>
          </w:tcPr>
          <w:p>
            <w:pPr>
              <w:jc w:val="right"/>
              <w:ind w:right="200"/>
              <w:spacing w:after="0"/>
              <w:rPr>
                <w:sz w:val="20"/>
                <w:szCs w:val="20"/>
                <w:color w:val="auto"/>
              </w:rPr>
            </w:pPr>
            <w:r>
              <w:rPr>
                <w:rFonts w:ascii="Arial" w:cs="Arial" w:eastAsia="Arial" w:hAnsi="Arial"/>
                <w:sz w:val="12"/>
                <w:szCs w:val="12"/>
                <w:color w:val="auto"/>
              </w:rPr>
              <w:t>15 %</w:t>
            </w:r>
          </w:p>
        </w:tc>
        <w:tc>
          <w:tcPr>
            <w:tcW w:w="1280" w:type="dxa"/>
            <w:vAlign w:val="bottom"/>
          </w:tcPr>
          <w:p>
            <w:pPr>
              <w:jc w:val="right"/>
              <w:spacing w:after="0"/>
              <w:rPr>
                <w:sz w:val="20"/>
                <w:szCs w:val="20"/>
                <w:color w:val="auto"/>
              </w:rPr>
            </w:pPr>
            <w:r>
              <w:rPr>
                <w:rFonts w:ascii="Arial" w:cs="Arial" w:eastAsia="Arial" w:hAnsi="Arial"/>
                <w:sz w:val="12"/>
                <w:szCs w:val="12"/>
                <w:color w:val="auto"/>
              </w:rPr>
              <w:t>20 %</w:t>
            </w:r>
          </w:p>
        </w:tc>
        <w:tc>
          <w:tcPr>
            <w:tcW w:w="0" w:type="dxa"/>
            <w:vAlign w:val="bottom"/>
          </w:tcPr>
          <w:p>
            <w:pPr>
              <w:spacing w:after="0"/>
              <w:rPr>
                <w:sz w:val="1"/>
                <w:szCs w:val="1"/>
                <w:color w:val="auto"/>
              </w:rPr>
            </w:pPr>
          </w:p>
        </w:tc>
      </w:tr>
      <w:tr>
        <w:trPr>
          <w:trHeight w:val="153"/>
        </w:trPr>
        <w:tc>
          <w:tcPr>
            <w:tcW w:w="6960" w:type="dxa"/>
            <w:vAlign w:val="bottom"/>
            <w:shd w:val="clear" w:color="auto" w:fill="D1D2D4"/>
          </w:tcPr>
          <w:p>
            <w:pPr>
              <w:spacing w:after="0"/>
              <w:rPr>
                <w:sz w:val="20"/>
                <w:szCs w:val="20"/>
                <w:color w:val="auto"/>
              </w:rPr>
            </w:pPr>
            <w:r>
              <w:rPr>
                <w:rFonts w:ascii="Arial" w:cs="Arial" w:eastAsia="Arial" w:hAnsi="Arial"/>
                <w:sz w:val="12"/>
                <w:szCs w:val="12"/>
                <w:color w:val="auto"/>
              </w:rPr>
              <w:t>SSDs and other storage</w:t>
            </w:r>
          </w:p>
        </w:tc>
        <w:tc>
          <w:tcPr>
            <w:tcW w:w="2460" w:type="dxa"/>
            <w:vAlign w:val="bottom"/>
            <w:shd w:val="clear" w:color="auto" w:fill="D1D2D4"/>
          </w:tcPr>
          <w:p>
            <w:pPr>
              <w:spacing w:after="0"/>
              <w:rPr>
                <w:sz w:val="13"/>
                <w:szCs w:val="13"/>
                <w:color w:val="auto"/>
              </w:rPr>
            </w:pPr>
          </w:p>
        </w:tc>
        <w:tc>
          <w:tcPr>
            <w:tcW w:w="600" w:type="dxa"/>
            <w:vAlign w:val="bottom"/>
            <w:shd w:val="clear" w:color="auto" w:fill="D1D2D4"/>
          </w:tcPr>
          <w:p>
            <w:pPr>
              <w:jc w:val="right"/>
              <w:ind w:right="200"/>
              <w:spacing w:after="0"/>
              <w:rPr>
                <w:sz w:val="20"/>
                <w:szCs w:val="20"/>
                <w:color w:val="auto"/>
              </w:rPr>
            </w:pPr>
            <w:r>
              <w:rPr>
                <w:rFonts w:ascii="Arial" w:cs="Arial" w:eastAsia="Arial" w:hAnsi="Arial"/>
                <w:sz w:val="12"/>
                <w:szCs w:val="12"/>
                <w:color w:val="auto"/>
              </w:rPr>
              <w:t>15 %</w:t>
            </w:r>
          </w:p>
        </w:tc>
        <w:tc>
          <w:tcPr>
            <w:tcW w:w="12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15 %</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2"/>
          <w:szCs w:val="12"/>
          <w:color w:val="auto"/>
        </w:rPr>
        <w:t>Revenue from one customer, which is a distributor, was 11% of total revenue for the first six months of 2024. No customer accounted for 10% or more of total revenue for the first six months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6635750</wp:posOffset>
            </wp:positionH>
            <wp:positionV relativeFrom="paragraph">
              <wp:posOffset>189230</wp:posOffset>
            </wp:positionV>
            <wp:extent cx="440055" cy="1200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40055" cy="120015"/>
                    </a:xfrm>
                    <a:prstGeom prst="rect">
                      <a:avLst/>
                    </a:prstGeom>
                    <a:noFill/>
                  </pic:spPr>
                </pic:pic>
              </a:graphicData>
            </a:graphic>
          </wp:anchor>
        </w:drawing>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6" w:name="page27"/>
    <w:bookmarkEnd w:id="26"/>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69" w:lineRule="exact"/>
        <w:rPr>
          <w:sz w:val="20"/>
          <w:szCs w:val="20"/>
          <w:color w:val="auto"/>
        </w:rPr>
      </w:pPr>
    </w:p>
    <w:p>
      <w:pPr>
        <w:ind w:right="220"/>
        <w:spacing w:after="0" w:line="266" w:lineRule="auto"/>
        <w:rPr>
          <w:sz w:val="20"/>
          <w:szCs w:val="20"/>
          <w:color w:val="auto"/>
        </w:rPr>
      </w:pPr>
      <w:r>
        <w:rPr>
          <w:rFonts w:ascii="Arial" w:cs="Arial" w:eastAsia="Arial" w:hAnsi="Arial"/>
          <w:sz w:val="12"/>
          <w:szCs w:val="12"/>
          <w:i w:val="1"/>
          <w:iCs w:val="1"/>
          <w:color w:val="auto"/>
        </w:rPr>
        <w:t xml:space="preserve">This discussion should be read in conjunction with the consolidated financial statements and accompanying notes included in our Annual Report on Form 10-K for the year ended August 31, 2023. All period references are to our fiscal periods unless otherwise indicated. Our fiscal year is the 52 or 53-week period ending on the Thursday closest to August 31. Fiscal </w:t>
      </w:r>
      <w:r>
        <w:rPr>
          <w:rFonts w:ascii="Arial" w:cs="Arial" w:eastAsia="Arial" w:hAnsi="Arial"/>
          <w:sz w:val="12"/>
          <w:szCs w:val="12"/>
          <w:color w:val="auto"/>
        </w:rPr>
        <w:t>2024 and 2023</w:t>
      </w:r>
      <w:r>
        <w:rPr>
          <w:rFonts w:ascii="Arial" w:cs="Arial" w:eastAsia="Arial" w:hAnsi="Arial"/>
          <w:sz w:val="12"/>
          <w:szCs w:val="12"/>
          <w:i w:val="1"/>
          <w:iCs w:val="1"/>
          <w:color w:val="auto"/>
        </w:rPr>
        <w:t xml:space="preserve"> each contain 52 weeks. All tabular dollar amounts are in millions, except per share amounts.</w:t>
      </w:r>
    </w:p>
    <w:p>
      <w:pPr>
        <w:spacing w:after="0" w:line="133"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Overview</w:t>
      </w:r>
    </w:p>
    <w:p>
      <w:pPr>
        <w:spacing w:after="0" w:line="187" w:lineRule="exact"/>
        <w:rPr>
          <w:sz w:val="20"/>
          <w:szCs w:val="20"/>
          <w:color w:val="auto"/>
        </w:rPr>
      </w:pPr>
    </w:p>
    <w:p>
      <w:pPr>
        <w:ind w:right="260"/>
        <w:spacing w:after="0" w:line="262" w:lineRule="auto"/>
        <w:rPr>
          <w:sz w:val="20"/>
          <w:szCs w:val="20"/>
          <w:color w:val="auto"/>
        </w:rPr>
      </w:pPr>
      <w:r>
        <w:rPr>
          <w:rFonts w:ascii="Arial" w:cs="Arial" w:eastAsia="Arial" w:hAnsi="Arial"/>
          <w:sz w:val="12"/>
          <w:szCs w:val="12"/>
          <w:color w:val="auto"/>
        </w:rPr>
        <w:t xml:space="preserve">We are an industry leader in innovative memory and storage solutions transforming how the world uses information to enrich life </w:t>
      </w:r>
      <w:r>
        <w:rPr>
          <w:rFonts w:ascii="Arial" w:cs="Arial" w:eastAsia="Arial" w:hAnsi="Arial"/>
          <w:sz w:val="12"/>
          <w:szCs w:val="12"/>
          <w:i w:val="1"/>
          <w:iCs w:val="1"/>
          <w:color w:val="auto"/>
        </w:rPr>
        <w:t>for all</w:t>
      </w:r>
      <w:r>
        <w:rPr>
          <w:rFonts w:ascii="Arial" w:cs="Arial" w:eastAsia="Arial" w:hAnsi="Arial"/>
          <w:sz w:val="12"/>
          <w:szCs w:val="12"/>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135"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development,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2"/>
          <w:szCs w:val="12"/>
          <w:color w:val="auto"/>
        </w:rPr>
        <w:t>We face intense competition in the semiconductor memory and storage markets. To remain competitive we must continuously develop and implement new products and technologies and decrease manufacturing costs in spite of ongoing inflationary cost pressures.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 Technologies</w:t>
      </w:r>
    </w:p>
    <w:p>
      <w:pPr>
        <w:spacing w:after="0" w:line="169"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Our product portfolio of memory and storage solutions, advanced solutions, and storage platforms is based on our high-performance semiconductor memory and storage technologies, including DRAM, NAND, and NOR. We sell our products into various markets through our business units in numerous forms, including components, modules, SSDs, managed NAND, MCPs, HBM, and wafers. Our system-level solutions, including SSDs and managed NAND, combine NAND, a controller, firmware, and in some cases DRAM.</w:t>
      </w:r>
    </w:p>
    <w:p>
      <w:pPr>
        <w:spacing w:after="0" w:line="132" w:lineRule="exact"/>
        <w:rPr>
          <w:sz w:val="20"/>
          <w:szCs w:val="20"/>
          <w:color w:val="auto"/>
        </w:rPr>
      </w:pPr>
    </w:p>
    <w:p>
      <w:pPr>
        <w:ind w:right="180"/>
        <w:spacing w:after="0" w:line="262" w:lineRule="auto"/>
        <w:rPr>
          <w:sz w:val="20"/>
          <w:szCs w:val="20"/>
          <w:color w:val="auto"/>
        </w:rPr>
      </w:pPr>
      <w:r>
        <w:rPr>
          <w:rFonts w:ascii="Arial" w:cs="Arial" w:eastAsia="Arial" w:hAnsi="Arial"/>
          <w:sz w:val="12"/>
          <w:szCs w:val="12"/>
          <w:b w:val="1"/>
          <w:bCs w:val="1"/>
          <w:i w:val="1"/>
          <w:iCs w:val="1"/>
          <w:color w:val="auto"/>
        </w:rPr>
        <w:t>DRAM</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DRAM products are dynamic random access memory semiconductor devices with low latency that provide high-speed data retrieval with a variety of performance characteristics. DRAM products lose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content when power is turned off (“volatile”) and are most commonly used in client, cloud server, enterprise, networking, graphics, industrial, and automotive markets. LPDRAM products, which are engineered to meet standards for performance and power consumption, are sold into smartphone and other mobile-device markets (including client markets for Chromebooks, notebook PCs, and gaming consoles), as well as into the automotive, industrial, consumer, and datacenter markets. HBM is a stacked DRAM technology optimized for memory-bandwidth intensive applications.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27 | 2024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7" w:name="page28"/>
    <w:bookmarkEnd w:id="27"/>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b w:val="1"/>
          <w:bCs w:val="1"/>
          <w:i w:val="1"/>
          <w:iCs w:val="1"/>
          <w:color w:val="auto"/>
        </w:rPr>
        <w:t>NAND</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NAND products are non-volatile, re-writeable semiconductor storage devices that provide high-capacity, low-cost storage with a variety of performance characteristics. NAND is used in SSDs for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enterprise and cloud, client, consumer, and automotive markets and in removable storage markets. Managed NAND is used in smartphones and other mobile devices, and in consumer, automotive, and embedded markets. Low-density NAND is ideal for applications like automotive, surveillance, machine-to-machine, automation, printer, and home networking.</w:t>
      </w:r>
    </w:p>
    <w:p>
      <w:pPr>
        <w:spacing w:after="0" w:line="132" w:lineRule="exact"/>
        <w:rPr>
          <w:sz w:val="20"/>
          <w:szCs w:val="20"/>
          <w:color w:val="auto"/>
        </w:rPr>
      </w:pPr>
    </w:p>
    <w:p>
      <w:pPr>
        <w:ind w:right="20"/>
        <w:spacing w:after="0" w:line="286" w:lineRule="auto"/>
        <w:rPr>
          <w:sz w:val="20"/>
          <w:szCs w:val="20"/>
          <w:color w:val="auto"/>
        </w:rPr>
      </w:pPr>
      <w:r>
        <w:rPr>
          <w:rFonts w:ascii="Arial" w:cs="Arial" w:eastAsia="Arial" w:hAnsi="Arial"/>
          <w:sz w:val="12"/>
          <w:szCs w:val="12"/>
          <w:b w:val="1"/>
          <w:bCs w:val="1"/>
          <w:i w:val="1"/>
          <w:iCs w:val="1"/>
          <w:color w:val="auto"/>
        </w:rPr>
        <w:t>NOR</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NOR products are non-volatile, re-writable semiconductor memory devices that provide fast read speeds. NOR is most commonly used for reliable code storage (e.g., boot, application, operating system,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execute-in-place code in an embedded system) and for frequently changing small data storage and is ideal for automotive, industrial, and consumer applications.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 Conditions</w:t>
      </w:r>
    </w:p>
    <w:p>
      <w:pPr>
        <w:spacing w:after="0" w:line="169"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The memory and storage industry environment deteriorated sharply in the fourth quarter of 2022 and through 2023 due to weak demand in many end markets combined with global and macroeconomic challenges and lower demand resulting from customer actions to reduce inventory levels. This led to significant reductions in average selling prices for both DRAM and NAND and reductions in bit shipments for DRAM, resulting in declines in revenue across all our business segments and nearly all our end markets. For the first six months of 2024, increasing demand growth, driven in part by deployment of artificial intelligence and mostly normal customer inventories, combined with industry-wide supply discipline, resulted in an improved industry supply and demand balance. As a result, we have experienced improvements in pricing and margins in 2024.</w:t>
      </w:r>
    </w:p>
    <w:p>
      <w:pPr>
        <w:spacing w:after="0" w:line="137" w:lineRule="exact"/>
        <w:rPr>
          <w:sz w:val="20"/>
          <w:szCs w:val="20"/>
          <w:color w:val="auto"/>
        </w:rPr>
      </w:pPr>
    </w:p>
    <w:p>
      <w:pPr>
        <w:ind w:right="140"/>
        <w:spacing w:after="0" w:line="262" w:lineRule="auto"/>
        <w:rPr>
          <w:sz w:val="20"/>
          <w:szCs w:val="20"/>
          <w:color w:val="auto"/>
        </w:rPr>
      </w:pPr>
      <w:r>
        <w:rPr>
          <w:rFonts w:ascii="Arial" w:cs="Arial" w:eastAsia="Arial" w:hAnsi="Arial"/>
          <w:sz w:val="12"/>
          <w:szCs w:val="12"/>
          <w:color w:val="auto"/>
        </w:rPr>
        <w:t>We reduced capital expenditures and wafer starts for both DRAM and NAND in response to challenging market conditions that began in the latter part of 2022 and increased levels of our inventories. In the first quarter of 2024, we recognized $165 million of period costs due to wafer start reductions. In the second quarter of 2024, fabrication facility underutilization was reduced and principally related to legacy manufacturing capacity, accordingly period costs were not significant. In addition, to improve capital efficiency, we have redeployed equipment from older technology nodes to support conversions to leading-edge nodes, which has resulted in a meaningful reduction in DRAM and NAND wafer capacity.</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of China Cyberspace Administration Decision</w:t>
      </w:r>
    </w:p>
    <w:p>
      <w:pPr>
        <w:spacing w:after="0" w:line="169"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On March 31, 2023, China’s Cyberspace Administration (the “CAC”) notified us that it was conducting a cybersecurity review of our products sold in China. On May 21, 2023, we received notice that the CAC had concluded its review and decided that our products presented a cybersecurity risk. As such, the CAC determined that critical information infrastructure operators in China may not purchase Micron products. The CAC decision has impacted our business, particularly in the domestic data center and networking markets in China, and we have been working to mitigate that impact. Our goal is to retain our worldwide DRAM and NAND market share.</w:t>
      </w:r>
    </w:p>
    <w:p>
      <w:pPr>
        <w:spacing w:after="0" w:line="274"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8" w:name="page29"/>
    <w:bookmarkEnd w:id="28"/>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Results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center"/>
              <w:ind w:left="60"/>
              <w:spacing w:after="0"/>
              <w:rPr>
                <w:sz w:val="20"/>
                <w:szCs w:val="20"/>
                <w:color w:val="auto"/>
              </w:rPr>
            </w:pPr>
            <w:r>
              <w:rPr>
                <w:rFonts w:ascii="Arial" w:cs="Arial" w:eastAsia="Arial" w:hAnsi="Arial"/>
                <w:sz w:val="12"/>
                <w:szCs w:val="12"/>
                <w:b w:val="1"/>
                <w:bCs w:val="1"/>
                <w:color w:val="auto"/>
                <w:w w:val="99"/>
              </w:rPr>
              <w:t>Second Quarter</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center"/>
              <w:ind w:left="100"/>
              <w:spacing w:after="0"/>
              <w:rPr>
                <w:sz w:val="20"/>
                <w:szCs w:val="20"/>
                <w:color w:val="auto"/>
              </w:rPr>
            </w:pPr>
            <w:r>
              <w:rPr>
                <w:rFonts w:ascii="Arial" w:cs="Arial" w:eastAsia="Arial" w:hAnsi="Arial"/>
                <w:sz w:val="12"/>
                <w:szCs w:val="12"/>
                <w:b w:val="1"/>
                <w:bCs w:val="1"/>
                <w:color w:val="auto"/>
              </w:rPr>
              <w:t>First Quarter</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center"/>
              <w:ind w:left="80"/>
              <w:spacing w:after="0"/>
              <w:rPr>
                <w:sz w:val="20"/>
                <w:szCs w:val="20"/>
                <w:color w:val="auto"/>
              </w:rPr>
            </w:pPr>
            <w:r>
              <w:rPr>
                <w:rFonts w:ascii="Arial" w:cs="Arial" w:eastAsia="Arial" w:hAnsi="Arial"/>
                <w:sz w:val="12"/>
                <w:szCs w:val="12"/>
                <w:b w:val="1"/>
                <w:bCs w:val="1"/>
                <w:color w:val="auto"/>
                <w:w w:val="99"/>
              </w:rPr>
              <w:t>Second Quarter</w:t>
            </w:r>
          </w:p>
        </w:tc>
        <w:tc>
          <w:tcPr>
            <w:tcW w:w="3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2"/>
                <w:szCs w:val="12"/>
                <w:b w:val="1"/>
                <w:bCs w:val="1"/>
                <w:color w:val="auto"/>
              </w:rPr>
              <w:t>Six months ended</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2"/>
                <w:szCs w:val="12"/>
                <w:b w:val="1"/>
                <w:bCs w:val="1"/>
                <w:color w:val="auto"/>
              </w:rPr>
              <w:t>2024</w:t>
            </w: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2"/>
                <w:szCs w:val="12"/>
                <w:b w:val="1"/>
                <w:bCs w:val="1"/>
                <w:color w:val="auto"/>
              </w:rPr>
              <w:t>2024</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2"/>
                <w:szCs w:val="12"/>
                <w:b w:val="1"/>
                <w:bCs w:val="1"/>
                <w:color w:val="auto"/>
              </w:rPr>
              <w:t>2023</w:t>
            </w: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b w:val="1"/>
                <w:bCs w:val="1"/>
                <w:color w:val="auto"/>
              </w:rPr>
              <w:t>2024</w:t>
            </w: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2"/>
                <w:szCs w:val="12"/>
                <w:b w:val="1"/>
                <w:bCs w:val="1"/>
                <w:color w:val="auto"/>
              </w:rPr>
              <w:t>2023</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20" w:type="dxa"/>
            <w:vAlign w:val="bottom"/>
            <w:shd w:val="clear" w:color="auto" w:fill="D1D2D4"/>
          </w:tcPr>
          <w:p>
            <w:pPr>
              <w:spacing w:after="0"/>
              <w:rPr>
                <w:sz w:val="20"/>
                <w:szCs w:val="20"/>
                <w:color w:val="auto"/>
              </w:rPr>
            </w:pPr>
            <w:r>
              <w:rPr>
                <w:rFonts w:ascii="Arial" w:cs="Arial" w:eastAsia="Arial" w:hAnsi="Arial"/>
                <w:sz w:val="12"/>
                <w:szCs w:val="12"/>
                <w:color w:val="auto"/>
              </w:rPr>
              <w:t>Revenue</w:t>
            </w:r>
          </w:p>
        </w:tc>
        <w:tc>
          <w:tcPr>
            <w:tcW w:w="240" w:type="dxa"/>
            <w:vAlign w:val="bottom"/>
            <w:shd w:val="clear" w:color="auto" w:fill="D1D2D4"/>
          </w:tcPr>
          <w:p>
            <w:pPr>
              <w:jc w:val="right"/>
              <w:ind w:right="100"/>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5,824</w:t>
            </w:r>
          </w:p>
        </w:tc>
        <w:tc>
          <w:tcPr>
            <w:tcW w:w="460" w:type="dxa"/>
            <w:vAlign w:val="bottom"/>
            <w:shd w:val="clear" w:color="auto" w:fill="D1D2D4"/>
          </w:tcPr>
          <w:p>
            <w:pPr>
              <w:spacing w:after="0"/>
              <w:rPr>
                <w:sz w:val="14"/>
                <w:szCs w:val="14"/>
                <w:color w:val="auto"/>
              </w:rPr>
            </w:pPr>
          </w:p>
        </w:tc>
        <w:tc>
          <w:tcPr>
            <w:tcW w:w="640" w:type="dxa"/>
            <w:vAlign w:val="bottom"/>
            <w:gridSpan w:val="2"/>
            <w:shd w:val="clear" w:color="auto" w:fill="D1D2D4"/>
          </w:tcPr>
          <w:p>
            <w:pPr>
              <w:jc w:val="right"/>
              <w:ind w:right="120"/>
              <w:spacing w:after="0"/>
              <w:rPr>
                <w:sz w:val="20"/>
                <w:szCs w:val="20"/>
                <w:color w:val="auto"/>
              </w:rPr>
            </w:pPr>
            <w:r>
              <w:rPr>
                <w:rFonts w:ascii="Arial" w:cs="Arial" w:eastAsia="Arial" w:hAnsi="Arial"/>
                <w:sz w:val="12"/>
                <w:szCs w:val="12"/>
                <w:color w:val="auto"/>
                <w:w w:val="99"/>
              </w:rPr>
              <w:t>100 % $</w:t>
            </w: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4,726</w:t>
            </w:r>
          </w:p>
        </w:tc>
        <w:tc>
          <w:tcPr>
            <w:tcW w:w="440" w:type="dxa"/>
            <w:vAlign w:val="bottom"/>
            <w:shd w:val="clear" w:color="auto" w:fill="D1D2D4"/>
          </w:tcPr>
          <w:p>
            <w:pPr>
              <w:spacing w:after="0"/>
              <w:rPr>
                <w:sz w:val="14"/>
                <w:szCs w:val="14"/>
                <w:color w:val="auto"/>
              </w:rPr>
            </w:pPr>
          </w:p>
        </w:tc>
        <w:tc>
          <w:tcPr>
            <w:tcW w:w="660" w:type="dxa"/>
            <w:vAlign w:val="bottom"/>
            <w:gridSpan w:val="2"/>
            <w:shd w:val="clear" w:color="auto" w:fill="D1D2D4"/>
          </w:tcPr>
          <w:p>
            <w:pPr>
              <w:jc w:val="right"/>
              <w:ind w:right="100"/>
              <w:spacing w:after="0"/>
              <w:rPr>
                <w:sz w:val="20"/>
                <w:szCs w:val="20"/>
                <w:color w:val="auto"/>
              </w:rPr>
            </w:pPr>
            <w:r>
              <w:rPr>
                <w:rFonts w:ascii="Arial" w:cs="Arial" w:eastAsia="Arial" w:hAnsi="Arial"/>
                <w:sz w:val="12"/>
                <w:szCs w:val="12"/>
                <w:color w:val="auto"/>
              </w:rPr>
              <w:t>100 % $</w:t>
            </w: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3,693</w:t>
            </w:r>
          </w:p>
        </w:tc>
        <w:tc>
          <w:tcPr>
            <w:tcW w:w="480" w:type="dxa"/>
            <w:vAlign w:val="bottom"/>
            <w:shd w:val="clear" w:color="auto" w:fill="D1D2D4"/>
          </w:tcPr>
          <w:p>
            <w:pPr>
              <w:spacing w:after="0"/>
              <w:rPr>
                <w:sz w:val="14"/>
                <w:szCs w:val="14"/>
                <w:color w:val="auto"/>
              </w:rPr>
            </w:pPr>
          </w:p>
        </w:tc>
        <w:tc>
          <w:tcPr>
            <w:tcW w:w="620" w:type="dxa"/>
            <w:vAlign w:val="bottom"/>
            <w:gridSpan w:val="2"/>
            <w:shd w:val="clear" w:color="auto" w:fill="D1D2D4"/>
          </w:tcPr>
          <w:p>
            <w:pPr>
              <w:jc w:val="right"/>
              <w:ind w:right="100"/>
              <w:spacing w:after="0"/>
              <w:rPr>
                <w:sz w:val="20"/>
                <w:szCs w:val="20"/>
                <w:color w:val="auto"/>
              </w:rPr>
            </w:pPr>
            <w:r>
              <w:rPr>
                <w:rFonts w:ascii="Arial" w:cs="Arial" w:eastAsia="Arial" w:hAnsi="Arial"/>
                <w:sz w:val="12"/>
                <w:szCs w:val="12"/>
                <w:color w:val="auto"/>
                <w:w w:val="99"/>
              </w:rPr>
              <w:t>100 % $</w:t>
            </w: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10,550</w:t>
            </w:r>
          </w:p>
        </w:tc>
        <w:tc>
          <w:tcPr>
            <w:tcW w:w="240" w:type="dxa"/>
            <w:vAlign w:val="bottom"/>
            <w:shd w:val="clear" w:color="auto" w:fill="D1D2D4"/>
          </w:tcPr>
          <w:p>
            <w:pPr>
              <w:spacing w:after="0"/>
              <w:rPr>
                <w:sz w:val="14"/>
                <w:szCs w:val="14"/>
                <w:color w:val="auto"/>
              </w:rPr>
            </w:pPr>
          </w:p>
        </w:tc>
        <w:tc>
          <w:tcPr>
            <w:tcW w:w="880" w:type="dxa"/>
            <w:vAlign w:val="bottom"/>
            <w:gridSpan w:val="2"/>
            <w:shd w:val="clear" w:color="auto" w:fill="D1D2D4"/>
          </w:tcPr>
          <w:p>
            <w:pPr>
              <w:jc w:val="right"/>
              <w:ind w:right="120"/>
              <w:spacing w:after="0"/>
              <w:rPr>
                <w:sz w:val="20"/>
                <w:szCs w:val="20"/>
                <w:color w:val="auto"/>
              </w:rPr>
            </w:pPr>
            <w:r>
              <w:rPr>
                <w:rFonts w:ascii="Arial" w:cs="Arial" w:eastAsia="Arial" w:hAnsi="Arial"/>
                <w:sz w:val="12"/>
                <w:szCs w:val="12"/>
                <w:color w:val="auto"/>
              </w:rPr>
              <w:t>100 % $</w:t>
            </w: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7,778</w:t>
            </w:r>
          </w:p>
        </w:tc>
        <w:tc>
          <w:tcPr>
            <w:tcW w:w="320" w:type="dxa"/>
            <w:vAlign w:val="bottom"/>
            <w:shd w:val="clear" w:color="auto" w:fill="D1D2D4"/>
          </w:tcPr>
          <w:p>
            <w:pPr>
              <w:spacing w:after="0"/>
              <w:rPr>
                <w:sz w:val="14"/>
                <w:szCs w:val="14"/>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53"/>
        </w:trPr>
        <w:tc>
          <w:tcPr>
            <w:tcW w:w="2820" w:type="dxa"/>
            <w:vAlign w:val="bottom"/>
            <w:tcBorders>
              <w:bottom w:val="single" w:sz="8" w:color="D1D2D4"/>
            </w:tcBorders>
          </w:tcPr>
          <w:p>
            <w:pPr>
              <w:spacing w:after="0"/>
              <w:rPr>
                <w:sz w:val="20"/>
                <w:szCs w:val="20"/>
                <w:color w:val="auto"/>
              </w:rPr>
            </w:pPr>
            <w:r>
              <w:rPr>
                <w:rFonts w:ascii="Arial" w:cs="Arial" w:eastAsia="Arial" w:hAnsi="Arial"/>
                <w:sz w:val="12"/>
                <w:szCs w:val="12"/>
                <w:color w:val="auto"/>
              </w:rPr>
              <w:t>Cost of goods sold</w:t>
            </w: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4,745</w:t>
            </w:r>
          </w:p>
        </w:tc>
        <w:tc>
          <w:tcPr>
            <w:tcW w:w="460" w:type="dxa"/>
            <w:vAlign w:val="bottom"/>
            <w:tcBorders>
              <w:bottom w:val="single" w:sz="8" w:color="D1D2D4"/>
            </w:tcBorders>
          </w:tcPr>
          <w:p>
            <w:pPr>
              <w:spacing w:after="0"/>
              <w:rPr>
                <w:sz w:val="13"/>
                <w:szCs w:val="13"/>
                <w:color w:val="auto"/>
              </w:rPr>
            </w:pPr>
          </w:p>
        </w:tc>
        <w:tc>
          <w:tcPr>
            <w:tcW w:w="380" w:type="dxa"/>
            <w:vAlign w:val="bottom"/>
            <w:tcBorders>
              <w:bottom w:val="single" w:sz="8" w:color="D1D2D4"/>
            </w:tcBorders>
          </w:tcPr>
          <w:p>
            <w:pPr>
              <w:jc w:val="right"/>
              <w:spacing w:after="0"/>
              <w:rPr>
                <w:sz w:val="20"/>
                <w:szCs w:val="20"/>
                <w:color w:val="auto"/>
              </w:rPr>
            </w:pPr>
            <w:r>
              <w:rPr>
                <w:rFonts w:ascii="Arial" w:cs="Arial" w:eastAsia="Arial" w:hAnsi="Arial"/>
                <w:sz w:val="12"/>
                <w:szCs w:val="12"/>
                <w:color w:val="auto"/>
              </w:rPr>
              <w:t>81 %</w:t>
            </w: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4,761</w:t>
            </w:r>
          </w:p>
        </w:tc>
        <w:tc>
          <w:tcPr>
            <w:tcW w:w="440" w:type="dxa"/>
            <w:vAlign w:val="bottom"/>
            <w:tcBorders>
              <w:bottom w:val="single" w:sz="8" w:color="D1D2D4"/>
            </w:tcBorders>
          </w:tcPr>
          <w:p>
            <w:pPr>
              <w:spacing w:after="0"/>
              <w:rPr>
                <w:sz w:val="13"/>
                <w:szCs w:val="13"/>
                <w:color w:val="auto"/>
              </w:rPr>
            </w:pPr>
          </w:p>
        </w:tc>
        <w:tc>
          <w:tcPr>
            <w:tcW w:w="420" w:type="dxa"/>
            <w:vAlign w:val="bottom"/>
            <w:tcBorders>
              <w:bottom w:val="single" w:sz="8" w:color="D1D2D4"/>
            </w:tcBorders>
          </w:tcPr>
          <w:p>
            <w:pPr>
              <w:jc w:val="right"/>
              <w:spacing w:after="0"/>
              <w:rPr>
                <w:sz w:val="20"/>
                <w:szCs w:val="20"/>
                <w:color w:val="auto"/>
              </w:rPr>
            </w:pPr>
            <w:r>
              <w:rPr>
                <w:rFonts w:ascii="Arial" w:cs="Arial" w:eastAsia="Arial" w:hAnsi="Arial"/>
                <w:sz w:val="12"/>
                <w:szCs w:val="12"/>
                <w:color w:val="auto"/>
              </w:rPr>
              <w:t>101 %</w:t>
            </w: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4,899</w:t>
            </w:r>
          </w:p>
        </w:tc>
        <w:tc>
          <w:tcPr>
            <w:tcW w:w="480" w:type="dxa"/>
            <w:vAlign w:val="bottom"/>
            <w:tcBorders>
              <w:bottom w:val="single" w:sz="8" w:color="D1D2D4"/>
            </w:tcBorders>
          </w:tcPr>
          <w:p>
            <w:pPr>
              <w:spacing w:after="0"/>
              <w:rPr>
                <w:sz w:val="13"/>
                <w:szCs w:val="13"/>
                <w:color w:val="auto"/>
              </w:rPr>
            </w:pPr>
          </w:p>
        </w:tc>
        <w:tc>
          <w:tcPr>
            <w:tcW w:w="380" w:type="dxa"/>
            <w:vAlign w:val="bottom"/>
            <w:tcBorders>
              <w:bottom w:val="single" w:sz="8" w:color="D1D2D4"/>
            </w:tcBorders>
          </w:tcPr>
          <w:p>
            <w:pPr>
              <w:jc w:val="right"/>
              <w:spacing w:after="0"/>
              <w:rPr>
                <w:sz w:val="20"/>
                <w:szCs w:val="20"/>
                <w:color w:val="auto"/>
              </w:rPr>
            </w:pPr>
            <w:r>
              <w:rPr>
                <w:rFonts w:ascii="Arial" w:cs="Arial" w:eastAsia="Arial" w:hAnsi="Arial"/>
                <w:sz w:val="12"/>
                <w:szCs w:val="12"/>
                <w:color w:val="auto"/>
                <w:w w:val="99"/>
              </w:rPr>
              <w:t>133 %</w:t>
            </w: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9,506</w:t>
            </w:r>
          </w:p>
        </w:tc>
        <w:tc>
          <w:tcPr>
            <w:tcW w:w="240" w:type="dxa"/>
            <w:vAlign w:val="bottom"/>
            <w:tcBorders>
              <w:bottom w:val="single" w:sz="8" w:color="D1D2D4"/>
            </w:tcBorders>
          </w:tcPr>
          <w:p>
            <w:pPr>
              <w:spacing w:after="0"/>
              <w:rPr>
                <w:sz w:val="13"/>
                <w:szCs w:val="13"/>
                <w:color w:val="auto"/>
              </w:rPr>
            </w:pPr>
          </w:p>
        </w:tc>
        <w:tc>
          <w:tcPr>
            <w:tcW w:w="620" w:type="dxa"/>
            <w:vAlign w:val="bottom"/>
            <w:tcBorders>
              <w:bottom w:val="single" w:sz="8" w:color="D1D2D4"/>
            </w:tcBorders>
          </w:tcPr>
          <w:p>
            <w:pPr>
              <w:jc w:val="right"/>
              <w:spacing w:after="0"/>
              <w:rPr>
                <w:sz w:val="20"/>
                <w:szCs w:val="20"/>
                <w:color w:val="auto"/>
              </w:rPr>
            </w:pPr>
            <w:r>
              <w:rPr>
                <w:rFonts w:ascii="Arial" w:cs="Arial" w:eastAsia="Arial" w:hAnsi="Arial"/>
                <w:sz w:val="12"/>
                <w:szCs w:val="12"/>
                <w:color w:val="auto"/>
              </w:rPr>
              <w:t>90 %</w:t>
            </w: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8,091</w:t>
            </w:r>
          </w:p>
        </w:tc>
        <w:tc>
          <w:tcPr>
            <w:tcW w:w="320" w:type="dxa"/>
            <w:vAlign w:val="bottom"/>
            <w:tcBorders>
              <w:bottom w:val="single" w:sz="8" w:color="D1D2D4"/>
            </w:tcBorders>
          </w:tcPr>
          <w:p>
            <w:pPr>
              <w:spacing w:after="0"/>
              <w:rPr>
                <w:sz w:val="13"/>
                <w:szCs w:val="13"/>
                <w:color w:val="auto"/>
              </w:rPr>
            </w:pPr>
          </w:p>
        </w:tc>
        <w:tc>
          <w:tcPr>
            <w:tcW w:w="540" w:type="dxa"/>
            <w:vAlign w:val="bottom"/>
            <w:tcBorders>
              <w:bottom w:val="single" w:sz="8" w:color="D1D2D4"/>
            </w:tcBorders>
          </w:tcPr>
          <w:p>
            <w:pPr>
              <w:jc w:val="right"/>
              <w:spacing w:after="0"/>
              <w:rPr>
                <w:sz w:val="20"/>
                <w:szCs w:val="20"/>
                <w:color w:val="auto"/>
              </w:rPr>
            </w:pPr>
            <w:r>
              <w:rPr>
                <w:rFonts w:ascii="Arial" w:cs="Arial" w:eastAsia="Arial" w:hAnsi="Arial"/>
                <w:sz w:val="12"/>
                <w:szCs w:val="12"/>
                <w:color w:val="auto"/>
              </w:rPr>
              <w:t>104 %</w:t>
            </w:r>
          </w:p>
        </w:tc>
        <w:tc>
          <w:tcPr>
            <w:tcW w:w="0" w:type="dxa"/>
            <w:vAlign w:val="bottom"/>
          </w:tcPr>
          <w:p>
            <w:pPr>
              <w:spacing w:after="0"/>
              <w:rPr>
                <w:sz w:val="1"/>
                <w:szCs w:val="1"/>
                <w:color w:val="auto"/>
              </w:rPr>
            </w:pPr>
          </w:p>
        </w:tc>
      </w:tr>
      <w:tr>
        <w:trPr>
          <w:trHeight w:val="142"/>
        </w:trPr>
        <w:tc>
          <w:tcPr>
            <w:tcW w:w="2820" w:type="dxa"/>
            <w:vAlign w:val="bottom"/>
            <w:shd w:val="clear" w:color="auto" w:fill="D1D2D4"/>
          </w:tcPr>
          <w:p>
            <w:pPr>
              <w:ind w:left="220"/>
              <w:spacing w:after="0"/>
              <w:rPr>
                <w:sz w:val="20"/>
                <w:szCs w:val="20"/>
                <w:color w:val="auto"/>
              </w:rPr>
            </w:pPr>
            <w:r>
              <w:rPr>
                <w:rFonts w:ascii="Arial" w:cs="Arial" w:eastAsia="Arial" w:hAnsi="Arial"/>
                <w:sz w:val="12"/>
                <w:szCs w:val="12"/>
                <w:color w:val="auto"/>
              </w:rPr>
              <w:t>Gross margin</w:t>
            </w:r>
          </w:p>
        </w:tc>
        <w:tc>
          <w:tcPr>
            <w:tcW w:w="240" w:type="dxa"/>
            <w:vAlign w:val="bottom"/>
            <w:shd w:val="clear" w:color="auto" w:fill="D1D2D4"/>
          </w:tcPr>
          <w:p>
            <w:pPr>
              <w:spacing w:after="0"/>
              <w:rPr>
                <w:sz w:val="12"/>
                <w:szCs w:val="12"/>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1,079</w:t>
            </w:r>
          </w:p>
        </w:tc>
        <w:tc>
          <w:tcPr>
            <w:tcW w:w="460" w:type="dxa"/>
            <w:vAlign w:val="bottom"/>
            <w:shd w:val="clear" w:color="auto" w:fill="D1D2D4"/>
          </w:tcPr>
          <w:p>
            <w:pPr>
              <w:spacing w:after="0"/>
              <w:rPr>
                <w:sz w:val="12"/>
                <w:szCs w:val="12"/>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19 %</w:t>
            </w:r>
          </w:p>
        </w:tc>
        <w:tc>
          <w:tcPr>
            <w:tcW w:w="260" w:type="dxa"/>
            <w:vAlign w:val="bottom"/>
            <w:shd w:val="clear" w:color="auto" w:fill="D1D2D4"/>
          </w:tcPr>
          <w:p>
            <w:pPr>
              <w:spacing w:after="0"/>
              <w:rPr>
                <w:sz w:val="12"/>
                <w:szCs w:val="12"/>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(35)</w:t>
            </w:r>
          </w:p>
        </w:tc>
        <w:tc>
          <w:tcPr>
            <w:tcW w:w="440" w:type="dxa"/>
            <w:vAlign w:val="bottom"/>
            <w:shd w:val="clear" w:color="auto" w:fill="D1D2D4"/>
          </w:tcPr>
          <w:p>
            <w:pPr>
              <w:spacing w:after="0"/>
              <w:rPr>
                <w:sz w:val="12"/>
                <w:szCs w:val="12"/>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w:t>
            </w:r>
          </w:p>
        </w:tc>
        <w:tc>
          <w:tcPr>
            <w:tcW w:w="240" w:type="dxa"/>
            <w:vAlign w:val="bottom"/>
            <w:shd w:val="clear" w:color="auto" w:fill="D1D2D4"/>
          </w:tcPr>
          <w:p>
            <w:pPr>
              <w:spacing w:after="0"/>
              <w:rPr>
                <w:sz w:val="12"/>
                <w:szCs w:val="12"/>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(1,206)</w:t>
            </w:r>
          </w:p>
        </w:tc>
        <w:tc>
          <w:tcPr>
            <w:tcW w:w="480" w:type="dxa"/>
            <w:vAlign w:val="bottom"/>
            <w:shd w:val="clear" w:color="auto" w:fill="D1D2D4"/>
          </w:tcPr>
          <w:p>
            <w:pPr>
              <w:spacing w:after="0"/>
              <w:rPr>
                <w:sz w:val="12"/>
                <w:szCs w:val="12"/>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(33)%</w:t>
            </w:r>
          </w:p>
        </w:tc>
        <w:tc>
          <w:tcPr>
            <w:tcW w:w="240" w:type="dxa"/>
            <w:vAlign w:val="bottom"/>
            <w:shd w:val="clear" w:color="auto" w:fill="D1D2D4"/>
          </w:tcPr>
          <w:p>
            <w:pPr>
              <w:spacing w:after="0"/>
              <w:rPr>
                <w:sz w:val="12"/>
                <w:szCs w:val="12"/>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1,044</w:t>
            </w:r>
          </w:p>
        </w:tc>
        <w:tc>
          <w:tcPr>
            <w:tcW w:w="240" w:type="dxa"/>
            <w:vAlign w:val="bottom"/>
            <w:shd w:val="clear" w:color="auto" w:fill="D1D2D4"/>
          </w:tcPr>
          <w:p>
            <w:pPr>
              <w:spacing w:after="0"/>
              <w:rPr>
                <w:sz w:val="12"/>
                <w:szCs w:val="12"/>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10 %</w:t>
            </w:r>
          </w:p>
        </w:tc>
        <w:tc>
          <w:tcPr>
            <w:tcW w:w="260" w:type="dxa"/>
            <w:vAlign w:val="bottom"/>
            <w:shd w:val="clear" w:color="auto" w:fill="D1D2D4"/>
          </w:tcPr>
          <w:p>
            <w:pPr>
              <w:spacing w:after="0"/>
              <w:rPr>
                <w:sz w:val="12"/>
                <w:szCs w:val="12"/>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(313)</w:t>
            </w:r>
          </w:p>
        </w:tc>
        <w:tc>
          <w:tcPr>
            <w:tcW w:w="320" w:type="dxa"/>
            <w:vAlign w:val="bottom"/>
            <w:shd w:val="clear" w:color="auto" w:fill="D1D2D4"/>
          </w:tcPr>
          <w:p>
            <w:pPr>
              <w:spacing w:after="0"/>
              <w:rPr>
                <w:sz w:val="12"/>
                <w:szCs w:val="12"/>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820" w:type="dxa"/>
            <w:vAlign w:val="bottom"/>
            <w:shd w:val="clear" w:color="auto" w:fill="D1D2D4"/>
          </w:tcPr>
          <w:p>
            <w:pPr>
              <w:spacing w:after="0"/>
              <w:rPr>
                <w:sz w:val="20"/>
                <w:szCs w:val="20"/>
                <w:color w:val="auto"/>
              </w:rPr>
            </w:pPr>
            <w:r>
              <w:rPr>
                <w:rFonts w:ascii="Arial" w:cs="Arial" w:eastAsia="Arial" w:hAnsi="Arial"/>
                <w:sz w:val="12"/>
                <w:szCs w:val="12"/>
                <w:color w:val="auto"/>
              </w:rPr>
              <w:t>Research and development</w:t>
            </w:r>
          </w:p>
        </w:tc>
        <w:tc>
          <w:tcPr>
            <w:tcW w:w="240" w:type="dxa"/>
            <w:vAlign w:val="bottom"/>
            <w:shd w:val="clear" w:color="auto" w:fill="D1D2D4"/>
          </w:tcPr>
          <w:p>
            <w:pPr>
              <w:spacing w:after="0"/>
              <w:rPr>
                <w:sz w:val="13"/>
                <w:szCs w:val="13"/>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832</w:t>
            </w:r>
          </w:p>
        </w:tc>
        <w:tc>
          <w:tcPr>
            <w:tcW w:w="460" w:type="dxa"/>
            <w:vAlign w:val="bottom"/>
            <w:shd w:val="clear" w:color="auto" w:fill="D1D2D4"/>
          </w:tcPr>
          <w:p>
            <w:pPr>
              <w:spacing w:after="0"/>
              <w:rPr>
                <w:sz w:val="13"/>
                <w:szCs w:val="13"/>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14 %</w:t>
            </w:r>
          </w:p>
        </w:tc>
        <w:tc>
          <w:tcPr>
            <w:tcW w:w="260" w:type="dxa"/>
            <w:vAlign w:val="bottom"/>
            <w:shd w:val="clear" w:color="auto" w:fill="D1D2D4"/>
          </w:tcPr>
          <w:p>
            <w:pPr>
              <w:spacing w:after="0"/>
              <w:rPr>
                <w:sz w:val="13"/>
                <w:szCs w:val="13"/>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845</w:t>
            </w:r>
          </w:p>
        </w:tc>
        <w:tc>
          <w:tcPr>
            <w:tcW w:w="440" w:type="dxa"/>
            <w:vAlign w:val="bottom"/>
            <w:shd w:val="clear" w:color="auto" w:fill="D1D2D4"/>
          </w:tcPr>
          <w:p>
            <w:pPr>
              <w:spacing w:after="0"/>
              <w:rPr>
                <w:sz w:val="13"/>
                <w:szCs w:val="13"/>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18 %</w:t>
            </w:r>
          </w:p>
        </w:tc>
        <w:tc>
          <w:tcPr>
            <w:tcW w:w="240" w:type="dxa"/>
            <w:vAlign w:val="bottom"/>
            <w:shd w:val="clear" w:color="auto" w:fill="D1D2D4"/>
          </w:tcPr>
          <w:p>
            <w:pPr>
              <w:spacing w:after="0"/>
              <w:rPr>
                <w:sz w:val="13"/>
                <w:szCs w:val="13"/>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788</w:t>
            </w:r>
          </w:p>
        </w:tc>
        <w:tc>
          <w:tcPr>
            <w:tcW w:w="480" w:type="dxa"/>
            <w:vAlign w:val="bottom"/>
            <w:shd w:val="clear" w:color="auto" w:fill="D1D2D4"/>
          </w:tcPr>
          <w:p>
            <w:pPr>
              <w:spacing w:after="0"/>
              <w:rPr>
                <w:sz w:val="13"/>
                <w:szCs w:val="13"/>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21 %</w:t>
            </w:r>
          </w:p>
        </w:tc>
        <w:tc>
          <w:tcPr>
            <w:tcW w:w="240" w:type="dxa"/>
            <w:vAlign w:val="bottom"/>
            <w:shd w:val="clear" w:color="auto" w:fill="D1D2D4"/>
          </w:tcPr>
          <w:p>
            <w:pPr>
              <w:spacing w:after="0"/>
              <w:rPr>
                <w:sz w:val="13"/>
                <w:szCs w:val="13"/>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1,677</w:t>
            </w:r>
          </w:p>
        </w:tc>
        <w:tc>
          <w:tcPr>
            <w:tcW w:w="240" w:type="dxa"/>
            <w:vAlign w:val="bottom"/>
            <w:shd w:val="clear" w:color="auto" w:fill="D1D2D4"/>
          </w:tcPr>
          <w:p>
            <w:pPr>
              <w:spacing w:after="0"/>
              <w:rPr>
                <w:sz w:val="13"/>
                <w:szCs w:val="13"/>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16 %</w:t>
            </w:r>
          </w:p>
        </w:tc>
        <w:tc>
          <w:tcPr>
            <w:tcW w:w="260" w:type="dxa"/>
            <w:vAlign w:val="bottom"/>
            <w:shd w:val="clear" w:color="auto" w:fill="D1D2D4"/>
          </w:tcPr>
          <w:p>
            <w:pPr>
              <w:spacing w:after="0"/>
              <w:rPr>
                <w:sz w:val="13"/>
                <w:szCs w:val="13"/>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1,637</w:t>
            </w:r>
          </w:p>
        </w:tc>
        <w:tc>
          <w:tcPr>
            <w:tcW w:w="320" w:type="dxa"/>
            <w:vAlign w:val="bottom"/>
            <w:shd w:val="clear" w:color="auto" w:fill="D1D2D4"/>
          </w:tcPr>
          <w:p>
            <w:pPr>
              <w:spacing w:after="0"/>
              <w:rPr>
                <w:sz w:val="13"/>
                <w:szCs w:val="13"/>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21 %</w:t>
            </w:r>
          </w:p>
        </w:tc>
        <w:tc>
          <w:tcPr>
            <w:tcW w:w="0" w:type="dxa"/>
            <w:vAlign w:val="bottom"/>
          </w:tcPr>
          <w:p>
            <w:pPr>
              <w:spacing w:after="0"/>
              <w:rPr>
                <w:sz w:val="1"/>
                <w:szCs w:val="1"/>
                <w:color w:val="auto"/>
              </w:rPr>
            </w:pPr>
          </w:p>
        </w:tc>
      </w:tr>
      <w:tr>
        <w:trPr>
          <w:trHeight w:val="153"/>
        </w:trPr>
        <w:tc>
          <w:tcPr>
            <w:tcW w:w="2820" w:type="dxa"/>
            <w:vAlign w:val="bottom"/>
          </w:tcPr>
          <w:p>
            <w:pPr>
              <w:spacing w:after="0"/>
              <w:rPr>
                <w:sz w:val="20"/>
                <w:szCs w:val="20"/>
                <w:color w:val="auto"/>
              </w:rPr>
            </w:pPr>
            <w:r>
              <w:rPr>
                <w:rFonts w:ascii="Arial" w:cs="Arial" w:eastAsia="Arial" w:hAnsi="Arial"/>
                <w:sz w:val="12"/>
                <w:szCs w:val="12"/>
                <w:color w:val="auto"/>
              </w:rPr>
              <w:t>Selling, general, and administrative</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280</w:t>
            </w:r>
          </w:p>
        </w:tc>
        <w:tc>
          <w:tcPr>
            <w:tcW w:w="4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5 %</w:t>
            </w: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263</w:t>
            </w:r>
          </w:p>
        </w:tc>
        <w:tc>
          <w:tcPr>
            <w:tcW w:w="4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6 %</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231</w:t>
            </w:r>
          </w:p>
        </w:tc>
        <w:tc>
          <w:tcPr>
            <w:tcW w:w="4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6 %</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543</w:t>
            </w: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5 %</w:t>
            </w: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482</w:t>
            </w: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6 %</w:t>
            </w:r>
          </w:p>
        </w:tc>
        <w:tc>
          <w:tcPr>
            <w:tcW w:w="0" w:type="dxa"/>
            <w:vAlign w:val="bottom"/>
          </w:tcPr>
          <w:p>
            <w:pPr>
              <w:spacing w:after="0"/>
              <w:rPr>
                <w:sz w:val="1"/>
                <w:szCs w:val="1"/>
                <w:color w:val="auto"/>
              </w:rPr>
            </w:pPr>
          </w:p>
        </w:tc>
      </w:tr>
      <w:tr>
        <w:trPr>
          <w:trHeight w:val="153"/>
        </w:trPr>
        <w:tc>
          <w:tcPr>
            <w:tcW w:w="2820" w:type="dxa"/>
            <w:vAlign w:val="bottom"/>
            <w:shd w:val="clear" w:color="auto" w:fill="D1D2D4"/>
          </w:tcPr>
          <w:p>
            <w:pPr>
              <w:spacing w:after="0"/>
              <w:rPr>
                <w:sz w:val="20"/>
                <w:szCs w:val="20"/>
                <w:color w:val="auto"/>
              </w:rPr>
            </w:pPr>
            <w:r>
              <w:rPr>
                <w:rFonts w:ascii="Arial" w:cs="Arial" w:eastAsia="Arial" w:hAnsi="Arial"/>
                <w:sz w:val="12"/>
                <w:szCs w:val="12"/>
                <w:color w:val="auto"/>
              </w:rPr>
              <w:t>Restructure and asset impairments</w:t>
            </w:r>
          </w:p>
        </w:tc>
        <w:tc>
          <w:tcPr>
            <w:tcW w:w="240" w:type="dxa"/>
            <w:vAlign w:val="bottom"/>
            <w:shd w:val="clear" w:color="auto" w:fill="D1D2D4"/>
          </w:tcPr>
          <w:p>
            <w:pPr>
              <w:spacing w:after="0"/>
              <w:rPr>
                <w:sz w:val="13"/>
                <w:szCs w:val="13"/>
                <w:color w:val="auto"/>
              </w:rPr>
            </w:pPr>
          </w:p>
        </w:tc>
        <w:tc>
          <w:tcPr>
            <w:tcW w:w="1060" w:type="dxa"/>
            <w:vAlign w:val="bottom"/>
            <w:gridSpan w:val="2"/>
            <w:shd w:val="clear" w:color="auto" w:fill="D1D2D4"/>
          </w:tcPr>
          <w:p>
            <w:pPr>
              <w:jc w:val="right"/>
              <w:ind w:right="52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D1D2D4"/>
          </w:tcPr>
          <w:p>
            <w:pPr>
              <w:jc w:val="right"/>
              <w:ind w:right="220"/>
              <w:spacing w:after="0"/>
              <w:rPr>
                <w:sz w:val="20"/>
                <w:szCs w:val="20"/>
                <w:color w:val="auto"/>
              </w:rPr>
            </w:pPr>
            <w:r>
              <w:rPr>
                <w:rFonts w:ascii="Arial" w:cs="Arial" w:eastAsia="Arial" w:hAnsi="Arial"/>
                <w:sz w:val="12"/>
                <w:szCs w:val="12"/>
                <w:color w:val="auto"/>
              </w:rPr>
              <w:t>— %</w:t>
            </w:r>
          </w:p>
        </w:tc>
        <w:tc>
          <w:tcPr>
            <w:tcW w:w="1020" w:type="dxa"/>
            <w:vAlign w:val="bottom"/>
            <w:gridSpan w:val="2"/>
            <w:shd w:val="clear" w:color="auto" w:fill="D1D2D4"/>
          </w:tcPr>
          <w:p>
            <w:pPr>
              <w:jc w:val="right"/>
              <w:ind w:right="48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D1D2D4"/>
          </w:tcPr>
          <w:p>
            <w:pPr>
              <w:jc w:val="right"/>
              <w:ind w:right="200"/>
              <w:spacing w:after="0"/>
              <w:rPr>
                <w:sz w:val="20"/>
                <w:szCs w:val="20"/>
                <w:color w:val="auto"/>
              </w:rPr>
            </w:pPr>
            <w:r>
              <w:rPr>
                <w:rFonts w:ascii="Arial" w:cs="Arial" w:eastAsia="Arial" w:hAnsi="Arial"/>
                <w:sz w:val="12"/>
                <w:szCs w:val="12"/>
                <w:color w:val="auto"/>
              </w:rPr>
              <w:t>— %</w:t>
            </w: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86</w:t>
            </w:r>
          </w:p>
        </w:tc>
        <w:tc>
          <w:tcPr>
            <w:tcW w:w="480" w:type="dxa"/>
            <w:vAlign w:val="bottom"/>
            <w:shd w:val="clear" w:color="auto" w:fill="D1D2D4"/>
          </w:tcPr>
          <w:p>
            <w:pPr>
              <w:spacing w:after="0"/>
              <w:rPr>
                <w:sz w:val="13"/>
                <w:szCs w:val="13"/>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2 %</w:t>
            </w:r>
          </w:p>
        </w:tc>
        <w:tc>
          <w:tcPr>
            <w:tcW w:w="240" w:type="dxa"/>
            <w:vAlign w:val="bottom"/>
            <w:shd w:val="clear" w:color="auto" w:fill="D1D2D4"/>
          </w:tcPr>
          <w:p>
            <w:pPr>
              <w:spacing w:after="0"/>
              <w:rPr>
                <w:sz w:val="13"/>
                <w:szCs w:val="13"/>
                <w:color w:val="auto"/>
              </w:rPr>
            </w:pPr>
          </w:p>
        </w:tc>
        <w:tc>
          <w:tcPr>
            <w:tcW w:w="840" w:type="dxa"/>
            <w:vAlign w:val="bottom"/>
            <w:gridSpan w:val="2"/>
            <w:shd w:val="clear" w:color="auto" w:fill="D1D2D4"/>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D1D2D4"/>
          </w:tcPr>
          <w:p>
            <w:pPr>
              <w:jc w:val="right"/>
              <w:ind w:right="220"/>
              <w:spacing w:after="0"/>
              <w:rPr>
                <w:sz w:val="20"/>
                <w:szCs w:val="20"/>
                <w:color w:val="auto"/>
              </w:rPr>
            </w:pPr>
            <w:r>
              <w:rPr>
                <w:rFonts w:ascii="Arial" w:cs="Arial" w:eastAsia="Arial" w:hAnsi="Arial"/>
                <w:sz w:val="12"/>
                <w:szCs w:val="12"/>
                <w:color w:val="auto"/>
              </w:rPr>
              <w:t>— %</w:t>
            </w: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99</w:t>
            </w:r>
          </w:p>
        </w:tc>
        <w:tc>
          <w:tcPr>
            <w:tcW w:w="320" w:type="dxa"/>
            <w:vAlign w:val="bottom"/>
            <w:shd w:val="clear" w:color="auto" w:fill="D1D2D4"/>
          </w:tcPr>
          <w:p>
            <w:pPr>
              <w:spacing w:after="0"/>
              <w:rPr>
                <w:sz w:val="13"/>
                <w:szCs w:val="13"/>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1 %</w:t>
            </w:r>
          </w:p>
        </w:tc>
        <w:tc>
          <w:tcPr>
            <w:tcW w:w="0" w:type="dxa"/>
            <w:vAlign w:val="bottom"/>
          </w:tcPr>
          <w:p>
            <w:pPr>
              <w:spacing w:after="0"/>
              <w:rPr>
                <w:sz w:val="1"/>
                <w:szCs w:val="1"/>
                <w:color w:val="auto"/>
              </w:rPr>
            </w:pPr>
          </w:p>
        </w:tc>
      </w:tr>
      <w:tr>
        <w:trPr>
          <w:trHeight w:val="153"/>
        </w:trPr>
        <w:tc>
          <w:tcPr>
            <w:tcW w:w="2820" w:type="dxa"/>
            <w:vAlign w:val="bottom"/>
          </w:tcPr>
          <w:p>
            <w:pPr>
              <w:spacing w:after="0"/>
              <w:rPr>
                <w:sz w:val="20"/>
                <w:szCs w:val="20"/>
                <w:color w:val="auto"/>
              </w:rPr>
            </w:pPr>
            <w:r>
              <w:rPr>
                <w:rFonts w:ascii="Arial" w:cs="Arial" w:eastAsia="Arial" w:hAnsi="Arial"/>
                <w:sz w:val="12"/>
                <w:szCs w:val="12"/>
                <w:color w:val="auto"/>
              </w:rPr>
              <w:t>Other operating (income) expense, net</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(224)</w:t>
            </w:r>
          </w:p>
        </w:tc>
        <w:tc>
          <w:tcPr>
            <w:tcW w:w="4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w:t>
            </w: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(15)</w:t>
            </w:r>
          </w:p>
        </w:tc>
        <w:tc>
          <w:tcPr>
            <w:tcW w:w="44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 %</w:t>
            </w:r>
          </w:p>
        </w:tc>
        <w:tc>
          <w:tcPr>
            <w:tcW w:w="600" w:type="dxa"/>
            <w:vAlign w:val="bottom"/>
          </w:tcPr>
          <w:p>
            <w:pPr>
              <w:jc w:val="right"/>
              <w:spacing w:after="0"/>
              <w:rPr>
                <w:sz w:val="20"/>
                <w:szCs w:val="20"/>
                <w:color w:val="auto"/>
              </w:rPr>
            </w:pPr>
            <w:r>
              <w:rPr>
                <w:rFonts w:ascii="Arial" w:cs="Arial" w:eastAsia="Arial" w:hAnsi="Arial"/>
                <w:sz w:val="12"/>
                <w:szCs w:val="12"/>
                <w:color w:val="auto"/>
              </w:rPr>
              <w:t>(8)</w:t>
            </w:r>
          </w:p>
        </w:tc>
        <w:tc>
          <w:tcPr>
            <w:tcW w:w="4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 %</w:t>
            </w:r>
          </w:p>
        </w:tc>
        <w:tc>
          <w:tcPr>
            <w:tcW w:w="600" w:type="dxa"/>
            <w:vAlign w:val="bottom"/>
          </w:tcPr>
          <w:p>
            <w:pPr>
              <w:jc w:val="right"/>
              <w:spacing w:after="0"/>
              <w:rPr>
                <w:sz w:val="20"/>
                <w:szCs w:val="20"/>
                <w:color w:val="auto"/>
              </w:rPr>
            </w:pPr>
            <w:r>
              <w:rPr>
                <w:rFonts w:ascii="Arial" w:cs="Arial" w:eastAsia="Arial" w:hAnsi="Arial"/>
                <w:sz w:val="12"/>
                <w:szCs w:val="12"/>
                <w:color w:val="auto"/>
              </w:rPr>
              <w:t>(239)</w:t>
            </w: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w:t>
            </w: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(19)</w:t>
            </w: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42"/>
        </w:trPr>
        <w:tc>
          <w:tcPr>
            <w:tcW w:w="2820" w:type="dxa"/>
            <w:vAlign w:val="bottom"/>
            <w:tcBorders>
              <w:top w:val="single" w:sz="8" w:color="D1D2D4"/>
            </w:tcBorders>
            <w:shd w:val="clear" w:color="auto" w:fill="D1D2D4"/>
          </w:tcPr>
          <w:p>
            <w:pPr>
              <w:ind w:left="220"/>
              <w:spacing w:after="0"/>
              <w:rPr>
                <w:sz w:val="20"/>
                <w:szCs w:val="20"/>
                <w:color w:val="auto"/>
              </w:rPr>
            </w:pPr>
            <w:r>
              <w:rPr>
                <w:rFonts w:ascii="Arial" w:cs="Arial" w:eastAsia="Arial" w:hAnsi="Arial"/>
                <w:sz w:val="12"/>
                <w:szCs w:val="12"/>
                <w:color w:val="auto"/>
              </w:rPr>
              <w:t>Operating income (loss)</w:t>
            </w:r>
          </w:p>
        </w:tc>
        <w:tc>
          <w:tcPr>
            <w:tcW w:w="240" w:type="dxa"/>
            <w:vAlign w:val="bottom"/>
            <w:tcBorders>
              <w:top w:val="single" w:sz="8" w:color="auto"/>
            </w:tcBorders>
            <w:shd w:val="clear" w:color="auto" w:fill="D1D2D4"/>
          </w:tcPr>
          <w:p>
            <w:pPr>
              <w:spacing w:after="0"/>
              <w:rPr>
                <w:sz w:val="12"/>
                <w:szCs w:val="12"/>
                <w:color w:val="auto"/>
              </w:rPr>
            </w:pPr>
          </w:p>
        </w:tc>
        <w:tc>
          <w:tcPr>
            <w:tcW w:w="60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191</w:t>
            </w:r>
          </w:p>
        </w:tc>
        <w:tc>
          <w:tcPr>
            <w:tcW w:w="460" w:type="dxa"/>
            <w:vAlign w:val="bottom"/>
            <w:tcBorders>
              <w:top w:val="single" w:sz="8" w:color="D1D2D4"/>
            </w:tcBorders>
            <w:shd w:val="clear" w:color="auto" w:fill="D1D2D4"/>
          </w:tcPr>
          <w:p>
            <w:pPr>
              <w:spacing w:after="0"/>
              <w:rPr>
                <w:sz w:val="12"/>
                <w:szCs w:val="12"/>
                <w:color w:val="auto"/>
              </w:rPr>
            </w:pPr>
          </w:p>
        </w:tc>
        <w:tc>
          <w:tcPr>
            <w:tcW w:w="38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2"/>
                <w:szCs w:val="12"/>
                <w:color w:val="auto"/>
              </w:rPr>
              <w:t>3 %</w:t>
            </w:r>
          </w:p>
        </w:tc>
        <w:tc>
          <w:tcPr>
            <w:tcW w:w="260" w:type="dxa"/>
            <w:vAlign w:val="bottom"/>
            <w:tcBorders>
              <w:top w:val="single" w:sz="8" w:color="auto"/>
            </w:tcBorders>
            <w:shd w:val="clear" w:color="auto" w:fill="D1D2D4"/>
          </w:tcPr>
          <w:p>
            <w:pPr>
              <w:spacing w:after="0"/>
              <w:rPr>
                <w:sz w:val="12"/>
                <w:szCs w:val="12"/>
                <w:color w:val="auto"/>
              </w:rPr>
            </w:pPr>
          </w:p>
        </w:tc>
        <w:tc>
          <w:tcPr>
            <w:tcW w:w="58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(1,128)</w:t>
            </w:r>
          </w:p>
        </w:tc>
        <w:tc>
          <w:tcPr>
            <w:tcW w:w="440" w:type="dxa"/>
            <w:vAlign w:val="bottom"/>
            <w:tcBorders>
              <w:top w:val="single" w:sz="8" w:color="D1D2D4"/>
            </w:tcBorders>
            <w:shd w:val="clear" w:color="auto" w:fill="D1D2D4"/>
          </w:tcPr>
          <w:p>
            <w:pPr>
              <w:spacing w:after="0"/>
              <w:rPr>
                <w:sz w:val="12"/>
                <w:szCs w:val="12"/>
                <w:color w:val="auto"/>
              </w:rPr>
            </w:pPr>
          </w:p>
        </w:tc>
        <w:tc>
          <w:tcPr>
            <w:tcW w:w="42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2"/>
                <w:szCs w:val="12"/>
                <w:color w:val="auto"/>
              </w:rPr>
              <w:t>(24)%</w:t>
            </w:r>
          </w:p>
        </w:tc>
        <w:tc>
          <w:tcPr>
            <w:tcW w:w="240" w:type="dxa"/>
            <w:vAlign w:val="bottom"/>
            <w:tcBorders>
              <w:top w:val="single" w:sz="8" w:color="auto"/>
            </w:tcBorders>
            <w:shd w:val="clear" w:color="auto" w:fill="D1D2D4"/>
          </w:tcPr>
          <w:p>
            <w:pPr>
              <w:spacing w:after="0"/>
              <w:rPr>
                <w:sz w:val="12"/>
                <w:szCs w:val="12"/>
                <w:color w:val="auto"/>
              </w:rPr>
            </w:pPr>
          </w:p>
        </w:tc>
        <w:tc>
          <w:tcPr>
            <w:tcW w:w="60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(2,303)</w:t>
            </w:r>
          </w:p>
        </w:tc>
        <w:tc>
          <w:tcPr>
            <w:tcW w:w="480" w:type="dxa"/>
            <w:vAlign w:val="bottom"/>
            <w:tcBorders>
              <w:top w:val="single" w:sz="8" w:color="D1D2D4"/>
            </w:tcBorders>
            <w:shd w:val="clear" w:color="auto" w:fill="D1D2D4"/>
          </w:tcPr>
          <w:p>
            <w:pPr>
              <w:spacing w:after="0"/>
              <w:rPr>
                <w:sz w:val="12"/>
                <w:szCs w:val="12"/>
                <w:color w:val="auto"/>
              </w:rPr>
            </w:pPr>
          </w:p>
        </w:tc>
        <w:tc>
          <w:tcPr>
            <w:tcW w:w="38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2"/>
                <w:szCs w:val="12"/>
                <w:color w:val="auto"/>
              </w:rPr>
              <w:t>(62)%</w:t>
            </w:r>
          </w:p>
        </w:tc>
        <w:tc>
          <w:tcPr>
            <w:tcW w:w="240" w:type="dxa"/>
            <w:vAlign w:val="bottom"/>
            <w:tcBorders>
              <w:top w:val="single" w:sz="8" w:color="auto"/>
            </w:tcBorders>
            <w:shd w:val="clear" w:color="auto" w:fill="D1D2D4"/>
          </w:tcPr>
          <w:p>
            <w:pPr>
              <w:spacing w:after="0"/>
              <w:rPr>
                <w:sz w:val="12"/>
                <w:szCs w:val="12"/>
                <w:color w:val="auto"/>
              </w:rPr>
            </w:pPr>
          </w:p>
        </w:tc>
        <w:tc>
          <w:tcPr>
            <w:tcW w:w="60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(937)</w:t>
            </w:r>
          </w:p>
        </w:tc>
        <w:tc>
          <w:tcPr>
            <w:tcW w:w="240" w:type="dxa"/>
            <w:vAlign w:val="bottom"/>
            <w:tcBorders>
              <w:top w:val="single" w:sz="8" w:color="D1D2D4"/>
            </w:tcBorders>
            <w:shd w:val="clear" w:color="auto" w:fill="D1D2D4"/>
          </w:tcPr>
          <w:p>
            <w:pPr>
              <w:spacing w:after="0"/>
              <w:rPr>
                <w:sz w:val="12"/>
                <w:szCs w:val="12"/>
                <w:color w:val="auto"/>
              </w:rPr>
            </w:pPr>
          </w:p>
        </w:tc>
        <w:tc>
          <w:tcPr>
            <w:tcW w:w="62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2"/>
                <w:szCs w:val="12"/>
                <w:color w:val="auto"/>
              </w:rPr>
              <w:t>(9)%</w:t>
            </w:r>
          </w:p>
        </w:tc>
        <w:tc>
          <w:tcPr>
            <w:tcW w:w="260" w:type="dxa"/>
            <w:vAlign w:val="bottom"/>
            <w:tcBorders>
              <w:top w:val="single" w:sz="8" w:color="auto"/>
            </w:tcBorders>
            <w:shd w:val="clear" w:color="auto" w:fill="D1D2D4"/>
          </w:tcPr>
          <w:p>
            <w:pPr>
              <w:spacing w:after="0"/>
              <w:rPr>
                <w:sz w:val="12"/>
                <w:szCs w:val="12"/>
                <w:color w:val="auto"/>
              </w:rPr>
            </w:pPr>
          </w:p>
        </w:tc>
        <w:tc>
          <w:tcPr>
            <w:tcW w:w="58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(2,512)</w:t>
            </w:r>
          </w:p>
        </w:tc>
        <w:tc>
          <w:tcPr>
            <w:tcW w:w="320" w:type="dxa"/>
            <w:vAlign w:val="bottom"/>
            <w:tcBorders>
              <w:top w:val="single" w:sz="8" w:color="D1D2D4"/>
            </w:tcBorders>
            <w:shd w:val="clear" w:color="auto" w:fill="D1D2D4"/>
          </w:tcPr>
          <w:p>
            <w:pPr>
              <w:spacing w:after="0"/>
              <w:rPr>
                <w:sz w:val="12"/>
                <w:szCs w:val="12"/>
                <w:color w:val="auto"/>
              </w:rPr>
            </w:pPr>
          </w:p>
        </w:tc>
        <w:tc>
          <w:tcPr>
            <w:tcW w:w="54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820" w:type="dxa"/>
            <w:vAlign w:val="bottom"/>
            <w:shd w:val="clear" w:color="auto" w:fill="D1D2D4"/>
          </w:tcPr>
          <w:p>
            <w:pPr>
              <w:spacing w:after="0"/>
              <w:rPr>
                <w:sz w:val="20"/>
                <w:szCs w:val="20"/>
                <w:color w:val="auto"/>
              </w:rPr>
            </w:pPr>
            <w:r>
              <w:rPr>
                <w:rFonts w:ascii="Arial" w:cs="Arial" w:eastAsia="Arial" w:hAnsi="Arial"/>
                <w:sz w:val="12"/>
                <w:szCs w:val="12"/>
                <w:color w:val="auto"/>
              </w:rPr>
              <w:t>Interest income (expense), net</w:t>
            </w:r>
          </w:p>
        </w:tc>
        <w:tc>
          <w:tcPr>
            <w:tcW w:w="240" w:type="dxa"/>
            <w:vAlign w:val="bottom"/>
            <w:shd w:val="clear" w:color="auto" w:fill="D1D2D4"/>
          </w:tcPr>
          <w:p>
            <w:pPr>
              <w:spacing w:after="0"/>
              <w:rPr>
                <w:sz w:val="13"/>
                <w:szCs w:val="13"/>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(14)</w:t>
            </w:r>
          </w:p>
        </w:tc>
        <w:tc>
          <w:tcPr>
            <w:tcW w:w="460" w:type="dxa"/>
            <w:vAlign w:val="bottom"/>
            <w:shd w:val="clear" w:color="auto" w:fill="D1D2D4"/>
          </w:tcPr>
          <w:p>
            <w:pPr>
              <w:spacing w:after="0"/>
              <w:rPr>
                <w:sz w:val="13"/>
                <w:szCs w:val="13"/>
                <w:color w:val="auto"/>
              </w:rPr>
            </w:pPr>
          </w:p>
        </w:tc>
        <w:tc>
          <w:tcPr>
            <w:tcW w:w="640" w:type="dxa"/>
            <w:vAlign w:val="bottom"/>
            <w:gridSpan w:val="2"/>
            <w:shd w:val="clear" w:color="auto" w:fill="D1D2D4"/>
          </w:tcPr>
          <w:p>
            <w:pPr>
              <w:jc w:val="right"/>
              <w:ind w:right="220"/>
              <w:spacing w:after="0"/>
              <w:rPr>
                <w:sz w:val="20"/>
                <w:szCs w:val="20"/>
                <w:color w:val="auto"/>
              </w:rPr>
            </w:pPr>
            <w:r>
              <w:rPr>
                <w:rFonts w:ascii="Arial" w:cs="Arial" w:eastAsia="Arial" w:hAnsi="Arial"/>
                <w:sz w:val="12"/>
                <w:szCs w:val="12"/>
                <w:color w:val="auto"/>
              </w:rPr>
              <w:t>— %</w:t>
            </w:r>
          </w:p>
        </w:tc>
        <w:tc>
          <w:tcPr>
            <w:tcW w:w="1020" w:type="dxa"/>
            <w:vAlign w:val="bottom"/>
            <w:gridSpan w:val="2"/>
            <w:shd w:val="clear" w:color="auto" w:fill="D1D2D4"/>
          </w:tcPr>
          <w:p>
            <w:pPr>
              <w:jc w:val="right"/>
              <w:ind w:right="48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D1D2D4"/>
          </w:tcPr>
          <w:p>
            <w:pPr>
              <w:jc w:val="right"/>
              <w:ind w:right="200"/>
              <w:spacing w:after="0"/>
              <w:rPr>
                <w:sz w:val="20"/>
                <w:szCs w:val="20"/>
                <w:color w:val="auto"/>
              </w:rPr>
            </w:pPr>
            <w:r>
              <w:rPr>
                <w:rFonts w:ascii="Arial" w:cs="Arial" w:eastAsia="Arial" w:hAnsi="Arial"/>
                <w:sz w:val="12"/>
                <w:szCs w:val="12"/>
                <w:color w:val="auto"/>
              </w:rPr>
              <w:t>— %</w:t>
            </w: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30</w:t>
            </w:r>
          </w:p>
        </w:tc>
        <w:tc>
          <w:tcPr>
            <w:tcW w:w="480" w:type="dxa"/>
            <w:vAlign w:val="bottom"/>
            <w:shd w:val="clear" w:color="auto" w:fill="D1D2D4"/>
          </w:tcPr>
          <w:p>
            <w:pPr>
              <w:spacing w:after="0"/>
              <w:rPr>
                <w:sz w:val="13"/>
                <w:szCs w:val="13"/>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1 %</w:t>
            </w:r>
          </w:p>
        </w:tc>
        <w:tc>
          <w:tcPr>
            <w:tcW w:w="240" w:type="dxa"/>
            <w:vAlign w:val="bottom"/>
            <w:shd w:val="clear" w:color="auto" w:fill="D1D2D4"/>
          </w:tcPr>
          <w:p>
            <w:pPr>
              <w:spacing w:after="0"/>
              <w:rPr>
                <w:sz w:val="13"/>
                <w:szCs w:val="13"/>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(14)</w:t>
            </w:r>
          </w:p>
        </w:tc>
        <w:tc>
          <w:tcPr>
            <w:tcW w:w="240" w:type="dxa"/>
            <w:vAlign w:val="bottom"/>
            <w:shd w:val="clear" w:color="auto" w:fill="D1D2D4"/>
          </w:tcPr>
          <w:p>
            <w:pPr>
              <w:spacing w:after="0"/>
              <w:rPr>
                <w:sz w:val="13"/>
                <w:szCs w:val="13"/>
                <w:color w:val="auto"/>
              </w:rPr>
            </w:pPr>
          </w:p>
        </w:tc>
        <w:tc>
          <w:tcPr>
            <w:tcW w:w="880" w:type="dxa"/>
            <w:vAlign w:val="bottom"/>
            <w:gridSpan w:val="2"/>
            <w:shd w:val="clear" w:color="auto" w:fill="D1D2D4"/>
          </w:tcPr>
          <w:p>
            <w:pPr>
              <w:jc w:val="right"/>
              <w:ind w:right="220"/>
              <w:spacing w:after="0"/>
              <w:rPr>
                <w:sz w:val="20"/>
                <w:szCs w:val="20"/>
                <w:color w:val="auto"/>
              </w:rPr>
            </w:pPr>
            <w:r>
              <w:rPr>
                <w:rFonts w:ascii="Arial" w:cs="Arial" w:eastAsia="Arial" w:hAnsi="Arial"/>
                <w:sz w:val="12"/>
                <w:szCs w:val="12"/>
                <w:color w:val="auto"/>
              </w:rPr>
              <w:t>— %</w:t>
            </w: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67</w:t>
            </w:r>
          </w:p>
        </w:tc>
        <w:tc>
          <w:tcPr>
            <w:tcW w:w="320" w:type="dxa"/>
            <w:vAlign w:val="bottom"/>
            <w:shd w:val="clear" w:color="auto" w:fill="D1D2D4"/>
          </w:tcPr>
          <w:p>
            <w:pPr>
              <w:spacing w:after="0"/>
              <w:rPr>
                <w:sz w:val="13"/>
                <w:szCs w:val="13"/>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1 %</w:t>
            </w:r>
          </w:p>
        </w:tc>
        <w:tc>
          <w:tcPr>
            <w:tcW w:w="0" w:type="dxa"/>
            <w:vAlign w:val="bottom"/>
          </w:tcPr>
          <w:p>
            <w:pPr>
              <w:spacing w:after="0"/>
              <w:rPr>
                <w:sz w:val="1"/>
                <w:szCs w:val="1"/>
                <w:color w:val="auto"/>
              </w:rPr>
            </w:pPr>
          </w:p>
        </w:tc>
      </w:tr>
      <w:tr>
        <w:trPr>
          <w:trHeight w:val="153"/>
        </w:trPr>
        <w:tc>
          <w:tcPr>
            <w:tcW w:w="2820" w:type="dxa"/>
            <w:vAlign w:val="bottom"/>
          </w:tcPr>
          <w:p>
            <w:pPr>
              <w:spacing w:after="0"/>
              <w:rPr>
                <w:sz w:val="20"/>
                <w:szCs w:val="20"/>
                <w:color w:val="auto"/>
              </w:rPr>
            </w:pPr>
            <w:r>
              <w:rPr>
                <w:rFonts w:ascii="Arial" w:cs="Arial" w:eastAsia="Arial" w:hAnsi="Arial"/>
                <w:sz w:val="12"/>
                <w:szCs w:val="12"/>
                <w:color w:val="auto"/>
              </w:rPr>
              <w:t>Other non-operating income (expense), net</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w:t>
            </w:r>
          </w:p>
        </w:tc>
        <w:tc>
          <w:tcPr>
            <w:tcW w:w="46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 %</w:t>
            </w:r>
          </w:p>
        </w:tc>
        <w:tc>
          <w:tcPr>
            <w:tcW w:w="580" w:type="dxa"/>
            <w:vAlign w:val="bottom"/>
          </w:tcPr>
          <w:p>
            <w:pPr>
              <w:jc w:val="right"/>
              <w:spacing w:after="0"/>
              <w:rPr>
                <w:sz w:val="20"/>
                <w:szCs w:val="20"/>
                <w:color w:val="auto"/>
              </w:rPr>
            </w:pPr>
            <w:r>
              <w:rPr>
                <w:rFonts w:ascii="Arial" w:cs="Arial" w:eastAsia="Arial" w:hAnsi="Arial"/>
                <w:sz w:val="12"/>
                <w:szCs w:val="12"/>
                <w:color w:val="auto"/>
              </w:rPr>
              <w:t>(27)</w:t>
            </w:r>
          </w:p>
        </w:tc>
        <w:tc>
          <w:tcPr>
            <w:tcW w:w="4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w:t>
            </w:r>
          </w:p>
        </w:tc>
        <w:tc>
          <w:tcPr>
            <w:tcW w:w="4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 %</w:t>
            </w:r>
          </w:p>
        </w:tc>
        <w:tc>
          <w:tcPr>
            <w:tcW w:w="600" w:type="dxa"/>
            <w:vAlign w:val="bottom"/>
          </w:tcPr>
          <w:p>
            <w:pPr>
              <w:jc w:val="right"/>
              <w:spacing w:after="0"/>
              <w:rPr>
                <w:sz w:val="20"/>
                <w:szCs w:val="20"/>
                <w:color w:val="auto"/>
              </w:rPr>
            </w:pPr>
            <w:r>
              <w:rPr>
                <w:rFonts w:ascii="Arial" w:cs="Arial" w:eastAsia="Arial" w:hAnsi="Arial"/>
                <w:sz w:val="12"/>
                <w:szCs w:val="12"/>
                <w:color w:val="auto"/>
              </w:rPr>
              <w:t>(34)</w:t>
            </w:r>
          </w:p>
        </w:tc>
        <w:tc>
          <w:tcPr>
            <w:tcW w:w="24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 %</w:t>
            </w:r>
          </w:p>
        </w:tc>
        <w:tc>
          <w:tcPr>
            <w:tcW w:w="580" w:type="dxa"/>
            <w:vAlign w:val="bottom"/>
          </w:tcPr>
          <w:p>
            <w:pPr>
              <w:jc w:val="right"/>
              <w:spacing w:after="0"/>
              <w:rPr>
                <w:sz w:val="20"/>
                <w:szCs w:val="20"/>
                <w:color w:val="auto"/>
              </w:rPr>
            </w:pPr>
            <w:r>
              <w:rPr>
                <w:rFonts w:ascii="Arial" w:cs="Arial" w:eastAsia="Arial" w:hAnsi="Arial"/>
                <w:sz w:val="12"/>
                <w:szCs w:val="12"/>
                <w:color w:val="auto"/>
              </w:rPr>
              <w:t>(2)</w:t>
            </w: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53"/>
        </w:trPr>
        <w:tc>
          <w:tcPr>
            <w:tcW w:w="2820" w:type="dxa"/>
            <w:vAlign w:val="bottom"/>
            <w:shd w:val="clear" w:color="auto" w:fill="D1D2D4"/>
          </w:tcPr>
          <w:p>
            <w:pPr>
              <w:spacing w:after="0"/>
              <w:rPr>
                <w:sz w:val="20"/>
                <w:szCs w:val="20"/>
                <w:color w:val="auto"/>
              </w:rPr>
            </w:pPr>
            <w:r>
              <w:rPr>
                <w:rFonts w:ascii="Arial" w:cs="Arial" w:eastAsia="Arial" w:hAnsi="Arial"/>
                <w:sz w:val="12"/>
                <w:szCs w:val="12"/>
                <w:color w:val="auto"/>
              </w:rPr>
              <w:t>Income tax (provision) benefit</w:t>
            </w:r>
          </w:p>
        </w:tc>
        <w:tc>
          <w:tcPr>
            <w:tcW w:w="240" w:type="dxa"/>
            <w:vAlign w:val="bottom"/>
            <w:shd w:val="clear" w:color="auto" w:fill="D1D2D4"/>
          </w:tcPr>
          <w:p>
            <w:pPr>
              <w:spacing w:after="0"/>
              <w:rPr>
                <w:sz w:val="13"/>
                <w:szCs w:val="13"/>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622</w:t>
            </w:r>
          </w:p>
        </w:tc>
        <w:tc>
          <w:tcPr>
            <w:tcW w:w="460" w:type="dxa"/>
            <w:vAlign w:val="bottom"/>
            <w:shd w:val="clear" w:color="auto" w:fill="D1D2D4"/>
          </w:tcPr>
          <w:p>
            <w:pPr>
              <w:spacing w:after="0"/>
              <w:rPr>
                <w:sz w:val="13"/>
                <w:szCs w:val="13"/>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11 %</w:t>
            </w:r>
          </w:p>
        </w:tc>
        <w:tc>
          <w:tcPr>
            <w:tcW w:w="260" w:type="dxa"/>
            <w:vAlign w:val="bottom"/>
            <w:shd w:val="clear" w:color="auto" w:fill="D1D2D4"/>
          </w:tcPr>
          <w:p>
            <w:pPr>
              <w:spacing w:after="0"/>
              <w:rPr>
                <w:sz w:val="13"/>
                <w:szCs w:val="13"/>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(73)</w:t>
            </w:r>
          </w:p>
        </w:tc>
        <w:tc>
          <w:tcPr>
            <w:tcW w:w="440" w:type="dxa"/>
            <w:vAlign w:val="bottom"/>
            <w:shd w:val="clear" w:color="auto" w:fill="D1D2D4"/>
          </w:tcPr>
          <w:p>
            <w:pPr>
              <w:spacing w:after="0"/>
              <w:rPr>
                <w:sz w:val="13"/>
                <w:szCs w:val="13"/>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w:t>
            </w:r>
          </w:p>
        </w:tc>
        <w:tc>
          <w:tcPr>
            <w:tcW w:w="240" w:type="dxa"/>
            <w:vAlign w:val="bottom"/>
            <w:shd w:val="clear" w:color="auto" w:fill="D1D2D4"/>
          </w:tcPr>
          <w:p>
            <w:pPr>
              <w:spacing w:after="0"/>
              <w:rPr>
                <w:sz w:val="13"/>
                <w:szCs w:val="13"/>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(54)</w:t>
            </w:r>
          </w:p>
        </w:tc>
        <w:tc>
          <w:tcPr>
            <w:tcW w:w="480" w:type="dxa"/>
            <w:vAlign w:val="bottom"/>
            <w:shd w:val="clear" w:color="auto" w:fill="D1D2D4"/>
          </w:tcPr>
          <w:p>
            <w:pPr>
              <w:spacing w:after="0"/>
              <w:rPr>
                <w:sz w:val="13"/>
                <w:szCs w:val="13"/>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w:t>
            </w:r>
          </w:p>
        </w:tc>
        <w:tc>
          <w:tcPr>
            <w:tcW w:w="240" w:type="dxa"/>
            <w:vAlign w:val="bottom"/>
            <w:shd w:val="clear" w:color="auto" w:fill="D1D2D4"/>
          </w:tcPr>
          <w:p>
            <w:pPr>
              <w:spacing w:after="0"/>
              <w:rPr>
                <w:sz w:val="13"/>
                <w:szCs w:val="13"/>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549</w:t>
            </w:r>
          </w:p>
        </w:tc>
        <w:tc>
          <w:tcPr>
            <w:tcW w:w="240" w:type="dxa"/>
            <w:vAlign w:val="bottom"/>
            <w:shd w:val="clear" w:color="auto" w:fill="D1D2D4"/>
          </w:tcPr>
          <w:p>
            <w:pPr>
              <w:spacing w:after="0"/>
              <w:rPr>
                <w:sz w:val="13"/>
                <w:szCs w:val="13"/>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5 %</w:t>
            </w:r>
          </w:p>
        </w:tc>
        <w:tc>
          <w:tcPr>
            <w:tcW w:w="260" w:type="dxa"/>
            <w:vAlign w:val="bottom"/>
            <w:shd w:val="clear" w:color="auto" w:fill="D1D2D4"/>
          </w:tcPr>
          <w:p>
            <w:pPr>
              <w:spacing w:after="0"/>
              <w:rPr>
                <w:sz w:val="13"/>
                <w:szCs w:val="13"/>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(62)</w:t>
            </w:r>
          </w:p>
        </w:tc>
        <w:tc>
          <w:tcPr>
            <w:tcW w:w="320" w:type="dxa"/>
            <w:vAlign w:val="bottom"/>
            <w:shd w:val="clear" w:color="auto" w:fill="D1D2D4"/>
          </w:tcPr>
          <w:p>
            <w:pPr>
              <w:spacing w:after="0"/>
              <w:rPr>
                <w:sz w:val="13"/>
                <w:szCs w:val="13"/>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22"/>
        </w:trPr>
        <w:tc>
          <w:tcPr>
            <w:tcW w:w="2820" w:type="dxa"/>
            <w:vAlign w:val="bottom"/>
          </w:tcPr>
          <w:p>
            <w:pPr>
              <w:spacing w:after="0" w:line="122" w:lineRule="exact"/>
              <w:rPr>
                <w:sz w:val="20"/>
                <w:szCs w:val="20"/>
                <w:color w:val="auto"/>
              </w:rPr>
            </w:pPr>
            <w:r>
              <w:rPr>
                <w:rFonts w:ascii="Arial" w:cs="Arial" w:eastAsia="Arial" w:hAnsi="Arial"/>
                <w:sz w:val="12"/>
                <w:szCs w:val="12"/>
                <w:color w:val="auto"/>
              </w:rPr>
              <w:t>Equity in net income (loss) of equity method</w:t>
            </w:r>
          </w:p>
        </w:tc>
        <w:tc>
          <w:tcPr>
            <w:tcW w:w="2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460" w:type="dxa"/>
            <w:vAlign w:val="bottom"/>
          </w:tcPr>
          <w:p>
            <w:pPr>
              <w:spacing w:after="0"/>
              <w:rPr>
                <w:sz w:val="10"/>
                <w:szCs w:val="10"/>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(6)</w:t>
            </w:r>
          </w:p>
        </w:tc>
        <w:tc>
          <w:tcPr>
            <w:tcW w:w="440" w:type="dxa"/>
            <w:vAlign w:val="bottom"/>
          </w:tcPr>
          <w:p>
            <w:pPr>
              <w:spacing w:after="0"/>
              <w:rPr>
                <w:sz w:val="10"/>
                <w:szCs w:val="10"/>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13</w:t>
            </w:r>
          </w:p>
        </w:tc>
        <w:tc>
          <w:tcPr>
            <w:tcW w:w="480" w:type="dxa"/>
            <w:vAlign w:val="bottom"/>
          </w:tcPr>
          <w:p>
            <w:pPr>
              <w:spacing w:after="0"/>
              <w:rPr>
                <w:sz w:val="10"/>
                <w:szCs w:val="10"/>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(5)</w:t>
            </w:r>
          </w:p>
        </w:tc>
        <w:tc>
          <w:tcPr>
            <w:tcW w:w="24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3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57"/>
        </w:trPr>
        <w:tc>
          <w:tcPr>
            <w:tcW w:w="2820" w:type="dxa"/>
            <w:vAlign w:val="bottom"/>
          </w:tcPr>
          <w:p>
            <w:pPr>
              <w:ind w:left="120"/>
              <w:spacing w:after="0"/>
              <w:rPr>
                <w:sz w:val="20"/>
                <w:szCs w:val="20"/>
                <w:color w:val="auto"/>
              </w:rPr>
            </w:pPr>
            <w:r>
              <w:rPr>
                <w:rFonts w:ascii="Arial" w:cs="Arial" w:eastAsia="Arial" w:hAnsi="Arial"/>
                <w:sz w:val="12"/>
                <w:szCs w:val="12"/>
                <w:color w:val="auto"/>
              </w:rPr>
              <w:t>investees</w:t>
            </w:r>
          </w:p>
        </w:tc>
        <w:tc>
          <w:tcPr>
            <w:tcW w:w="2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820" w:type="dxa"/>
            <w:vAlign w:val="bottom"/>
            <w:tcBorders>
              <w:top w:val="single" w:sz="8" w:color="D1D2D4"/>
              <w:bottom w:val="single" w:sz="8" w:color="D1D2D4"/>
            </w:tcBorders>
            <w:shd w:val="clear" w:color="auto" w:fill="D1D2D4"/>
          </w:tcPr>
          <w:p>
            <w:pPr>
              <w:ind w:left="260"/>
              <w:spacing w:after="0"/>
              <w:rPr>
                <w:sz w:val="20"/>
                <w:szCs w:val="20"/>
                <w:color w:val="auto"/>
              </w:rPr>
            </w:pPr>
            <w:r>
              <w:rPr>
                <w:rFonts w:ascii="Arial" w:cs="Arial" w:eastAsia="Arial" w:hAnsi="Arial"/>
                <w:sz w:val="12"/>
                <w:szCs w:val="12"/>
                <w:color w:val="auto"/>
              </w:rPr>
              <w:t>Net income (loss)</w:t>
            </w:r>
          </w:p>
        </w:tc>
        <w:tc>
          <w:tcPr>
            <w:tcW w:w="240" w:type="dxa"/>
            <w:vAlign w:val="bottom"/>
            <w:tcBorders>
              <w:top w:val="single" w:sz="8" w:color="auto"/>
              <w:bottom w:val="single" w:sz="8" w:color="auto"/>
            </w:tcBorders>
            <w:shd w:val="clear" w:color="auto" w:fill="D1D2D4"/>
          </w:tcPr>
          <w:p>
            <w:pPr>
              <w:jc w:val="right"/>
              <w:ind w:right="10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793</w:t>
            </w:r>
          </w:p>
        </w:tc>
        <w:tc>
          <w:tcPr>
            <w:tcW w:w="460" w:type="dxa"/>
            <w:vAlign w:val="bottom"/>
            <w:tcBorders>
              <w:top w:val="single" w:sz="8" w:color="D1D2D4"/>
              <w:bottom w:val="single" w:sz="8" w:color="D1D2D4"/>
            </w:tcBorders>
            <w:shd w:val="clear" w:color="auto" w:fill="D1D2D4"/>
          </w:tcPr>
          <w:p>
            <w:pPr>
              <w:spacing w:after="0"/>
              <w:rPr>
                <w:sz w:val="13"/>
                <w:szCs w:val="13"/>
                <w:color w:val="auto"/>
              </w:rPr>
            </w:pPr>
          </w:p>
        </w:tc>
        <w:tc>
          <w:tcPr>
            <w:tcW w:w="380" w:type="dxa"/>
            <w:vAlign w:val="bottom"/>
            <w:tcBorders>
              <w:top w:val="single" w:sz="8" w:color="D1D2D4"/>
              <w:bottom w:val="single" w:sz="8" w:color="D1D2D4"/>
            </w:tcBorders>
            <w:shd w:val="clear" w:color="auto" w:fill="D1D2D4"/>
          </w:tcPr>
          <w:p>
            <w:pPr>
              <w:jc w:val="right"/>
              <w:spacing w:after="0"/>
              <w:rPr>
                <w:sz w:val="20"/>
                <w:szCs w:val="20"/>
                <w:color w:val="auto"/>
              </w:rPr>
            </w:pPr>
            <w:r>
              <w:rPr>
                <w:rFonts w:ascii="Arial" w:cs="Arial" w:eastAsia="Arial" w:hAnsi="Arial"/>
                <w:sz w:val="12"/>
                <w:szCs w:val="12"/>
                <w:color w:val="auto"/>
              </w:rPr>
              <w:t>14 %</w:t>
            </w:r>
          </w:p>
        </w:tc>
        <w:tc>
          <w:tcPr>
            <w:tcW w:w="260" w:type="dxa"/>
            <w:vAlign w:val="bottom"/>
            <w:tcBorders>
              <w:top w:val="single" w:sz="8" w:color="auto"/>
              <w:bottom w:val="single" w:sz="8" w:color="auto"/>
            </w:tcBorders>
            <w:shd w:val="clear" w:color="auto" w:fill="D1D2D4"/>
          </w:tcPr>
          <w:p>
            <w:pPr>
              <w:jc w:val="right"/>
              <w:ind w:right="120"/>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(1,234)</w:t>
            </w:r>
          </w:p>
        </w:tc>
        <w:tc>
          <w:tcPr>
            <w:tcW w:w="440" w:type="dxa"/>
            <w:vAlign w:val="bottom"/>
            <w:tcBorders>
              <w:top w:val="single" w:sz="8" w:color="D1D2D4"/>
              <w:bottom w:val="single" w:sz="8" w:color="D1D2D4"/>
            </w:tcBorders>
            <w:shd w:val="clear" w:color="auto" w:fill="D1D2D4"/>
          </w:tcPr>
          <w:p>
            <w:pPr>
              <w:spacing w:after="0"/>
              <w:rPr>
                <w:sz w:val="13"/>
                <w:szCs w:val="13"/>
                <w:color w:val="auto"/>
              </w:rPr>
            </w:pPr>
          </w:p>
        </w:tc>
        <w:tc>
          <w:tcPr>
            <w:tcW w:w="420" w:type="dxa"/>
            <w:vAlign w:val="bottom"/>
            <w:tcBorders>
              <w:top w:val="single" w:sz="8" w:color="D1D2D4"/>
              <w:bottom w:val="single" w:sz="8" w:color="D1D2D4"/>
            </w:tcBorders>
            <w:shd w:val="clear" w:color="auto" w:fill="D1D2D4"/>
          </w:tcPr>
          <w:p>
            <w:pPr>
              <w:jc w:val="right"/>
              <w:spacing w:after="0"/>
              <w:rPr>
                <w:sz w:val="20"/>
                <w:szCs w:val="20"/>
                <w:color w:val="auto"/>
              </w:rPr>
            </w:pPr>
            <w:r>
              <w:rPr>
                <w:rFonts w:ascii="Arial" w:cs="Arial" w:eastAsia="Arial" w:hAnsi="Arial"/>
                <w:sz w:val="12"/>
                <w:szCs w:val="12"/>
                <w:color w:val="auto"/>
              </w:rPr>
              <w:t>(26)%</w:t>
            </w:r>
          </w:p>
        </w:tc>
        <w:tc>
          <w:tcPr>
            <w:tcW w:w="240" w:type="dxa"/>
            <w:vAlign w:val="bottom"/>
            <w:tcBorders>
              <w:top w:val="single" w:sz="8" w:color="auto"/>
              <w:bottom w:val="single" w:sz="8" w:color="auto"/>
            </w:tcBorders>
            <w:shd w:val="clear" w:color="auto" w:fill="D1D2D4"/>
          </w:tcPr>
          <w:p>
            <w:pPr>
              <w:jc w:val="right"/>
              <w:ind w:right="10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(2,312)</w:t>
            </w:r>
          </w:p>
        </w:tc>
        <w:tc>
          <w:tcPr>
            <w:tcW w:w="480" w:type="dxa"/>
            <w:vAlign w:val="bottom"/>
            <w:tcBorders>
              <w:top w:val="single" w:sz="8" w:color="D1D2D4"/>
              <w:bottom w:val="single" w:sz="8" w:color="D1D2D4"/>
            </w:tcBorders>
            <w:shd w:val="clear" w:color="auto" w:fill="D1D2D4"/>
          </w:tcPr>
          <w:p>
            <w:pPr>
              <w:spacing w:after="0"/>
              <w:rPr>
                <w:sz w:val="13"/>
                <w:szCs w:val="13"/>
                <w:color w:val="auto"/>
              </w:rPr>
            </w:pPr>
          </w:p>
        </w:tc>
        <w:tc>
          <w:tcPr>
            <w:tcW w:w="380" w:type="dxa"/>
            <w:vAlign w:val="bottom"/>
            <w:tcBorders>
              <w:top w:val="single" w:sz="8" w:color="D1D2D4"/>
              <w:bottom w:val="single" w:sz="8" w:color="D1D2D4"/>
            </w:tcBorders>
            <w:shd w:val="clear" w:color="auto" w:fill="D1D2D4"/>
          </w:tcPr>
          <w:p>
            <w:pPr>
              <w:jc w:val="right"/>
              <w:spacing w:after="0"/>
              <w:rPr>
                <w:sz w:val="20"/>
                <w:szCs w:val="20"/>
                <w:color w:val="auto"/>
              </w:rPr>
            </w:pPr>
            <w:r>
              <w:rPr>
                <w:rFonts w:ascii="Arial" w:cs="Arial" w:eastAsia="Arial" w:hAnsi="Arial"/>
                <w:sz w:val="12"/>
                <w:szCs w:val="12"/>
                <w:color w:val="auto"/>
              </w:rPr>
              <w:t>(63)%</w:t>
            </w:r>
          </w:p>
        </w:tc>
        <w:tc>
          <w:tcPr>
            <w:tcW w:w="240" w:type="dxa"/>
            <w:vAlign w:val="bottom"/>
            <w:tcBorders>
              <w:top w:val="single" w:sz="8" w:color="auto"/>
              <w:bottom w:val="single" w:sz="8" w:color="auto"/>
            </w:tcBorders>
            <w:shd w:val="clear" w:color="auto" w:fill="D1D2D4"/>
          </w:tcPr>
          <w:p>
            <w:pPr>
              <w:jc w:val="right"/>
              <w:ind w:right="10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(441)</w:t>
            </w:r>
          </w:p>
        </w:tc>
        <w:tc>
          <w:tcPr>
            <w:tcW w:w="240" w:type="dxa"/>
            <w:vAlign w:val="bottom"/>
            <w:tcBorders>
              <w:top w:val="single" w:sz="8" w:color="D1D2D4"/>
              <w:bottom w:val="single" w:sz="8" w:color="D1D2D4"/>
            </w:tcBorders>
            <w:shd w:val="clear" w:color="auto" w:fill="D1D2D4"/>
          </w:tcPr>
          <w:p>
            <w:pPr>
              <w:spacing w:after="0"/>
              <w:rPr>
                <w:sz w:val="13"/>
                <w:szCs w:val="13"/>
                <w:color w:val="auto"/>
              </w:rPr>
            </w:pPr>
          </w:p>
        </w:tc>
        <w:tc>
          <w:tcPr>
            <w:tcW w:w="620" w:type="dxa"/>
            <w:vAlign w:val="bottom"/>
            <w:tcBorders>
              <w:top w:val="single" w:sz="8" w:color="D1D2D4"/>
              <w:bottom w:val="single" w:sz="8" w:color="D1D2D4"/>
            </w:tcBorders>
            <w:shd w:val="clear" w:color="auto" w:fill="D1D2D4"/>
          </w:tcPr>
          <w:p>
            <w:pPr>
              <w:jc w:val="right"/>
              <w:spacing w:after="0"/>
              <w:rPr>
                <w:sz w:val="20"/>
                <w:szCs w:val="20"/>
                <w:color w:val="auto"/>
              </w:rPr>
            </w:pPr>
            <w:r>
              <w:rPr>
                <w:rFonts w:ascii="Arial" w:cs="Arial" w:eastAsia="Arial" w:hAnsi="Arial"/>
                <w:sz w:val="12"/>
                <w:szCs w:val="12"/>
                <w:color w:val="auto"/>
              </w:rPr>
              <w:t>(4)%</w:t>
            </w:r>
          </w:p>
        </w:tc>
        <w:tc>
          <w:tcPr>
            <w:tcW w:w="260" w:type="dxa"/>
            <w:vAlign w:val="bottom"/>
            <w:tcBorders>
              <w:top w:val="single" w:sz="8" w:color="auto"/>
              <w:bottom w:val="single" w:sz="8" w:color="auto"/>
            </w:tcBorders>
            <w:shd w:val="clear" w:color="auto" w:fill="D1D2D4"/>
          </w:tcPr>
          <w:p>
            <w:pPr>
              <w:jc w:val="right"/>
              <w:ind w:right="120"/>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(2,507)</w:t>
            </w:r>
          </w:p>
        </w:tc>
        <w:tc>
          <w:tcPr>
            <w:tcW w:w="320" w:type="dxa"/>
            <w:vAlign w:val="bottom"/>
            <w:tcBorders>
              <w:top w:val="single" w:sz="8" w:color="D1D2D4"/>
              <w:bottom w:val="single" w:sz="8" w:color="D1D2D4"/>
            </w:tcBorders>
            <w:shd w:val="clear" w:color="auto" w:fill="D1D2D4"/>
          </w:tcPr>
          <w:p>
            <w:pPr>
              <w:spacing w:after="0"/>
              <w:rPr>
                <w:sz w:val="13"/>
                <w:szCs w:val="13"/>
                <w:color w:val="auto"/>
              </w:rPr>
            </w:pPr>
          </w:p>
        </w:tc>
        <w:tc>
          <w:tcPr>
            <w:tcW w:w="540" w:type="dxa"/>
            <w:vAlign w:val="bottom"/>
            <w:tcBorders>
              <w:top w:val="single" w:sz="8" w:color="D1D2D4"/>
              <w:bottom w:val="single" w:sz="8" w:color="D1D2D4"/>
            </w:tcBorders>
            <w:shd w:val="clear" w:color="auto" w:fill="D1D2D4"/>
          </w:tcPr>
          <w:p>
            <w:pPr>
              <w:jc w:val="right"/>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bl>
    <w:p>
      <w:pPr>
        <w:spacing w:after="0" w:line="212"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b w:val="1"/>
          <w:bCs w:val="1"/>
          <w:i w:val="1"/>
          <w:iCs w:val="1"/>
          <w:color w:val="auto"/>
        </w:rPr>
        <w:t xml:space="preserve">Total Revenue: </w:t>
      </w:r>
      <w:r>
        <w:rPr>
          <w:rFonts w:ascii="Arial" w:cs="Arial" w:eastAsia="Arial" w:hAnsi="Arial"/>
          <w:sz w:val="12"/>
          <w:szCs w:val="12"/>
          <w:color w:val="auto"/>
        </w:rPr>
        <w:t>Total revenue for the second quarter and first six months of 2024 was impacted by the factors described in the section titled “Industry Conditions” above. These conditions drove significant quarterly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declines in average selling prices throughout 2023 and a subsequent recovery of average selling prices in the first two quarters of 2024.</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Total revenue for the second quarter of 2024 increased 23% as compared to the first quarter of 2024 due to increases in sales of both DRAM and NAND products.</w:t>
      </w:r>
    </w:p>
    <w:p>
      <w:pPr>
        <w:spacing w:after="0" w:line="168" w:lineRule="exact"/>
        <w:rPr>
          <w:sz w:val="20"/>
          <w:szCs w:val="20"/>
          <w:color w:val="auto"/>
        </w:rPr>
      </w:pPr>
    </w:p>
    <w:p>
      <w:pPr>
        <w:ind w:left="420" w:right="60" w:hanging="212"/>
        <w:spacing w:after="0" w:line="260" w:lineRule="auto"/>
        <w:tabs>
          <w:tab w:leader="none" w:pos="417" w:val="left"/>
        </w:tabs>
        <w:numPr>
          <w:ilvl w:val="0"/>
          <w:numId w:val="9"/>
        </w:numPr>
        <w:rPr>
          <w:rFonts w:ascii="Arial" w:cs="Arial" w:eastAsia="Arial" w:hAnsi="Arial"/>
          <w:sz w:val="12"/>
          <w:szCs w:val="12"/>
          <w:b w:val="1"/>
          <w:bCs w:val="1"/>
          <w:i w:val="1"/>
          <w:iCs w:val="1"/>
          <w:color w:val="auto"/>
        </w:rPr>
      </w:pPr>
      <w:r>
        <w:rPr>
          <w:rFonts w:ascii="Arial" w:cs="Arial" w:eastAsia="Arial" w:hAnsi="Arial"/>
          <w:sz w:val="12"/>
          <w:szCs w:val="12"/>
          <w:color w:val="auto"/>
        </w:rPr>
        <w:t>Sales of DRAM products in the second quarter of 2024 increased 21% as compared to the first quarter of 2024 primarily due to increases in average selling prices in the high-teens percentage range and a low-single-digit percent range increase in bit shipments.</w:t>
      </w:r>
    </w:p>
    <w:p>
      <w:pPr>
        <w:spacing w:after="0" w:line="1" w:lineRule="exact"/>
        <w:rPr>
          <w:rFonts w:ascii="Arial" w:cs="Arial" w:eastAsia="Arial" w:hAnsi="Arial"/>
          <w:sz w:val="12"/>
          <w:szCs w:val="12"/>
          <w:b w:val="1"/>
          <w:bCs w:val="1"/>
          <w:i w:val="1"/>
          <w:iCs w:val="1"/>
          <w:color w:val="auto"/>
        </w:rPr>
      </w:pPr>
    </w:p>
    <w:p>
      <w:pPr>
        <w:ind w:left="420" w:right="120" w:hanging="212"/>
        <w:spacing w:after="0" w:line="265" w:lineRule="auto"/>
        <w:tabs>
          <w:tab w:leader="none" w:pos="417" w:val="left"/>
        </w:tabs>
        <w:numPr>
          <w:ilvl w:val="0"/>
          <w:numId w:val="9"/>
        </w:numPr>
        <w:rPr>
          <w:rFonts w:ascii="Arial" w:cs="Arial" w:eastAsia="Arial" w:hAnsi="Arial"/>
          <w:sz w:val="12"/>
          <w:szCs w:val="12"/>
          <w:color w:val="auto"/>
        </w:rPr>
      </w:pPr>
      <w:r>
        <w:rPr>
          <w:rFonts w:ascii="Arial" w:cs="Arial" w:eastAsia="Arial" w:hAnsi="Arial"/>
          <w:sz w:val="12"/>
          <w:szCs w:val="12"/>
          <w:color w:val="auto"/>
        </w:rPr>
        <w:t>Sales of NAND products in the second quarter of 2024 increased 27% as compared to the first quarter of 2024 primarily due to a low-30% range increase in average selling prices, partially offset by a low-single-digit percent range decrease in bit shipments.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Total revenue for the second quarter of 2024 increased 58% as compared to the second quarter of 2023 due to increases in sales of both DRAM and NAND products.</w:t>
      </w:r>
    </w:p>
    <w:p>
      <w:pPr>
        <w:spacing w:after="0" w:line="168" w:lineRule="exact"/>
        <w:rPr>
          <w:sz w:val="20"/>
          <w:szCs w:val="20"/>
          <w:color w:val="auto"/>
        </w:rPr>
      </w:pPr>
    </w:p>
    <w:p>
      <w:pPr>
        <w:ind w:left="420" w:hanging="212"/>
        <w:spacing w:after="0"/>
        <w:tabs>
          <w:tab w:leader="none" w:pos="420" w:val="left"/>
        </w:tabs>
        <w:numPr>
          <w:ilvl w:val="0"/>
          <w:numId w:val="10"/>
        </w:numPr>
        <w:rPr>
          <w:rFonts w:ascii="Arial" w:cs="Arial" w:eastAsia="Arial" w:hAnsi="Arial"/>
          <w:sz w:val="12"/>
          <w:szCs w:val="12"/>
          <w:b w:val="1"/>
          <w:bCs w:val="1"/>
          <w:i w:val="1"/>
          <w:iCs w:val="1"/>
          <w:color w:val="auto"/>
        </w:rPr>
      </w:pPr>
      <w:r>
        <w:rPr>
          <w:rFonts w:ascii="Arial" w:cs="Arial" w:eastAsia="Arial" w:hAnsi="Arial"/>
          <w:sz w:val="12"/>
          <w:szCs w:val="12"/>
          <w:color w:val="auto"/>
        </w:rPr>
        <w:t>Sales of DRAM products in the second quarter of 2024 increased 53% as compared to the second quarter of 2023 primarily due to a high-50% range increase in bit shipments.</w:t>
      </w:r>
    </w:p>
    <w:p>
      <w:pPr>
        <w:spacing w:after="0" w:line="18" w:lineRule="exact"/>
        <w:rPr>
          <w:rFonts w:ascii="Arial" w:cs="Arial" w:eastAsia="Arial" w:hAnsi="Arial"/>
          <w:sz w:val="12"/>
          <w:szCs w:val="12"/>
          <w:b w:val="1"/>
          <w:bCs w:val="1"/>
          <w:i w:val="1"/>
          <w:iCs w:val="1"/>
          <w:color w:val="auto"/>
        </w:rPr>
      </w:pPr>
    </w:p>
    <w:p>
      <w:pPr>
        <w:ind w:left="420" w:right="320" w:hanging="212"/>
        <w:spacing w:after="0" w:line="265" w:lineRule="auto"/>
        <w:tabs>
          <w:tab w:leader="none" w:pos="417" w:val="left"/>
        </w:tabs>
        <w:numPr>
          <w:ilvl w:val="0"/>
          <w:numId w:val="10"/>
        </w:numPr>
        <w:rPr>
          <w:rFonts w:ascii="Arial" w:cs="Arial" w:eastAsia="Arial" w:hAnsi="Arial"/>
          <w:sz w:val="12"/>
          <w:szCs w:val="12"/>
          <w:b w:val="1"/>
          <w:bCs w:val="1"/>
          <w:i w:val="1"/>
          <w:iCs w:val="1"/>
          <w:color w:val="auto"/>
        </w:rPr>
      </w:pPr>
      <w:r>
        <w:rPr>
          <w:rFonts w:ascii="Arial" w:cs="Arial" w:eastAsia="Arial" w:hAnsi="Arial"/>
          <w:sz w:val="12"/>
          <w:szCs w:val="12"/>
          <w:color w:val="auto"/>
        </w:rPr>
        <w:t>Sales of NAND products in the second quarter of 2024 increased 77% as compared to the second quarter of 2023 primarily due to a low-60% range increase in bit shipments and an approximate 10% increase in average selling prices.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29 | 2024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9" w:name="page30"/>
    <w:bookmarkEnd w:id="29"/>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color w:val="auto"/>
        </w:rPr>
        <w:t>Total revenue for the first six months of 2024 increased 36% as compared to the first six months of 2023 due to increases in both DRAM and NAND sales.</w:t>
      </w:r>
    </w:p>
    <w:p>
      <w:pPr>
        <w:spacing w:after="0" w:line="168" w:lineRule="exact"/>
        <w:rPr>
          <w:sz w:val="20"/>
          <w:szCs w:val="20"/>
          <w:color w:val="auto"/>
        </w:rPr>
      </w:pPr>
    </w:p>
    <w:p>
      <w:pPr>
        <w:ind w:left="420" w:right="260" w:hanging="212"/>
        <w:spacing w:after="0" w:line="260" w:lineRule="auto"/>
        <w:tabs>
          <w:tab w:leader="none" w:pos="417" w:val="left"/>
        </w:tabs>
        <w:numPr>
          <w:ilvl w:val="0"/>
          <w:numId w:val="11"/>
        </w:numPr>
        <w:rPr>
          <w:rFonts w:ascii="Arial" w:cs="Arial" w:eastAsia="Arial" w:hAnsi="Arial"/>
          <w:sz w:val="12"/>
          <w:szCs w:val="12"/>
          <w:color w:val="auto"/>
        </w:rPr>
      </w:pPr>
      <w:r>
        <w:rPr>
          <w:rFonts w:ascii="Arial" w:cs="Arial" w:eastAsia="Arial" w:hAnsi="Arial"/>
          <w:sz w:val="12"/>
          <w:szCs w:val="12"/>
          <w:color w:val="auto"/>
        </w:rPr>
        <w:t>Sales of DRAM products in the first six months of 2024 increased 37% as compared to the first six months of 2023 primarily due to a high-60% range increase in bit shipments, partially offset by a high-teens percentage range decline in average selling prices.</w:t>
      </w:r>
    </w:p>
    <w:p>
      <w:pPr>
        <w:spacing w:after="0" w:line="1" w:lineRule="exact"/>
        <w:rPr>
          <w:rFonts w:ascii="Arial" w:cs="Arial" w:eastAsia="Arial" w:hAnsi="Arial"/>
          <w:sz w:val="12"/>
          <w:szCs w:val="12"/>
          <w:color w:val="auto"/>
        </w:rPr>
      </w:pPr>
    </w:p>
    <w:p>
      <w:pPr>
        <w:ind w:left="420" w:right="280" w:hanging="212"/>
        <w:spacing w:after="0" w:line="265" w:lineRule="auto"/>
        <w:tabs>
          <w:tab w:leader="none" w:pos="417" w:val="left"/>
        </w:tabs>
        <w:numPr>
          <w:ilvl w:val="0"/>
          <w:numId w:val="11"/>
        </w:numPr>
        <w:rPr>
          <w:rFonts w:ascii="Arial" w:cs="Arial" w:eastAsia="Arial" w:hAnsi="Arial"/>
          <w:sz w:val="12"/>
          <w:szCs w:val="12"/>
          <w:color w:val="auto"/>
        </w:rPr>
      </w:pPr>
      <w:r>
        <w:rPr>
          <w:rFonts w:ascii="Arial" w:cs="Arial" w:eastAsia="Arial" w:hAnsi="Arial"/>
          <w:sz w:val="12"/>
          <w:szCs w:val="12"/>
          <w:color w:val="auto"/>
        </w:rPr>
        <w:t>Sales of NAND products in the first six months of 2024 increased 41% as compared to the first six months of 2023 primarily due to a high-60% range increase in bit shipments, partially offset by a high-teens percentage range decline in average selling prices.</w:t>
      </w:r>
    </w:p>
    <w:p>
      <w:pPr>
        <w:spacing w:after="0" w:line="133" w:lineRule="exact"/>
        <w:rPr>
          <w:sz w:val="20"/>
          <w:szCs w:val="20"/>
          <w:color w:val="auto"/>
        </w:rPr>
      </w:pPr>
    </w:p>
    <w:p>
      <w:pPr>
        <w:ind w:right="120"/>
        <w:spacing w:after="0" w:line="257" w:lineRule="auto"/>
        <w:rPr>
          <w:sz w:val="20"/>
          <w:szCs w:val="20"/>
          <w:color w:val="auto"/>
        </w:rPr>
      </w:pPr>
      <w:r>
        <w:rPr>
          <w:rFonts w:ascii="Arial" w:cs="Arial" w:eastAsia="Arial" w:hAnsi="Arial"/>
          <w:sz w:val="12"/>
          <w:szCs w:val="12"/>
          <w:b w:val="1"/>
          <w:bCs w:val="1"/>
          <w:i w:val="1"/>
          <w:iCs w:val="1"/>
          <w:color w:val="auto"/>
        </w:rPr>
        <w:t>Consolidated Gross Margin</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consolidated gross margin has been impacted by the factors described in the section titled “Industry Conditions” above. Our consolidated gross margin percentage improved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19% for the second quarter of 2024 from negative 1% for the first quarter of 2024, as a result of improvements in margins for both DRAM and NAND products, primarily due to increases in average selling prices and manufacturing cost reductions. Our consolidated gross margin percentage improved to 19% for the second quarter of 2024 from negative 33% for the second quarter of 2023 primarily due to increases in average selling prices for NAND, the effects of charges to write down inventories to their net realizable value (“NRV”) in 2023, and the sale of previously written down inventories (see “Inventory NRV write-downs” below). Our consolidated gross margin percentage improved to 10% for the first six months of 2024 from negative 4% for the first six months of 2023 primarily due to cost reductions resulting from the effects of NRV write-downs as presented in the table below, partially offset by declines in average selling prices for both DRAM and NAND.</w:t>
      </w:r>
    </w:p>
    <w:p>
      <w:pPr>
        <w:spacing w:after="0" w:line="139"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i w:val="1"/>
          <w:iCs w:val="1"/>
          <w:u w:val="single" w:color="auto"/>
          <w:color w:val="auto"/>
        </w:rPr>
        <w:t>Inventory NRV write-downs:</w:t>
      </w:r>
      <w:r>
        <w:rPr>
          <w:rFonts w:ascii="Arial" w:cs="Arial" w:eastAsia="Arial" w:hAnsi="Arial"/>
          <w:sz w:val="12"/>
          <w:szCs w:val="12"/>
          <w:i w:val="1"/>
          <w:iCs w:val="1"/>
          <w:color w:val="auto"/>
        </w:rPr>
        <w:t xml:space="preserve"> </w:t>
      </w:r>
      <w:r>
        <w:rPr>
          <w:rFonts w:ascii="Arial" w:cs="Arial" w:eastAsia="Arial" w:hAnsi="Arial"/>
          <w:sz w:val="12"/>
          <w:szCs w:val="12"/>
          <w:color w:val="auto"/>
        </w:rPr>
        <w:t>Our consolidated gross margin was impacted by charges in the second and third quarters of 2023 to write inventories down to their estimated NRV as a result of declines in average</w:t>
      </w:r>
      <w:r>
        <w:rPr>
          <w:rFonts w:ascii="Arial" w:cs="Arial" w:eastAsia="Arial" w:hAnsi="Arial"/>
          <w:sz w:val="12"/>
          <w:szCs w:val="12"/>
          <w:i w:val="1"/>
          <w:iCs w:val="1"/>
          <w:color w:val="auto"/>
        </w:rPr>
        <w:t xml:space="preserve"> </w:t>
      </w:r>
      <w:r>
        <w:rPr>
          <w:rFonts w:ascii="Arial" w:cs="Arial" w:eastAsia="Arial" w:hAnsi="Arial"/>
          <w:sz w:val="12"/>
          <w:szCs w:val="12"/>
          <w:color w:val="auto"/>
        </w:rPr>
        <w:t>selling prices for both DRAM and NAND. As charges to write down inventories are recorded in advance of when inventories are sold, costs of goods sold in subsequent periods are lower than they otherwise would be. The impact of inventory NRV write-downs for each period reflects (1) inventory write-downs in that period, offset by (2) lower costs in that period on the sale of inventory written down in prior periods. The impacts of inventory NRV write-downs are summarized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b w:val="1"/>
                <w:bCs w:val="1"/>
                <w:color w:val="auto"/>
              </w:rPr>
              <w:t>Second Quarter</w:t>
            </w: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rPr>
              <w:t>First Quarter</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Second Quarter</w:t>
            </w:r>
          </w:p>
        </w:tc>
        <w:tc>
          <w:tcPr>
            <w:tcW w:w="3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Six months ended</w:t>
            </w:r>
          </w:p>
        </w:tc>
        <w:tc>
          <w:tcPr>
            <w:tcW w:w="900" w:type="dxa"/>
            <w:vAlign w:val="bottom"/>
            <w:tcBorders>
              <w:bottom w:val="single" w:sz="8" w:color="auto"/>
            </w:tcBorders>
          </w:tcPr>
          <w:p>
            <w:pPr>
              <w:spacing w:after="0"/>
              <w:rPr>
                <w:sz w:val="13"/>
                <w:szCs w:val="13"/>
                <w:color w:val="auto"/>
              </w:rPr>
            </w:pPr>
          </w:p>
        </w:tc>
      </w:tr>
      <w:tr>
        <w:trPr>
          <w:trHeight w:val="150"/>
        </w:trPr>
        <w:tc>
          <w:tcPr>
            <w:tcW w:w="40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2024</w:t>
            </w: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2024</w:t>
            </w: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1060"/>
              <w:spacing w:after="0"/>
              <w:rPr>
                <w:sz w:val="20"/>
                <w:szCs w:val="20"/>
                <w:color w:val="auto"/>
              </w:rPr>
            </w:pPr>
            <w:r>
              <w:rPr>
                <w:rFonts w:ascii="Arial" w:cs="Arial" w:eastAsia="Arial" w:hAnsi="Arial"/>
                <w:sz w:val="12"/>
                <w:szCs w:val="12"/>
                <w:b w:val="1"/>
                <w:bCs w:val="1"/>
                <w:color w:val="auto"/>
              </w:rPr>
              <w:t>2024</w:t>
            </w:r>
          </w:p>
        </w:tc>
        <w:tc>
          <w:tcPr>
            <w:tcW w:w="9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2023</w:t>
            </w:r>
          </w:p>
        </w:tc>
      </w:tr>
      <w:tr>
        <w:trPr>
          <w:trHeight w:val="161"/>
        </w:trPr>
        <w:tc>
          <w:tcPr>
            <w:tcW w:w="4060" w:type="dxa"/>
            <w:vAlign w:val="bottom"/>
            <w:shd w:val="clear" w:color="auto" w:fill="DBDBDB"/>
          </w:tcPr>
          <w:p>
            <w:pPr>
              <w:spacing w:after="0"/>
              <w:rPr>
                <w:sz w:val="20"/>
                <w:szCs w:val="20"/>
                <w:color w:val="auto"/>
              </w:rPr>
            </w:pPr>
            <w:r>
              <w:rPr>
                <w:rFonts w:ascii="Arial" w:cs="Arial" w:eastAsia="Arial" w:hAnsi="Arial"/>
                <w:sz w:val="12"/>
                <w:szCs w:val="12"/>
                <w:color w:val="auto"/>
              </w:rPr>
              <w:t>Provision to write down inventory to NRV</w:t>
            </w:r>
          </w:p>
        </w:tc>
        <w:tc>
          <w:tcPr>
            <w:tcW w:w="1180" w:type="dxa"/>
            <w:vAlign w:val="bottom"/>
            <w:shd w:val="clear" w:color="auto" w:fill="DBDBDB"/>
          </w:tcPr>
          <w:p>
            <w:pPr>
              <w:jc w:val="right"/>
              <w:ind w:right="1040"/>
              <w:spacing w:after="0"/>
              <w:rPr>
                <w:sz w:val="20"/>
                <w:szCs w:val="20"/>
                <w:color w:val="auto"/>
              </w:rPr>
            </w:pPr>
            <w:r>
              <w:rPr>
                <w:rFonts w:ascii="Arial" w:cs="Arial" w:eastAsia="Arial" w:hAnsi="Arial"/>
                <w:sz w:val="12"/>
                <w:szCs w:val="12"/>
                <w:color w:val="auto"/>
                <w:w w:val="89"/>
              </w:rPr>
              <w:t>$</w:t>
            </w:r>
          </w:p>
        </w:tc>
        <w:tc>
          <w:tcPr>
            <w:tcW w:w="1380" w:type="dxa"/>
            <w:vAlign w:val="bottom"/>
            <w:gridSpan w:val="2"/>
            <w:shd w:val="clear" w:color="auto" w:fill="DBDBDB"/>
          </w:tcPr>
          <w:p>
            <w:pPr>
              <w:jc w:val="right"/>
              <w:ind w:right="1000"/>
              <w:spacing w:after="0"/>
              <w:rPr>
                <w:sz w:val="20"/>
                <w:szCs w:val="20"/>
                <w:color w:val="auto"/>
              </w:rPr>
            </w:pPr>
            <w:r>
              <w:rPr>
                <w:rFonts w:ascii="Arial" w:cs="Arial" w:eastAsia="Arial" w:hAnsi="Arial"/>
                <w:sz w:val="12"/>
                <w:szCs w:val="12"/>
                <w:color w:val="auto"/>
              </w:rPr>
              <w:t>— $</w:t>
            </w:r>
          </w:p>
        </w:tc>
        <w:tc>
          <w:tcPr>
            <w:tcW w:w="480" w:type="dxa"/>
            <w:vAlign w:val="bottom"/>
            <w:gridSpan w:val="2"/>
            <w:shd w:val="clear" w:color="auto" w:fill="DBDBDB"/>
          </w:tcPr>
          <w:p>
            <w:pPr>
              <w:jc w:val="right"/>
              <w:ind w:right="40"/>
              <w:spacing w:after="0"/>
              <w:rPr>
                <w:sz w:val="20"/>
                <w:szCs w:val="20"/>
                <w:color w:val="auto"/>
              </w:rPr>
            </w:pPr>
            <w:r>
              <w:rPr>
                <w:rFonts w:ascii="Arial" w:cs="Arial" w:eastAsia="Arial" w:hAnsi="Arial"/>
                <w:sz w:val="12"/>
                <w:szCs w:val="12"/>
                <w:color w:val="auto"/>
              </w:rPr>
              <w:t>— $</w:t>
            </w:r>
          </w:p>
        </w:tc>
        <w:tc>
          <w:tcPr>
            <w:tcW w:w="12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(1,430)</w:t>
            </w:r>
          </w:p>
        </w:tc>
        <w:tc>
          <w:tcPr>
            <w:tcW w:w="60" w:type="dxa"/>
            <w:vAlign w:val="bottom"/>
            <w:shd w:val="clear" w:color="auto" w:fill="DBDBDB"/>
          </w:tcPr>
          <w:p>
            <w:pPr>
              <w:spacing w:after="0"/>
              <w:rPr>
                <w:sz w:val="14"/>
                <w:szCs w:val="14"/>
                <w:color w:val="auto"/>
              </w:rPr>
            </w:pPr>
          </w:p>
        </w:tc>
        <w:tc>
          <w:tcPr>
            <w:tcW w:w="340" w:type="dxa"/>
            <w:vAlign w:val="bottom"/>
            <w:shd w:val="clear" w:color="auto" w:fill="DBDBDB"/>
          </w:tcPr>
          <w:p>
            <w:pPr>
              <w:jc w:val="right"/>
              <w:ind w:right="200"/>
              <w:spacing w:after="0"/>
              <w:rPr>
                <w:sz w:val="20"/>
                <w:szCs w:val="20"/>
                <w:color w:val="auto"/>
              </w:rPr>
            </w:pPr>
            <w:r>
              <w:rPr>
                <w:rFonts w:ascii="Arial" w:cs="Arial" w:eastAsia="Arial" w:hAnsi="Arial"/>
                <w:sz w:val="12"/>
                <w:szCs w:val="12"/>
                <w:color w:val="auto"/>
                <w:w w:val="89"/>
              </w:rPr>
              <w:t>$</w:t>
            </w:r>
          </w:p>
        </w:tc>
        <w:tc>
          <w:tcPr>
            <w:tcW w:w="1640" w:type="dxa"/>
            <w:vAlign w:val="bottom"/>
            <w:shd w:val="clear" w:color="auto" w:fill="DBDBDB"/>
          </w:tcPr>
          <w:p>
            <w:pPr>
              <w:jc w:val="right"/>
              <w:ind w:right="400"/>
              <w:spacing w:after="0"/>
              <w:rPr>
                <w:sz w:val="20"/>
                <w:szCs w:val="20"/>
                <w:color w:val="auto"/>
              </w:rPr>
            </w:pPr>
            <w:r>
              <w:rPr>
                <w:rFonts w:ascii="Arial" w:cs="Arial" w:eastAsia="Arial" w:hAnsi="Arial"/>
                <w:sz w:val="12"/>
                <w:szCs w:val="12"/>
                <w:color w:val="auto"/>
              </w:rPr>
              <w:t>— $</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(1,430)</w:t>
            </w:r>
          </w:p>
        </w:tc>
      </w:tr>
      <w:tr>
        <w:trPr>
          <w:trHeight w:val="153"/>
        </w:trPr>
        <w:tc>
          <w:tcPr>
            <w:tcW w:w="4060" w:type="dxa"/>
            <w:vAlign w:val="bottom"/>
          </w:tcPr>
          <w:p>
            <w:pPr>
              <w:spacing w:after="0"/>
              <w:rPr>
                <w:sz w:val="20"/>
                <w:szCs w:val="20"/>
                <w:color w:val="auto"/>
              </w:rPr>
            </w:pPr>
            <w:r>
              <w:rPr>
                <w:rFonts w:ascii="Arial" w:cs="Arial" w:eastAsia="Arial" w:hAnsi="Arial"/>
                <w:sz w:val="12"/>
                <w:szCs w:val="12"/>
                <w:color w:val="auto"/>
              </w:rPr>
              <w:t>Lower costs from sale of inventory written down in prior periods</w:t>
            </w:r>
          </w:p>
        </w:tc>
        <w:tc>
          <w:tcPr>
            <w:tcW w:w="1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w w:val="89"/>
              </w:rPr>
              <w:t>382</w:t>
            </w:r>
          </w:p>
        </w:tc>
        <w:tc>
          <w:tcPr>
            <w:tcW w:w="114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605</w:t>
            </w:r>
          </w:p>
        </w:tc>
        <w:tc>
          <w:tcPr>
            <w:tcW w:w="200" w:type="dxa"/>
            <w:vAlign w:val="bottom"/>
          </w:tcPr>
          <w:p>
            <w:pPr>
              <w:spacing w:after="0"/>
              <w:rPr>
                <w:sz w:val="13"/>
                <w:szCs w:val="13"/>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640" w:type="dxa"/>
            <w:vAlign w:val="bottom"/>
          </w:tcPr>
          <w:p>
            <w:pPr>
              <w:jc w:val="right"/>
              <w:ind w:right="540"/>
              <w:spacing w:after="0"/>
              <w:rPr>
                <w:sz w:val="20"/>
                <w:szCs w:val="20"/>
                <w:color w:val="auto"/>
              </w:rPr>
            </w:pPr>
            <w:r>
              <w:rPr>
                <w:rFonts w:ascii="Arial" w:cs="Arial" w:eastAsia="Arial" w:hAnsi="Arial"/>
                <w:sz w:val="12"/>
                <w:szCs w:val="12"/>
                <w:color w:val="auto"/>
              </w:rPr>
              <w:t>987</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4060" w:type="dxa"/>
            <w:vAlign w:val="bottom"/>
            <w:tcBorders>
              <w:top w:val="single" w:sz="8" w:color="DBDBDB"/>
              <w:bottom w:val="single" w:sz="8" w:color="DBDBDB"/>
            </w:tcBorders>
            <w:shd w:val="clear" w:color="auto" w:fill="DBDBDB"/>
          </w:tcPr>
          <w:p>
            <w:pPr>
              <w:spacing w:after="0"/>
              <w:rPr>
                <w:sz w:val="13"/>
                <w:szCs w:val="13"/>
                <w:color w:val="auto"/>
              </w:rPr>
            </w:pPr>
          </w:p>
        </w:tc>
        <w:tc>
          <w:tcPr>
            <w:tcW w:w="1180" w:type="dxa"/>
            <w:vAlign w:val="bottom"/>
            <w:tcBorders>
              <w:top w:val="single" w:sz="8" w:color="auto"/>
              <w:bottom w:val="single" w:sz="8" w:color="auto"/>
            </w:tcBorders>
            <w:shd w:val="clear" w:color="auto" w:fill="DBDBDB"/>
          </w:tcPr>
          <w:p>
            <w:pPr>
              <w:jc w:val="right"/>
              <w:ind w:right="1040"/>
              <w:spacing w:after="0"/>
              <w:rPr>
                <w:sz w:val="20"/>
                <w:szCs w:val="20"/>
                <w:color w:val="auto"/>
              </w:rPr>
            </w:pPr>
            <w:r>
              <w:rPr>
                <w:rFonts w:ascii="Arial" w:cs="Arial" w:eastAsia="Arial" w:hAnsi="Arial"/>
                <w:sz w:val="12"/>
                <w:szCs w:val="12"/>
                <w:color w:val="auto"/>
                <w:w w:val="89"/>
              </w:rPr>
              <w:t>$</w:t>
            </w:r>
          </w:p>
        </w:tc>
        <w:tc>
          <w:tcPr>
            <w:tcW w:w="2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w w:val="89"/>
              </w:rPr>
              <w:t>382</w:t>
            </w:r>
          </w:p>
        </w:tc>
        <w:tc>
          <w:tcPr>
            <w:tcW w:w="1140" w:type="dxa"/>
            <w:vAlign w:val="bottom"/>
            <w:tcBorders>
              <w:top w:val="single" w:sz="8" w:color="auto"/>
              <w:bottom w:val="single" w:sz="8" w:color="auto"/>
            </w:tcBorders>
            <w:shd w:val="clear" w:color="auto" w:fill="DBDBDB"/>
          </w:tcPr>
          <w:p>
            <w:pPr>
              <w:jc w:val="right"/>
              <w:ind w:right="1000"/>
              <w:spacing w:after="0"/>
              <w:rPr>
                <w:sz w:val="20"/>
                <w:szCs w:val="20"/>
                <w:color w:val="auto"/>
              </w:rPr>
            </w:pPr>
            <w:r>
              <w:rPr>
                <w:rFonts w:ascii="Arial" w:cs="Arial" w:eastAsia="Arial" w:hAnsi="Arial"/>
                <w:sz w:val="12"/>
                <w:szCs w:val="12"/>
                <w:color w:val="auto"/>
                <w:w w:val="89"/>
              </w:rPr>
              <w:t>$</w:t>
            </w:r>
          </w:p>
        </w:tc>
        <w:tc>
          <w:tcPr>
            <w:tcW w:w="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605</w:t>
            </w:r>
          </w:p>
        </w:tc>
        <w:tc>
          <w:tcPr>
            <w:tcW w:w="200" w:type="dxa"/>
            <w:vAlign w:val="bottom"/>
            <w:tcBorders>
              <w:top w:val="single" w:sz="8" w:color="auto"/>
              <w:bottom w:val="single" w:sz="8" w:color="auto"/>
            </w:tcBorders>
            <w:shd w:val="clear" w:color="auto" w:fill="DBDBDB"/>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(1,430)</w:t>
            </w:r>
          </w:p>
        </w:tc>
        <w:tc>
          <w:tcPr>
            <w:tcW w:w="60" w:type="dxa"/>
            <w:vAlign w:val="bottom"/>
            <w:tcBorders>
              <w:top w:val="single" w:sz="8" w:color="DBDBDB"/>
              <w:bottom w:val="single" w:sz="8" w:color="DBDBDB"/>
            </w:tcBorders>
            <w:shd w:val="clear" w:color="auto" w:fill="DBDBDB"/>
          </w:tcPr>
          <w:p>
            <w:pPr>
              <w:spacing w:after="0"/>
              <w:rPr>
                <w:sz w:val="13"/>
                <w:szCs w:val="13"/>
                <w:color w:val="auto"/>
              </w:rPr>
            </w:pPr>
          </w:p>
        </w:tc>
        <w:tc>
          <w:tcPr>
            <w:tcW w:w="340" w:type="dxa"/>
            <w:vAlign w:val="bottom"/>
            <w:tcBorders>
              <w:top w:val="single" w:sz="8" w:color="auto"/>
              <w:bottom w:val="single" w:sz="8" w:color="auto"/>
            </w:tcBorders>
            <w:shd w:val="clear" w:color="auto" w:fill="DBDBDB"/>
          </w:tcPr>
          <w:p>
            <w:pPr>
              <w:jc w:val="right"/>
              <w:ind w:right="200"/>
              <w:spacing w:after="0"/>
              <w:rPr>
                <w:sz w:val="20"/>
                <w:szCs w:val="20"/>
                <w:color w:val="auto"/>
              </w:rPr>
            </w:pPr>
            <w:r>
              <w:rPr>
                <w:rFonts w:ascii="Arial" w:cs="Arial" w:eastAsia="Arial" w:hAnsi="Arial"/>
                <w:sz w:val="12"/>
                <w:szCs w:val="12"/>
                <w:color w:val="auto"/>
                <w:w w:val="89"/>
              </w:rPr>
              <w:t>$</w:t>
            </w:r>
          </w:p>
        </w:tc>
        <w:tc>
          <w:tcPr>
            <w:tcW w:w="1640" w:type="dxa"/>
            <w:vAlign w:val="bottom"/>
            <w:tcBorders>
              <w:top w:val="single" w:sz="8" w:color="auto"/>
              <w:bottom w:val="single" w:sz="8" w:color="auto"/>
            </w:tcBorders>
            <w:shd w:val="clear" w:color="auto" w:fill="DBDBDB"/>
          </w:tcPr>
          <w:p>
            <w:pPr>
              <w:jc w:val="right"/>
              <w:ind w:right="400"/>
              <w:spacing w:after="0"/>
              <w:rPr>
                <w:sz w:val="20"/>
                <w:szCs w:val="20"/>
                <w:color w:val="auto"/>
              </w:rPr>
            </w:pPr>
            <w:r>
              <w:rPr>
                <w:rFonts w:ascii="Arial" w:cs="Arial" w:eastAsia="Arial" w:hAnsi="Arial"/>
                <w:sz w:val="12"/>
                <w:szCs w:val="12"/>
                <w:color w:val="auto"/>
              </w:rPr>
              <w:t>987 $</w:t>
            </w: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(1,430)</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by Business Unit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center"/>
              <w:ind w:left="60"/>
              <w:spacing w:after="0"/>
              <w:rPr>
                <w:sz w:val="20"/>
                <w:szCs w:val="20"/>
                <w:color w:val="auto"/>
              </w:rPr>
            </w:pPr>
            <w:r>
              <w:rPr>
                <w:rFonts w:ascii="Arial" w:cs="Arial" w:eastAsia="Arial" w:hAnsi="Arial"/>
                <w:sz w:val="12"/>
                <w:szCs w:val="12"/>
                <w:b w:val="1"/>
                <w:bCs w:val="1"/>
                <w:color w:val="auto"/>
                <w:w w:val="99"/>
              </w:rPr>
              <w:t>Second Quarter</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tcPr>
          <w:p>
            <w:pPr>
              <w:jc w:val="center"/>
              <w:ind w:left="40"/>
              <w:spacing w:after="0"/>
              <w:rPr>
                <w:sz w:val="20"/>
                <w:szCs w:val="20"/>
                <w:color w:val="auto"/>
              </w:rPr>
            </w:pPr>
            <w:r>
              <w:rPr>
                <w:rFonts w:ascii="Arial" w:cs="Arial" w:eastAsia="Arial" w:hAnsi="Arial"/>
                <w:sz w:val="12"/>
                <w:szCs w:val="12"/>
                <w:b w:val="1"/>
                <w:bCs w:val="1"/>
                <w:color w:val="auto"/>
                <w:w w:val="98"/>
              </w:rPr>
              <w:t>First Quarter</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left="40"/>
              <w:spacing w:after="0"/>
              <w:rPr>
                <w:sz w:val="20"/>
                <w:szCs w:val="20"/>
                <w:color w:val="auto"/>
              </w:rPr>
            </w:pPr>
            <w:r>
              <w:rPr>
                <w:rFonts w:ascii="Arial" w:cs="Arial" w:eastAsia="Arial" w:hAnsi="Arial"/>
                <w:sz w:val="12"/>
                <w:szCs w:val="12"/>
                <w:b w:val="1"/>
                <w:bCs w:val="1"/>
                <w:color w:val="auto"/>
                <w:w w:val="99"/>
              </w:rPr>
              <w:t>Second Quarter</w:t>
            </w:r>
          </w:p>
        </w:tc>
        <w:tc>
          <w:tcPr>
            <w:tcW w:w="3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2"/>
                <w:szCs w:val="12"/>
                <w:b w:val="1"/>
                <w:bCs w:val="1"/>
                <w:color w:val="auto"/>
              </w:rPr>
              <w:t>Six months ended</w:t>
            </w:r>
          </w:p>
        </w:tc>
        <w:tc>
          <w:tcPr>
            <w:tcW w:w="500" w:type="dxa"/>
            <w:vAlign w:val="bottom"/>
            <w:tcBorders>
              <w:bottom w:val="single" w:sz="8" w:color="auto"/>
            </w:tcBorders>
          </w:tcPr>
          <w:p>
            <w:pPr>
              <w:spacing w:after="0"/>
              <w:rPr>
                <w:sz w:val="13"/>
                <w:szCs w:val="13"/>
                <w:color w:val="auto"/>
              </w:rPr>
            </w:pPr>
          </w:p>
        </w:tc>
      </w:tr>
      <w:tr>
        <w:trPr>
          <w:trHeight w:val="150"/>
        </w:trPr>
        <w:tc>
          <w:tcPr>
            <w:tcW w:w="2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2"/>
                <w:szCs w:val="12"/>
                <w:b w:val="1"/>
                <w:bCs w:val="1"/>
                <w:color w:val="auto"/>
              </w:rPr>
              <w:t>2024</w:t>
            </w: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2"/>
                <w:szCs w:val="12"/>
                <w:b w:val="1"/>
                <w:bCs w:val="1"/>
                <w:color w:val="auto"/>
              </w:rPr>
              <w:t>2024</w:t>
            </w: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2"/>
                <w:szCs w:val="12"/>
                <w:b w:val="1"/>
                <w:bCs w:val="1"/>
                <w:color w:val="auto"/>
              </w:rPr>
              <w:t>2023</w:t>
            </w: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b w:val="1"/>
                <w:bCs w:val="1"/>
                <w:color w:val="auto"/>
              </w:rPr>
              <w:t>2024</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2023</w:t>
            </w:r>
          </w:p>
        </w:tc>
        <w:tc>
          <w:tcPr>
            <w:tcW w:w="500" w:type="dxa"/>
            <w:vAlign w:val="bottom"/>
            <w:tcBorders>
              <w:bottom w:val="single" w:sz="8" w:color="auto"/>
            </w:tcBorders>
          </w:tcPr>
          <w:p>
            <w:pPr>
              <w:spacing w:after="0"/>
              <w:rPr>
                <w:sz w:val="13"/>
                <w:szCs w:val="13"/>
                <w:color w:val="auto"/>
              </w:rPr>
            </w:pPr>
          </w:p>
        </w:tc>
      </w:tr>
      <w:tr>
        <w:trPr>
          <w:trHeight w:val="161"/>
        </w:trPr>
        <w:tc>
          <w:tcPr>
            <w:tcW w:w="2800" w:type="dxa"/>
            <w:vAlign w:val="bottom"/>
            <w:shd w:val="clear" w:color="auto" w:fill="D1D2D4"/>
          </w:tcPr>
          <w:p>
            <w:pPr>
              <w:spacing w:after="0"/>
              <w:rPr>
                <w:sz w:val="20"/>
                <w:szCs w:val="20"/>
                <w:color w:val="auto"/>
              </w:rPr>
            </w:pPr>
            <w:r>
              <w:rPr>
                <w:rFonts w:ascii="Arial" w:cs="Arial" w:eastAsia="Arial" w:hAnsi="Arial"/>
                <w:sz w:val="12"/>
                <w:szCs w:val="12"/>
                <w:color w:val="auto"/>
              </w:rPr>
              <w:t>CNBU</w:t>
            </w:r>
          </w:p>
        </w:tc>
        <w:tc>
          <w:tcPr>
            <w:tcW w:w="240" w:type="dxa"/>
            <w:vAlign w:val="bottom"/>
            <w:shd w:val="clear" w:color="auto" w:fill="D1D2D4"/>
          </w:tcPr>
          <w:p>
            <w:pPr>
              <w:jc w:val="right"/>
              <w:ind w:right="100"/>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2,185</w:t>
            </w:r>
          </w:p>
        </w:tc>
        <w:tc>
          <w:tcPr>
            <w:tcW w:w="500" w:type="dxa"/>
            <w:vAlign w:val="bottom"/>
            <w:shd w:val="clear" w:color="auto" w:fill="D1D2D4"/>
          </w:tcPr>
          <w:p>
            <w:pPr>
              <w:spacing w:after="0"/>
              <w:rPr>
                <w:sz w:val="14"/>
                <w:szCs w:val="14"/>
                <w:color w:val="auto"/>
              </w:rPr>
            </w:pPr>
          </w:p>
        </w:tc>
        <w:tc>
          <w:tcPr>
            <w:tcW w:w="640" w:type="dxa"/>
            <w:vAlign w:val="bottom"/>
            <w:gridSpan w:val="2"/>
            <w:shd w:val="clear" w:color="auto" w:fill="D1D2D4"/>
          </w:tcPr>
          <w:p>
            <w:pPr>
              <w:jc w:val="right"/>
              <w:ind w:right="140"/>
              <w:spacing w:after="0"/>
              <w:rPr>
                <w:sz w:val="20"/>
                <w:szCs w:val="20"/>
                <w:color w:val="auto"/>
              </w:rPr>
            </w:pPr>
            <w:r>
              <w:rPr>
                <w:rFonts w:ascii="Arial" w:cs="Arial" w:eastAsia="Arial" w:hAnsi="Arial"/>
                <w:sz w:val="12"/>
                <w:szCs w:val="12"/>
                <w:color w:val="auto"/>
              </w:rPr>
              <w:t>38 % $</w:t>
            </w:r>
          </w:p>
        </w:tc>
        <w:tc>
          <w:tcPr>
            <w:tcW w:w="5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1,737</w:t>
            </w:r>
          </w:p>
        </w:tc>
        <w:tc>
          <w:tcPr>
            <w:tcW w:w="460" w:type="dxa"/>
            <w:vAlign w:val="bottom"/>
            <w:shd w:val="clear" w:color="auto" w:fill="D1D2D4"/>
          </w:tcPr>
          <w:p>
            <w:pPr>
              <w:spacing w:after="0"/>
              <w:rPr>
                <w:sz w:val="14"/>
                <w:szCs w:val="14"/>
                <w:color w:val="auto"/>
              </w:rPr>
            </w:pPr>
          </w:p>
        </w:tc>
        <w:tc>
          <w:tcPr>
            <w:tcW w:w="620" w:type="dxa"/>
            <w:vAlign w:val="bottom"/>
            <w:gridSpan w:val="2"/>
            <w:shd w:val="clear" w:color="auto" w:fill="D1D2D4"/>
          </w:tcPr>
          <w:p>
            <w:pPr>
              <w:jc w:val="right"/>
              <w:ind w:right="100"/>
              <w:spacing w:after="0"/>
              <w:rPr>
                <w:sz w:val="20"/>
                <w:szCs w:val="20"/>
                <w:color w:val="auto"/>
              </w:rPr>
            </w:pPr>
            <w:r>
              <w:rPr>
                <w:rFonts w:ascii="Arial" w:cs="Arial" w:eastAsia="Arial" w:hAnsi="Arial"/>
                <w:sz w:val="12"/>
                <w:szCs w:val="12"/>
                <w:color w:val="auto"/>
              </w:rPr>
              <w:t>37 % $</w:t>
            </w: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1,375</w:t>
            </w:r>
          </w:p>
        </w:tc>
        <w:tc>
          <w:tcPr>
            <w:tcW w:w="520" w:type="dxa"/>
            <w:vAlign w:val="bottom"/>
            <w:shd w:val="clear" w:color="auto" w:fill="D1D2D4"/>
          </w:tcPr>
          <w:p>
            <w:pPr>
              <w:spacing w:after="0"/>
              <w:rPr>
                <w:sz w:val="14"/>
                <w:szCs w:val="14"/>
                <w:color w:val="auto"/>
              </w:rPr>
            </w:pPr>
          </w:p>
        </w:tc>
        <w:tc>
          <w:tcPr>
            <w:tcW w:w="600" w:type="dxa"/>
            <w:vAlign w:val="bottom"/>
            <w:gridSpan w:val="2"/>
            <w:shd w:val="clear" w:color="auto" w:fill="D1D2D4"/>
          </w:tcPr>
          <w:p>
            <w:pPr>
              <w:jc w:val="right"/>
              <w:ind w:right="120"/>
              <w:spacing w:after="0"/>
              <w:rPr>
                <w:sz w:val="20"/>
                <w:szCs w:val="20"/>
                <w:color w:val="auto"/>
              </w:rPr>
            </w:pPr>
            <w:r>
              <w:rPr>
                <w:rFonts w:ascii="Arial" w:cs="Arial" w:eastAsia="Arial" w:hAnsi="Arial"/>
                <w:sz w:val="12"/>
                <w:szCs w:val="12"/>
                <w:color w:val="auto"/>
              </w:rPr>
              <w:t>37 % $</w:t>
            </w: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3,922</w:t>
            </w:r>
          </w:p>
        </w:tc>
        <w:tc>
          <w:tcPr>
            <w:tcW w:w="240" w:type="dxa"/>
            <w:vAlign w:val="bottom"/>
            <w:shd w:val="clear" w:color="auto" w:fill="D1D2D4"/>
          </w:tcPr>
          <w:p>
            <w:pPr>
              <w:spacing w:after="0"/>
              <w:rPr>
                <w:sz w:val="14"/>
                <w:szCs w:val="14"/>
                <w:color w:val="auto"/>
              </w:rPr>
            </w:pPr>
          </w:p>
        </w:tc>
        <w:tc>
          <w:tcPr>
            <w:tcW w:w="900" w:type="dxa"/>
            <w:vAlign w:val="bottom"/>
            <w:gridSpan w:val="2"/>
            <w:shd w:val="clear" w:color="auto" w:fill="D1D2D4"/>
          </w:tcPr>
          <w:p>
            <w:pPr>
              <w:jc w:val="right"/>
              <w:ind w:right="140"/>
              <w:spacing w:after="0"/>
              <w:rPr>
                <w:sz w:val="20"/>
                <w:szCs w:val="20"/>
                <w:color w:val="auto"/>
              </w:rPr>
            </w:pPr>
            <w:r>
              <w:rPr>
                <w:rFonts w:ascii="Arial" w:cs="Arial" w:eastAsia="Arial" w:hAnsi="Arial"/>
                <w:sz w:val="12"/>
                <w:szCs w:val="12"/>
                <w:color w:val="auto"/>
              </w:rPr>
              <w:t>37 % $</w:t>
            </w:r>
          </w:p>
        </w:tc>
        <w:tc>
          <w:tcPr>
            <w:tcW w:w="5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3,121</w:t>
            </w:r>
          </w:p>
        </w:tc>
        <w:tc>
          <w:tcPr>
            <w:tcW w:w="360" w:type="dxa"/>
            <w:vAlign w:val="bottom"/>
            <w:shd w:val="clear" w:color="auto" w:fill="D1D2D4"/>
          </w:tcPr>
          <w:p>
            <w:pPr>
              <w:spacing w:after="0"/>
              <w:rPr>
                <w:sz w:val="14"/>
                <w:szCs w:val="14"/>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40 %</w:t>
            </w:r>
          </w:p>
        </w:tc>
      </w:tr>
      <w:tr>
        <w:trPr>
          <w:trHeight w:val="153"/>
        </w:trPr>
        <w:tc>
          <w:tcPr>
            <w:tcW w:w="2800" w:type="dxa"/>
            <w:vAlign w:val="bottom"/>
          </w:tcPr>
          <w:p>
            <w:pPr>
              <w:spacing w:after="0"/>
              <w:rPr>
                <w:sz w:val="20"/>
                <w:szCs w:val="20"/>
                <w:color w:val="auto"/>
              </w:rPr>
            </w:pPr>
            <w:r>
              <w:rPr>
                <w:rFonts w:ascii="Arial" w:cs="Arial" w:eastAsia="Arial" w:hAnsi="Arial"/>
                <w:sz w:val="12"/>
                <w:szCs w:val="12"/>
                <w:color w:val="auto"/>
              </w:rPr>
              <w:t>MBU</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1,598</w:t>
            </w:r>
          </w:p>
        </w:tc>
        <w:tc>
          <w:tcPr>
            <w:tcW w:w="5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27 %</w:t>
            </w: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1,293</w:t>
            </w:r>
          </w:p>
        </w:tc>
        <w:tc>
          <w:tcPr>
            <w:tcW w:w="4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27 %</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945</w:t>
            </w:r>
          </w:p>
        </w:tc>
        <w:tc>
          <w:tcPr>
            <w:tcW w:w="5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26 %</w:t>
            </w: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2,891</w:t>
            </w: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27 %</w:t>
            </w: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1,600</w:t>
            </w:r>
          </w:p>
        </w:tc>
        <w:tc>
          <w:tcPr>
            <w:tcW w:w="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21 %</w:t>
            </w:r>
          </w:p>
        </w:tc>
      </w:tr>
      <w:tr>
        <w:trPr>
          <w:trHeight w:val="153"/>
        </w:trPr>
        <w:tc>
          <w:tcPr>
            <w:tcW w:w="2800" w:type="dxa"/>
            <w:vAlign w:val="bottom"/>
            <w:shd w:val="clear" w:color="auto" w:fill="D1D2D4"/>
          </w:tcPr>
          <w:p>
            <w:pPr>
              <w:spacing w:after="0"/>
              <w:rPr>
                <w:sz w:val="20"/>
                <w:szCs w:val="20"/>
                <w:color w:val="auto"/>
              </w:rPr>
            </w:pPr>
            <w:r>
              <w:rPr>
                <w:rFonts w:ascii="Arial" w:cs="Arial" w:eastAsia="Arial" w:hAnsi="Arial"/>
                <w:sz w:val="12"/>
                <w:szCs w:val="12"/>
                <w:color w:val="auto"/>
              </w:rPr>
              <w:t>EBU</w:t>
            </w:r>
          </w:p>
        </w:tc>
        <w:tc>
          <w:tcPr>
            <w:tcW w:w="240" w:type="dxa"/>
            <w:vAlign w:val="bottom"/>
            <w:shd w:val="clear" w:color="auto" w:fill="D1D2D4"/>
          </w:tcPr>
          <w:p>
            <w:pPr>
              <w:spacing w:after="0"/>
              <w:rPr>
                <w:sz w:val="13"/>
                <w:szCs w:val="13"/>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1,111</w:t>
            </w:r>
          </w:p>
        </w:tc>
        <w:tc>
          <w:tcPr>
            <w:tcW w:w="500" w:type="dxa"/>
            <w:vAlign w:val="bottom"/>
            <w:shd w:val="clear" w:color="auto" w:fill="D1D2D4"/>
          </w:tcPr>
          <w:p>
            <w:pPr>
              <w:spacing w:after="0"/>
              <w:rPr>
                <w:sz w:val="13"/>
                <w:szCs w:val="13"/>
                <w:color w:val="auto"/>
              </w:rPr>
            </w:pPr>
          </w:p>
        </w:tc>
        <w:tc>
          <w:tcPr>
            <w:tcW w:w="3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19 %</w:t>
            </w:r>
          </w:p>
        </w:tc>
        <w:tc>
          <w:tcPr>
            <w:tcW w:w="280" w:type="dxa"/>
            <w:vAlign w:val="bottom"/>
            <w:shd w:val="clear" w:color="auto" w:fill="D1D2D4"/>
          </w:tcPr>
          <w:p>
            <w:pPr>
              <w:spacing w:after="0"/>
              <w:rPr>
                <w:sz w:val="13"/>
                <w:szCs w:val="13"/>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1,037</w:t>
            </w:r>
          </w:p>
        </w:tc>
        <w:tc>
          <w:tcPr>
            <w:tcW w:w="460" w:type="dxa"/>
            <w:vAlign w:val="bottom"/>
            <w:shd w:val="clear" w:color="auto" w:fill="D1D2D4"/>
          </w:tcPr>
          <w:p>
            <w:pPr>
              <w:spacing w:after="0"/>
              <w:rPr>
                <w:sz w:val="13"/>
                <w:szCs w:val="13"/>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22 %</w:t>
            </w:r>
          </w:p>
        </w:tc>
        <w:tc>
          <w:tcPr>
            <w:tcW w:w="240" w:type="dxa"/>
            <w:vAlign w:val="bottom"/>
            <w:shd w:val="clear" w:color="auto" w:fill="D1D2D4"/>
          </w:tcPr>
          <w:p>
            <w:pPr>
              <w:spacing w:after="0"/>
              <w:rPr>
                <w:sz w:val="13"/>
                <w:szCs w:val="13"/>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865</w:t>
            </w:r>
          </w:p>
        </w:tc>
        <w:tc>
          <w:tcPr>
            <w:tcW w:w="520" w:type="dxa"/>
            <w:vAlign w:val="bottom"/>
            <w:shd w:val="clear" w:color="auto" w:fill="D1D2D4"/>
          </w:tcPr>
          <w:p>
            <w:pPr>
              <w:spacing w:after="0"/>
              <w:rPr>
                <w:sz w:val="13"/>
                <w:szCs w:val="13"/>
                <w:color w:val="auto"/>
              </w:rPr>
            </w:pPr>
          </w:p>
        </w:tc>
        <w:tc>
          <w:tcPr>
            <w:tcW w:w="3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23 %</w:t>
            </w:r>
          </w:p>
        </w:tc>
        <w:tc>
          <w:tcPr>
            <w:tcW w:w="260" w:type="dxa"/>
            <w:vAlign w:val="bottom"/>
            <w:shd w:val="clear" w:color="auto" w:fill="D1D2D4"/>
          </w:tcPr>
          <w:p>
            <w:pPr>
              <w:spacing w:after="0"/>
              <w:rPr>
                <w:sz w:val="13"/>
                <w:szCs w:val="13"/>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2,148</w:t>
            </w:r>
          </w:p>
        </w:tc>
        <w:tc>
          <w:tcPr>
            <w:tcW w:w="240" w:type="dxa"/>
            <w:vAlign w:val="bottom"/>
            <w:shd w:val="clear" w:color="auto" w:fill="D1D2D4"/>
          </w:tcPr>
          <w:p>
            <w:pPr>
              <w:spacing w:after="0"/>
              <w:rPr>
                <w:sz w:val="13"/>
                <w:szCs w:val="13"/>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20 %</w:t>
            </w:r>
          </w:p>
        </w:tc>
        <w:tc>
          <w:tcPr>
            <w:tcW w:w="280" w:type="dxa"/>
            <w:vAlign w:val="bottom"/>
            <w:shd w:val="clear" w:color="auto" w:fill="D1D2D4"/>
          </w:tcPr>
          <w:p>
            <w:pPr>
              <w:spacing w:after="0"/>
              <w:rPr>
                <w:sz w:val="13"/>
                <w:szCs w:val="13"/>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1,865</w:t>
            </w:r>
          </w:p>
        </w:tc>
        <w:tc>
          <w:tcPr>
            <w:tcW w:w="360" w:type="dxa"/>
            <w:vAlign w:val="bottom"/>
            <w:shd w:val="clear" w:color="auto" w:fill="D1D2D4"/>
          </w:tcPr>
          <w:p>
            <w:pPr>
              <w:spacing w:after="0"/>
              <w:rPr>
                <w:sz w:val="13"/>
                <w:szCs w:val="13"/>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24 %</w:t>
            </w:r>
          </w:p>
        </w:tc>
      </w:tr>
      <w:tr>
        <w:trPr>
          <w:trHeight w:val="153"/>
        </w:trPr>
        <w:tc>
          <w:tcPr>
            <w:tcW w:w="2800" w:type="dxa"/>
            <w:vAlign w:val="bottom"/>
          </w:tcPr>
          <w:p>
            <w:pPr>
              <w:spacing w:after="0"/>
              <w:rPr>
                <w:sz w:val="20"/>
                <w:szCs w:val="20"/>
                <w:color w:val="auto"/>
              </w:rPr>
            </w:pPr>
            <w:r>
              <w:rPr>
                <w:rFonts w:ascii="Arial" w:cs="Arial" w:eastAsia="Arial" w:hAnsi="Arial"/>
                <w:sz w:val="12"/>
                <w:szCs w:val="12"/>
                <w:color w:val="auto"/>
              </w:rPr>
              <w:t>SBU</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905</w:t>
            </w:r>
          </w:p>
        </w:tc>
        <w:tc>
          <w:tcPr>
            <w:tcW w:w="5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16 %</w:t>
            </w: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653</w:t>
            </w:r>
          </w:p>
        </w:tc>
        <w:tc>
          <w:tcPr>
            <w:tcW w:w="4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14 %</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507</w:t>
            </w:r>
          </w:p>
        </w:tc>
        <w:tc>
          <w:tcPr>
            <w:tcW w:w="5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14 %</w:t>
            </w: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1,558</w:t>
            </w: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15 %</w:t>
            </w: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1,187</w:t>
            </w:r>
          </w:p>
        </w:tc>
        <w:tc>
          <w:tcPr>
            <w:tcW w:w="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15 %</w:t>
            </w:r>
          </w:p>
        </w:tc>
      </w:tr>
      <w:tr>
        <w:trPr>
          <w:trHeight w:val="153"/>
        </w:trPr>
        <w:tc>
          <w:tcPr>
            <w:tcW w:w="2800" w:type="dxa"/>
            <w:vAlign w:val="bottom"/>
            <w:shd w:val="clear" w:color="auto" w:fill="D1D2D4"/>
          </w:tcPr>
          <w:p>
            <w:pPr>
              <w:spacing w:after="0"/>
              <w:rPr>
                <w:sz w:val="20"/>
                <w:szCs w:val="20"/>
                <w:color w:val="auto"/>
              </w:rPr>
            </w:pPr>
            <w:r>
              <w:rPr>
                <w:rFonts w:ascii="Arial" w:cs="Arial" w:eastAsia="Arial" w:hAnsi="Arial"/>
                <w:sz w:val="12"/>
                <w:szCs w:val="12"/>
                <w:color w:val="auto"/>
              </w:rPr>
              <w:t>All Other</w:t>
            </w:r>
          </w:p>
        </w:tc>
        <w:tc>
          <w:tcPr>
            <w:tcW w:w="240" w:type="dxa"/>
            <w:vAlign w:val="bottom"/>
            <w:shd w:val="clear" w:color="auto" w:fill="D1D2D4"/>
          </w:tcPr>
          <w:p>
            <w:pPr>
              <w:spacing w:after="0"/>
              <w:rPr>
                <w:sz w:val="13"/>
                <w:szCs w:val="13"/>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25</w:t>
            </w:r>
          </w:p>
        </w:tc>
        <w:tc>
          <w:tcPr>
            <w:tcW w:w="500" w:type="dxa"/>
            <w:vAlign w:val="bottom"/>
            <w:shd w:val="clear" w:color="auto" w:fill="D1D2D4"/>
          </w:tcPr>
          <w:p>
            <w:pPr>
              <w:spacing w:after="0"/>
              <w:rPr>
                <w:sz w:val="13"/>
                <w:szCs w:val="13"/>
                <w:color w:val="auto"/>
              </w:rPr>
            </w:pPr>
          </w:p>
        </w:tc>
        <w:tc>
          <w:tcPr>
            <w:tcW w:w="640" w:type="dxa"/>
            <w:vAlign w:val="bottom"/>
            <w:gridSpan w:val="2"/>
            <w:shd w:val="clear" w:color="auto" w:fill="D1D2D4"/>
          </w:tcPr>
          <w:p>
            <w:pPr>
              <w:jc w:val="right"/>
              <w:ind w:right="240"/>
              <w:spacing w:after="0"/>
              <w:rPr>
                <w:sz w:val="20"/>
                <w:szCs w:val="20"/>
                <w:color w:val="auto"/>
              </w:rPr>
            </w:pPr>
            <w:r>
              <w:rPr>
                <w:rFonts w:ascii="Arial" w:cs="Arial" w:eastAsia="Arial" w:hAnsi="Arial"/>
                <w:sz w:val="12"/>
                <w:szCs w:val="12"/>
                <w:color w:val="auto"/>
              </w:rPr>
              <w:t>— %</w:t>
            </w:r>
          </w:p>
        </w:tc>
        <w:tc>
          <w:tcPr>
            <w:tcW w:w="5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w:t>
            </w:r>
          </w:p>
        </w:tc>
        <w:tc>
          <w:tcPr>
            <w:tcW w:w="460" w:type="dxa"/>
            <w:vAlign w:val="bottom"/>
            <w:shd w:val="clear" w:color="auto" w:fill="D1D2D4"/>
          </w:tcPr>
          <w:p>
            <w:pPr>
              <w:spacing w:after="0"/>
              <w:rPr>
                <w:sz w:val="13"/>
                <w:szCs w:val="13"/>
                <w:color w:val="auto"/>
              </w:rPr>
            </w:pPr>
          </w:p>
        </w:tc>
        <w:tc>
          <w:tcPr>
            <w:tcW w:w="620" w:type="dxa"/>
            <w:vAlign w:val="bottom"/>
            <w:gridSpan w:val="2"/>
            <w:shd w:val="clear" w:color="auto" w:fill="D1D2D4"/>
          </w:tcPr>
          <w:p>
            <w:pPr>
              <w:jc w:val="right"/>
              <w:ind w:right="180"/>
              <w:spacing w:after="0"/>
              <w:rPr>
                <w:sz w:val="20"/>
                <w:szCs w:val="20"/>
                <w:color w:val="auto"/>
              </w:rPr>
            </w:pPr>
            <w:r>
              <w:rPr>
                <w:rFonts w:ascii="Arial" w:cs="Arial" w:eastAsia="Arial" w:hAnsi="Arial"/>
                <w:sz w:val="12"/>
                <w:szCs w:val="12"/>
                <w:color w:val="auto"/>
              </w:rPr>
              <w:t>— %</w:t>
            </w: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w:t>
            </w:r>
          </w:p>
        </w:tc>
        <w:tc>
          <w:tcPr>
            <w:tcW w:w="520" w:type="dxa"/>
            <w:vAlign w:val="bottom"/>
            <w:shd w:val="clear" w:color="auto" w:fill="D1D2D4"/>
          </w:tcPr>
          <w:p>
            <w:pPr>
              <w:spacing w:after="0"/>
              <w:rPr>
                <w:sz w:val="13"/>
                <w:szCs w:val="13"/>
                <w:color w:val="auto"/>
              </w:rPr>
            </w:pPr>
          </w:p>
        </w:tc>
        <w:tc>
          <w:tcPr>
            <w:tcW w:w="600" w:type="dxa"/>
            <w:vAlign w:val="bottom"/>
            <w:gridSpan w:val="2"/>
            <w:shd w:val="clear" w:color="auto" w:fill="D1D2D4"/>
          </w:tcPr>
          <w:p>
            <w:pPr>
              <w:jc w:val="right"/>
              <w:ind w:right="200"/>
              <w:spacing w:after="0"/>
              <w:rPr>
                <w:sz w:val="20"/>
                <w:szCs w:val="20"/>
                <w:color w:val="auto"/>
              </w:rPr>
            </w:pPr>
            <w:r>
              <w:rPr>
                <w:rFonts w:ascii="Arial" w:cs="Arial" w:eastAsia="Arial" w:hAnsi="Arial"/>
                <w:sz w:val="12"/>
                <w:szCs w:val="12"/>
                <w:color w:val="auto"/>
              </w:rPr>
              <w:t>— %</w:t>
            </w: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31</w:t>
            </w:r>
          </w:p>
        </w:tc>
        <w:tc>
          <w:tcPr>
            <w:tcW w:w="240" w:type="dxa"/>
            <w:vAlign w:val="bottom"/>
            <w:shd w:val="clear" w:color="auto" w:fill="D1D2D4"/>
          </w:tcPr>
          <w:p>
            <w:pPr>
              <w:spacing w:after="0"/>
              <w:rPr>
                <w:sz w:val="13"/>
                <w:szCs w:val="13"/>
                <w:color w:val="auto"/>
              </w:rPr>
            </w:pPr>
          </w:p>
        </w:tc>
        <w:tc>
          <w:tcPr>
            <w:tcW w:w="900" w:type="dxa"/>
            <w:vAlign w:val="bottom"/>
            <w:gridSpan w:val="2"/>
            <w:shd w:val="clear" w:color="auto" w:fill="D1D2D4"/>
          </w:tcPr>
          <w:p>
            <w:pPr>
              <w:jc w:val="right"/>
              <w:ind w:right="240"/>
              <w:spacing w:after="0"/>
              <w:rPr>
                <w:sz w:val="20"/>
                <w:szCs w:val="20"/>
                <w:color w:val="auto"/>
              </w:rPr>
            </w:pPr>
            <w:r>
              <w:rPr>
                <w:rFonts w:ascii="Arial" w:cs="Arial" w:eastAsia="Arial" w:hAnsi="Arial"/>
                <w:sz w:val="12"/>
                <w:szCs w:val="12"/>
                <w:color w:val="auto"/>
              </w:rPr>
              <w:t>— %</w:t>
            </w:r>
          </w:p>
        </w:tc>
        <w:tc>
          <w:tcPr>
            <w:tcW w:w="5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w:t>
            </w:r>
          </w:p>
        </w:tc>
        <w:tc>
          <w:tcPr>
            <w:tcW w:w="360" w:type="dxa"/>
            <w:vAlign w:val="bottom"/>
            <w:shd w:val="clear" w:color="auto" w:fill="D1D2D4"/>
          </w:tcPr>
          <w:p>
            <w:pPr>
              <w:spacing w:after="0"/>
              <w:rPr>
                <w:sz w:val="13"/>
                <w:szCs w:val="13"/>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 %</w:t>
            </w:r>
          </w:p>
        </w:tc>
      </w:tr>
      <w:tr>
        <w:trPr>
          <w:trHeight w:val="142"/>
        </w:trPr>
        <w:tc>
          <w:tcPr>
            <w:tcW w:w="28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5,824</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4,726</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3,693</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10,550</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7,778</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20"/>
        </w:trPr>
        <w:tc>
          <w:tcPr>
            <w:tcW w:w="2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Percentages of total revenue may not total 100% due to rounding.</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64135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0" w:name="page31"/>
    <w:bookmarkEnd w:id="30"/>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color w:val="auto"/>
        </w:rPr>
        <w:t>Changes in revenue for each business unit for the second quarter of 2024 as compared to the first quarter of 2024 were as follows:</w:t>
      </w:r>
    </w:p>
    <w:p>
      <w:pPr>
        <w:spacing w:after="0" w:line="168" w:lineRule="exact"/>
        <w:rPr>
          <w:sz w:val="20"/>
          <w:szCs w:val="20"/>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CNBU revenue increased 26% primarily due to increases in DRAM average selling prices and bit shipments driven by improving demand in cloud and data center end markets.</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MBU revenue increased 24% primarily due to increases in average selling prices for both mobile DRAM and NAND, partially offset by decreases in bit shipments.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EBU revenue increased 7% primarily due to increases in bit shipments driven by solid demand for leading-edge products in industrial markets.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SBU revenue increased 39% primarily due to increases in NAND average selling prices and bit shipments driven by strong demand across markets.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Changes in revenue for each business unit for the second quarter and first six months of 2024 as compared to the corresponding periods of 2023 were as follows:</w:t>
      </w:r>
    </w:p>
    <w:p>
      <w:pPr>
        <w:spacing w:after="0" w:line="168" w:lineRule="exact"/>
        <w:rPr>
          <w:sz w:val="20"/>
          <w:szCs w:val="20"/>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CNBU revenue increased 59% and 26%, respectively, primarily due to increases in bit shipments, partially offset by declines in average selling prices.</w:t>
      </w:r>
    </w:p>
    <w:p>
      <w:pPr>
        <w:spacing w:after="0" w:line="18" w:lineRule="exact"/>
        <w:rPr>
          <w:rFonts w:ascii="Arial" w:cs="Arial" w:eastAsia="Arial" w:hAnsi="Arial"/>
          <w:sz w:val="12"/>
          <w:szCs w:val="12"/>
          <w:color w:val="auto"/>
        </w:rPr>
      </w:pPr>
    </w:p>
    <w:p>
      <w:pPr>
        <w:ind w:left="420" w:right="500" w:hanging="212"/>
        <w:spacing w:after="0" w:line="250" w:lineRule="auto"/>
        <w:tabs>
          <w:tab w:leader="none" w:pos="417" w:val="left"/>
        </w:tabs>
        <w:numPr>
          <w:ilvl w:val="0"/>
          <w:numId w:val="13"/>
        </w:numPr>
        <w:rPr>
          <w:rFonts w:ascii="Arial" w:cs="Arial" w:eastAsia="Arial" w:hAnsi="Arial"/>
          <w:sz w:val="12"/>
          <w:szCs w:val="12"/>
          <w:color w:val="auto"/>
        </w:rPr>
      </w:pPr>
      <w:r>
        <w:rPr>
          <w:rFonts w:ascii="Arial" w:cs="Arial" w:eastAsia="Arial" w:hAnsi="Arial"/>
          <w:sz w:val="12"/>
          <w:szCs w:val="12"/>
          <w:color w:val="auto"/>
        </w:rPr>
        <w:t>MBU revenue increased 69% and 81%, respectively, primarily due to increases in bit shipments for both DRAM and NAND. MBU average selling prices increased for the second quarter of 2024 as compared to the second quarter of 2023 and decreased slightly for the first six months of 2024 as compared to the first six months of 2023.</w:t>
      </w: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EBU revenue increased 28% and 15%, respectively, primarily due to increases in bit shipments, partially offset by declines in average selling prices.</w:t>
      </w:r>
    </w:p>
    <w:p>
      <w:pPr>
        <w:spacing w:after="0" w:line="6" w:lineRule="exact"/>
        <w:rPr>
          <w:rFonts w:ascii="Arial" w:cs="Arial" w:eastAsia="Arial" w:hAnsi="Arial"/>
          <w:sz w:val="12"/>
          <w:szCs w:val="12"/>
          <w:color w:val="auto"/>
        </w:rPr>
      </w:pPr>
    </w:p>
    <w:p>
      <w:pPr>
        <w:ind w:left="420" w:right="120" w:hanging="212"/>
        <w:spacing w:after="0" w:line="265" w:lineRule="auto"/>
        <w:tabs>
          <w:tab w:leader="none" w:pos="417" w:val="left"/>
        </w:tabs>
        <w:numPr>
          <w:ilvl w:val="0"/>
          <w:numId w:val="13"/>
        </w:numPr>
        <w:rPr>
          <w:rFonts w:ascii="Arial" w:cs="Arial" w:eastAsia="Arial" w:hAnsi="Arial"/>
          <w:sz w:val="12"/>
          <w:szCs w:val="12"/>
          <w:color w:val="auto"/>
        </w:rPr>
      </w:pPr>
      <w:r>
        <w:rPr>
          <w:rFonts w:ascii="Arial" w:cs="Arial" w:eastAsia="Arial" w:hAnsi="Arial"/>
          <w:sz w:val="12"/>
          <w:szCs w:val="12"/>
          <w:color w:val="auto"/>
        </w:rPr>
        <w:t>SBU revenue increased 79% and 31%, respectively, primarily due to increases in bit shipments. SBU average selling prices increased for the second quarter of 2024 as compared to the second quarter of 2023 and decreased for the first six months of 2024 as compared to the first six months of 2023.</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Income (Loss) by Business Unit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left="80"/>
              <w:spacing w:after="0"/>
              <w:rPr>
                <w:sz w:val="20"/>
                <w:szCs w:val="20"/>
                <w:color w:val="auto"/>
              </w:rPr>
            </w:pPr>
            <w:r>
              <w:rPr>
                <w:rFonts w:ascii="Arial" w:cs="Arial" w:eastAsia="Arial" w:hAnsi="Arial"/>
                <w:sz w:val="12"/>
                <w:szCs w:val="12"/>
                <w:b w:val="1"/>
                <w:bCs w:val="1"/>
                <w:color w:val="auto"/>
                <w:w w:val="99"/>
              </w:rPr>
              <w:t>Second Quarter</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center"/>
              <w:ind w:left="80"/>
              <w:spacing w:after="0"/>
              <w:rPr>
                <w:sz w:val="20"/>
                <w:szCs w:val="20"/>
                <w:color w:val="auto"/>
              </w:rPr>
            </w:pPr>
            <w:r>
              <w:rPr>
                <w:rFonts w:ascii="Arial" w:cs="Arial" w:eastAsia="Arial" w:hAnsi="Arial"/>
                <w:sz w:val="12"/>
                <w:szCs w:val="12"/>
                <w:b w:val="1"/>
                <w:bCs w:val="1"/>
                <w:color w:val="auto"/>
                <w:w w:val="98"/>
              </w:rPr>
              <w:t>First Quarter</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center"/>
              <w:ind w:left="80"/>
              <w:spacing w:after="0"/>
              <w:rPr>
                <w:sz w:val="20"/>
                <w:szCs w:val="20"/>
                <w:color w:val="auto"/>
              </w:rPr>
            </w:pPr>
            <w:r>
              <w:rPr>
                <w:rFonts w:ascii="Arial" w:cs="Arial" w:eastAsia="Arial" w:hAnsi="Arial"/>
                <w:sz w:val="12"/>
                <w:szCs w:val="12"/>
                <w:b w:val="1"/>
                <w:bCs w:val="1"/>
                <w:color w:val="auto"/>
                <w:w w:val="99"/>
              </w:rPr>
              <w:t>Second Quarter</w:t>
            </w:r>
          </w:p>
        </w:tc>
        <w:tc>
          <w:tcPr>
            <w:tcW w:w="3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Six months ended</w:t>
            </w:r>
          </w:p>
        </w:tc>
        <w:tc>
          <w:tcPr>
            <w:tcW w:w="3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r>
      <w:tr>
        <w:trPr>
          <w:trHeight w:val="150"/>
        </w:trPr>
        <w:tc>
          <w:tcPr>
            <w:tcW w:w="2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2"/>
                <w:szCs w:val="12"/>
                <w:b w:val="1"/>
                <w:bCs w:val="1"/>
                <w:color w:val="auto"/>
              </w:rPr>
              <w:t>2024</w:t>
            </w: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2"/>
                <w:szCs w:val="12"/>
                <w:b w:val="1"/>
                <w:bCs w:val="1"/>
                <w:color w:val="auto"/>
              </w:rPr>
              <w:t>2024</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2"/>
                <w:szCs w:val="12"/>
                <w:b w:val="1"/>
                <w:bCs w:val="1"/>
                <w:color w:val="auto"/>
              </w:rPr>
              <w:t>2023</w:t>
            </w: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b w:val="1"/>
                <w:bCs w:val="1"/>
                <w:color w:val="auto"/>
              </w:rPr>
              <w:t>2024</w:t>
            </w:r>
          </w:p>
        </w:tc>
        <w:tc>
          <w:tcPr>
            <w:tcW w:w="6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b w:val="1"/>
                <w:bCs w:val="1"/>
                <w:color w:val="auto"/>
              </w:rPr>
              <w:t>2023</w:t>
            </w:r>
          </w:p>
        </w:tc>
        <w:tc>
          <w:tcPr>
            <w:tcW w:w="520" w:type="dxa"/>
            <w:vAlign w:val="bottom"/>
            <w:tcBorders>
              <w:bottom w:val="single" w:sz="8" w:color="auto"/>
            </w:tcBorders>
          </w:tcPr>
          <w:p>
            <w:pPr>
              <w:spacing w:after="0"/>
              <w:rPr>
                <w:sz w:val="13"/>
                <w:szCs w:val="13"/>
                <w:color w:val="auto"/>
              </w:rPr>
            </w:pPr>
          </w:p>
        </w:tc>
      </w:tr>
      <w:tr>
        <w:trPr>
          <w:trHeight w:val="161"/>
        </w:trPr>
        <w:tc>
          <w:tcPr>
            <w:tcW w:w="2800" w:type="dxa"/>
            <w:vAlign w:val="bottom"/>
            <w:shd w:val="clear" w:color="auto" w:fill="D1D2D4"/>
          </w:tcPr>
          <w:p>
            <w:pPr>
              <w:ind w:left="20"/>
              <w:spacing w:after="0"/>
              <w:rPr>
                <w:sz w:val="20"/>
                <w:szCs w:val="20"/>
                <w:color w:val="auto"/>
              </w:rPr>
            </w:pPr>
            <w:r>
              <w:rPr>
                <w:rFonts w:ascii="Arial" w:cs="Arial" w:eastAsia="Arial" w:hAnsi="Arial"/>
                <w:sz w:val="12"/>
                <w:szCs w:val="12"/>
                <w:color w:val="auto"/>
              </w:rPr>
              <w:t>CNBU</w:t>
            </w:r>
          </w:p>
        </w:tc>
        <w:tc>
          <w:tcPr>
            <w:tcW w:w="220" w:type="dxa"/>
            <w:vAlign w:val="bottom"/>
            <w:shd w:val="clear" w:color="auto" w:fill="D1D2D4"/>
          </w:tcPr>
          <w:p>
            <w:pPr>
              <w:jc w:val="right"/>
              <w:ind w:right="11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28</w:t>
            </w:r>
          </w:p>
        </w:tc>
        <w:tc>
          <w:tcPr>
            <w:tcW w:w="480" w:type="dxa"/>
            <w:vAlign w:val="bottom"/>
            <w:shd w:val="clear" w:color="auto" w:fill="D1D2D4"/>
          </w:tcPr>
          <w:p>
            <w:pPr>
              <w:spacing w:after="0"/>
              <w:rPr>
                <w:sz w:val="14"/>
                <w:szCs w:val="14"/>
                <w:color w:val="auto"/>
              </w:rPr>
            </w:pPr>
          </w:p>
        </w:tc>
        <w:tc>
          <w:tcPr>
            <w:tcW w:w="640" w:type="dxa"/>
            <w:vAlign w:val="bottom"/>
            <w:gridSpan w:val="2"/>
            <w:shd w:val="clear" w:color="auto" w:fill="D1D2D4"/>
          </w:tcPr>
          <w:p>
            <w:pPr>
              <w:jc w:val="right"/>
              <w:ind w:right="120"/>
              <w:spacing w:after="0"/>
              <w:rPr>
                <w:sz w:val="20"/>
                <w:szCs w:val="20"/>
                <w:color w:val="auto"/>
              </w:rPr>
            </w:pPr>
            <w:r>
              <w:rPr>
                <w:rFonts w:ascii="Arial" w:cs="Arial" w:eastAsia="Arial" w:hAnsi="Arial"/>
                <w:sz w:val="12"/>
                <w:szCs w:val="12"/>
                <w:color w:val="auto"/>
              </w:rPr>
              <w:t>1 % $</w:t>
            </w: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(397)</w:t>
            </w:r>
          </w:p>
        </w:tc>
        <w:tc>
          <w:tcPr>
            <w:tcW w:w="440" w:type="dxa"/>
            <w:vAlign w:val="bottom"/>
            <w:shd w:val="clear" w:color="auto" w:fill="D1D2D4"/>
          </w:tcPr>
          <w:p>
            <w:pPr>
              <w:spacing w:after="0"/>
              <w:rPr>
                <w:sz w:val="14"/>
                <w:szCs w:val="14"/>
                <w:color w:val="auto"/>
              </w:rPr>
            </w:pPr>
          </w:p>
        </w:tc>
        <w:tc>
          <w:tcPr>
            <w:tcW w:w="660" w:type="dxa"/>
            <w:vAlign w:val="bottom"/>
            <w:gridSpan w:val="2"/>
            <w:shd w:val="clear" w:color="auto" w:fill="D1D2D4"/>
          </w:tcPr>
          <w:p>
            <w:pPr>
              <w:jc w:val="right"/>
              <w:ind w:right="100"/>
              <w:spacing w:after="0"/>
              <w:rPr>
                <w:sz w:val="20"/>
                <w:szCs w:val="20"/>
                <w:color w:val="auto"/>
              </w:rPr>
            </w:pPr>
            <w:r>
              <w:rPr>
                <w:rFonts w:ascii="Arial" w:cs="Arial" w:eastAsia="Arial" w:hAnsi="Arial"/>
                <w:sz w:val="12"/>
                <w:szCs w:val="12"/>
                <w:color w:val="auto"/>
              </w:rPr>
              <w:t>(23)% $</w:t>
            </w: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(35)</w:t>
            </w:r>
          </w:p>
        </w:tc>
        <w:tc>
          <w:tcPr>
            <w:tcW w:w="480" w:type="dxa"/>
            <w:vAlign w:val="bottom"/>
            <w:shd w:val="clear" w:color="auto" w:fill="D1D2D4"/>
          </w:tcPr>
          <w:p>
            <w:pPr>
              <w:spacing w:after="0"/>
              <w:rPr>
                <w:sz w:val="14"/>
                <w:szCs w:val="14"/>
                <w:color w:val="auto"/>
              </w:rPr>
            </w:pPr>
          </w:p>
        </w:tc>
        <w:tc>
          <w:tcPr>
            <w:tcW w:w="640" w:type="dxa"/>
            <w:vAlign w:val="bottom"/>
            <w:gridSpan w:val="2"/>
            <w:shd w:val="clear" w:color="auto" w:fill="D1D2D4"/>
          </w:tcPr>
          <w:p>
            <w:pPr>
              <w:jc w:val="right"/>
              <w:ind w:right="120"/>
              <w:spacing w:after="0"/>
              <w:rPr>
                <w:sz w:val="20"/>
                <w:szCs w:val="20"/>
                <w:color w:val="auto"/>
              </w:rPr>
            </w:pPr>
            <w:r>
              <w:rPr>
                <w:rFonts w:ascii="Arial" w:cs="Arial" w:eastAsia="Arial" w:hAnsi="Arial"/>
                <w:sz w:val="12"/>
                <w:szCs w:val="12"/>
                <w:color w:val="auto"/>
              </w:rPr>
              <w:t>(3)% $</w:t>
            </w: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(369)</w:t>
            </w:r>
          </w:p>
        </w:tc>
        <w:tc>
          <w:tcPr>
            <w:tcW w:w="220" w:type="dxa"/>
            <w:vAlign w:val="bottom"/>
            <w:shd w:val="clear" w:color="auto" w:fill="D1D2D4"/>
          </w:tcPr>
          <w:p>
            <w:pPr>
              <w:spacing w:after="0"/>
              <w:rPr>
                <w:sz w:val="14"/>
                <w:szCs w:val="14"/>
                <w:color w:val="auto"/>
              </w:rPr>
            </w:pPr>
          </w:p>
        </w:tc>
        <w:tc>
          <w:tcPr>
            <w:tcW w:w="1160" w:type="dxa"/>
            <w:vAlign w:val="bottom"/>
            <w:gridSpan w:val="2"/>
            <w:shd w:val="clear" w:color="auto" w:fill="D1D2D4"/>
          </w:tcPr>
          <w:p>
            <w:pPr>
              <w:jc w:val="right"/>
              <w:ind w:right="400"/>
              <w:spacing w:after="0"/>
              <w:rPr>
                <w:sz w:val="20"/>
                <w:szCs w:val="20"/>
                <w:color w:val="auto"/>
              </w:rPr>
            </w:pPr>
            <w:r>
              <w:rPr>
                <w:rFonts w:ascii="Arial" w:cs="Arial" w:eastAsia="Arial" w:hAnsi="Arial"/>
                <w:sz w:val="12"/>
                <w:szCs w:val="12"/>
                <w:color w:val="auto"/>
              </w:rPr>
              <w:t>(9)% $</w:t>
            </w:r>
          </w:p>
        </w:tc>
        <w:tc>
          <w:tcPr>
            <w:tcW w:w="3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155</w:t>
            </w:r>
          </w:p>
        </w:tc>
        <w:tc>
          <w:tcPr>
            <w:tcW w:w="320" w:type="dxa"/>
            <w:vAlign w:val="bottom"/>
            <w:shd w:val="clear" w:color="auto" w:fill="D1D2D4"/>
          </w:tcPr>
          <w:p>
            <w:pPr>
              <w:spacing w:after="0"/>
              <w:rPr>
                <w:sz w:val="14"/>
                <w:szCs w:val="14"/>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5 %</w:t>
            </w:r>
          </w:p>
        </w:tc>
      </w:tr>
      <w:tr>
        <w:trPr>
          <w:trHeight w:val="153"/>
        </w:trPr>
        <w:tc>
          <w:tcPr>
            <w:tcW w:w="2800" w:type="dxa"/>
            <w:vAlign w:val="bottom"/>
          </w:tcPr>
          <w:p>
            <w:pPr>
              <w:ind w:left="20"/>
              <w:spacing w:after="0"/>
              <w:rPr>
                <w:sz w:val="20"/>
                <w:szCs w:val="20"/>
                <w:color w:val="auto"/>
              </w:rPr>
            </w:pPr>
            <w:r>
              <w:rPr>
                <w:rFonts w:ascii="Arial" w:cs="Arial" w:eastAsia="Arial" w:hAnsi="Arial"/>
                <w:sz w:val="12"/>
                <w:szCs w:val="12"/>
                <w:color w:val="auto"/>
              </w:rPr>
              <w:t>MBU</w:t>
            </w: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w:t>
            </w:r>
          </w:p>
        </w:tc>
        <w:tc>
          <w:tcPr>
            <w:tcW w:w="4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w:t>
            </w: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(687)</w:t>
            </w:r>
          </w:p>
        </w:tc>
        <w:tc>
          <w:tcPr>
            <w:tcW w:w="4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(53)%</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(344)</w:t>
            </w:r>
          </w:p>
        </w:tc>
        <w:tc>
          <w:tcPr>
            <w:tcW w:w="4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(36)%</w:t>
            </w: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(696)</w:t>
            </w: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(24)%</w:t>
            </w:r>
          </w:p>
        </w:tc>
        <w:tc>
          <w:tcPr>
            <w:tcW w:w="5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99"/>
              </w:rPr>
              <w:t>(539)</w:t>
            </w:r>
          </w:p>
        </w:tc>
        <w:tc>
          <w:tcPr>
            <w:tcW w:w="3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153"/>
        </w:trPr>
        <w:tc>
          <w:tcPr>
            <w:tcW w:w="2800" w:type="dxa"/>
            <w:vAlign w:val="bottom"/>
            <w:shd w:val="clear" w:color="auto" w:fill="D1D2D4"/>
          </w:tcPr>
          <w:p>
            <w:pPr>
              <w:ind w:left="20"/>
              <w:spacing w:after="0"/>
              <w:rPr>
                <w:sz w:val="20"/>
                <w:szCs w:val="20"/>
                <w:color w:val="auto"/>
              </w:rPr>
            </w:pPr>
            <w:r>
              <w:rPr>
                <w:rFonts w:ascii="Arial" w:cs="Arial" w:eastAsia="Arial" w:hAnsi="Arial"/>
                <w:sz w:val="12"/>
                <w:szCs w:val="12"/>
                <w:color w:val="auto"/>
              </w:rPr>
              <w:t>EBU</w:t>
            </w:r>
          </w:p>
        </w:tc>
        <w:tc>
          <w:tcPr>
            <w:tcW w:w="220" w:type="dxa"/>
            <w:vAlign w:val="bottom"/>
            <w:shd w:val="clear" w:color="auto" w:fill="D1D2D4"/>
          </w:tcPr>
          <w:p>
            <w:pPr>
              <w:spacing w:after="0"/>
              <w:rPr>
                <w:sz w:val="13"/>
                <w:szCs w:val="13"/>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w:t>
            </w:r>
          </w:p>
        </w:tc>
        <w:tc>
          <w:tcPr>
            <w:tcW w:w="480" w:type="dxa"/>
            <w:vAlign w:val="bottom"/>
            <w:shd w:val="clear" w:color="auto" w:fill="D1D2D4"/>
          </w:tcPr>
          <w:p>
            <w:pPr>
              <w:spacing w:after="0"/>
              <w:rPr>
                <w:sz w:val="13"/>
                <w:szCs w:val="13"/>
                <w:color w:val="auto"/>
              </w:rPr>
            </w:pPr>
          </w:p>
        </w:tc>
        <w:tc>
          <w:tcPr>
            <w:tcW w:w="640" w:type="dxa"/>
            <w:vAlign w:val="bottom"/>
            <w:gridSpan w:val="2"/>
            <w:shd w:val="clear" w:color="auto" w:fill="D1D2D4"/>
          </w:tcPr>
          <w:p>
            <w:pPr>
              <w:jc w:val="right"/>
              <w:ind w:right="220"/>
              <w:spacing w:after="0"/>
              <w:rPr>
                <w:sz w:val="20"/>
                <w:szCs w:val="20"/>
                <w:color w:val="auto"/>
              </w:rPr>
            </w:pPr>
            <w:r>
              <w:rPr>
                <w:rFonts w:ascii="Arial" w:cs="Arial" w:eastAsia="Arial" w:hAnsi="Arial"/>
                <w:sz w:val="12"/>
                <w:szCs w:val="12"/>
                <w:color w:val="auto"/>
              </w:rPr>
              <w:t>— %</w:t>
            </w: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w:t>
            </w:r>
          </w:p>
        </w:tc>
        <w:tc>
          <w:tcPr>
            <w:tcW w:w="440" w:type="dxa"/>
            <w:vAlign w:val="bottom"/>
            <w:shd w:val="clear" w:color="auto" w:fill="D1D2D4"/>
          </w:tcPr>
          <w:p>
            <w:pPr>
              <w:spacing w:after="0"/>
              <w:rPr>
                <w:sz w:val="13"/>
                <w:szCs w:val="13"/>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1 %</w:t>
            </w:r>
          </w:p>
        </w:tc>
        <w:tc>
          <w:tcPr>
            <w:tcW w:w="240" w:type="dxa"/>
            <w:vAlign w:val="bottom"/>
            <w:shd w:val="clear" w:color="auto" w:fill="D1D2D4"/>
          </w:tcPr>
          <w:p>
            <w:pPr>
              <w:spacing w:after="0"/>
              <w:rPr>
                <w:sz w:val="13"/>
                <w:szCs w:val="13"/>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88</w:t>
            </w:r>
          </w:p>
        </w:tc>
        <w:tc>
          <w:tcPr>
            <w:tcW w:w="480" w:type="dxa"/>
            <w:vAlign w:val="bottom"/>
            <w:shd w:val="clear" w:color="auto" w:fill="D1D2D4"/>
          </w:tcPr>
          <w:p>
            <w:pPr>
              <w:spacing w:after="0"/>
              <w:rPr>
                <w:sz w:val="13"/>
                <w:szCs w:val="13"/>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10 %</w:t>
            </w:r>
          </w:p>
        </w:tc>
        <w:tc>
          <w:tcPr>
            <w:tcW w:w="260" w:type="dxa"/>
            <w:vAlign w:val="bottom"/>
            <w:shd w:val="clear" w:color="auto" w:fill="D1D2D4"/>
          </w:tcPr>
          <w:p>
            <w:pPr>
              <w:spacing w:after="0"/>
              <w:rPr>
                <w:sz w:val="13"/>
                <w:szCs w:val="13"/>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w:t>
            </w:r>
          </w:p>
        </w:tc>
        <w:tc>
          <w:tcPr>
            <w:tcW w:w="220" w:type="dxa"/>
            <w:vAlign w:val="bottom"/>
            <w:shd w:val="clear" w:color="auto" w:fill="D1D2D4"/>
          </w:tcPr>
          <w:p>
            <w:pPr>
              <w:spacing w:after="0"/>
              <w:rPr>
                <w:sz w:val="13"/>
                <w:szCs w:val="13"/>
                <w:color w:val="auto"/>
              </w:rPr>
            </w:pPr>
          </w:p>
        </w:tc>
        <w:tc>
          <w:tcPr>
            <w:tcW w:w="1160" w:type="dxa"/>
            <w:vAlign w:val="bottom"/>
            <w:gridSpan w:val="2"/>
            <w:shd w:val="clear" w:color="auto" w:fill="D1D2D4"/>
          </w:tcPr>
          <w:p>
            <w:pPr>
              <w:jc w:val="right"/>
              <w:ind w:right="480"/>
              <w:spacing w:after="0"/>
              <w:rPr>
                <w:sz w:val="20"/>
                <w:szCs w:val="20"/>
                <w:color w:val="auto"/>
              </w:rPr>
            </w:pPr>
            <w:r>
              <w:rPr>
                <w:rFonts w:ascii="Arial" w:cs="Arial" w:eastAsia="Arial" w:hAnsi="Arial"/>
                <w:sz w:val="12"/>
                <w:szCs w:val="12"/>
                <w:color w:val="auto"/>
              </w:rPr>
              <w:t>— %</w:t>
            </w:r>
          </w:p>
        </w:tc>
        <w:tc>
          <w:tcPr>
            <w:tcW w:w="3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282</w:t>
            </w:r>
          </w:p>
        </w:tc>
        <w:tc>
          <w:tcPr>
            <w:tcW w:w="320" w:type="dxa"/>
            <w:vAlign w:val="bottom"/>
            <w:shd w:val="clear" w:color="auto" w:fill="D1D2D4"/>
          </w:tcPr>
          <w:p>
            <w:pPr>
              <w:spacing w:after="0"/>
              <w:rPr>
                <w:sz w:val="13"/>
                <w:szCs w:val="13"/>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15 %</w:t>
            </w:r>
          </w:p>
        </w:tc>
      </w:tr>
      <w:tr>
        <w:trPr>
          <w:trHeight w:val="153"/>
        </w:trPr>
        <w:tc>
          <w:tcPr>
            <w:tcW w:w="2800" w:type="dxa"/>
            <w:vAlign w:val="bottom"/>
          </w:tcPr>
          <w:p>
            <w:pPr>
              <w:ind w:left="20"/>
              <w:spacing w:after="0"/>
              <w:rPr>
                <w:sz w:val="20"/>
                <w:szCs w:val="20"/>
                <w:color w:val="auto"/>
              </w:rPr>
            </w:pPr>
            <w:r>
              <w:rPr>
                <w:rFonts w:ascii="Arial" w:cs="Arial" w:eastAsia="Arial" w:hAnsi="Arial"/>
                <w:sz w:val="12"/>
                <w:szCs w:val="12"/>
                <w:color w:val="auto"/>
              </w:rPr>
              <w:t>SBU</w:t>
            </w: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(217)</w:t>
            </w:r>
          </w:p>
        </w:tc>
        <w:tc>
          <w:tcPr>
            <w:tcW w:w="4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(24)%</w:t>
            </w: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(490)</w:t>
            </w:r>
          </w:p>
        </w:tc>
        <w:tc>
          <w:tcPr>
            <w:tcW w:w="4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(75)%</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(357)</w:t>
            </w:r>
          </w:p>
        </w:tc>
        <w:tc>
          <w:tcPr>
            <w:tcW w:w="4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(70)%</w:t>
            </w: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(707)</w:t>
            </w: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(45)%</w:t>
            </w:r>
          </w:p>
        </w:tc>
        <w:tc>
          <w:tcPr>
            <w:tcW w:w="5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99"/>
              </w:rPr>
              <w:t>(614)</w:t>
            </w:r>
          </w:p>
        </w:tc>
        <w:tc>
          <w:tcPr>
            <w:tcW w:w="3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(52)%</w:t>
            </w:r>
          </w:p>
        </w:tc>
      </w:tr>
      <w:tr>
        <w:trPr>
          <w:trHeight w:val="153"/>
        </w:trPr>
        <w:tc>
          <w:tcPr>
            <w:tcW w:w="2800" w:type="dxa"/>
            <w:vAlign w:val="bottom"/>
            <w:shd w:val="clear" w:color="auto" w:fill="D1D2D4"/>
          </w:tcPr>
          <w:p>
            <w:pPr>
              <w:ind w:left="20"/>
              <w:spacing w:after="0"/>
              <w:rPr>
                <w:sz w:val="20"/>
                <w:szCs w:val="20"/>
                <w:color w:val="auto"/>
              </w:rPr>
            </w:pPr>
            <w:r>
              <w:rPr>
                <w:rFonts w:ascii="Arial" w:cs="Arial" w:eastAsia="Arial" w:hAnsi="Arial"/>
                <w:sz w:val="12"/>
                <w:szCs w:val="12"/>
                <w:color w:val="auto"/>
              </w:rPr>
              <w:t>All Other</w:t>
            </w:r>
          </w:p>
        </w:tc>
        <w:tc>
          <w:tcPr>
            <w:tcW w:w="220" w:type="dxa"/>
            <w:vAlign w:val="bottom"/>
            <w:tcBorders>
              <w:bottom w:val="single" w:sz="8" w:color="auto"/>
            </w:tcBorders>
            <w:shd w:val="clear" w:color="auto" w:fill="D1D2D4"/>
          </w:tcPr>
          <w:p>
            <w:pPr>
              <w:spacing w:after="0"/>
              <w:rPr>
                <w:sz w:val="13"/>
                <w:szCs w:val="13"/>
                <w:color w:val="auto"/>
              </w:rPr>
            </w:pPr>
          </w:p>
        </w:tc>
        <w:tc>
          <w:tcPr>
            <w:tcW w:w="6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21</w:t>
            </w:r>
          </w:p>
        </w:tc>
        <w:tc>
          <w:tcPr>
            <w:tcW w:w="480" w:type="dxa"/>
            <w:vAlign w:val="bottom"/>
            <w:shd w:val="clear" w:color="auto" w:fill="D1D2D4"/>
          </w:tcPr>
          <w:p>
            <w:pPr>
              <w:spacing w:after="0"/>
              <w:rPr>
                <w:sz w:val="13"/>
                <w:szCs w:val="13"/>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84 %</w:t>
            </w:r>
          </w:p>
        </w:tc>
        <w:tc>
          <w:tcPr>
            <w:tcW w:w="260" w:type="dxa"/>
            <w:vAlign w:val="bottom"/>
            <w:tcBorders>
              <w:bottom w:val="single" w:sz="8" w:color="auto"/>
            </w:tcBorders>
            <w:shd w:val="clear" w:color="auto" w:fill="D1D2D4"/>
          </w:tcPr>
          <w:p>
            <w:pPr>
              <w:spacing w:after="0"/>
              <w:rPr>
                <w:sz w:val="13"/>
                <w:szCs w:val="13"/>
                <w:color w:val="auto"/>
              </w:rPr>
            </w:pPr>
          </w:p>
        </w:tc>
        <w:tc>
          <w:tcPr>
            <w:tcW w:w="5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w:t>
            </w:r>
          </w:p>
        </w:tc>
        <w:tc>
          <w:tcPr>
            <w:tcW w:w="440" w:type="dxa"/>
            <w:vAlign w:val="bottom"/>
            <w:shd w:val="clear" w:color="auto" w:fill="D1D2D4"/>
          </w:tcPr>
          <w:p>
            <w:pPr>
              <w:spacing w:after="0"/>
              <w:rPr>
                <w:sz w:val="13"/>
                <w:szCs w:val="13"/>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67 %</w:t>
            </w:r>
          </w:p>
        </w:tc>
        <w:tc>
          <w:tcPr>
            <w:tcW w:w="240" w:type="dxa"/>
            <w:vAlign w:val="bottom"/>
            <w:tcBorders>
              <w:bottom w:val="single" w:sz="8" w:color="auto"/>
            </w:tcBorders>
            <w:shd w:val="clear" w:color="auto" w:fill="D1D2D4"/>
          </w:tcPr>
          <w:p>
            <w:pPr>
              <w:spacing w:after="0"/>
              <w:rPr>
                <w:sz w:val="13"/>
                <w:szCs w:val="13"/>
                <w:color w:val="auto"/>
              </w:rPr>
            </w:pPr>
          </w:p>
        </w:tc>
        <w:tc>
          <w:tcPr>
            <w:tcW w:w="6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w:t>
            </w:r>
          </w:p>
        </w:tc>
        <w:tc>
          <w:tcPr>
            <w:tcW w:w="480" w:type="dxa"/>
            <w:vAlign w:val="bottom"/>
            <w:shd w:val="clear" w:color="auto" w:fill="D1D2D4"/>
          </w:tcPr>
          <w:p>
            <w:pPr>
              <w:spacing w:after="0"/>
              <w:rPr>
                <w:sz w:val="13"/>
                <w:szCs w:val="13"/>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2"/>
                <w:szCs w:val="12"/>
                <w:color w:val="auto"/>
                <w:w w:val="99"/>
              </w:rPr>
              <w:t>100 %</w:t>
            </w:r>
          </w:p>
        </w:tc>
        <w:tc>
          <w:tcPr>
            <w:tcW w:w="260" w:type="dxa"/>
            <w:vAlign w:val="bottom"/>
            <w:tcBorders>
              <w:bottom w:val="single" w:sz="8" w:color="auto"/>
            </w:tcBorders>
            <w:shd w:val="clear" w:color="auto" w:fill="D1D2D4"/>
          </w:tcPr>
          <w:p>
            <w:pPr>
              <w:spacing w:after="0"/>
              <w:rPr>
                <w:sz w:val="13"/>
                <w:szCs w:val="13"/>
                <w:color w:val="auto"/>
              </w:rPr>
            </w:pPr>
          </w:p>
        </w:tc>
        <w:tc>
          <w:tcPr>
            <w:tcW w:w="6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25</w:t>
            </w:r>
          </w:p>
        </w:tc>
        <w:tc>
          <w:tcPr>
            <w:tcW w:w="220" w:type="dxa"/>
            <w:vAlign w:val="bottom"/>
            <w:shd w:val="clear" w:color="auto" w:fill="D1D2D4"/>
          </w:tcPr>
          <w:p>
            <w:pPr>
              <w:spacing w:after="0"/>
              <w:rPr>
                <w:sz w:val="13"/>
                <w:szCs w:val="13"/>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81 %</w:t>
            </w:r>
          </w:p>
        </w:tc>
        <w:tc>
          <w:tcPr>
            <w:tcW w:w="540" w:type="dxa"/>
            <w:vAlign w:val="bottom"/>
            <w:tcBorders>
              <w:bottom w:val="single" w:sz="8" w:color="auto"/>
            </w:tcBorders>
            <w:shd w:val="clear" w:color="auto" w:fill="D1D2D4"/>
          </w:tcPr>
          <w:p>
            <w:pPr>
              <w:spacing w:after="0"/>
              <w:rPr>
                <w:sz w:val="13"/>
                <w:szCs w:val="13"/>
                <w:color w:val="auto"/>
              </w:rPr>
            </w:pPr>
          </w:p>
        </w:tc>
        <w:tc>
          <w:tcPr>
            <w:tcW w:w="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w:t>
            </w:r>
          </w:p>
        </w:tc>
        <w:tc>
          <w:tcPr>
            <w:tcW w:w="320" w:type="dxa"/>
            <w:vAlign w:val="bottom"/>
            <w:shd w:val="clear" w:color="auto" w:fill="D1D2D4"/>
          </w:tcPr>
          <w:p>
            <w:pPr>
              <w:spacing w:after="0"/>
              <w:rPr>
                <w:sz w:val="13"/>
                <w:szCs w:val="13"/>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80 %</w:t>
            </w:r>
          </w:p>
        </w:tc>
      </w:tr>
      <w:tr>
        <w:trPr>
          <w:trHeight w:val="142"/>
        </w:trPr>
        <w:tc>
          <w:tcPr>
            <w:tcW w:w="2800" w:type="dxa"/>
            <w:vAlign w:val="bottom"/>
          </w:tcPr>
          <w:p>
            <w:pPr>
              <w:spacing w:after="0"/>
              <w:rPr>
                <w:sz w:val="12"/>
                <w:szCs w:val="12"/>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(178)</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(1,560)</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(647)</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(1,738)</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w w:val="8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(712)</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Percentages reflect operating income (loss) as a percentage of revenue for each business unit.</w:t>
      </w:r>
    </w:p>
    <w:p>
      <w:pPr>
        <w:spacing w:after="0" w:line="166" w:lineRule="exact"/>
        <w:rPr>
          <w:sz w:val="20"/>
          <w:szCs w:val="20"/>
          <w:color w:val="auto"/>
        </w:rPr>
      </w:pPr>
    </w:p>
    <w:p>
      <w:pPr>
        <w:ind w:right="220"/>
        <w:spacing w:after="0" w:line="268" w:lineRule="auto"/>
        <w:rPr>
          <w:sz w:val="20"/>
          <w:szCs w:val="20"/>
          <w:color w:val="auto"/>
        </w:rPr>
      </w:pPr>
      <w:r>
        <w:rPr>
          <w:rFonts w:ascii="Arial" w:cs="Arial" w:eastAsia="Arial" w:hAnsi="Arial"/>
          <w:sz w:val="12"/>
          <w:szCs w:val="12"/>
          <w:color w:val="auto"/>
        </w:rPr>
        <w:t>For the second quarter of 2024 as compared to the first quarter of 2024, CNBU, MBU, and SBU operating income (loss) improved primarily due to increases in average selling prices as a result of improving conditions across most markets. Manufacturing cost reductions in the second quarter of 2024 also contributed to increases in operating income (loss). For EBU, operating income (loss) for the second quarter of 2024 deteriorated from the first quarter of 2024 primarily due to declines in average selling prices.</w:t>
      </w:r>
    </w:p>
    <w:p>
      <w:pPr>
        <w:spacing w:after="0" w:line="123" w:lineRule="exact"/>
        <w:rPr>
          <w:sz w:val="20"/>
          <w:szCs w:val="20"/>
          <w:color w:val="auto"/>
        </w:rPr>
      </w:pPr>
    </w:p>
    <w:p>
      <w:pPr>
        <w:ind w:right="20"/>
        <w:spacing w:after="0" w:line="233" w:lineRule="auto"/>
        <w:rPr>
          <w:sz w:val="20"/>
          <w:szCs w:val="20"/>
          <w:color w:val="auto"/>
        </w:rPr>
      </w:pPr>
      <w:r>
        <w:rPr>
          <w:rFonts w:ascii="Arial" w:cs="Arial" w:eastAsia="Arial" w:hAnsi="Arial"/>
          <w:sz w:val="12"/>
          <w:szCs w:val="12"/>
          <w:color w:val="auto"/>
        </w:rPr>
        <w:t>For the second quarter of 2024 as compared to the second quarter of 2023, MBU and SBU operating income (loss) improved primarily due to increases in average selling prices as a result of improving conditions across most markets in 2024. For CNBU, operating income (loss) for the second quarter of 2024 improved from the second quarter of 2023 primarily due to increases in bits sold and manufacturing cost reductions, partially offset by lower average selling prices that had not fully recovered from prior declines. For EBU, operating income (loss) for the second quarter of 2024 deteriorated from the second quarter of 2023 primarily due to declines in average selling prices in 2023, which had not yet fully recovered.</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31 | 2024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1" w:name="page32"/>
    <w:bookmarkEnd w:id="31"/>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jc w:val="both"/>
        <w:ind w:right="240"/>
        <w:spacing w:after="0" w:line="268" w:lineRule="auto"/>
        <w:rPr>
          <w:sz w:val="20"/>
          <w:szCs w:val="20"/>
          <w:color w:val="auto"/>
        </w:rPr>
      </w:pPr>
      <w:r>
        <w:rPr>
          <w:rFonts w:ascii="Arial" w:cs="Arial" w:eastAsia="Arial" w:hAnsi="Arial"/>
          <w:sz w:val="12"/>
          <w:szCs w:val="12"/>
          <w:color w:val="auto"/>
        </w:rPr>
        <w:t>For the first six months of 2024 as compared to the first six months of 2023, operating income (loss) deteriorated for all business units due to lower average selling prices, which had not fully recovered from the steep decline in market conditions across memory and storage markets that occurred throughout 2023. Manufacturing cost reductions and increases in DRAM bit shipments partially offset the adverse effects of pricing on operating margins.</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Expenses and Other</w:t>
      </w:r>
    </w:p>
    <w:p>
      <w:pPr>
        <w:spacing w:after="0" w:line="169"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b w:val="1"/>
          <w:bCs w:val="1"/>
          <w:i w:val="1"/>
          <w:iCs w:val="1"/>
          <w:color w:val="auto"/>
        </w:rPr>
        <w:t xml:space="preserve">Research and Development: </w:t>
      </w:r>
      <w:r>
        <w:rPr>
          <w:rFonts w:ascii="Arial" w:cs="Arial" w:eastAsia="Arial" w:hAnsi="Arial"/>
          <w:sz w:val="12"/>
          <w:szCs w:val="12"/>
          <w:color w:val="auto"/>
        </w:rPr>
        <w:t>R&amp;D expenses vary primarily with the number of development and pre-qualification wafers processed, the cost of advanced equipment dedicated to new product and process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development, and personnel costs. Because of the lead times necessary to manufacture our products, we typically begin to process wafers before completion of performance and reliability testing. Development of a product is deemed complete when it is qualified through internal reviews and tests for performance and reliability. R&amp;D expenses can vary significantly depending on the timing of product qualification.</w:t>
      </w:r>
    </w:p>
    <w:p>
      <w:pPr>
        <w:spacing w:after="0" w:line="132" w:lineRule="exact"/>
        <w:rPr>
          <w:sz w:val="20"/>
          <w:szCs w:val="20"/>
          <w:color w:val="auto"/>
        </w:rPr>
      </w:pPr>
    </w:p>
    <w:p>
      <w:pPr>
        <w:jc w:val="both"/>
        <w:ind w:right="120"/>
        <w:spacing w:after="0" w:line="268" w:lineRule="auto"/>
        <w:rPr>
          <w:sz w:val="20"/>
          <w:szCs w:val="20"/>
          <w:color w:val="auto"/>
        </w:rPr>
      </w:pPr>
      <w:r>
        <w:rPr>
          <w:rFonts w:ascii="Arial" w:cs="Arial" w:eastAsia="Arial" w:hAnsi="Arial"/>
          <w:sz w:val="12"/>
          <w:szCs w:val="12"/>
          <w:color w:val="auto"/>
        </w:rPr>
        <w:t>R&amp;D expenses for the second quarter of 2024 compared to the first quarter of 2024 were relatively unchanged as lower volumes of development and prequalification wafers were offset by increases in employee compensation. R&amp;D expenses for the second quarter and first six months of 2024 increased 6% and 2%, respectively, as compared to the corresponding periods of 2023, primarily due to an increase in employee compensation, partially offset by lower volumes of development and prequalification wafers.</w:t>
      </w:r>
    </w:p>
    <w:p>
      <w:pPr>
        <w:spacing w:after="0" w:line="132" w:lineRule="exact"/>
        <w:rPr>
          <w:sz w:val="20"/>
          <w:szCs w:val="20"/>
          <w:color w:val="auto"/>
        </w:rPr>
      </w:pPr>
    </w:p>
    <w:p>
      <w:pPr>
        <w:ind w:right="280"/>
        <w:spacing w:after="0" w:line="334" w:lineRule="auto"/>
        <w:rPr>
          <w:sz w:val="20"/>
          <w:szCs w:val="20"/>
          <w:color w:val="auto"/>
        </w:rPr>
      </w:pPr>
      <w:r>
        <w:rPr>
          <w:rFonts w:ascii="Arial" w:cs="Arial" w:eastAsia="Arial" w:hAnsi="Arial"/>
          <w:sz w:val="11"/>
          <w:szCs w:val="11"/>
          <w:b w:val="1"/>
          <w:bCs w:val="1"/>
          <w:i w:val="1"/>
          <w:iCs w:val="1"/>
          <w:color w:val="auto"/>
        </w:rPr>
        <w:t xml:space="preserve">Selling, General, and Administrative: </w:t>
      </w:r>
      <w:r>
        <w:rPr>
          <w:rFonts w:ascii="Arial" w:cs="Arial" w:eastAsia="Arial" w:hAnsi="Arial"/>
          <w:sz w:val="11"/>
          <w:szCs w:val="11"/>
          <w:color w:val="auto"/>
        </w:rPr>
        <w:t>SG&amp;A expenses for the second quarter of 2024 increased 6% as compared to the first quarter of 2024 primarily due to an increase in employee compensation. SG&amp;A</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expenses for the second quarter and first six months of 2024 increased 21% and 13%, respectively, as compared to the corresponding periods of 2023, primarily due to an increase in employee compensation.</w:t>
      </w:r>
    </w:p>
    <w:p>
      <w:pPr>
        <w:spacing w:after="0" w:line="98" w:lineRule="exact"/>
        <w:rPr>
          <w:sz w:val="20"/>
          <w:szCs w:val="20"/>
          <w:color w:val="auto"/>
        </w:rPr>
      </w:pPr>
    </w:p>
    <w:p>
      <w:pPr>
        <w:ind w:right="5580"/>
        <w:spacing w:after="0" w:line="286" w:lineRule="auto"/>
        <w:rPr>
          <w:sz w:val="20"/>
          <w:szCs w:val="20"/>
          <w:color w:val="auto"/>
        </w:rPr>
      </w:pPr>
      <w:r>
        <w:rPr>
          <w:rFonts w:ascii="Arial" w:cs="Arial" w:eastAsia="Arial" w:hAnsi="Arial"/>
          <w:sz w:val="12"/>
          <w:szCs w:val="12"/>
          <w:b w:val="1"/>
          <w:bCs w:val="1"/>
          <w:i w:val="1"/>
          <w:iCs w:val="1"/>
          <w:color w:val="auto"/>
        </w:rPr>
        <w:t xml:space="preserve">Restructure and Asset Impairments: </w:t>
      </w:r>
      <w:r>
        <w:rPr>
          <w:rFonts w:ascii="Arial" w:cs="Arial" w:eastAsia="Arial" w:hAnsi="Arial"/>
          <w:sz w:val="12"/>
          <w:szCs w:val="12"/>
          <w:color w:val="auto"/>
        </w:rPr>
        <w:t>See “Item 1. Financial Statements – Notes to Consolidated Financial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Statements – Restructure and Asset Impairments”.</w:t>
      </w:r>
    </w:p>
    <w:p>
      <w:pPr>
        <w:spacing w:after="0" w:line="121" w:lineRule="exact"/>
        <w:rPr>
          <w:sz w:val="20"/>
          <w:szCs w:val="20"/>
          <w:color w:val="auto"/>
        </w:rPr>
      </w:pPr>
    </w:p>
    <w:p>
      <w:pPr>
        <w:ind w:right="5360"/>
        <w:spacing w:after="0" w:line="286" w:lineRule="auto"/>
        <w:rPr>
          <w:sz w:val="20"/>
          <w:szCs w:val="20"/>
          <w:color w:val="auto"/>
        </w:rPr>
      </w:pPr>
      <w:r>
        <w:rPr>
          <w:rFonts w:ascii="Arial" w:cs="Arial" w:eastAsia="Arial" w:hAnsi="Arial"/>
          <w:sz w:val="12"/>
          <w:szCs w:val="12"/>
          <w:b w:val="1"/>
          <w:bCs w:val="1"/>
          <w:i w:val="1"/>
          <w:iCs w:val="1"/>
          <w:color w:val="auto"/>
        </w:rPr>
        <w:t xml:space="preserve">Other Operating (Income) Expense, Net: </w:t>
      </w:r>
      <w:r>
        <w:rPr>
          <w:rFonts w:ascii="Arial" w:cs="Arial" w:eastAsia="Arial" w:hAnsi="Arial"/>
          <w:sz w:val="12"/>
          <w:szCs w:val="12"/>
          <w:color w:val="auto"/>
        </w:rPr>
        <w:t>See “Item 1. Financial Statements – Notes to Consolidated Financial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Statements – Other Operating (Income) Expense, Net”.</w:t>
      </w:r>
    </w:p>
    <w:p>
      <w:pPr>
        <w:spacing w:after="0" w:line="121" w:lineRule="exact"/>
        <w:rPr>
          <w:sz w:val="20"/>
          <w:szCs w:val="20"/>
          <w:color w:val="auto"/>
        </w:rPr>
      </w:pPr>
    </w:p>
    <w:p>
      <w:pPr>
        <w:ind w:right="300"/>
        <w:spacing w:after="0" w:line="268" w:lineRule="auto"/>
        <w:rPr>
          <w:sz w:val="20"/>
          <w:szCs w:val="20"/>
          <w:color w:val="auto"/>
        </w:rPr>
      </w:pPr>
      <w:r>
        <w:rPr>
          <w:rFonts w:ascii="Arial" w:cs="Arial" w:eastAsia="Arial" w:hAnsi="Arial"/>
          <w:sz w:val="12"/>
          <w:szCs w:val="12"/>
          <w:b w:val="1"/>
          <w:bCs w:val="1"/>
          <w:i w:val="1"/>
          <w:iCs w:val="1"/>
          <w:color w:val="auto"/>
        </w:rPr>
        <w:t xml:space="preserve">Interest (Income) Expense, Net: </w:t>
      </w:r>
      <w:r>
        <w:rPr>
          <w:rFonts w:ascii="Arial" w:cs="Arial" w:eastAsia="Arial" w:hAnsi="Arial"/>
          <w:sz w:val="12"/>
          <w:szCs w:val="12"/>
          <w:color w:val="auto"/>
        </w:rPr>
        <w:t>Interest income (expense) was not significant for the second quarter of 2024. Interest income (expense) deteriorated for the second quarter and first six months of 2024 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compared to the corresponding periods of 2023 primarily due to increases in interest expense as a result of higher debt balances and interest rates, partially offset by increases in interest income due to higher interest rates on our cash and investments.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Income Taxes: </w:t>
      </w:r>
      <w:r>
        <w:rPr>
          <w:rFonts w:ascii="Arial" w:cs="Arial" w:eastAsia="Arial" w:hAnsi="Arial"/>
          <w:sz w:val="12"/>
          <w:szCs w:val="12"/>
          <w:color w:val="auto"/>
        </w:rPr>
        <w:t>Our income tax (provision) benefit consisted of the following: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7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jc w:val="right"/>
              <w:ind w:right="240"/>
              <w:spacing w:after="0"/>
              <w:rPr>
                <w:sz w:val="20"/>
                <w:szCs w:val="20"/>
                <w:color w:val="auto"/>
              </w:rPr>
            </w:pPr>
            <w:r>
              <w:rPr>
                <w:rFonts w:ascii="Arial" w:cs="Arial" w:eastAsia="Arial" w:hAnsi="Arial"/>
                <w:sz w:val="12"/>
                <w:szCs w:val="12"/>
                <w:b w:val="1"/>
                <w:bCs w:val="1"/>
                <w:color w:val="auto"/>
              </w:rPr>
              <w:t>Second Quarter</w:t>
            </w:r>
          </w:p>
        </w:tc>
        <w:tc>
          <w:tcPr>
            <w:tcW w:w="220" w:type="dxa"/>
            <w:vAlign w:val="bottom"/>
          </w:tcPr>
          <w:p>
            <w:pPr>
              <w:spacing w:after="0"/>
              <w:rPr>
                <w:sz w:val="13"/>
                <w:szCs w:val="13"/>
                <w:color w:val="auto"/>
              </w:rPr>
            </w:pPr>
          </w:p>
        </w:tc>
        <w:tc>
          <w:tcPr>
            <w:tcW w:w="1260" w:type="dxa"/>
            <w:vAlign w:val="bottom"/>
          </w:tcPr>
          <w:p>
            <w:pPr>
              <w:jc w:val="right"/>
              <w:ind w:right="320"/>
              <w:spacing w:after="0"/>
              <w:rPr>
                <w:sz w:val="20"/>
                <w:szCs w:val="20"/>
                <w:color w:val="auto"/>
              </w:rPr>
            </w:pPr>
            <w:r>
              <w:rPr>
                <w:rFonts w:ascii="Arial" w:cs="Arial" w:eastAsia="Arial" w:hAnsi="Arial"/>
                <w:sz w:val="12"/>
                <w:szCs w:val="12"/>
                <w:b w:val="1"/>
                <w:bCs w:val="1"/>
                <w:color w:val="auto"/>
              </w:rPr>
              <w:t>First Quarter</w:t>
            </w:r>
          </w:p>
        </w:tc>
        <w:tc>
          <w:tcPr>
            <w:tcW w:w="18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Arial" w:cs="Arial" w:eastAsia="Arial" w:hAnsi="Arial"/>
                <w:sz w:val="12"/>
                <w:szCs w:val="12"/>
                <w:b w:val="1"/>
                <w:bCs w:val="1"/>
                <w:color w:val="auto"/>
              </w:rPr>
              <w:t>Second Quarter</w:t>
            </w:r>
          </w:p>
        </w:tc>
        <w:tc>
          <w:tcPr>
            <w:tcW w:w="3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Six months ended</w:t>
            </w:r>
          </w:p>
        </w:tc>
        <w:tc>
          <w:tcPr>
            <w:tcW w:w="920" w:type="dxa"/>
            <w:vAlign w:val="bottom"/>
            <w:tcBorders>
              <w:bottom w:val="single" w:sz="8" w:color="auto"/>
            </w:tcBorders>
          </w:tcPr>
          <w:p>
            <w:pPr>
              <w:spacing w:after="0"/>
              <w:rPr>
                <w:sz w:val="13"/>
                <w:szCs w:val="13"/>
                <w:color w:val="auto"/>
              </w:rPr>
            </w:pPr>
          </w:p>
        </w:tc>
      </w:tr>
      <w:tr>
        <w:trPr>
          <w:trHeight w:val="150"/>
        </w:trPr>
        <w:tc>
          <w:tcPr>
            <w:tcW w:w="27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2024</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2024</w:t>
            </w: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2023</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2024</w:t>
            </w: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2023</w:t>
            </w:r>
          </w:p>
        </w:tc>
      </w:tr>
      <w:tr>
        <w:trPr>
          <w:trHeight w:val="161"/>
        </w:trPr>
        <w:tc>
          <w:tcPr>
            <w:tcW w:w="2700" w:type="dxa"/>
            <w:vAlign w:val="bottom"/>
            <w:shd w:val="clear" w:color="auto" w:fill="D1D2D4"/>
          </w:tcPr>
          <w:p>
            <w:pPr>
              <w:spacing w:after="0"/>
              <w:rPr>
                <w:sz w:val="20"/>
                <w:szCs w:val="20"/>
                <w:color w:val="auto"/>
              </w:rPr>
            </w:pPr>
            <w:r>
              <w:rPr>
                <w:rFonts w:ascii="Arial" w:cs="Arial" w:eastAsia="Arial" w:hAnsi="Arial"/>
                <w:sz w:val="12"/>
                <w:szCs w:val="12"/>
                <w:color w:val="auto"/>
              </w:rPr>
              <w:t>Income (loss) before taxes</w:t>
            </w:r>
          </w:p>
        </w:tc>
        <w:tc>
          <w:tcPr>
            <w:tcW w:w="1300" w:type="dxa"/>
            <w:vAlign w:val="bottom"/>
            <w:shd w:val="clear" w:color="auto" w:fill="D1D2D4"/>
          </w:tcPr>
          <w:p>
            <w:pPr>
              <w:jc w:val="right"/>
              <w:ind w:right="40"/>
              <w:spacing w:after="0"/>
              <w:rPr>
                <w:sz w:val="20"/>
                <w:szCs w:val="20"/>
                <w:color w:val="auto"/>
              </w:rPr>
            </w:pPr>
            <w:r>
              <w:rPr>
                <w:rFonts w:ascii="Arial" w:cs="Arial" w:eastAsia="Arial" w:hAnsi="Arial"/>
                <w:sz w:val="12"/>
                <w:szCs w:val="12"/>
                <w:color w:val="auto"/>
              </w:rPr>
              <w:t>$</w:t>
            </w:r>
          </w:p>
        </w:tc>
        <w:tc>
          <w:tcPr>
            <w:tcW w:w="1300" w:type="dxa"/>
            <w:vAlign w:val="bottom"/>
            <w:shd w:val="clear" w:color="auto" w:fill="D1D2D4"/>
          </w:tcPr>
          <w:p>
            <w:pPr>
              <w:jc w:val="right"/>
              <w:ind w:right="100"/>
              <w:spacing w:after="0"/>
              <w:rPr>
                <w:sz w:val="20"/>
                <w:szCs w:val="20"/>
                <w:color w:val="auto"/>
              </w:rPr>
            </w:pPr>
            <w:r>
              <w:rPr>
                <w:rFonts w:ascii="Arial" w:cs="Arial" w:eastAsia="Arial" w:hAnsi="Arial"/>
                <w:sz w:val="12"/>
                <w:szCs w:val="12"/>
                <w:color w:val="auto"/>
              </w:rPr>
              <w:t>170</w:t>
            </w:r>
          </w:p>
        </w:tc>
        <w:tc>
          <w:tcPr>
            <w:tcW w:w="220" w:type="dxa"/>
            <w:vAlign w:val="bottom"/>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D1D2D4"/>
          </w:tcPr>
          <w:p>
            <w:pPr>
              <w:jc w:val="right"/>
              <w:ind w:right="60"/>
              <w:spacing w:after="0"/>
              <w:rPr>
                <w:sz w:val="20"/>
                <w:szCs w:val="20"/>
                <w:color w:val="auto"/>
              </w:rPr>
            </w:pPr>
            <w:r>
              <w:rPr>
                <w:rFonts w:ascii="Arial" w:cs="Arial" w:eastAsia="Arial" w:hAnsi="Arial"/>
                <w:sz w:val="12"/>
                <w:szCs w:val="12"/>
                <w:color w:val="auto"/>
              </w:rPr>
              <w:t>(1,155)</w:t>
            </w:r>
          </w:p>
        </w:tc>
        <w:tc>
          <w:tcPr>
            <w:tcW w:w="180" w:type="dxa"/>
            <w:vAlign w:val="bottom"/>
            <w:shd w:val="clear" w:color="auto" w:fill="D1D2D4"/>
          </w:tcPr>
          <w:p>
            <w:pPr>
              <w:jc w:val="right"/>
              <w:ind w:right="4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D1D2D4"/>
          </w:tcPr>
          <w:p>
            <w:pPr>
              <w:jc w:val="right"/>
              <w:ind w:right="60"/>
              <w:spacing w:after="0"/>
              <w:rPr>
                <w:sz w:val="20"/>
                <w:szCs w:val="20"/>
                <w:color w:val="auto"/>
              </w:rPr>
            </w:pPr>
            <w:r>
              <w:rPr>
                <w:rFonts w:ascii="Arial" w:cs="Arial" w:eastAsia="Arial" w:hAnsi="Arial"/>
                <w:sz w:val="12"/>
                <w:szCs w:val="12"/>
                <w:color w:val="auto"/>
              </w:rPr>
              <w:t>(2,271)</w:t>
            </w:r>
          </w:p>
        </w:tc>
        <w:tc>
          <w:tcPr>
            <w:tcW w:w="80" w:type="dxa"/>
            <w:vAlign w:val="bottom"/>
            <w:shd w:val="clear" w:color="auto" w:fill="D1D2D4"/>
          </w:tcPr>
          <w:p>
            <w:pPr>
              <w:spacing w:after="0"/>
              <w:rPr>
                <w:sz w:val="14"/>
                <w:szCs w:val="14"/>
                <w:color w:val="auto"/>
              </w:rPr>
            </w:pPr>
          </w:p>
        </w:tc>
        <w:tc>
          <w:tcPr>
            <w:tcW w:w="340" w:type="dxa"/>
            <w:vAlign w:val="bottom"/>
            <w:shd w:val="clear" w:color="auto" w:fill="D1D2D4"/>
          </w:tcPr>
          <w:p>
            <w:pPr>
              <w:jc w:val="right"/>
              <w:ind w:right="20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D1D2D4"/>
          </w:tcPr>
          <w:p>
            <w:pPr>
              <w:jc w:val="right"/>
              <w:ind w:right="80"/>
              <w:spacing w:after="0"/>
              <w:rPr>
                <w:sz w:val="20"/>
                <w:szCs w:val="20"/>
                <w:color w:val="auto"/>
              </w:rPr>
            </w:pPr>
            <w:r>
              <w:rPr>
                <w:rFonts w:ascii="Arial" w:cs="Arial" w:eastAsia="Arial" w:hAnsi="Arial"/>
                <w:sz w:val="12"/>
                <w:szCs w:val="12"/>
                <w:color w:val="auto"/>
              </w:rPr>
              <w:t>(985)</w:t>
            </w:r>
          </w:p>
        </w:tc>
        <w:tc>
          <w:tcPr>
            <w:tcW w:w="560" w:type="dxa"/>
            <w:vAlign w:val="bottom"/>
            <w:shd w:val="clear" w:color="auto" w:fill="D1D2D4"/>
          </w:tcPr>
          <w:p>
            <w:pPr>
              <w:jc w:val="right"/>
              <w:ind w:right="45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D1D2D4"/>
          </w:tcPr>
          <w:p>
            <w:pPr>
              <w:jc w:val="right"/>
              <w:ind w:right="60"/>
              <w:spacing w:after="0"/>
              <w:rPr>
                <w:sz w:val="20"/>
                <w:szCs w:val="20"/>
                <w:color w:val="auto"/>
              </w:rPr>
            </w:pPr>
            <w:r>
              <w:rPr>
                <w:rFonts w:ascii="Arial" w:cs="Arial" w:eastAsia="Arial" w:hAnsi="Arial"/>
                <w:sz w:val="12"/>
                <w:szCs w:val="12"/>
                <w:color w:val="auto"/>
              </w:rPr>
              <w:t>(2,447)</w:t>
            </w:r>
          </w:p>
        </w:tc>
      </w:tr>
      <w:tr>
        <w:trPr>
          <w:trHeight w:val="153"/>
        </w:trPr>
        <w:tc>
          <w:tcPr>
            <w:tcW w:w="2700" w:type="dxa"/>
            <w:vAlign w:val="bottom"/>
          </w:tcPr>
          <w:p>
            <w:pPr>
              <w:spacing w:after="0"/>
              <w:rPr>
                <w:sz w:val="20"/>
                <w:szCs w:val="20"/>
                <w:color w:val="auto"/>
              </w:rPr>
            </w:pPr>
            <w:r>
              <w:rPr>
                <w:rFonts w:ascii="Arial" w:cs="Arial" w:eastAsia="Arial" w:hAnsi="Arial"/>
                <w:sz w:val="12"/>
                <w:szCs w:val="12"/>
                <w:color w:val="auto"/>
              </w:rPr>
              <w:t>Income tax (provision) benefit</w:t>
            </w:r>
          </w:p>
        </w:tc>
        <w:tc>
          <w:tcPr>
            <w:tcW w:w="1300" w:type="dxa"/>
            <w:vAlign w:val="bottom"/>
          </w:tcPr>
          <w:p>
            <w:pPr>
              <w:spacing w:after="0"/>
              <w:rPr>
                <w:sz w:val="13"/>
                <w:szCs w:val="13"/>
                <w:color w:val="auto"/>
              </w:rPr>
            </w:pP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622</w:t>
            </w:r>
          </w:p>
        </w:tc>
        <w:tc>
          <w:tcPr>
            <w:tcW w:w="220" w:type="dxa"/>
            <w:vAlign w:val="bottom"/>
          </w:tcPr>
          <w:p>
            <w:pPr>
              <w:spacing w:after="0"/>
              <w:rPr>
                <w:sz w:val="13"/>
                <w:szCs w:val="13"/>
                <w:color w:val="auto"/>
              </w:rPr>
            </w:pP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(73)</w:t>
            </w:r>
          </w:p>
        </w:tc>
        <w:tc>
          <w:tcPr>
            <w:tcW w:w="180" w:type="dxa"/>
            <w:vAlign w:val="bottom"/>
          </w:tcPr>
          <w:p>
            <w:pPr>
              <w:spacing w:after="0"/>
              <w:rPr>
                <w:sz w:val="13"/>
                <w:szCs w:val="13"/>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(54)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100"/>
              <w:spacing w:after="0"/>
              <w:rPr>
                <w:sz w:val="20"/>
                <w:szCs w:val="20"/>
                <w:color w:val="auto"/>
              </w:rPr>
            </w:pPr>
            <w:r>
              <w:rPr>
                <w:rFonts w:ascii="Arial" w:cs="Arial" w:eastAsia="Arial" w:hAnsi="Arial"/>
                <w:sz w:val="12"/>
                <w:szCs w:val="12"/>
                <w:color w:val="auto"/>
              </w:rPr>
              <w:t>549</w:t>
            </w:r>
          </w:p>
        </w:tc>
        <w:tc>
          <w:tcPr>
            <w:tcW w:w="560" w:type="dxa"/>
            <w:vAlign w:val="bottom"/>
          </w:tcPr>
          <w:p>
            <w:pPr>
              <w:spacing w:after="0"/>
              <w:rPr>
                <w:sz w:val="13"/>
                <w:szCs w:val="13"/>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(62)</w:t>
            </w:r>
          </w:p>
        </w:tc>
      </w:tr>
      <w:tr>
        <w:trPr>
          <w:trHeight w:val="153"/>
        </w:trPr>
        <w:tc>
          <w:tcPr>
            <w:tcW w:w="2700" w:type="dxa"/>
            <w:vAlign w:val="bottom"/>
            <w:shd w:val="clear" w:color="auto" w:fill="D1D2D4"/>
          </w:tcPr>
          <w:p>
            <w:pPr>
              <w:spacing w:after="0"/>
              <w:rPr>
                <w:sz w:val="20"/>
                <w:szCs w:val="20"/>
                <w:color w:val="auto"/>
              </w:rPr>
            </w:pPr>
            <w:r>
              <w:rPr>
                <w:rFonts w:ascii="Arial" w:cs="Arial" w:eastAsia="Arial" w:hAnsi="Arial"/>
                <w:sz w:val="12"/>
                <w:szCs w:val="12"/>
                <w:color w:val="auto"/>
              </w:rPr>
              <w:t>Effective tax rate</w:t>
            </w:r>
          </w:p>
        </w:tc>
        <w:tc>
          <w:tcPr>
            <w:tcW w:w="1300" w:type="dxa"/>
            <w:vAlign w:val="bottom"/>
            <w:shd w:val="clear" w:color="auto" w:fill="D1D2D4"/>
          </w:tcPr>
          <w:p>
            <w:pPr>
              <w:spacing w:after="0"/>
              <w:rPr>
                <w:sz w:val="13"/>
                <w:szCs w:val="13"/>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(365.9)%</w:t>
            </w:r>
          </w:p>
        </w:tc>
        <w:tc>
          <w:tcPr>
            <w:tcW w:w="220" w:type="dxa"/>
            <w:vAlign w:val="bottom"/>
            <w:shd w:val="clear" w:color="auto" w:fill="D1D2D4"/>
          </w:tcPr>
          <w:p>
            <w:pPr>
              <w:spacing w:after="0"/>
              <w:rPr>
                <w:sz w:val="13"/>
                <w:szCs w:val="13"/>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(6.3)%</w:t>
            </w:r>
          </w:p>
        </w:tc>
        <w:tc>
          <w:tcPr>
            <w:tcW w:w="180" w:type="dxa"/>
            <w:vAlign w:val="bottom"/>
            <w:shd w:val="clear" w:color="auto" w:fill="D1D2D4"/>
          </w:tcPr>
          <w:p>
            <w:pPr>
              <w:spacing w:after="0"/>
              <w:rPr>
                <w:sz w:val="13"/>
                <w:szCs w:val="13"/>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(2.4)%</w:t>
            </w:r>
          </w:p>
        </w:tc>
        <w:tc>
          <w:tcPr>
            <w:tcW w:w="80" w:type="dxa"/>
            <w:vAlign w:val="bottom"/>
            <w:shd w:val="clear" w:color="auto" w:fill="D1D2D4"/>
          </w:tcPr>
          <w:p>
            <w:pPr>
              <w:spacing w:after="0"/>
              <w:rPr>
                <w:sz w:val="13"/>
                <w:szCs w:val="13"/>
                <w:color w:val="auto"/>
              </w:rPr>
            </w:pPr>
          </w:p>
        </w:tc>
        <w:tc>
          <w:tcPr>
            <w:tcW w:w="340" w:type="dxa"/>
            <w:vAlign w:val="bottom"/>
            <w:shd w:val="clear" w:color="auto" w:fill="D1D2D4"/>
          </w:tcPr>
          <w:p>
            <w:pPr>
              <w:spacing w:after="0"/>
              <w:rPr>
                <w:sz w:val="13"/>
                <w:szCs w:val="13"/>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55.7 %</w:t>
            </w:r>
          </w:p>
        </w:tc>
        <w:tc>
          <w:tcPr>
            <w:tcW w:w="560" w:type="dxa"/>
            <w:vAlign w:val="bottom"/>
            <w:shd w:val="clear" w:color="auto" w:fill="D1D2D4"/>
          </w:tcPr>
          <w:p>
            <w:pPr>
              <w:spacing w:after="0"/>
              <w:rPr>
                <w:sz w:val="13"/>
                <w:szCs w:val="13"/>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(2.5)%</w:t>
            </w:r>
          </w:p>
        </w:tc>
      </w:tr>
    </w:tbl>
    <w:p>
      <w:pPr>
        <w:spacing w:after="0" w:line="212" w:lineRule="exact"/>
        <w:rPr>
          <w:sz w:val="20"/>
          <w:szCs w:val="20"/>
          <w:color w:val="auto"/>
        </w:rPr>
      </w:pPr>
    </w:p>
    <w:p>
      <w:pPr>
        <w:ind w:right="200"/>
        <w:spacing w:after="0" w:line="268" w:lineRule="auto"/>
        <w:rPr>
          <w:sz w:val="20"/>
          <w:szCs w:val="20"/>
          <w:color w:val="auto"/>
        </w:rPr>
      </w:pPr>
      <w:r>
        <w:rPr>
          <w:rFonts w:ascii="Arial" w:cs="Arial" w:eastAsia="Arial" w:hAnsi="Arial"/>
          <w:sz w:val="12"/>
          <w:szCs w:val="12"/>
          <w:color w:val="auto"/>
        </w:rPr>
        <w:t>In the first quarter of 2024, our tax expense was based on actual results for jurisdictions where small changes in our projected pre-tax income would have caused significant changes in the estimated annual effective tax rate. With our improved fiscal 2024 outlook, we can now estimate a more reliable annual effective tax rate and have reverted to a global annual effective tax rate method for all jurisdictions. Applying this updated rate to our year-to-date earnings resulted in the tax benefit recognized in the second quarter of 2024.</w:t>
      </w:r>
    </w:p>
    <w:p>
      <w:pPr>
        <w:spacing w:after="0" w:line="123" w:lineRule="exact"/>
        <w:rPr>
          <w:sz w:val="20"/>
          <w:szCs w:val="20"/>
          <w:color w:val="auto"/>
        </w:rPr>
      </w:pPr>
    </w:p>
    <w:p>
      <w:pPr>
        <w:ind w:right="120"/>
        <w:spacing w:after="0" w:line="254" w:lineRule="auto"/>
        <w:rPr>
          <w:sz w:val="20"/>
          <w:szCs w:val="20"/>
          <w:color w:val="auto"/>
        </w:rPr>
      </w:pPr>
      <w:r>
        <w:rPr>
          <w:rFonts w:ascii="Arial" w:cs="Arial" w:eastAsia="Arial" w:hAnsi="Arial"/>
          <w:sz w:val="12"/>
          <w:szCs w:val="12"/>
          <w:color w:val="auto"/>
        </w:rPr>
        <w:t>The change in our effective tax rate for the second quarter of 2024 as compared to the first quarter of 2024 was primarily due to the use of the estimated annual effective tax rate for the quarter. The change in our effective tax rate for the first six months of 2024 as compared to the first six months of 2023 was primarily due to changes in levels of profitability and the geographic mix of earnings.</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2" w:name="page33"/>
    <w:bookmarkEnd w:id="32"/>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ind w:right="160"/>
        <w:spacing w:after="0" w:line="268" w:lineRule="auto"/>
        <w:rPr>
          <w:sz w:val="20"/>
          <w:szCs w:val="20"/>
          <w:color w:val="auto"/>
        </w:rPr>
      </w:pPr>
      <w:r>
        <w:rPr>
          <w:rFonts w:ascii="Arial" w:cs="Arial" w:eastAsia="Arial" w:hAnsi="Arial"/>
          <w:sz w:val="12"/>
          <w:szCs w:val="12"/>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As a result of the low level of profitability and the geographical mix of income, the benefit from tax incentive arrangements was not material for the periods presented.</w:t>
      </w:r>
    </w:p>
    <w:p>
      <w:pPr>
        <w:spacing w:after="0" w:line="132" w:lineRule="exact"/>
        <w:rPr>
          <w:sz w:val="20"/>
          <w:szCs w:val="20"/>
          <w:color w:val="auto"/>
        </w:rPr>
      </w:pPr>
    </w:p>
    <w:p>
      <w:pPr>
        <w:ind w:right="220"/>
        <w:spacing w:after="0" w:line="286" w:lineRule="auto"/>
        <w:rPr>
          <w:sz w:val="20"/>
          <w:szCs w:val="20"/>
          <w:color w:val="auto"/>
        </w:rPr>
      </w:pPr>
      <w:r>
        <w:rPr>
          <w:rFonts w:ascii="Arial" w:cs="Arial" w:eastAsia="Arial" w:hAnsi="Arial"/>
          <w:sz w:val="12"/>
          <w:szCs w:val="12"/>
          <w:color w:val="auto"/>
        </w:rPr>
        <w:t>Various tax reforms are being considered in multiple jurisdictions that, if enacted, contain provisions that could materially impact our tax expense. We continue to monitor the potential impact of these various tax reform proposals to our overall global effective tax rate and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Other: </w:t>
      </w:r>
      <w:r>
        <w:rPr>
          <w:rFonts w:ascii="Arial" w:cs="Arial" w:eastAsia="Arial" w:hAnsi="Arial"/>
          <w:sz w:val="12"/>
          <w:szCs w:val="12"/>
          <w:color w:val="auto"/>
        </w:rPr>
        <w:t>Further information can be found in “Item 1. Financial Statements – Notes to Consolidated Financial Statements – Equity Plans”.</w:t>
      </w:r>
    </w:p>
    <w:p>
      <w:pPr>
        <w:spacing w:after="0" w:line="33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Liquidity and Capital Resources</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Cash and marketable investments totaled $9.63 billion as of February 29, 2024, and $10.44 billion as of August 31, 2023. Our cash and investments consist primarily of bank deposits, money market funds, and liquid investment-grade, fixed-income securities, which are diversified among industries and individual issuers. To mitigate credit risk, we invest through high-credit-quality financial institutions and by policy generally limit the concentration of credit exposure by restricting the amount of investments with any single obligor. As of February 29, 2024, $1.98 billion of our cash and marketable investments was held by our foreign subsidiaries.</w:t>
      </w:r>
    </w:p>
    <w:p>
      <w:pPr>
        <w:spacing w:after="0" w:line="137" w:lineRule="exact"/>
        <w:rPr>
          <w:sz w:val="20"/>
          <w:szCs w:val="20"/>
          <w:color w:val="auto"/>
        </w:rPr>
      </w:pPr>
    </w:p>
    <w:p>
      <w:pPr>
        <w:jc w:val="both"/>
        <w:ind w:right="80"/>
        <w:spacing w:after="0" w:line="268" w:lineRule="auto"/>
        <w:rPr>
          <w:sz w:val="20"/>
          <w:szCs w:val="20"/>
          <w:color w:val="auto"/>
        </w:rPr>
      </w:pPr>
      <w:r>
        <w:rPr>
          <w:rFonts w:ascii="Arial" w:cs="Arial" w:eastAsia="Arial" w:hAnsi="Arial"/>
          <w:sz w:val="12"/>
          <w:szCs w:val="12"/>
          <w:color w:val="auto"/>
        </w:rPr>
        <w:t>We continuously evaluate alternatives for efficiently funding our capital expenditures and ongoing operations. From time to time, we expect to engage in a variety of financing transactions for such purposes as well as to refinance our existing indebtedness, including the issuance of securities. As of February 29, 2024, $2.50 billion was available to draw under our Revolving Credit Facility. Funding of certain significant capital projects is also dependent on the receipt of government incentives, which are subject to conditions and may not be obtained.</w:t>
      </w:r>
    </w:p>
    <w:p>
      <w:pPr>
        <w:spacing w:after="0" w:line="132" w:lineRule="exact"/>
        <w:rPr>
          <w:sz w:val="20"/>
          <w:szCs w:val="20"/>
          <w:color w:val="auto"/>
        </w:rPr>
      </w:pPr>
    </w:p>
    <w:p>
      <w:pPr>
        <w:ind w:right="160"/>
        <w:spacing w:after="0" w:line="259" w:lineRule="auto"/>
        <w:rPr>
          <w:sz w:val="20"/>
          <w:szCs w:val="20"/>
          <w:color w:val="auto"/>
        </w:rPr>
      </w:pPr>
      <w:r>
        <w:rPr>
          <w:rFonts w:ascii="Arial" w:cs="Arial" w:eastAsia="Arial" w:hAnsi="Arial"/>
          <w:sz w:val="12"/>
          <w:szCs w:val="12"/>
          <w:color w:val="auto"/>
        </w:rPr>
        <w:t>To develop new product and process technology, support future growth, achieve operating efficiencies, and maintain product quality, we must continue to invest in manufacturing technologies, facilities and equipment, and R&amp;D. We estimate capital expenditures in 2024 for property, plant, and equipment, net of proceeds from government incentives, to be in the range of $7.5 billion to $8.0 billion. Actual amounts for 2024 will vary depending on market conditions and may vary from quarter to quarter due to the timing of expenditures. As of February 29, 2024, we had purchase obligations of approximately $1.01 billion for the acquisition of property, plant, and equipment, of which approximately $938 million is expected to be paid within one year. For a description of other contractual obligations, such as leases and debt, see “Item 1. Financial Statements – Notes to Consolidated Financial Statements – Leases,” and “ – Debt.”</w:t>
      </w:r>
    </w:p>
    <w:p>
      <w:pPr>
        <w:spacing w:after="0" w:line="137" w:lineRule="exact"/>
        <w:rPr>
          <w:sz w:val="20"/>
          <w:szCs w:val="20"/>
          <w:color w:val="auto"/>
        </w:rPr>
      </w:pPr>
    </w:p>
    <w:p>
      <w:pPr>
        <w:ind w:right="120"/>
        <w:spacing w:after="0" w:line="285" w:lineRule="auto"/>
        <w:rPr>
          <w:sz w:val="20"/>
          <w:szCs w:val="20"/>
          <w:color w:val="auto"/>
        </w:rPr>
      </w:pPr>
      <w:r>
        <w:rPr>
          <w:rFonts w:ascii="Arial" w:cs="Arial" w:eastAsia="Arial" w:hAnsi="Arial"/>
          <w:sz w:val="11"/>
          <w:szCs w:val="11"/>
          <w:color w:val="auto"/>
        </w:rPr>
        <w:t>To support expected memory demand in the second half of the decade, we will need to add new DRAM wafer capacity. Following the enactment of the CHIPS Act in 2022, we announced plans to invest in two leading-edge memory manufacturing fabs in the United States, contingent on CHIPS Act support through grants and investment tax credits. As part of this plan, in September 2022, we broke ground on a leading-edge memory manufacturing fab in Boise, Idaho. Construction of the fab began in October 2023 with DRAM production targeted to start in calendar 2025 and first output in early calendar 2026. In addition, in October 2022, we announced plans to build a second leading-edge DRAM manufacturing fab in Clay, New York. We expect construction to begin in calendar 2024, with production anticipated to ramp in the latter half of the decade. We expect these new fabs to be key to meeting our requirements for additional wafer capacity starting in the second half of the decade and beyond, in line with industry demand trends. On August 21, 2023, we announced that two of our subsidiaries had each submitted full applications on August 18, 2023 for federal funding in the form of grants under the CHIPS Act for both of these projects.</w:t>
      </w:r>
    </w:p>
    <w:p>
      <w:pPr>
        <w:spacing w:after="0" w:line="125" w:lineRule="exact"/>
        <w:rPr>
          <w:sz w:val="20"/>
          <w:szCs w:val="20"/>
          <w:color w:val="auto"/>
        </w:rPr>
      </w:pPr>
    </w:p>
    <w:p>
      <w:pPr>
        <w:ind w:right="500"/>
        <w:spacing w:after="0" w:line="286" w:lineRule="auto"/>
        <w:rPr>
          <w:sz w:val="20"/>
          <w:szCs w:val="20"/>
          <w:color w:val="auto"/>
        </w:rPr>
      </w:pPr>
      <w:r>
        <w:rPr>
          <w:rFonts w:ascii="Arial" w:cs="Arial" w:eastAsia="Arial" w:hAnsi="Arial"/>
          <w:sz w:val="12"/>
          <w:szCs w:val="12"/>
          <w:color w:val="auto"/>
        </w:rPr>
        <w:t>We are also advancing our global back-end assembly and test network in order to support our product portfolio and extend our ability to deliver on global customer demand in the future. We intend to make investments at our</w:t>
      </w:r>
    </w:p>
    <w:p>
      <w:pPr>
        <w:spacing w:after="0" w:line="37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33 | 2024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3" w:name="page34"/>
    <w:bookmarkEnd w:id="33"/>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ind w:right="160"/>
        <w:spacing w:after="0" w:line="286" w:lineRule="auto"/>
        <w:rPr>
          <w:sz w:val="20"/>
          <w:szCs w:val="20"/>
          <w:color w:val="auto"/>
        </w:rPr>
      </w:pPr>
      <w:r>
        <w:rPr>
          <w:rFonts w:ascii="Arial" w:cs="Arial" w:eastAsia="Arial" w:hAnsi="Arial"/>
          <w:sz w:val="12"/>
          <w:szCs w:val="12"/>
          <w:color w:val="auto"/>
        </w:rPr>
        <w:t>backend facility in Xi’an, China, including a new building to provide space to add more product capability, to allow us over time to serve more of the demand from our customers in China from the Xi’an facility. We began construction of a new assembly and test facility in Gujarat, India to address demand in the latter half of this decade.</w:t>
      </w:r>
    </w:p>
    <w:p>
      <w:pPr>
        <w:spacing w:after="0" w:line="121" w:lineRule="exact"/>
        <w:rPr>
          <w:sz w:val="20"/>
          <w:szCs w:val="20"/>
          <w:color w:val="auto"/>
        </w:rPr>
      </w:pPr>
    </w:p>
    <w:p>
      <w:pPr>
        <w:ind w:right="120"/>
        <w:spacing w:after="0" w:line="262" w:lineRule="auto"/>
        <w:rPr>
          <w:sz w:val="20"/>
          <w:szCs w:val="20"/>
          <w:color w:val="auto"/>
        </w:rPr>
      </w:pPr>
      <w:r>
        <w:rPr>
          <w:rFonts w:ascii="Arial" w:cs="Arial" w:eastAsia="Arial" w:hAnsi="Arial"/>
          <w:sz w:val="12"/>
          <w:szCs w:val="12"/>
          <w:color w:val="auto"/>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Through February 29, 2024, we had repurchased an aggregate of $6.89 billion of the authorized amount. See “Item 1. Financial Statements – Notes to Consolidated Financial Statements – Equity.”</w:t>
      </w:r>
    </w:p>
    <w:p>
      <w:pPr>
        <w:spacing w:after="0" w:line="135" w:lineRule="exact"/>
        <w:rPr>
          <w:sz w:val="20"/>
          <w:szCs w:val="20"/>
          <w:color w:val="auto"/>
        </w:rPr>
      </w:pPr>
    </w:p>
    <w:p>
      <w:pPr>
        <w:ind w:right="140"/>
        <w:spacing w:after="0" w:line="262" w:lineRule="auto"/>
        <w:rPr>
          <w:sz w:val="20"/>
          <w:szCs w:val="20"/>
          <w:color w:val="auto"/>
        </w:rPr>
      </w:pPr>
      <w:r>
        <w:rPr>
          <w:rFonts w:ascii="Arial" w:cs="Arial" w:eastAsia="Arial" w:hAnsi="Arial"/>
          <w:sz w:val="12"/>
          <w:szCs w:val="12"/>
          <w:color w:val="auto"/>
        </w:rPr>
        <w:t>On March 20, 2024, our Board of Directors declared a quarterly dividend of $0.115 per share, payable in cash on April 16, 2024, to shareholders of record as of the close of business on April 1, 2024. The declaration and payment of any future cash dividends are at the discretion and subject to the approval of our Board of Directors. Our Board of Directors' decisions regarding the amount and payment of dividends will depend on many factors, including, but not limited to, our financial condition, results of operations, capital requirements, business conditions, debt service obligations, contractual restrictions, industry practice, legal requirements, regulatory constraints, and other factors that our Board of Directors may deem relevant.</w:t>
      </w:r>
    </w:p>
    <w:p>
      <w:pPr>
        <w:spacing w:after="0" w:line="135" w:lineRule="exact"/>
        <w:rPr>
          <w:sz w:val="20"/>
          <w:szCs w:val="20"/>
          <w:color w:val="auto"/>
        </w:rPr>
      </w:pPr>
    </w:p>
    <w:p>
      <w:pPr>
        <w:ind w:right="360"/>
        <w:spacing w:after="0" w:line="286" w:lineRule="auto"/>
        <w:rPr>
          <w:sz w:val="20"/>
          <w:szCs w:val="20"/>
          <w:color w:val="auto"/>
        </w:rPr>
      </w:pPr>
      <w:r>
        <w:rPr>
          <w:rFonts w:ascii="Arial" w:cs="Arial" w:eastAsia="Arial" w:hAnsi="Arial"/>
          <w:sz w:val="12"/>
          <w:szCs w:val="12"/>
          <w:color w:val="auto"/>
        </w:rPr>
        <w:t>We expect that our cash and investments, cash flows from operations, and available financing will be sufficient to meet our requirements at least through the next 12 months and thereafter for the foreseeable future.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4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Six months ended</w:t>
            </w:r>
          </w:p>
        </w:tc>
        <w:tc>
          <w:tcPr>
            <w:tcW w:w="880" w:type="dxa"/>
            <w:vAlign w:val="bottom"/>
            <w:tcBorders>
              <w:bottom w:val="single" w:sz="8" w:color="auto"/>
            </w:tcBorders>
          </w:tcPr>
          <w:p>
            <w:pPr>
              <w:spacing w:after="0"/>
              <w:rPr>
                <w:sz w:val="13"/>
                <w:szCs w:val="13"/>
                <w:color w:val="auto"/>
              </w:rPr>
            </w:pPr>
          </w:p>
        </w:tc>
      </w:tr>
      <w:tr>
        <w:trPr>
          <w:trHeight w:val="150"/>
        </w:trPr>
        <w:tc>
          <w:tcPr>
            <w:tcW w:w="8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5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r>
      <w:tr>
        <w:trPr>
          <w:trHeight w:val="161"/>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Net cash provided by operating activities</w:t>
            </w:r>
          </w:p>
        </w:tc>
        <w:tc>
          <w:tcPr>
            <w:tcW w:w="880" w:type="dxa"/>
            <w:vAlign w:val="bottom"/>
            <w:shd w:val="clear" w:color="auto" w:fill="D1D2D4"/>
          </w:tcPr>
          <w:p>
            <w:pPr>
              <w:jc w:val="right"/>
              <w:ind w:right="740"/>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2,620</w:t>
            </w:r>
          </w:p>
        </w:tc>
        <w:tc>
          <w:tcPr>
            <w:tcW w:w="560" w:type="dxa"/>
            <w:vAlign w:val="bottom"/>
            <w:shd w:val="clear" w:color="auto" w:fill="D1D2D4"/>
          </w:tcPr>
          <w:p>
            <w:pPr>
              <w:jc w:val="right"/>
              <w:ind w:right="4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1,286</w:t>
            </w: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Net cash provided by (used for) investing activities</w:t>
            </w: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(2,709)</w:t>
            </w: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(4,181)</w:t>
            </w: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Net cash provided by (used for) financing activities</w:t>
            </w:r>
          </w:p>
        </w:tc>
        <w:tc>
          <w:tcPr>
            <w:tcW w:w="880" w:type="dxa"/>
            <w:vAlign w:val="bottom"/>
            <w:shd w:val="clear" w:color="auto" w:fill="D1D2D4"/>
          </w:tcPr>
          <w:p>
            <w:pPr>
              <w:spacing w:after="0"/>
              <w:rPr>
                <w:sz w:val="13"/>
                <w:szCs w:val="13"/>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(458)</w:t>
            </w:r>
          </w:p>
        </w:tc>
        <w:tc>
          <w:tcPr>
            <w:tcW w:w="560" w:type="dxa"/>
            <w:vAlign w:val="bottom"/>
            <w:shd w:val="clear" w:color="auto" w:fill="D1D2D4"/>
          </w:tcPr>
          <w:p>
            <w:pPr>
              <w:spacing w:after="0"/>
              <w:rPr>
                <w:sz w:val="13"/>
                <w:szCs w:val="13"/>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4,434</w:t>
            </w:r>
          </w:p>
        </w:tc>
      </w:tr>
      <w:tr>
        <w:trPr>
          <w:trHeight w:val="153"/>
        </w:trPr>
        <w:tc>
          <w:tcPr>
            <w:tcW w:w="8440" w:type="dxa"/>
            <w:vAlign w:val="bottom"/>
            <w:tcBorders>
              <w:bottom w:val="single" w:sz="8" w:color="D1D2D4"/>
            </w:tcBorders>
          </w:tcPr>
          <w:p>
            <w:pPr>
              <w:spacing w:after="0"/>
              <w:rPr>
                <w:sz w:val="20"/>
                <w:szCs w:val="20"/>
                <w:color w:val="auto"/>
              </w:rPr>
            </w:pPr>
            <w:r>
              <w:rPr>
                <w:rFonts w:ascii="Arial" w:cs="Arial" w:eastAsia="Arial" w:hAnsi="Arial"/>
                <w:sz w:val="12"/>
                <w:szCs w:val="12"/>
                <w:color w:val="auto"/>
              </w:rPr>
              <w:t>Effect of changes in currency exchange rates on cash, cash equivalents, and restricted cash</w:t>
            </w:r>
          </w:p>
        </w:tc>
        <w:tc>
          <w:tcPr>
            <w:tcW w:w="8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r>
      <w:tr>
        <w:trPr>
          <w:trHeight w:val="158"/>
        </w:trPr>
        <w:tc>
          <w:tcPr>
            <w:tcW w:w="8440" w:type="dxa"/>
            <w:vAlign w:val="bottom"/>
            <w:tcBorders>
              <w:bottom w:val="single" w:sz="8" w:color="D1D2D4"/>
            </w:tcBorders>
            <w:shd w:val="clear" w:color="auto" w:fill="D1D2D4"/>
          </w:tcPr>
          <w:p>
            <w:pPr>
              <w:spacing w:after="0"/>
              <w:rPr>
                <w:sz w:val="20"/>
                <w:szCs w:val="20"/>
                <w:color w:val="auto"/>
              </w:rPr>
            </w:pPr>
            <w:r>
              <w:rPr>
                <w:rFonts w:ascii="Arial" w:cs="Arial" w:eastAsia="Arial" w:hAnsi="Arial"/>
                <w:sz w:val="12"/>
                <w:szCs w:val="12"/>
                <w:color w:val="auto"/>
              </w:rPr>
              <w:t>Net increase (decrease) in cash, cash equivalents, and restricted cash</w:t>
            </w:r>
          </w:p>
        </w:tc>
        <w:tc>
          <w:tcPr>
            <w:tcW w:w="880" w:type="dxa"/>
            <w:vAlign w:val="bottom"/>
            <w:tcBorders>
              <w:bottom w:val="single" w:sz="8" w:color="auto"/>
            </w:tcBorders>
            <w:shd w:val="clear" w:color="auto" w:fill="D1D2D4"/>
          </w:tcPr>
          <w:p>
            <w:pPr>
              <w:jc w:val="right"/>
              <w:ind w:right="740"/>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(555)</w:t>
            </w:r>
          </w:p>
        </w:tc>
        <w:tc>
          <w:tcPr>
            <w:tcW w:w="560" w:type="dxa"/>
            <w:vAlign w:val="bottom"/>
            <w:tcBorders>
              <w:bottom w:val="single" w:sz="8" w:color="auto"/>
            </w:tcBorders>
            <w:shd w:val="clear" w:color="auto" w:fill="D1D2D4"/>
          </w:tcPr>
          <w:p>
            <w:pPr>
              <w:jc w:val="right"/>
              <w:ind w:right="42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1,548</w:t>
            </w:r>
          </w:p>
        </w:tc>
      </w:tr>
    </w:tbl>
    <w:p>
      <w:pPr>
        <w:spacing w:after="0" w:line="212"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b w:val="1"/>
          <w:bCs w:val="1"/>
          <w:i w:val="1"/>
          <w:iCs w:val="1"/>
          <w:color w:val="auto"/>
        </w:rPr>
        <w:t xml:space="preserve">Operating Activities: </w:t>
      </w:r>
      <w:r>
        <w:rPr>
          <w:rFonts w:ascii="Arial" w:cs="Arial" w:eastAsia="Arial" w:hAnsi="Arial"/>
          <w:sz w:val="12"/>
          <w:szCs w:val="12"/>
          <w:color w:val="auto"/>
        </w:rPr>
        <w:t>Cash provided by operating activities reflects net income (loss) adjusted for certain non-cash items, including depreciation expense, amortization of intangible assets, stock-based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compensation, and inventory write-downs, and the effects of changes in operating assets and liabilities. The increase in cash provided by operating activities for the first six months of 2024 as compared to the first six months of 2023 was primarily due to a smaller net loss in the current year adjusted for non-cash items and the effect of an increase in accounts payable and accrued expenses and an increase in other current liabilities largely due to approximately $600 million of customer prepayments to secure product supply, partially offset by an increase in receivables and an increase in other current assets primarily due to the second quarter 2024 income tax benefit.</w:t>
      </w:r>
    </w:p>
    <w:p>
      <w:pPr>
        <w:spacing w:after="0" w:line="137" w:lineRule="exact"/>
        <w:rPr>
          <w:sz w:val="20"/>
          <w:szCs w:val="20"/>
          <w:color w:val="auto"/>
        </w:rPr>
      </w:pPr>
    </w:p>
    <w:p>
      <w:pPr>
        <w:ind w:right="440"/>
        <w:spacing w:after="0" w:line="286" w:lineRule="auto"/>
        <w:rPr>
          <w:sz w:val="20"/>
          <w:szCs w:val="20"/>
          <w:color w:val="auto"/>
        </w:rPr>
      </w:pPr>
      <w:r>
        <w:rPr>
          <w:rFonts w:ascii="Arial" w:cs="Arial" w:eastAsia="Arial" w:hAnsi="Arial"/>
          <w:sz w:val="12"/>
          <w:szCs w:val="12"/>
          <w:b w:val="1"/>
          <w:bCs w:val="1"/>
          <w:i w:val="1"/>
          <w:iCs w:val="1"/>
          <w:color w:val="auto"/>
        </w:rPr>
        <w:t xml:space="preserve">Investing Activities: </w:t>
      </w:r>
      <w:r>
        <w:rPr>
          <w:rFonts w:ascii="Arial" w:cs="Arial" w:eastAsia="Arial" w:hAnsi="Arial"/>
          <w:sz w:val="12"/>
          <w:szCs w:val="12"/>
          <w:color w:val="auto"/>
        </w:rPr>
        <w:t>For the first six months of 2024, net cash used for investing activities consisted primarily of $3.18 billion of expenditures for property, plant, and equipment; contributions of $234 million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received from government incentives to offset capital expenditures; partially offset by $261 million of net inflows from maturities, sales, and purchases of available-for-sale securities.</w:t>
      </w:r>
    </w:p>
    <w:p>
      <w:pPr>
        <w:spacing w:after="0" w:line="121" w:lineRule="exact"/>
        <w:rPr>
          <w:sz w:val="20"/>
          <w:szCs w:val="20"/>
          <w:color w:val="auto"/>
        </w:rPr>
      </w:pPr>
    </w:p>
    <w:p>
      <w:pPr>
        <w:ind w:right="520"/>
        <w:spacing w:after="0" w:line="286" w:lineRule="auto"/>
        <w:rPr>
          <w:sz w:val="20"/>
          <w:szCs w:val="20"/>
          <w:color w:val="auto"/>
        </w:rPr>
      </w:pPr>
      <w:r>
        <w:rPr>
          <w:rFonts w:ascii="Arial" w:cs="Arial" w:eastAsia="Arial" w:hAnsi="Arial"/>
          <w:sz w:val="12"/>
          <w:szCs w:val="12"/>
          <w:color w:val="auto"/>
        </w:rPr>
        <w:t>For the first six months of 2023, net cash used for investing activities consisted primarily of $4.65 billion of expenditures for property, plant, and equipment, partially offset by $480 million of net inflows from maturities, sales, and purchases of available-for-sale securities.</w:t>
      </w:r>
    </w:p>
    <w:p>
      <w:pPr>
        <w:spacing w:after="0" w:line="121" w:lineRule="exact"/>
        <w:rPr>
          <w:sz w:val="20"/>
          <w:szCs w:val="20"/>
          <w:color w:val="auto"/>
        </w:rPr>
      </w:pPr>
    </w:p>
    <w:p>
      <w:pPr>
        <w:jc w:val="both"/>
        <w:ind w:right="40"/>
        <w:spacing w:after="0" w:line="268" w:lineRule="auto"/>
        <w:rPr>
          <w:sz w:val="20"/>
          <w:szCs w:val="20"/>
          <w:color w:val="auto"/>
        </w:rPr>
      </w:pPr>
      <w:r>
        <w:rPr>
          <w:rFonts w:ascii="Arial" w:cs="Arial" w:eastAsia="Arial" w:hAnsi="Arial"/>
          <w:sz w:val="12"/>
          <w:szCs w:val="12"/>
          <w:b w:val="1"/>
          <w:bCs w:val="1"/>
          <w:i w:val="1"/>
          <w:iCs w:val="1"/>
          <w:color w:val="auto"/>
        </w:rPr>
        <w:t xml:space="preserve">Financing Activities: </w:t>
      </w:r>
      <w:r>
        <w:rPr>
          <w:rFonts w:ascii="Arial" w:cs="Arial" w:eastAsia="Arial" w:hAnsi="Arial"/>
          <w:sz w:val="12"/>
          <w:szCs w:val="12"/>
          <w:color w:val="auto"/>
        </w:rPr>
        <w:t>For the first six months of 2024, net cash used for financing activities consisted primarily of $1.10 billion of repayments of debt, which included the prepayment of the 2024 Term Loan A and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portion of the 2025 Term Loan A borrowings, $256 million for payments of dividends to shareholders, and $ 82 million of payments on equipment purchase contracts, partially offset by approximately $1.00 billion of proceeds from the issuance of the 2031 Notes. See “Item 1. Financial Statements – Notes to Consolidated Financial Statements – Debt.”</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4" w:name="page35"/>
    <w:bookmarkEnd w:id="34"/>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ind w:right="160"/>
        <w:spacing w:after="0" w:line="268" w:lineRule="auto"/>
        <w:rPr>
          <w:sz w:val="20"/>
          <w:szCs w:val="20"/>
          <w:color w:val="auto"/>
        </w:rPr>
      </w:pPr>
      <w:r>
        <w:rPr>
          <w:rFonts w:ascii="Arial" w:cs="Arial" w:eastAsia="Arial" w:hAnsi="Arial"/>
          <w:sz w:val="12"/>
          <w:szCs w:val="12"/>
          <w:color w:val="auto"/>
        </w:rPr>
        <w:t>For the first six months of 2023, net cash provided by financing activities consisted primarily of $3.20 billion of proceeds from our 2025, 2026, and 2027 Term Loan A borrowings, $1.27 billion from the issuance of the 2029 B Notes, and $749 million from the issuance of the 2033 A Notes. Cash used for financing activities included $425 million for the acquisition of 8.6 million shares of our common stock under our share repurchase authorization, $252 million of cash payments of dividends to shareholders, and $76 million of payments on equipment purchase contracts.</w:t>
      </w:r>
    </w:p>
    <w:p>
      <w:pPr>
        <w:spacing w:after="0" w:line="293"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Critical Accounting Estimates</w:t>
      </w:r>
    </w:p>
    <w:p>
      <w:pPr>
        <w:spacing w:after="0" w:line="178" w:lineRule="exact"/>
        <w:rPr>
          <w:sz w:val="20"/>
          <w:szCs w:val="20"/>
          <w:color w:val="auto"/>
        </w:rPr>
      </w:pPr>
    </w:p>
    <w:p>
      <w:pPr>
        <w:jc w:val="both"/>
        <w:ind w:right="160"/>
        <w:spacing w:after="0" w:line="334" w:lineRule="auto"/>
        <w:rPr>
          <w:sz w:val="20"/>
          <w:szCs w:val="20"/>
          <w:color w:val="auto"/>
        </w:rPr>
      </w:pPr>
      <w:r>
        <w:rPr>
          <w:rFonts w:ascii="Arial" w:cs="Arial" w:eastAsia="Arial" w:hAnsi="Arial"/>
          <w:sz w:val="11"/>
          <w:szCs w:val="11"/>
          <w:color w:val="auto"/>
        </w:rPr>
        <w:t>For a discussion of our critical accounting estimates, see “Part II – Item 7. Management’s Discussion and Analysis of Financial Condition and Results of Operations – Critical Accounting Estimates” of our Annual Report on Form 10-K for the year ended August 31, 2023. There have been no significant changes to our critical accounting estimates since our Annual Report on Form 10-K for the year ended August 31, 2023.</w:t>
      </w:r>
    </w:p>
    <w:p>
      <w:pPr>
        <w:spacing w:after="0" w:line="26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Recently Adopted Accounting Standards</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No material items.</w:t>
      </w:r>
    </w:p>
    <w:p>
      <w:pPr>
        <w:spacing w:after="0" w:line="33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Recently Issued Accounting Standards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color w:val="auto"/>
        </w:rPr>
        <w:t>No material items.</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67" w:lineRule="exact"/>
        <w:rPr>
          <w:sz w:val="20"/>
          <w:szCs w:val="20"/>
          <w:color w:val="auto"/>
        </w:rPr>
      </w:pPr>
    </w:p>
    <w:p>
      <w:pPr>
        <w:ind w:right="40"/>
        <w:spacing w:after="0" w:line="286" w:lineRule="auto"/>
        <w:rPr>
          <w:sz w:val="20"/>
          <w:szCs w:val="20"/>
          <w:color w:val="auto"/>
        </w:rPr>
      </w:pPr>
      <w:r>
        <w:rPr>
          <w:rFonts w:ascii="Arial" w:cs="Arial" w:eastAsia="Arial" w:hAnsi="Arial"/>
          <w:sz w:val="12"/>
          <w:szCs w:val="12"/>
          <w:color w:val="auto"/>
        </w:rPr>
        <w:t>For further discussion about market risk and sensitivity analysis related to changes in interest rates and currency exchange rates, see “Part II – Item 7A. Quantitative and Qualitative Disclosures About Market Risk” in our Annual Report on Form 10-K for the year ended August 31, 2023.</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decisions regarding disclosure.</w:t>
      </w:r>
    </w:p>
    <w:p>
      <w:pPr>
        <w:spacing w:after="0" w:line="137" w:lineRule="exact"/>
        <w:rPr>
          <w:sz w:val="20"/>
          <w:szCs w:val="20"/>
          <w:color w:val="auto"/>
        </w:rPr>
      </w:pPr>
    </w:p>
    <w:p>
      <w:pPr>
        <w:ind w:right="160"/>
        <w:spacing w:after="0" w:line="286" w:lineRule="auto"/>
        <w:rPr>
          <w:sz w:val="20"/>
          <w:szCs w:val="20"/>
          <w:color w:val="auto"/>
        </w:rPr>
      </w:pPr>
      <w:r>
        <w:rPr>
          <w:rFonts w:ascii="Arial" w:cs="Arial" w:eastAsia="Arial" w:hAnsi="Arial"/>
          <w:sz w:val="12"/>
          <w:szCs w:val="12"/>
          <w:color w:val="auto"/>
        </w:rPr>
        <w:t>During the second quarter of 2024,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35 | 2024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5" w:name="page36"/>
    <w:bookmarkEnd w:id="35"/>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4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 II. OTHER INFORMATION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51" w:lineRule="exact"/>
        <w:rPr>
          <w:sz w:val="20"/>
          <w:szCs w:val="20"/>
          <w:color w:val="auto"/>
        </w:rPr>
      </w:pPr>
    </w:p>
    <w:p>
      <w:pPr>
        <w:jc w:val="both"/>
        <w:ind w:right="20"/>
        <w:spacing w:after="0" w:line="268" w:lineRule="auto"/>
        <w:rPr>
          <w:sz w:val="20"/>
          <w:szCs w:val="20"/>
          <w:color w:val="auto"/>
        </w:rPr>
      </w:pPr>
      <w:r>
        <w:rPr>
          <w:rFonts w:ascii="Arial" w:cs="Arial" w:eastAsia="Arial" w:hAnsi="Arial"/>
          <w:sz w:val="12"/>
          <w:szCs w:val="12"/>
          <w:color w:val="auto"/>
        </w:rPr>
        <w:t>For a discussion of legal proceedings, see “Part I – Item 3. Legal Proceedings” of our Annual Report on Form 10-K for the year ended August 31, 2023, and the sections titled “Part I. Financial Information – Item 1. Financial Statements – Notes to Consolidated Financial Statements – Contingencies” and “Item 1A. Risk Factors” in this Quarterly Report on Form 10-Q, as well as in our Quarterly Report on Form 10-Q for the first quarter of 2024.</w:t>
      </w:r>
    </w:p>
    <w:p>
      <w:pPr>
        <w:spacing w:after="0" w:line="132"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SEC regulations require disclosure of certain proceedings related to environmental matters unless we reasonably believe that the related monetary sanctions, if any, will be less than a specified threshold. We use a threshold of $1 million for this purpose.</w:t>
      </w: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6" w:name="page37"/>
    <w:bookmarkEnd w:id="36"/>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67" w:lineRule="exact"/>
        <w:rPr>
          <w:sz w:val="20"/>
          <w:szCs w:val="20"/>
          <w:color w:val="auto"/>
        </w:rPr>
      </w:pPr>
    </w:p>
    <w:p>
      <w:pPr>
        <w:jc w:val="both"/>
        <w:ind w:right="140"/>
        <w:spacing w:after="0" w:line="268" w:lineRule="auto"/>
        <w:rPr>
          <w:sz w:val="20"/>
          <w:szCs w:val="20"/>
          <w:color w:val="auto"/>
        </w:rPr>
      </w:pPr>
      <w:r>
        <w:rPr>
          <w:rFonts w:ascii="Arial" w:cs="Arial" w:eastAsia="Arial" w:hAnsi="Arial"/>
          <w:sz w:val="12"/>
          <w:szCs w:val="12"/>
          <w:color w:val="auto"/>
        </w:rPr>
        <w:t>In addition to the factors discussed elsewhere in this Form 10-Q, this section discusses important factors which could cause actual results or events to differ materially from those contained in any forward-looking statements made by us. The order of presentation is not necessarily indicative of the level of risk that each factor poses to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131"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Risk Factor Summary</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Risks Related to Our Business, Operations, and Industry</w:t>
      </w:r>
    </w:p>
    <w:p>
      <w:pPr>
        <w:spacing w:after="0" w:line="16" w:lineRule="exact"/>
        <w:rPr>
          <w:sz w:val="20"/>
          <w:szCs w:val="20"/>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volatility in average selling prices of our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 range of factors that may adversely affect our gross margins;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international operations, including geopolitical risks;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highly competitive nature of our industry;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ability to develop and produce new and competitive memory and storage technologies and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realizing expected returns from capacity expansions;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achieving or maintaining certain outcomes or compliance with other obligations associated with incentives from various governments;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availability and quality of materials, supplies, and capital equipment and dependency on third-party service providers;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 downturn in regional or worldwide economies;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disruptions to our manufacturing process from operational issues, natural disasters, or other events;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dependency on a select number of key customers, including international customers;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products that fail to meet specifications, are defective, or are incompatible with end uses;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breaches of our security systems or products, or those of our customers, suppliers, or business partners;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attracting, retaining, and motivating highly skilled employees;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responsible sourcing requirements and related regulations;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environmental, social, and governance considerations;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acquisitions and/or alliances;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restructure plans may not realize expected savings or other benefits.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Risks Related to Intellectual Property and Litigation</w:t>
      </w:r>
    </w:p>
    <w:p>
      <w:pPr>
        <w:spacing w:after="0" w:line="16" w:lineRule="exact"/>
        <w:rPr>
          <w:sz w:val="20"/>
          <w:szCs w:val="20"/>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protecting our intellectual property and retaining key employees who are knowledgeable of and develop our intellectual property;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legal proceedings and claims;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claims that our products or manufacturing processes infringe or otherwise violate the intellectual property rights of others or failure to obtain or renew license agreements covering such intellectual property.</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Risks Related to Laws and Regulations</w:t>
      </w:r>
    </w:p>
    <w:p>
      <w:pPr>
        <w:spacing w:after="0" w:line="16" w:lineRule="exact"/>
        <w:rPr>
          <w:sz w:val="20"/>
          <w:szCs w:val="20"/>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impacts of government actions and compliance with tariffs, trade restrictions, and/or trade regulations;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tax expense and tax laws in key jurisdictions;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compliance with laws, regulations, or industry standards, including environmental considerations.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Risks Related to Capitalization and Financial Markets</w:t>
      </w:r>
    </w:p>
    <w:p>
      <w:pPr>
        <w:spacing w:after="0" w:line="16" w:lineRule="exact"/>
        <w:rPr>
          <w:sz w:val="20"/>
          <w:szCs w:val="20"/>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ability to generate sufficient cash flows or obtain access to external financing;</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debt obligations;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changes in foreign currency exchange rates;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counterparty default risk;</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volatility in the trading price of our common stock;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fluctuations in the amount and frequency of our common stock repurchases and payment of cash dividends and resulting impacts.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37 | 2024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7" w:name="page38"/>
    <w:bookmarkEnd w:id="37"/>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Risks Related to Our Business, Operations, and Industry</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Volatility in average selling prices for our semiconductor memory and storage products may adversely affect our business.</w:t>
      </w:r>
    </w:p>
    <w:p>
      <w:pPr>
        <w:spacing w:after="0" w:line="168"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We have experienced significant volatility in our average selling prices and may continue to experience such volatility in the future. For example, average selling prices for DRAM declined in the high-40s percent range and NAND declined in the low-50s percent range for 2023 as compared to 2022. Since 2017, annual percentage changes in DRAM average selling prices have ranged from plus mid-30s percent range to a minus high-40s percent range. Since 2017, annual percentage changes in NAND average selling prices have ranged from nearly flat to a minus low-50s percent range. In recent periods, average selling prices for our products have been below our manufacturing costs and we may experience such circumstances in the future. Average selling prices for our products that decline faster than our costs have recently had an adverse effect on our business and results of operations, and in future periods could have a material adverse effect on our business, results of operations, or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gross margins may be adversely affected by a range of factors.</w:t>
      </w:r>
    </w:p>
    <w:p>
      <w:pPr>
        <w:spacing w:after="0" w:line="168" w:lineRule="exact"/>
        <w:rPr>
          <w:sz w:val="20"/>
          <w:szCs w:val="20"/>
          <w:color w:val="auto"/>
        </w:rPr>
      </w:pPr>
    </w:p>
    <w:p>
      <w:pPr>
        <w:ind w:right="20"/>
        <w:spacing w:after="0" w:line="286" w:lineRule="auto"/>
        <w:rPr>
          <w:sz w:val="20"/>
          <w:szCs w:val="20"/>
          <w:color w:val="auto"/>
        </w:rPr>
      </w:pPr>
      <w:r>
        <w:rPr>
          <w:rFonts w:ascii="Arial" w:cs="Arial" w:eastAsia="Arial" w:hAnsi="Arial"/>
          <w:sz w:val="12"/>
          <w:szCs w:val="12"/>
          <w:color w:val="auto"/>
        </w:rPr>
        <w:t>Our gross margins are dependent, in part, upon continuing decreases in per gigabit manufacturing costs achieved through improvements in our manufacturing processes and product designs. Factors that may limit our ability to reduce our per gigabit manufacturing costs at sufficient levels to prevent deterioration of or improve gross margins include, but are not limited to:</w:t>
      </w:r>
    </w:p>
    <w:p>
      <w:pPr>
        <w:spacing w:after="0" w:line="121" w:lineRule="exact"/>
        <w:rPr>
          <w:sz w:val="20"/>
          <w:szCs w:val="20"/>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strategic product diversification decisions affecting product mix;</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increasing complexity of manufacturing processes;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difficulties in transitioning to smaller line-width process technologies or additional 3D memory layers or NAND cell levels;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process complexity including number of mask layers and fabrication steps;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manufacturing yield;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technological barriers;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changes in process technologies;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new products that may require relatively larger die sizes;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start-up or other costs associated with capacity expansions;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higher costs of goods and services due to inflationary pressures or market conditions;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higher manufacturing costs per gigabit due to fabrication facility underutilization, lower wafer output, and insufficient volume to run new technology nodes to achieve cost optimization.</w:t>
      </w:r>
    </w:p>
    <w:p>
      <w:pPr>
        <w:spacing w:after="0" w:line="156"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Many factors may result in a reduction of our output or a delay in ramping production, which could lead to underutilization of our production assets. These factors may include, among others, a weak demand environment, industry oversupply, inventory surpluses, difficulties in ramping emerging technologies, supply chain disruptions, and delays from equipment suppliers. See “Part I. Financial Information – Item 2. Management’s Discussion and Analysis of Financial Condition and Results of Operations – Overview – Industry Conditions” for information regarding our recent underutilization charges. A significant portion of our manufacturing costs are fixed and do not vary proportionally with changes in production output. As a result, lower utilization, lower wafer output, and corresponding increases in our per gigabit manufacturing costs have resulted in higher inventory carrying costs, and have had, and may continue to have, an adverse effect on our gross margins, business, results of operations, or financial condition.</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8" w:name="page39"/>
    <w:bookmarkEnd w:id="38"/>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We have a broad portfolio of products to address our customers’ needs, which span multiple market segments and are subject to rapid technological changes. Our manufacturing costs on a per gigabit basis vary across our portfolio as they are largely influenced by the technology node in which the solution was developed. We strive to balance our demand and supply for each technology node, but the dynamics of our markets and our customers can create periods of imbalance, which can lead us to carry elevated inventory levels. Consequently, we may incur charges in connection with obsolete or excess inventories, or we may not fully recover our costs, which would reduce our gross margins. For example, in 2023, we recorded aggregate charges of $1.83 billion to write down the carrying value of our inventories to their estimated net realizable value. In addition, due to the customized nature of certain products we manufacture, we may be unable to sell certain finished goods inventories to alternative customers or manufacture in-process inventory to different specifications, which may result in excess and obsolescence charges in future periods.</w:t>
      </w:r>
    </w:p>
    <w:p>
      <w:pPr>
        <w:spacing w:after="0" w:line="139" w:lineRule="exact"/>
        <w:rPr>
          <w:sz w:val="20"/>
          <w:szCs w:val="20"/>
          <w:color w:val="auto"/>
        </w:rPr>
      </w:pPr>
    </w:p>
    <w:p>
      <w:pPr>
        <w:ind w:right="240"/>
        <w:spacing w:after="0" w:line="286" w:lineRule="auto"/>
        <w:rPr>
          <w:sz w:val="20"/>
          <w:szCs w:val="20"/>
          <w:color w:val="auto"/>
        </w:rPr>
      </w:pPr>
      <w:r>
        <w:rPr>
          <w:rFonts w:ascii="Arial" w:cs="Arial" w:eastAsia="Arial" w:hAnsi="Arial"/>
          <w:sz w:val="12"/>
          <w:szCs w:val="12"/>
          <w:color w:val="auto"/>
        </w:rPr>
        <w:t>In addition, if we are unable to supply products that meet customer design and performance specifications, we may be required to sell such products at lower average selling prices, which may reduce our gross margins. Our gross margins may also be impacted by shifts in product mix, driven by our strategy to optimize our portfolio to best respond to changing market dynamics.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Our inability to prevent deterioration of or improve gross margins could have a material adverse effect on our business, results of operations, or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face geopolitical and other risks associated with our international operations that could materially adversely affect our business, results of operations, or financial condition.</w:t>
      </w:r>
    </w:p>
    <w:p>
      <w:pPr>
        <w:spacing w:after="0" w:line="168" w:lineRule="exact"/>
        <w:rPr>
          <w:sz w:val="20"/>
          <w:szCs w:val="20"/>
          <w:color w:val="auto"/>
        </w:rPr>
      </w:pPr>
    </w:p>
    <w:p>
      <w:pPr>
        <w:ind w:right="180"/>
        <w:spacing w:after="0" w:line="268" w:lineRule="auto"/>
        <w:rPr>
          <w:sz w:val="20"/>
          <w:szCs w:val="20"/>
          <w:color w:val="auto"/>
        </w:rPr>
      </w:pPr>
      <w:r>
        <w:rPr>
          <w:rFonts w:ascii="Arial" w:cs="Arial" w:eastAsia="Arial" w:hAnsi="Arial"/>
          <w:sz w:val="12"/>
          <w:szCs w:val="12"/>
          <w:color w:val="auto"/>
        </w:rPr>
        <w:t>In addition to our U.S. operations, a substantial portion of our operations are conducted in Taiwan, Singapore, Japan, Malaysia, China, and India, and many of our customers, suppliers, and vendors also operate internationally. In 2023, nearly half of our revenue was from sales to customers who have headquarters located outside the United States, while over 80% of our revenue in 2023 was from products shipped to customer locations outside the United States.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Our international operations are subject to a number of risks, including:</w:t>
      </w:r>
    </w:p>
    <w:p>
      <w:pPr>
        <w:spacing w:after="0" w:line="168" w:lineRule="exact"/>
        <w:rPr>
          <w:sz w:val="20"/>
          <w:szCs w:val="20"/>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restrictions on sales of goods or services to one or more of our significant foreign customers;</w:t>
      </w:r>
    </w:p>
    <w:p>
      <w:pPr>
        <w:spacing w:after="0" w:line="18" w:lineRule="exact"/>
        <w:rPr>
          <w:rFonts w:ascii="Arial" w:cs="Arial" w:eastAsia="Arial" w:hAnsi="Arial"/>
          <w:sz w:val="12"/>
          <w:szCs w:val="12"/>
          <w:color w:val="auto"/>
        </w:rPr>
      </w:pPr>
    </w:p>
    <w:p>
      <w:pPr>
        <w:ind w:left="420" w:right="40" w:hanging="212"/>
        <w:spacing w:after="0" w:line="250" w:lineRule="auto"/>
        <w:tabs>
          <w:tab w:leader="none" w:pos="417" w:val="left"/>
        </w:tabs>
        <w:numPr>
          <w:ilvl w:val="0"/>
          <w:numId w:val="19"/>
        </w:numPr>
        <w:rPr>
          <w:rFonts w:ascii="Arial" w:cs="Arial" w:eastAsia="Arial" w:hAnsi="Arial"/>
          <w:sz w:val="12"/>
          <w:szCs w:val="12"/>
          <w:color w:val="auto"/>
        </w:rPr>
      </w:pPr>
      <w:r>
        <w:rPr>
          <w:rFonts w:ascii="Arial" w:cs="Arial" w:eastAsia="Arial" w:hAnsi="Arial"/>
          <w:sz w:val="12"/>
          <w:szCs w:val="12"/>
          <w:color w:val="auto"/>
        </w:rPr>
        <w:t>export and import duties, changes to import and export regulations, customs regulations and processes, and restrictions on the transfer of funds, including currency controls in China, which could negatively affect the amount and timing of payments from certain of our customers and, as a result, our cash flows;</w:t>
      </w:r>
    </w:p>
    <w:p>
      <w:pPr>
        <w:ind w:left="420" w:right="100" w:hanging="212"/>
        <w:spacing w:after="0" w:line="250" w:lineRule="auto"/>
        <w:tabs>
          <w:tab w:leader="none" w:pos="417" w:val="left"/>
        </w:tabs>
        <w:numPr>
          <w:ilvl w:val="0"/>
          <w:numId w:val="19"/>
        </w:numPr>
        <w:rPr>
          <w:rFonts w:ascii="Arial" w:cs="Arial" w:eastAsia="Arial" w:hAnsi="Arial"/>
          <w:sz w:val="12"/>
          <w:szCs w:val="12"/>
          <w:color w:val="auto"/>
        </w:rPr>
      </w:pPr>
      <w:r>
        <w:rPr>
          <w:rFonts w:ascii="Arial" w:cs="Arial" w:eastAsia="Arial" w:hAnsi="Arial"/>
          <w:sz w:val="12"/>
          <w:szCs w:val="12"/>
          <w:color w:val="auto"/>
        </w:rPr>
        <w:t>compliance with U.S. and international laws involving international operations, including the Foreign Corrupt Practices Act of 1977, as amended, sanctions and anti-corruption laws, export and import laws, and similar rules and regulations;</w:t>
      </w: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theft of intellectual property;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political and economic instability, including instability resulting from domestic and international conflicts;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government actions or civil unrest preventing the flow of products and materials, including delays in shipping and obtaining products and materials, cancellation of orders, or loss or damage of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problems with the transportation or delivery of products and materials;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issues arising from cultural or language differences and labor unrest;</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longer payment cycles and greater difficulty in collecting accounts receivable;</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compliance with trade, technical standards, and other laws in a variety of jurisdictions;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contractual and regulatory limitations on the ability to maintain flexibility with staffing levels;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disruptions to manufacturing or R&amp;D activities as a result of actions imposed by foreign governments;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economic policies of foreign governments;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difficulties in staffing and managing international operations;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public health issues.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If we or our customers, suppliers, or vendors are impacted by any of these risks, it could have a material adverse effect on our business, results of operations, or financial condition.</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39 | 2024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9" w:name="page40"/>
    <w:bookmarkEnd w:id="39"/>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Following the May 21,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Some revenue with customers headquartered outside of China has also been impacted. Further actions by the Chinese government could impact additional revenue inside or outside China, or our operations in China, or our ability to ship products to our customers, any of which could have a material adverse effect on our business, results of operations, or financial condition.</w:t>
      </w:r>
    </w:p>
    <w:p>
      <w:pPr>
        <w:spacing w:after="0" w:line="135"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Political, economic, or other actions may adversely affect our operations in Taiwan. A majority of our DRAM production output in 2023 was from our fabrication facilities in Taiwan and any loss of output could have a material adverse effect on us. Any political, economic, or other actions may also adversely affect our customers and the technology industry supply chain, for which Taiwan is a central hub, and as a result, could have a material adverse impact on us.</w:t>
      </w:r>
    </w:p>
    <w:p>
      <w:pPr>
        <w:spacing w:after="0" w:line="132" w:lineRule="exact"/>
        <w:rPr>
          <w:sz w:val="20"/>
          <w:szCs w:val="20"/>
          <w:color w:val="auto"/>
        </w:rPr>
      </w:pPr>
    </w:p>
    <w:p>
      <w:pPr>
        <w:ind w:right="80"/>
        <w:spacing w:after="0" w:line="262" w:lineRule="auto"/>
        <w:rPr>
          <w:sz w:val="20"/>
          <w:szCs w:val="20"/>
          <w:color w:val="auto"/>
        </w:rPr>
      </w:pPr>
      <w:r>
        <w:rPr>
          <w:rFonts w:ascii="Arial" w:cs="Arial" w:eastAsia="Arial" w:hAnsi="Arial"/>
          <w:sz w:val="12"/>
          <w:szCs w:val="12"/>
          <w:color w:val="auto"/>
        </w:rPr>
        <w:t>In addition, the U.S. government has in the past restricted American firms from selling products and software to certain of our customers and may in the future impose similar restrictions on one or more of our significant customers. These restrictions may not prohibit our competitors from selling similar products to our customers, which may result in our loss of sales and market share. Even as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or make such recoveries at acceptable average selling prices, while complying with such restrictions.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semiconductor memory and storage markets are highly competitive.</w:t>
      </w:r>
    </w:p>
    <w:p>
      <w:pPr>
        <w:spacing w:after="0" w:line="168" w:lineRule="exact"/>
        <w:rPr>
          <w:sz w:val="20"/>
          <w:szCs w:val="20"/>
          <w:color w:val="auto"/>
        </w:rPr>
      </w:pPr>
    </w:p>
    <w:p>
      <w:pPr>
        <w:ind w:right="240"/>
        <w:spacing w:after="0" w:line="259" w:lineRule="auto"/>
        <w:rPr>
          <w:sz w:val="20"/>
          <w:szCs w:val="20"/>
          <w:color w:val="auto"/>
        </w:rPr>
      </w:pPr>
      <w:r>
        <w:rPr>
          <w:rFonts w:ascii="Arial" w:cs="Arial" w:eastAsia="Arial" w:hAnsi="Arial"/>
          <w:sz w:val="12"/>
          <w:szCs w:val="12"/>
          <w:color w:val="auto"/>
        </w:rPr>
        <w:t>We face intense competition in the semiconductor memory and storage markets from a number of companies, including Kioxia Holdings Corporation; Samsung Electronics Co., Ltd.; SK hynix Inc.; and Western Digital Corporation. Our competitors may use aggressive pricing to obtain market share. Some of our competitors are large corporations or conglomerates that may have a larger market share and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 We operate in different jurisdictions than our competitors and may be impacted by unfavorable changes in currency exchange rates.</w:t>
      </w:r>
    </w:p>
    <w:p>
      <w:pPr>
        <w:spacing w:after="0" w:line="137"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In addition, some governments may provide, or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in companies such as Yangtze Memory Technologies Co., Ltd. (“YMTC”) and ChangXin Memory Technologies, Inc. (“CXMT”). In addition, the CAC’s decision that critical information infrastructure operators in China may not purchase Micron products had an impact on our ability to compete effectively in China and elsewhere.</w:t>
      </w:r>
    </w:p>
    <w:p>
      <w:pPr>
        <w:spacing w:after="0" w:line="135"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We and our competitors generally seek to increase supply to address growing market demands, improve yields, and reduce die size, which could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If competitors are more successful at developing or implementing new product or process technology, their products could have cost or performance advantages.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color w:val="auto"/>
        </w:rPr>
        <w:t>The competitive nature of our industry could have a material adverse effect on our business, results of operations, or financial condition.</w:t>
      </w: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0" w:name="page41"/>
    <w:bookmarkEnd w:id="40"/>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future success depends on our ability to develop and produce new and competitive memory and storage technologies and products.</w:t>
      </w:r>
    </w:p>
    <w:p>
      <w:pPr>
        <w:spacing w:after="0" w:line="168"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Our key semiconductor memory and storage technologies face technological barriers to continue to meet long-term customer needs. These barriers include potential limitations on stacking additional 3D memory layers, increasing bits per cell (i.e., cell levels), meeting higher density requirements, developing advanced packaging solutions, improving power consumption and reliability, and delivering advanced features and higher performance. We may face technological barriers to continue to shrink our products at our current or historical rate, which has generally reduced per gigabit cost. We have invested and expect to continue to invest in R&amp;D for new and existing products and process technologies, such as EUV lithography, to continue to deliver advanced product requirements. Such new technologies can add complexity and risk to our schedule and may affect our costs and production output.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We are developing new products, including system-level memory and storage products and solutions, which complement our traditional products or leverage their underlying design or process technology. We have invested and expect to continue to invest in new semiconductor product and system-level solution development. We are increasingly differentiating our products and solutions to meet the specific demands of our customers, which increases our reliance on our customers’ ability to accurately forecast the needs and preferences of their customers. As a result, our product demand forecasts may be impacted significantly by the strategic actions of our customers. In addition, our ability to successfully introduce new products often requires us to make product specification decisions multiple years in advance of when new products enter the market.</w:t>
      </w:r>
    </w:p>
    <w:p>
      <w:pPr>
        <w:spacing w:after="0" w:line="137"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It is important that we deliver products in a timely manner with increasingly advanced performance characteristics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performance, and reliability, often well in advance of a planned ramp of production, in order to secure design wins with our customers. Many factors may negatively impact our ability to meet anticipated timelines and/or expected or required quality standards with respect to the development of certain of our products. In addition, some of our components have long lead-times, requiring us to place orders up to a year in advance of anticipated demand. Such long lead-times increase the risk of excess inventory or loss of sales in the event our forecasts vary substantially from actual demand.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auto"/>
        </w:rPr>
        <w:t>There can be no assurance of the following:</w:t>
      </w:r>
    </w:p>
    <w:p>
      <w:pPr>
        <w:spacing w:after="0" w:line="168" w:lineRule="exact"/>
        <w:rPr>
          <w:sz w:val="20"/>
          <w:szCs w:val="20"/>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 will be successful in developing competitive new semiconductor memory and storage technologies and products;</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 will be able to cost-effectively manufacture new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 will be able to successfully market these technologies;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margins generated from sales of these products will allow us to recover costs of development efforts;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 will be able to establish or maintain key relationships with customers, or that we will not be prohibited from working with certain customers, for specific chip set or design requirements;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 will accurately predict and design products that meet our customers' specifications; or</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 will be able to introduce new products into the market and qualify them with our customers on a timely basis.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Unsuccessful efforts to develop new memory and storage technologies and products could have a material adverse effect on our business, results of operations, or financial condition.</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41 | 2024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1" w:name="page42"/>
    <w:bookmarkEnd w:id="41"/>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not be able to achieve expected returns from capacity expansions.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We have announced our intent to expand our production capacity and/or make capital investments in the United States and in other regions where we operate.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These expansions involve several risks including the following:</w:t>
      </w:r>
    </w:p>
    <w:p>
      <w:pPr>
        <w:spacing w:after="0" w:line="168" w:lineRule="exact"/>
        <w:rPr>
          <w:sz w:val="20"/>
          <w:szCs w:val="20"/>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capital expenditure requirements for capacity expansions during periods of relatively low free cash flow generation, resulting from challenging memory and storage industry conditions;</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availability of necessary funding, which may include external sources;</w:t>
      </w:r>
    </w:p>
    <w:p>
      <w:pPr>
        <w:spacing w:after="0" w:line="6" w:lineRule="exact"/>
        <w:rPr>
          <w:rFonts w:ascii="Arial" w:cs="Arial" w:eastAsia="Arial" w:hAnsi="Arial"/>
          <w:sz w:val="12"/>
          <w:szCs w:val="12"/>
          <w:color w:val="auto"/>
        </w:rPr>
      </w:pPr>
    </w:p>
    <w:p>
      <w:pPr>
        <w:ind w:left="420" w:right="120" w:hanging="212"/>
        <w:spacing w:after="0" w:line="250" w:lineRule="auto"/>
        <w:tabs>
          <w:tab w:leader="none" w:pos="417" w:val="left"/>
        </w:tabs>
        <w:numPr>
          <w:ilvl w:val="0"/>
          <w:numId w:val="21"/>
        </w:numPr>
        <w:rPr>
          <w:rFonts w:ascii="Arial" w:cs="Arial" w:eastAsia="Arial" w:hAnsi="Arial"/>
          <w:sz w:val="12"/>
          <w:szCs w:val="12"/>
          <w:color w:val="auto"/>
        </w:rPr>
      </w:pPr>
      <w:r>
        <w:rPr>
          <w:rFonts w:ascii="Arial" w:cs="Arial" w:eastAsia="Arial" w:hAnsi="Arial"/>
          <w:sz w:val="12"/>
          <w:szCs w:val="12"/>
          <w:color w:val="auto"/>
        </w:rPr>
        <w:t>ability to realize expected grants, investment tax credits, and other government incentives, including through the U.S. CHIPS and Science Act of 2022 (“CHIPS Act”) and other national, international, state, and local grants;</w:t>
      </w: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potential changes in laws or provisions of grants, investment tax credits, and other government incentives;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potential restrictions on expanding in certain geographies;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availability of equipment and construction materials;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ability to complete construction as scheduled and within budget;</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availability of the necessary workforce;</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ability to timely ramp production in a cost-effective manner;</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increases to our cost structure until new production is ramped to adequate scale;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sufficient customer demand to utilize our increased capacity.</w:t>
      </w:r>
    </w:p>
    <w:p>
      <w:pPr>
        <w:spacing w:after="0" w:line="156"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We invest our capital in areas that we believe best align with our business strategy and optimize future returns. Investments in capital expenditures may not generate expected returns or cash flows. Significant judgment is required to determine which capital investments will result in optimal returns, and we could invest in projects that are ultimately less profitable than those projects we do not select. Delays in completion and ramping of new production facilities, or failure to optimize our investment choices, could significantly impact our ability to realize expected returns on our capital expenditures.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Any of the above factors could have a material adverse effect on our business, results of operations, or financial condition.</w:t>
      </w:r>
    </w:p>
    <w:p>
      <w:pPr>
        <w:spacing w:after="0" w:line="168" w:lineRule="exact"/>
        <w:rPr>
          <w:sz w:val="20"/>
          <w:szCs w:val="20"/>
          <w:color w:val="auto"/>
        </w:rPr>
      </w:pPr>
    </w:p>
    <w:p>
      <w:pPr>
        <w:ind w:right="120"/>
        <w:spacing w:after="0" w:line="296" w:lineRule="auto"/>
        <w:rPr>
          <w:sz w:val="20"/>
          <w:szCs w:val="20"/>
          <w:color w:val="auto"/>
        </w:rPr>
      </w:pPr>
      <w:r>
        <w:rPr>
          <w:rFonts w:ascii="Arial" w:cs="Arial" w:eastAsia="Arial" w:hAnsi="Arial"/>
          <w:sz w:val="12"/>
          <w:szCs w:val="12"/>
          <w:b w:val="1"/>
          <w:bCs w:val="1"/>
          <w:color w:val="auto"/>
        </w:rPr>
        <w:t>Our incentives from various governments are conditional upon achieving or maintaining certain outcomes or compliance with other obligations and are subject to reduction, termination, clawback, or could impose certain limitations on our business.</w:t>
      </w:r>
    </w:p>
    <w:p>
      <w:pPr>
        <w:spacing w:after="0" w:line="110" w:lineRule="exact"/>
        <w:rPr>
          <w:sz w:val="20"/>
          <w:szCs w:val="20"/>
          <w:color w:val="auto"/>
        </w:rPr>
      </w:pPr>
    </w:p>
    <w:p>
      <w:pPr>
        <w:ind w:right="80"/>
        <w:spacing w:after="0" w:line="254" w:lineRule="auto"/>
        <w:rPr>
          <w:sz w:val="20"/>
          <w:szCs w:val="20"/>
          <w:color w:val="auto"/>
        </w:rPr>
      </w:pPr>
      <w:r>
        <w:rPr>
          <w:rFonts w:ascii="Arial" w:cs="Arial" w:eastAsia="Arial" w:hAnsi="Arial"/>
          <w:sz w:val="12"/>
          <w:szCs w:val="12"/>
          <w:color w:val="auto"/>
        </w:rPr>
        <w:t>We have received, and may in the future continue to receive, benefits and incentives from national, state, and local governments in various regions of the world designed to encourage us to establish, maintain, or increase investment, workforce, research and development, or production in those regions. These incentives may take various forms, including grants, subsidies, loans, and tax arrangements, and typically require us to achieve or maintain certain levels of investment, capital spending, employment, technology deployment or development milestones, or research and development activities to qualify for such incentives or could restrict us from undertaking certain activities. We may be unable to obtain sufficient future incentives to continue to fund a portion of our capital expenditures and operating costs, without which our cost structure may be adversely impacted and planned capital expenditures and research and development expenditures may be affected. We also cannot guarantee that we will successfully achieve and maintain outcomes or be able to comply with other obligations required to qualify for these incentives or that the granting agencies will provide or continue to provide such funding. These incentive arrangements typically provide the granting agencies with rights to audit our compliance with their terms and obligations. Such audits could result in modifications to, or termination of, the applicable incentive program. The incentives we receive could be subject to reduction, termination, or clawback, and any decrease or clawback of government incentives could have a material adverse effect on our business, results of operations, or financial condition.</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2" w:name="page43"/>
    <w:bookmarkEnd w:id="42"/>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ind w:right="380"/>
        <w:spacing w:after="0" w:line="296" w:lineRule="auto"/>
        <w:rPr>
          <w:sz w:val="20"/>
          <w:szCs w:val="20"/>
          <w:color w:val="auto"/>
        </w:rPr>
      </w:pPr>
      <w:r>
        <w:rPr>
          <w:rFonts w:ascii="Arial" w:cs="Arial" w:eastAsia="Arial" w:hAnsi="Arial"/>
          <w:sz w:val="12"/>
          <w:szCs w:val="12"/>
          <w:b w:val="1"/>
          <w:bCs w:val="1"/>
          <w:color w:val="auto"/>
        </w:rPr>
        <w:t>Our business, results of operations, or financial condition could be adversely affected by the availability and quality of materials, supplies, and capital equipment, or dependency on third-party service providers.</w:t>
      </w:r>
    </w:p>
    <w:p>
      <w:pPr>
        <w:spacing w:after="0" w:line="110" w:lineRule="exact"/>
        <w:rPr>
          <w:sz w:val="20"/>
          <w:szCs w:val="20"/>
          <w:color w:val="auto"/>
        </w:rPr>
      </w:pPr>
    </w:p>
    <w:p>
      <w:pPr>
        <w:ind w:right="120"/>
        <w:spacing w:after="0" w:line="245" w:lineRule="auto"/>
        <w:rPr>
          <w:sz w:val="20"/>
          <w:szCs w:val="20"/>
          <w:color w:val="auto"/>
        </w:rPr>
      </w:pPr>
      <w:r>
        <w:rPr>
          <w:rFonts w:ascii="Arial" w:cs="Arial" w:eastAsia="Arial" w:hAnsi="Arial"/>
          <w:sz w:val="12"/>
          <w:szCs w:val="12"/>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and we may be unable to qualify new suppliers on a timely basis. The availability of materials or components such as chemicals, silicon wafers, gases, photoresist, controllers, substrates, lead frames, printed circuit boards, targets, and reticle glass blanks is impacted by various factors. These factors could include a shortage of raw materials or a disruption in the processing or purification of those raw materials into finished goods. Shortages or increases in lead times have occurred in the past, are currently occurring with respect to some materials and components, and may occur from time to time in the future. Constraints within our supply chain for certain materials and integrated circuit components could limit our bit shipments, which could have a material adverse effect on our business, results of operations, or financial condition.</w:t>
      </w:r>
    </w:p>
    <w:p>
      <w:pPr>
        <w:spacing w:after="0" w:line="139"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logistics carriers, and other service providers, including providers of maintenance for our advanced semiconductor manufacturing equipment and providers of electricity and other utilities. Although we have certain long-term contracts with some of our suppliers, many of these contracts do not provide for long-term capacity or pricing commitments. To the extent we do not have firm commitments from our third-party suppliers over a specific time period or for any specific capacity, quantity, and/or pricing, our suppliers may allocate capacity to their other customers and capacity and/or materials may not be available when needed or at reasonable prices. Inflationary pressures have increased, and may continue to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 In addition, if any of our suppliers were to cease operations or become insolvent, this could impact their ability to provide us with necessary supplies, and we may not be able to obtain the needed supply in a timely way or at all from other providers.</w:t>
      </w:r>
    </w:p>
    <w:p>
      <w:pPr>
        <w:spacing w:after="0" w:line="141"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Certain materials are primarily available in a limited number of countries, including rare earth elements, minerals, and metals. Trade disputes, geopolitical tensions, economic circumstances, political conditions, or public health issues may limit our ability to obtain such materials. Although these rare earth and other materials are generally available from multiple suppliers, China is the predominant producer of certain of these materials. If China were to restrict or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and storage manufacturers who are able to obtain sufficient quantities of these materials from China.</w:t>
      </w:r>
    </w:p>
    <w:p>
      <w:pPr>
        <w:spacing w:after="0" w:line="137"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We and/or our suppliers and service providers could be affected by regional conflicts, civil unrest, labor disruptions, sanctions, tariffs, embargoes, or other trade restrictions, as well as laws and regulations enacted in response to concerns regarding climate change, conflict minerals, responsible sourcing practices, public health crises,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43 | 2024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3" w:name="page44"/>
    <w:bookmarkEnd w:id="43"/>
    <w:p>
      <w:pPr>
        <w:ind w:left="10400"/>
        <w:spacing w:after="0"/>
        <w:rPr>
          <w:sz w:val="20"/>
          <w:szCs w:val="20"/>
          <w:color w:val="auto"/>
        </w:rPr>
      </w:pPr>
      <w:r>
        <w:rPr>
          <w:rFonts w:ascii="Arial" w:cs="Arial" w:eastAsia="Arial" w:hAnsi="Arial"/>
          <w:sz w:val="10"/>
          <w:szCs w:val="10"/>
          <w:b w:val="1"/>
          <w:bCs w:val="1"/>
          <w:u w:val="single" w:color="auto"/>
          <w:color w:val="BD03F7"/>
        </w:rPr>
        <w:t>Table of Contents</w:t>
      </w:r>
    </w:p>
    <w:p>
      <w:pPr>
        <w:spacing w:after="0" w:line="200" w:lineRule="exact"/>
        <w:rPr>
          <w:sz w:val="20"/>
          <w:szCs w:val="20"/>
          <w:color w:val="auto"/>
        </w:rPr>
      </w:pPr>
    </w:p>
    <w:p>
      <w:pPr>
        <w:spacing w:after="0" w:line="221"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and could increase our overall costs of a ramp. Our inability to obtain advanced semiconductor manufacturing equipment in a timely manner could have a material adverse effect on our business, results of operations, or financial condition.</w:t>
      </w:r>
    </w:p>
    <w:p>
      <w:pPr>
        <w:spacing w:after="0" w:line="137"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Our construction projects to expand production and R&amp;D capacity are highly dependent on available sources of labor, materials, equipment, and services. Increasing demand, supply constraints, inflation, and other market conditions could result in increasing shortages and higher costs for these items. Difficulties in obtaining these resources could result in significant delays in completion of our construction projects and cost increases, which could have a material adverse effect on our business, results of operations, or financial condition.</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w:t>
      </w:r>
    </w:p>
    <w:p>
      <w:pPr>
        <w:spacing w:after="0" w:line="132" w:lineRule="exact"/>
        <w:rPr>
          <w:sz w:val="20"/>
          <w:szCs w:val="20"/>
          <w:color w:val="auto"/>
        </w:rPr>
      </w:pPr>
    </w:p>
    <w:p>
      <w:pPr>
        <w:ind w:right="220"/>
        <w:spacing w:after="0" w:line="270" w:lineRule="auto"/>
        <w:rPr>
          <w:sz w:val="20"/>
          <w:szCs w:val="20"/>
          <w:color w:val="auto"/>
        </w:rPr>
      </w:pPr>
      <w:r>
        <w:rPr>
          <w:rFonts w:ascii="Arial" w:cs="Arial" w:eastAsia="Arial" w:hAnsi="Arial"/>
          <w:sz w:val="12"/>
          <w:szCs w:val="12"/>
          <w:color w:val="auto"/>
        </w:rPr>
        <w:t>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Downturns in regional or worldwide economies may harm our business.</w:t>
      </w:r>
    </w:p>
    <w:p>
      <w:pPr>
        <w:spacing w:after="0" w:line="168"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Downturns in regional or worldwide economies, due to inflation, geopolitics, major central bank policy actions including interest rate increases, public health crises, or other factors, have harmed our business in the past and current and future downturns could also adversely affect our business. Adverse economic conditions affect demand for devices that incorporate our products, such as personal computers, smartphones, automobiles, and servers. Reduced demand for these or other products could result in significant decreases in our average selling prices and product sales. In addition, to the extent our customers or distributors have elevated inventory levels or are impacted by a deterioration in credit markets, we may experience a decrease in short-term and/or long-term demand resulting in industry oversupply and declines in pricing for our products.</w:t>
      </w:r>
    </w:p>
    <w:p>
      <w:pPr>
        <w:spacing w:after="0" w:line="137"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A deterioration of conditions in regional or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 due to credit defaults. As a result, downturns in regional or worldwide economies could have a material adverse effect on our business, results of operations, or financial condition.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If our manufacturing process is disrupted by operational issues, natural disasters, or other events, our business, results of operations, or financial condition could be materially adversely affected.</w:t>
      </w:r>
    </w:p>
    <w:p>
      <w:pPr>
        <w:spacing w:after="0" w:line="168"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and China. As a result of the necessary interdependence within our network of manufacturing facilities, an operational disruption at one of our or a subcontractor’s facilities may have a disproportionate impact on our ability to produce many of our products.</w:t>
      </w:r>
    </w:p>
    <w:p>
      <w:pPr>
        <w:spacing w:after="0" w:line="200" w:lineRule="exact"/>
        <w:rPr>
          <w:sz w:val="20"/>
          <w:szCs w:val="20"/>
          <w:color w:val="auto"/>
        </w:rPr>
      </w:pPr>
    </w:p>
    <w:p>
      <w:pPr>
        <w:spacing w:after="0" w:line="238" w:lineRule="exact"/>
        <w:rPr>
          <w:sz w:val="20"/>
          <w:szCs w:val="20"/>
          <w:color w:val="auto"/>
        </w:rPr>
      </w:pPr>
    </w:p>
    <w:p>
      <w:pPr>
        <w:ind w:left="10440"/>
        <w:spacing w:after="0"/>
        <w:rPr>
          <w:sz w:val="20"/>
          <w:szCs w:val="20"/>
          <w:color w:val="auto"/>
        </w:rPr>
      </w:pPr>
      <w:r>
        <w:rPr>
          <w:sz w:val="1"/>
          <w:szCs w:val="1"/>
          <w:color w:val="auto"/>
        </w:rPr>
        <w:drawing>
          <wp:inline distT="0" distB="0" distL="0" distR="0">
            <wp:extent cx="440055" cy="12001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9"/>
          <w:szCs w:val="9"/>
          <w:b w:val="1"/>
          <w:bCs w:val="1"/>
          <w:color w:val="auto"/>
        </w:rPr>
        <w:t xml:space="preserv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60960</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4" w:name="page45"/>
    <w:bookmarkEnd w:id="44"/>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ind w:right="100"/>
        <w:spacing w:after="0" w:line="256" w:lineRule="auto"/>
        <w:rPr>
          <w:sz w:val="20"/>
          <w:szCs w:val="20"/>
          <w:color w:val="auto"/>
        </w:rPr>
      </w:pPr>
      <w:r>
        <w:rPr>
          <w:rFonts w:ascii="Arial" w:cs="Arial" w:eastAsia="Arial" w:hAnsi="Arial"/>
          <w:sz w:val="12"/>
          <w:szCs w:val="12"/>
          <w:color w:val="auto"/>
        </w:rPr>
        <w:t>From time to time, there have been disruptions in our manufacturing operations as a result of power outages, improperly functioning equipment, disruptions in supply of raw materials or components, or equipment failures. We have manufacturing and other operations in locations subject to natural occurrences and possible climate changes, such as severe and variable weather and geological events resulting in increased costs, or disruptions to our manufacturing operations or those of our suppliers or customers. In addition, climate change may pose physical risks to our manufacturing facilities or our suppliers’ facilities, including increased extreme weather events that could result in supply delays or disruptions. Other events, including political or public health crises, such as an outbreak of contagious diseases, may also affect our production capabilities or that of our suppliers, including as a result of quarantines, closures of production facilities, lack of supplies, or delays caused by restrictions on travel or shipping. Events of the types noted above have occurred from time to time and may occur in the future. As a result, in addition to disruptions to operations, our insurance premiums may increase or we may not be able to fully recover any sustained losses through insurance.</w:t>
      </w:r>
    </w:p>
    <w:p>
      <w:pPr>
        <w:spacing w:after="0" w:line="140" w:lineRule="exact"/>
        <w:rPr>
          <w:sz w:val="20"/>
          <w:szCs w:val="20"/>
          <w:color w:val="auto"/>
        </w:rPr>
      </w:pPr>
    </w:p>
    <w:p>
      <w:pPr>
        <w:ind w:right="280"/>
        <w:spacing w:after="0" w:line="268" w:lineRule="auto"/>
        <w:rPr>
          <w:sz w:val="20"/>
          <w:szCs w:val="20"/>
          <w:color w:val="auto"/>
        </w:rPr>
      </w:pPr>
      <w:r>
        <w:rPr>
          <w:rFonts w:ascii="Arial" w:cs="Arial" w:eastAsia="Arial" w:hAnsi="Arial"/>
          <w:sz w:val="12"/>
          <w:szCs w:val="12"/>
          <w:color w:val="auto"/>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 significant portion of our revenue is concentrated with a select number of customers.</w:t>
      </w:r>
    </w:p>
    <w:p>
      <w:pPr>
        <w:spacing w:after="0" w:line="168"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Approximately one-half of our total revenue comes from our top ten customers. A disruption in our relationship with any of these customers could adversely affect our business. We could experience fluctuations in our customer base or the mix of revenue by customer as markets and strategies evolve. Our customers’ demand for our products may fluctuate due to factors beyond our control. In addition, any consolidation of our customers could reduce the number of customers to whom our products may be sold. Our inability to meet our customers’ requirements or to qualify our products with them could adversely impact our revenue. A meaningful change in the inventory strategy of our customers could impact our industry bit demand growth outlook. The loss of, or restrictions on our ability to sell to, one or more of our major customers, or any significant reduction in orders from, or a shift in product mix by, customers could have a material adverse effect on our business, results of operations, or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Increases in sales of system solutions may increase our dependency upon specific customers and our costs to develop, qualify, and manufacture our system solutions.</w:t>
      </w:r>
    </w:p>
    <w:p>
      <w:pPr>
        <w:spacing w:after="0" w:line="168" w:lineRule="exact"/>
        <w:rPr>
          <w:sz w:val="20"/>
          <w:szCs w:val="20"/>
          <w:color w:val="auto"/>
        </w:rPr>
      </w:pPr>
    </w:p>
    <w:p>
      <w:pPr>
        <w:ind w:right="80"/>
        <w:spacing w:after="0" w:line="257" w:lineRule="auto"/>
        <w:rPr>
          <w:sz w:val="20"/>
          <w:szCs w:val="20"/>
          <w:color w:val="auto"/>
        </w:rPr>
      </w:pPr>
      <w:r>
        <w:rPr>
          <w:rFonts w:ascii="Arial" w:cs="Arial" w:eastAsia="Arial" w:hAnsi="Arial"/>
          <w:sz w:val="12"/>
          <w:szCs w:val="12"/>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at sufficient volumes and prices in a timely manner.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Manufacturing system-level solutions, such as SSDs, managed NAND, and HBM, typically results in higher per-unit manufacturing costs as compared to other products. Even if we are successful in selling system-level solutions to our customers in sufficient volume, we may be unable to generate sufficient profit if our per-unit manufacturing costs are not offset by higher per-unit selling prices. Manufacturing system-level solutions to customer specifications requires a longer development cycle, as compared to discrete products, to design, test, and qualify, which may increase our costs. Some of our system solutions are increasingly dependent on sophisticated firmware that may require significant customization to meet customer specifications, which increases our costs and time to market. Additionally, we may need to update our controller and hardware design as well as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controller, hardware design, and firmware in a timely manner may result in reduced demand for our system-level products and could have a material adverse effect on our business, results of operations, or financial condition.</w:t>
      </w:r>
    </w:p>
    <w:p>
      <w:pPr>
        <w:spacing w:after="0" w:line="39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45 | 2024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5" w:name="page46"/>
    <w:bookmarkEnd w:id="45"/>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Products that fail to meet specifications, are defective, or are otherwise incompatible with end uses could impose significant costs on us.</w:t>
      </w:r>
    </w:p>
    <w:p>
      <w:pPr>
        <w:spacing w:after="0" w:line="168"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In addition, if our products and solutions perform critical functions in our customers’ products or are used in high-risk consumer end products, such as autonomous driver assistance programs, home and enterprise security, smoke and noxious gas detectors, medical monitoring equipment, or wearables for child and elderly safety, our potential liability may increase. We could be adversely affected in several ways, including the following:</w:t>
      </w:r>
    </w:p>
    <w:p>
      <w:pPr>
        <w:spacing w:after="0" w:line="140" w:lineRule="exact"/>
        <w:rPr>
          <w:sz w:val="20"/>
          <w:szCs w:val="20"/>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we may be required or agree to compensate customers for costs incurred or damages caused by defective or incompatible products and to replace products;</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we could incur a decrease in revenue or adjustment to pricing commensurate with the reimbursement of such costs or alleged damages;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we may encounter adverse publicity, which could cause a decrease in sales of our products or harm our reputation or relationships with existing or potential customers.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Any of the foregoing items could have a material adverse effect on our business, results of operations, or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Breaches of our security systems or products, or those of our customers, suppliers, or business partners, could expose us to losses.</w:t>
      </w:r>
    </w:p>
    <w:p>
      <w:pPr>
        <w:spacing w:after="0" w:line="168" w:lineRule="exact"/>
        <w:rPr>
          <w:sz w:val="20"/>
          <w:szCs w:val="20"/>
          <w:color w:val="auto"/>
        </w:rPr>
      </w:pPr>
    </w:p>
    <w:p>
      <w:pPr>
        <w:ind w:right="20"/>
        <w:spacing w:after="0" w:line="253" w:lineRule="auto"/>
        <w:rPr>
          <w:sz w:val="20"/>
          <w:szCs w:val="20"/>
          <w:color w:val="auto"/>
        </w:rPr>
      </w:pPr>
      <w:r>
        <w:rPr>
          <w:rFonts w:ascii="Arial" w:cs="Arial" w:eastAsia="Arial" w:hAnsi="Arial"/>
          <w:sz w:val="12"/>
          <w:szCs w:val="12"/>
          <w:color w:val="auto"/>
        </w:rPr>
        <w:t>We maintain a system of controls over the physical security of our facilities. We also manage and store various proprietary information and sensitive or confidential data relating to our operations. In addition, we process, store, and transmit large amounts of data relating to our customers and employees, including sensitive personal information. Unauthorized persons, employees, former employees, nation states, or other parties may gain access to our facilities or technology infrastructure and systems through fraudulent means to steal trade secrets or other proprietary information, compromise confidential information, create system disruptions, or cause shutdowns. This risk is exacerbated as competitors for talent, particularly engineering talent, attempt to hire our employees. Through cyberattacks on technology infrastructure and systems, unauthorized parties may obtain access to computer systems, networks, and data, including cloud-based platforms. The technology infrastructure and systems of our suppliers, vendors, service providers, cloud solution providers, and partners have in the past experienced, and may in the future experience, such attacks, which could impact our operations. Cyberattacks can include ransomware, computer denial-of-service attacks, worms, supply chain attacks, social engineering, open source vulnerabilities, and other malicious software programs or other attacks, including those using techniques that change frequently or may be disguised or difficult to detect, or designed to remain dormant until a triggering event, impersonation of authorized users, and efforts to discover and exploit any design flaws, “bugs,” security vulnerabilities, as well as intentional or unintentional acts by employees or other insiders with access privileges. Additionally, some actors are using artificial intelligence technology to launch more automated, targeted, and coordinated attacks. Globally, cyberattacks are increasing in number and the attackers are increasingly organized and well-financed, or supported by state actors, and are developing increasingly sophisticated systems to not only attack, but also to evade detection. In addition, geopolitical tensions or conflicts may create a heightened risk of cyberattacks. Breaches of our physical security, attacks on our technology infrastructure and systems, or breaches or attacks on our customers, suppliers, or business partners who have confidential or sensitive information regarding us and our customers and suppliers, could result in significant losses and damage our reputation with customers and suppliers and may expose us to litigation if the confidential information of our customers, suppliers, or employees is compromised.</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6" w:name="page47"/>
    <w:bookmarkEnd w:id="46"/>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Our products are also targets for cyberattacks, including those products utilized in cloud-based environments. While some of our products contain encryption or security algorithms designed to protect third-party content or user-generated data stored on our products, these products could still be hacked or the encryption schemes could be compromised, breached, or circumvented by motivated and sophisticated attackers. Further, our products contain sophisticated hardware and firmware and applications that may contain security vulnerabilities or defects in design or manufacture, including “bugs” and other problems that could interfere with the intended operation of our products. To the extent our products are hacked, or the encryption schemes are compromised or breached, this could harm our business by requiring us to employ additional resources to fix the errors or defects, exposing us to litigation, claims, and harm to our reputation.</w:t>
      </w:r>
    </w:p>
    <w:p>
      <w:pPr>
        <w:spacing w:after="0" w:line="137" w:lineRule="exact"/>
        <w:rPr>
          <w:sz w:val="20"/>
          <w:szCs w:val="20"/>
          <w:color w:val="auto"/>
        </w:rPr>
      </w:pPr>
    </w:p>
    <w:p>
      <w:pPr>
        <w:ind w:right="100"/>
        <w:spacing w:after="0" w:line="260" w:lineRule="auto"/>
        <w:rPr>
          <w:sz w:val="20"/>
          <w:szCs w:val="20"/>
          <w:color w:val="auto"/>
        </w:rPr>
      </w:pPr>
      <w:r>
        <w:rPr>
          <w:rFonts w:ascii="Arial" w:cs="Arial" w:eastAsia="Arial" w:hAnsi="Arial"/>
          <w:sz w:val="12"/>
          <w:szCs w:val="12"/>
          <w:color w:val="auto"/>
        </w:rPr>
        <w:t>Additionally, we cannot be certain that any applicable insurance coverage we maintain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 foregoing security risks could have a material adverse effect on our business, results of operations, or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must attract, retain, and motivate highly skilled employees.</w:t>
      </w:r>
    </w:p>
    <w:p>
      <w:pPr>
        <w:spacing w:after="0" w:line="168" w:lineRule="exact"/>
        <w:rPr>
          <w:sz w:val="20"/>
          <w:szCs w:val="20"/>
          <w:color w:val="auto"/>
        </w:rPr>
      </w:pPr>
    </w:p>
    <w:p>
      <w:pPr>
        <w:jc w:val="both"/>
        <w:ind w:right="20"/>
        <w:spacing w:after="0" w:line="268" w:lineRule="auto"/>
        <w:rPr>
          <w:sz w:val="20"/>
          <w:szCs w:val="20"/>
          <w:color w:val="auto"/>
        </w:rPr>
      </w:pPr>
      <w:r>
        <w:rPr>
          <w:rFonts w:ascii="Arial" w:cs="Arial" w:eastAsia="Arial" w:hAnsi="Arial"/>
          <w:sz w:val="12"/>
          <w:szCs w:val="12"/>
          <w:color w:val="auto"/>
        </w:rPr>
        <w:t>To remain competitive, we must attract, retain, and motivate executives and a highly skilled, diverse workforce, as well as effectively manage succession for key roles. Competition for experienced employees in our industry can be intense. Hiring and retaining qualified executives and other skilled talent is critical to our business. If our total compensation programs, employment benefits, and workplace culture are not viewed as competitive and inclusive, our ability to attract, retain, and motivate employees could be compromised.</w:t>
      </w:r>
    </w:p>
    <w:p>
      <w:pPr>
        <w:spacing w:after="0" w:line="132"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At times, we experience higher levels of attrition, increasing compensation costs, and more intense competition for talent across our industry. To the extent we experience significant attrition and are unable to timely replace employees, we could experience a loss of critical skills and reduced employee morale, potentially resulting in business disruptions or increased expenses to address any disruptions. Additionally, changes to immigration policies in the countries in which we operate, as well as restrictions on travel due to public health crises or other causes, may limit our ability to hire and/or retain talent in, or transfer talent to, specific locations.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Our inability to attract, retain, and motivate executives and other employees or effectively manage succession of key roles may inhibit our ability to maintain or expand our business operations.</w:t>
      </w:r>
    </w:p>
    <w:p>
      <w:pPr>
        <w:spacing w:after="0" w:line="168" w:lineRule="exact"/>
        <w:rPr>
          <w:sz w:val="20"/>
          <w:szCs w:val="20"/>
          <w:color w:val="auto"/>
        </w:rPr>
      </w:pPr>
    </w:p>
    <w:p>
      <w:pPr>
        <w:ind w:right="360"/>
        <w:spacing w:after="0" w:line="296" w:lineRule="auto"/>
        <w:rPr>
          <w:sz w:val="20"/>
          <w:szCs w:val="20"/>
          <w:color w:val="auto"/>
        </w:rPr>
      </w:pPr>
      <w:r>
        <w:rPr>
          <w:rFonts w:ascii="Arial" w:cs="Arial" w:eastAsia="Arial" w:hAnsi="Arial"/>
          <w:sz w:val="12"/>
          <w:szCs w:val="12"/>
          <w:b w:val="1"/>
          <w:bCs w:val="1"/>
          <w:color w:val="auto"/>
        </w:rPr>
        <w:t>Compliance with responsible sourcing requirements and any related regulations could increase our operating costs, or limit the supply and increase the cost of certain materials, supplies, and services, and if we fail to comply, customers may reduce purchases from us or disqualify us as a supplier.</w:t>
      </w:r>
    </w:p>
    <w:p>
      <w:pPr>
        <w:spacing w:after="0" w:line="110" w:lineRule="exact"/>
        <w:rPr>
          <w:sz w:val="20"/>
          <w:szCs w:val="20"/>
          <w:color w:val="auto"/>
        </w:rPr>
      </w:pPr>
    </w:p>
    <w:p>
      <w:pPr>
        <w:ind w:right="20"/>
        <w:spacing w:after="0" w:line="254" w:lineRule="auto"/>
        <w:rPr>
          <w:sz w:val="20"/>
          <w:szCs w:val="20"/>
          <w:color w:val="auto"/>
        </w:rPr>
      </w:pPr>
      <w:r>
        <w:rPr>
          <w:rFonts w:ascii="Arial" w:cs="Arial" w:eastAsia="Arial" w:hAnsi="Arial"/>
          <w:sz w:val="12"/>
          <w:szCs w:val="12"/>
          <w:color w:val="auto"/>
        </w:rPr>
        <w:t>We and many of our customers have adopted responsible sourcing programs that require us to meet certain environmental, social, and governance criteria, and to periodically report on our performance against these requirements, including that we source the materials, supplies, and services we use and incorporate into the products we sell as prescribed by these programs. Many customer programs require us to remove a supplier within a prescribed period if such supplier ceases to comply with prescribed criteria, and our supply chain may at any time contain suppliers at risk of being removed due to non-compliance with responsible sourcing requirements. Some of our customers may elect to disqualify us as a supplier (resulting in a permanent or temporary loss of sales to such customer) or reduce purchases from us if we are unable to verify that our performance or products (including the underlying supply chain) meet the specifications of our customers’ responsible sourcing programs on a continuous basis. Meeting responsible sourcing requirements may increase operating requirements and costs or limit the sourcing and availability of some of the materials, supplies, and services we use, particularly when the availability of such materials, supplies, and services is concentrated to a limited number of suppliers. From time to time, we remove suppliers or require our suppliers to remove suppliers from their supply chains based on our responsible sourcing requirements or customer requirements, and we or our suppliers may be unable to replace such removed suppliers in a timely or cost-effective manner. Any inability to replace removed suppliers in a timely or cost effective manner may affect our ability and/or the cost to obtain sufficient quantities of materials, supplies, and services necessary for the manufacture of our products. Our inability to replace suppliers we have removed in a timely or cost-effective manner or comply with customers’ responsible sourcing requirements or with any related regulations could have a material adverse effect on our business, results of operations, or financial condition.</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47 | 2024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7" w:name="page48"/>
    <w:bookmarkEnd w:id="47"/>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ind w:right="60"/>
        <w:spacing w:after="0" w:line="296" w:lineRule="auto"/>
        <w:rPr>
          <w:sz w:val="20"/>
          <w:szCs w:val="20"/>
          <w:color w:val="auto"/>
        </w:rPr>
      </w:pPr>
      <w:r>
        <w:rPr>
          <w:rFonts w:ascii="Arial" w:cs="Arial" w:eastAsia="Arial" w:hAnsi="Arial"/>
          <w:sz w:val="12"/>
          <w:szCs w:val="12"/>
          <w:b w:val="1"/>
          <w:bCs w:val="1"/>
          <w:color w:val="auto"/>
        </w:rPr>
        <w:t>Failure to meet environmental, social, and governance expectations or standards or achieve our related goals could adversely affect our business, results of operations, financial condition, or stock price.</w:t>
      </w:r>
    </w:p>
    <w:p>
      <w:pPr>
        <w:spacing w:after="0" w:line="110"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In recent years, there has been an increased focus from stakeholders on environmental, social, and governance matters, including greenhouse gas emissions and climate-related risks, sustainability, renewable energy, water stewardship, waste management, diversity, equality and inclusion, responsible sourcing and supply chain, human rights, and social responsibility. Given our commitment to social and environmental issues as it relates to our business, we actively manage these issues and have established and publicly announced certain goals, commitments, and targets which we may refine or even expand further in the future. These goals, commitments, and targets reflect our current plans and aspirations and are not guarantees that we will be able to achieve them. Achieving these goals may entail significant costs, for example we have entered into several virtual power purchase agreements to obtain renewable energy credits at a cost that will vary based on future prices for electrical power. Evolving stakeholder expectations and our efforts to manage these issues, report on them, and accomplish our goals present numerous operational, regulatory, reputational, financial, legal, and other risks, any of which could have a material adverse impact, including on our reputation and stock price.</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Such risks and uncertainties include:</w:t>
      </w:r>
    </w:p>
    <w:p>
      <w:pPr>
        <w:spacing w:after="0" w:line="168" w:lineRule="exact"/>
        <w:rPr>
          <w:sz w:val="20"/>
          <w:szCs w:val="20"/>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reputational harm, including damage to our relationships with customers, suppliers, investors, governments, or other stakeholders;</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adverse impacts on our ability to manufacture and sell products and maintain our market share;</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success of our collaborations with third parties;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increased risk of litigation, investigations, or regulatory enforcement action;</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unfavorable environmental, social, and governance ratings or investor sentiment;</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diversion of resources and increased costs to control, assess, and report on environmental, social, and governance metrics;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ability to achieve our goals, commitments, and targets within timeframes announced;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increased costs to achieve our goals, commitments, and targets;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unforeseen operational and technological difficulties;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access to and increased cost of capital;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adverse impacts on our stock price.</w:t>
      </w:r>
    </w:p>
    <w:p>
      <w:pPr>
        <w:spacing w:after="0" w:line="156" w:lineRule="exact"/>
        <w:rPr>
          <w:sz w:val="20"/>
          <w:szCs w:val="20"/>
          <w:color w:val="auto"/>
        </w:rPr>
      </w:pPr>
    </w:p>
    <w:p>
      <w:pPr>
        <w:ind w:right="220"/>
        <w:spacing w:after="0" w:line="286" w:lineRule="auto"/>
        <w:rPr>
          <w:sz w:val="20"/>
          <w:szCs w:val="20"/>
          <w:color w:val="auto"/>
        </w:rPr>
      </w:pPr>
      <w:r>
        <w:rPr>
          <w:rFonts w:ascii="Arial" w:cs="Arial" w:eastAsia="Arial" w:hAnsi="Arial"/>
          <w:sz w:val="12"/>
          <w:szCs w:val="12"/>
          <w:color w:val="auto"/>
        </w:rPr>
        <w:t>Any failure, or perceived failure, to meet evolving stakeholder expectations and industry standards or achieve our environmental, social, and governance goals, commitments, and targets could have an adverse effect on our business, results of operations, financial condition, or stock price.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Acquisitions and/or alliances involve numerous risks.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Acquisitions and the formation or operation of alliances, such as joint ventures and other partnering arrangements, involve numerous risks, including the following:</w:t>
      </w:r>
    </w:p>
    <w:p>
      <w:pPr>
        <w:spacing w:after="0" w:line="168" w:lineRule="exact"/>
        <w:rPr>
          <w:sz w:val="20"/>
          <w:szCs w:val="20"/>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integrating the operations, technologies, and products of acquired or newly formed entities into our operations;</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increasing capital expenditures to upgrade and maintain facilities;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increased debt levels;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assumption of unknown or underestimated liabilities;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use of cash to finance a transaction, which may reduce the availability of cash to fund working capital, capital expenditures, R&amp;D expenditures, and other business activities;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diverting management’s attention from daily operations;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managing larger or more complex operations and facilities and employees in separate and diverse geographic areas;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hiring and retaining key employees;</w:t>
      </w:r>
    </w:p>
    <w:p>
      <w:pPr>
        <w:spacing w:after="0" w:line="6" w:lineRule="exact"/>
        <w:rPr>
          <w:rFonts w:ascii="Arial" w:cs="Arial" w:eastAsia="Arial" w:hAnsi="Arial"/>
          <w:sz w:val="12"/>
          <w:szCs w:val="12"/>
          <w:color w:val="auto"/>
        </w:rPr>
      </w:pPr>
    </w:p>
    <w:p>
      <w:pPr>
        <w:ind w:left="420" w:right="60" w:hanging="212"/>
        <w:spacing w:after="0" w:line="250" w:lineRule="auto"/>
        <w:tabs>
          <w:tab w:leader="none" w:pos="417" w:val="left"/>
        </w:tabs>
        <w:numPr>
          <w:ilvl w:val="0"/>
          <w:numId w:val="24"/>
        </w:numPr>
        <w:rPr>
          <w:rFonts w:ascii="Arial" w:cs="Arial" w:eastAsia="Arial" w:hAnsi="Arial"/>
          <w:sz w:val="12"/>
          <w:szCs w:val="12"/>
          <w:color w:val="auto"/>
        </w:rPr>
      </w:pPr>
      <w:r>
        <w:rPr>
          <w:rFonts w:ascii="Arial" w:cs="Arial" w:eastAsia="Arial" w:hAnsi="Arial"/>
          <w:sz w:val="12"/>
          <w:szCs w:val="12"/>
          <w:color w:val="auto"/>
        </w:rPr>
        <w:t>requirements imposed by government authorities in connection with the regulatory review of a transaction, which may include, among other things, divestitures or restrictions on the conduct of our business or the acquired business;</w:t>
      </w: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underestimating the costs or overestimating the benefits, including product, revenue, cost and other synergies and growth opportunities that we expect to realize, and we may not achieve those benefits;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failure to maintain customer, vendor, and other relationships;</w:t>
      </w:r>
    </w:p>
    <w:p>
      <w:pPr>
        <w:spacing w:after="0" w:line="295"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8" w:name="page49"/>
    <w:bookmarkEnd w:id="48"/>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ind w:left="420" w:right="380" w:hanging="212"/>
        <w:spacing w:after="0" w:line="260" w:lineRule="auto"/>
        <w:tabs>
          <w:tab w:leader="none" w:pos="417"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spacing w:after="0" w:line="1" w:lineRule="exact"/>
        <w:rPr>
          <w:rFonts w:ascii="Arial" w:cs="Arial" w:eastAsia="Arial" w:hAnsi="Arial"/>
          <w:sz w:val="12"/>
          <w:szCs w:val="12"/>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impairment of acquired intangible assets, goodwill, or other assets as a result of changing business conditions or technological advancements.</w:t>
      </w:r>
    </w:p>
    <w:p>
      <w:pPr>
        <w:spacing w:after="0" w:line="156"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Acquisitions of, or alliances with, technology companies are inherently risky and may not be successful and could have a material adverse effect on our business, results of operations, or financial condition.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have incurred restructure charges and may incur restructure charges in future periods and may not realize expected savings or other benefits from restructure plans.</w:t>
      </w:r>
    </w:p>
    <w:p>
      <w:pPr>
        <w:spacing w:after="0" w:line="168" w:lineRule="exact"/>
        <w:rPr>
          <w:sz w:val="20"/>
          <w:szCs w:val="20"/>
          <w:color w:val="auto"/>
        </w:rPr>
      </w:pPr>
    </w:p>
    <w:p>
      <w:pPr>
        <w:ind w:right="180"/>
        <w:spacing w:after="0" w:line="268" w:lineRule="auto"/>
        <w:rPr>
          <w:sz w:val="20"/>
          <w:szCs w:val="20"/>
          <w:color w:val="auto"/>
        </w:rPr>
      </w:pPr>
      <w:r>
        <w:rPr>
          <w:rFonts w:ascii="Arial" w:cs="Arial" w:eastAsia="Arial" w:hAnsi="Arial"/>
          <w:sz w:val="12"/>
          <w:szCs w:val="12"/>
          <w:color w:val="auto"/>
        </w:rPr>
        <w:t>In 2023, we initiated a restructure plan in response to challenging industry conditions (the “2023 Restructure Plan”). Under the 2023 Restructure Plan, we reduced our headcount by approximately 15% through a combination of voluntary attrition and personnel reductions. The 2023 Restructure Plan was substantially completed in 2023. In addition, we may in the future enter into other restructure initiatives in order to, among other items, streamline our operations, respond to changes in business conditions, our markets, or product offerings, or to centralize certain key functions.</w:t>
      </w:r>
    </w:p>
    <w:p>
      <w:pPr>
        <w:spacing w:after="0" w:line="132" w:lineRule="exact"/>
        <w:rPr>
          <w:sz w:val="20"/>
          <w:szCs w:val="20"/>
          <w:color w:val="auto"/>
        </w:rPr>
      </w:pPr>
    </w:p>
    <w:p>
      <w:pPr>
        <w:jc w:val="both"/>
        <w:ind w:right="140"/>
        <w:spacing w:after="0" w:line="268" w:lineRule="auto"/>
        <w:rPr>
          <w:sz w:val="20"/>
          <w:szCs w:val="20"/>
          <w:color w:val="auto"/>
        </w:rPr>
      </w:pPr>
      <w:r>
        <w:rPr>
          <w:rFonts w:ascii="Arial" w:cs="Arial" w:eastAsia="Arial" w:hAnsi="Arial"/>
          <w:sz w:val="12"/>
          <w:szCs w:val="12"/>
          <w:color w:val="auto"/>
        </w:rPr>
        <w:t>We may not realize expected savings or other benefits from our 2023 Restructure Plan or future restructure activities and may incur additional restructure charges or other losses in future periods associated with other initiatives. 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Risks Related to Intellectual Property and Litigation</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be unable to protect our intellectual property or retain key employees who are knowledgeable of and develop our intellectual property.</w:t>
      </w:r>
    </w:p>
    <w:p>
      <w:pPr>
        <w:spacing w:after="0" w:line="168"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w:t>
      </w:r>
    </w:p>
    <w:p>
      <w:pPr>
        <w:spacing w:after="0" w:line="135" w:lineRule="exact"/>
        <w:rPr>
          <w:sz w:val="20"/>
          <w:szCs w:val="20"/>
          <w:color w:val="auto"/>
        </w:rPr>
      </w:pPr>
    </w:p>
    <w:p>
      <w:pPr>
        <w:jc w:val="both"/>
        <w:ind w:right="220"/>
        <w:spacing w:after="0" w:line="268" w:lineRule="auto"/>
        <w:rPr>
          <w:sz w:val="20"/>
          <w:szCs w:val="20"/>
          <w:color w:val="auto"/>
        </w:rPr>
      </w:pPr>
      <w:r>
        <w:rPr>
          <w:rFonts w:ascii="Arial" w:cs="Arial" w:eastAsia="Arial" w:hAnsi="Arial"/>
          <w:sz w:val="12"/>
          <w:szCs w:val="12"/>
          <w:color w:val="auto"/>
        </w:rPr>
        <w:t>Additionally, our ability to maintain and develop intellectual property is dependent upon our ability to attract, develop, and retain highly skilled employees. If our competitors or future entrants into our industry are successful in hiring our employees, they may directly benefit from the knowledge these employees gained while they were under our employment, and this may also negatively impact our ability to maintain and develop intellectual property.</w:t>
      </w:r>
    </w:p>
    <w:p>
      <w:pPr>
        <w:spacing w:after="0" w:line="132" w:lineRule="exact"/>
        <w:rPr>
          <w:sz w:val="20"/>
          <w:szCs w:val="20"/>
          <w:color w:val="auto"/>
        </w:rPr>
      </w:pPr>
    </w:p>
    <w:p>
      <w:pPr>
        <w:ind w:right="140"/>
        <w:spacing w:after="0" w:line="286" w:lineRule="auto"/>
        <w:rPr>
          <w:sz w:val="20"/>
          <w:szCs w:val="20"/>
          <w:color w:val="auto"/>
        </w:rPr>
      </w:pPr>
      <w:r>
        <w:rPr>
          <w:rFonts w:ascii="Arial" w:cs="Arial" w:eastAsia="Arial" w:hAnsi="Arial"/>
          <w:sz w:val="12"/>
          <w:szCs w:val="12"/>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Legal proceedings and claims could have a material adverse effect on our business, results of operations, or financial condition.</w:t>
      </w:r>
    </w:p>
    <w:p>
      <w:pPr>
        <w:spacing w:after="0" w:line="168" w:lineRule="exact"/>
        <w:rPr>
          <w:sz w:val="20"/>
          <w:szCs w:val="20"/>
          <w:color w:val="auto"/>
        </w:rPr>
      </w:pPr>
    </w:p>
    <w:p>
      <w:pPr>
        <w:ind w:right="120"/>
        <w:spacing w:after="0" w:line="268" w:lineRule="auto"/>
        <w:rPr>
          <w:sz w:val="20"/>
          <w:szCs w:val="20"/>
          <w:color w:val="auto"/>
        </w:rPr>
      </w:pPr>
      <w:r>
        <w:rPr>
          <w:rFonts w:ascii="Arial" w:cs="Arial" w:eastAsia="Arial" w:hAnsi="Arial"/>
          <w:sz w:val="12"/>
          <w:szCs w:val="12"/>
          <w:color w:val="auto"/>
        </w:rPr>
        <w:t>From time to time, we are subject to various legal proceedings and claims that arise out of the ordinary conduct of our business or otherwise, both domestically and internationally. Such claims include, but are not limited to, allegations of anticompetitive conduct and infringement of intellectual property. See “Part I. Financial Information – Item 1. Financial Statements – Notes to Consolidated Financial Statements – Contingencies.”</w:t>
      </w:r>
    </w:p>
    <w:p>
      <w:pPr>
        <w:spacing w:after="0" w:line="38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49 | 2024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9" w:name="page50"/>
    <w:bookmarkEnd w:id="49"/>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372" w:lineRule="exact"/>
        <w:rPr>
          <w:sz w:val="20"/>
          <w:szCs w:val="20"/>
          <w:color w:val="auto"/>
        </w:rPr>
      </w:pPr>
    </w:p>
    <w:p>
      <w:pPr>
        <w:ind w:right="300"/>
        <w:spacing w:after="0" w:line="286" w:lineRule="auto"/>
        <w:rPr>
          <w:sz w:val="20"/>
          <w:szCs w:val="20"/>
          <w:color w:val="auto"/>
        </w:rPr>
      </w:pPr>
      <w:r>
        <w:rPr>
          <w:rFonts w:ascii="Arial" w:cs="Arial" w:eastAsia="Arial" w:hAnsi="Arial"/>
          <w:sz w:val="12"/>
          <w:szCs w:val="12"/>
          <w:color w:val="auto"/>
        </w:rPr>
        <w:t>Any claim, with or without merit, could result in significant legal fees that could negatively impact our financial results, disrupt our operations, and require significant attention from our management. We may be associated with and subject to litigation, claims, or arbitration disputes arising from, or as a result of:</w:t>
      </w:r>
    </w:p>
    <w:p>
      <w:pPr>
        <w:spacing w:after="0" w:line="121" w:lineRule="exact"/>
        <w:rPr>
          <w:sz w:val="20"/>
          <w:szCs w:val="20"/>
          <w:color w:val="auto"/>
        </w:rPr>
      </w:pP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our relationships with vendors or customers, supply agreements, or contractual obligations with our subcontractors or business partners;</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actions of our vendors, subcontractors, or business partners;</w:t>
      </w:r>
    </w:p>
    <w:p>
      <w:pPr>
        <w:spacing w:after="0" w:line="6" w:lineRule="exact"/>
        <w:rPr>
          <w:rFonts w:ascii="Arial" w:cs="Arial" w:eastAsia="Arial" w:hAnsi="Arial"/>
          <w:sz w:val="12"/>
          <w:szCs w:val="12"/>
          <w:color w:val="auto"/>
        </w:rPr>
      </w:pPr>
    </w:p>
    <w:p>
      <w:pPr>
        <w:ind w:left="420" w:right="120" w:hanging="212"/>
        <w:spacing w:after="0" w:line="250" w:lineRule="auto"/>
        <w:tabs>
          <w:tab w:leader="none" w:pos="417" w:val="left"/>
        </w:tabs>
        <w:numPr>
          <w:ilvl w:val="0"/>
          <w:numId w:val="26"/>
        </w:numPr>
        <w:rPr>
          <w:rFonts w:ascii="Arial" w:cs="Arial" w:eastAsia="Arial" w:hAnsi="Arial"/>
          <w:sz w:val="12"/>
          <w:szCs w:val="12"/>
          <w:color w:val="auto"/>
        </w:rPr>
      </w:pPr>
      <w:r>
        <w:rPr>
          <w:rFonts w:ascii="Arial" w:cs="Arial" w:eastAsia="Arial" w:hAnsi="Arial"/>
          <w:sz w:val="12"/>
          <w:szCs w:val="12"/>
          <w:color w:val="auto"/>
        </w:rPr>
        <w:t>our indemnification obligations, including obligations to defend our customers against third-party claims asserting infringement of certain intellectual property rights, which may include patents, trademarks, copyrights, or trade secrets; and</w:t>
      </w: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terms of our product warranties or from product liability claims.</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As we continue to focus on developing system solutions with manufacturers of consumer products, including autonomous driving, augmented reality, and others, we may be exposed to greater potential for personal liability claims against us as a result of consumers’ use of those products. We, our officers, or our directors could also be subject to claims of alleged violations of securities laws. There can be no assurance that we are adequately insured to protect against all claims and potential liabilities, and we may elect to self-insure with respect to certain matters. Exposures to various legal proceedings and claims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137" w:lineRule="exact"/>
        <w:rPr>
          <w:sz w:val="20"/>
          <w:szCs w:val="20"/>
          <w:color w:val="auto"/>
        </w:rPr>
      </w:pPr>
    </w:p>
    <w:p>
      <w:pPr>
        <w:ind w:right="660"/>
        <w:spacing w:after="0" w:line="296" w:lineRule="auto"/>
        <w:rPr>
          <w:sz w:val="20"/>
          <w:szCs w:val="20"/>
          <w:color w:val="auto"/>
        </w:rPr>
      </w:pPr>
      <w:r>
        <w:rPr>
          <w:rFonts w:ascii="Arial" w:cs="Arial" w:eastAsia="Arial" w:hAnsi="Arial"/>
          <w:sz w:val="12"/>
          <w:szCs w:val="12"/>
          <w:b w:val="1"/>
          <w:bCs w:val="1"/>
          <w:color w:val="auto"/>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110"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132" w:lineRule="exact"/>
        <w:rPr>
          <w:sz w:val="20"/>
          <w:szCs w:val="20"/>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pay significant monetary damages, fines, royalties, or penalties;</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enter into license or settlement agreements covering such intellectual property rights;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make material changes to or redesign our products and/or manufacturing processes; and/or</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cease manufacturing, having made, selling, offering for sale, importing, marketing, or using products and/or manufacturing processes in certain jurisdictions.</w:t>
      </w:r>
    </w:p>
    <w:p>
      <w:pPr>
        <w:spacing w:after="0" w:line="156" w:lineRule="exact"/>
        <w:rPr>
          <w:sz w:val="20"/>
          <w:szCs w:val="20"/>
          <w:color w:val="auto"/>
        </w:rPr>
      </w:pPr>
    </w:p>
    <w:p>
      <w:pPr>
        <w:ind w:right="240"/>
        <w:spacing w:after="0" w:line="286" w:lineRule="auto"/>
        <w:rPr>
          <w:sz w:val="20"/>
          <w:szCs w:val="20"/>
          <w:color w:val="auto"/>
        </w:rPr>
      </w:pPr>
      <w:r>
        <w:rPr>
          <w:rFonts w:ascii="Arial" w:cs="Arial" w:eastAsia="Arial" w:hAnsi="Arial"/>
          <w:sz w:val="12"/>
          <w:szCs w:val="12"/>
          <w:color w:val="auto"/>
        </w:rPr>
        <w:t>We may not be able to take any of the actions described above on commercially reasonable terms and any of the foregoing results could have a material adverse effect on our business, results of operations, or financial condition. See “Part I. Financial Information – Item 1. Financial Statements – Notes to Consolidated Financial Statements – Contingencies.”</w:t>
      </w:r>
    </w:p>
    <w:p>
      <w:pPr>
        <w:spacing w:after="0" w:line="121" w:lineRule="exact"/>
        <w:rPr>
          <w:sz w:val="20"/>
          <w:szCs w:val="20"/>
          <w:color w:val="auto"/>
        </w:rPr>
      </w:pPr>
    </w:p>
    <w:p>
      <w:pPr>
        <w:ind w:right="180"/>
        <w:spacing w:after="0" w:line="268" w:lineRule="auto"/>
        <w:rPr>
          <w:sz w:val="20"/>
          <w:szCs w:val="20"/>
          <w:color w:val="auto"/>
        </w:rPr>
      </w:pPr>
      <w:r>
        <w:rPr>
          <w:rFonts w:ascii="Arial" w:cs="Arial" w:eastAsia="Arial" w:hAnsi="Arial"/>
          <w:sz w:val="12"/>
          <w:szCs w:val="12"/>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0" w:name="page51"/>
    <w:bookmarkEnd w:id="50"/>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Risks Related to Laws and Regulations</w:t>
      </w:r>
    </w:p>
    <w:p>
      <w:pPr>
        <w:spacing w:after="0" w:line="178" w:lineRule="exact"/>
        <w:rPr>
          <w:sz w:val="20"/>
          <w:szCs w:val="20"/>
          <w:color w:val="auto"/>
        </w:rPr>
      </w:pPr>
    </w:p>
    <w:p>
      <w:pPr>
        <w:ind w:right="60"/>
        <w:spacing w:after="0" w:line="296" w:lineRule="auto"/>
        <w:rPr>
          <w:sz w:val="20"/>
          <w:szCs w:val="20"/>
          <w:color w:val="auto"/>
        </w:rPr>
      </w:pPr>
      <w:r>
        <w:rPr>
          <w:rFonts w:ascii="Arial" w:cs="Arial" w:eastAsia="Arial" w:hAnsi="Arial"/>
          <w:sz w:val="12"/>
          <w:szCs w:val="12"/>
          <w:b w:val="1"/>
          <w:bCs w:val="1"/>
          <w:color w:val="auto"/>
        </w:rPr>
        <w:t>Government actions and regulations, such as export restrictions, tariffs, and trade protection measures, may limit our ability to sell our products to certain customers or markets, or could otherwise restrict our ability to conduct operations.</w:t>
      </w:r>
    </w:p>
    <w:p>
      <w:pPr>
        <w:spacing w:after="0" w:line="110"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International trade disputes, geopolitical tensions, and military conflicts have led, and continue to lead, to new and increasing export restrictions, trade barriers, tariffs, and other trade measures that can increase our manufacturing costs, make our products less competitive, reduce demand for our products, limit our ability to sell to certain customers or markets, limit our ability to procure, or increase our costs for, components or raw materials, impede or slow the movement of our goods across borders, impede our ability to perform R&amp;D activities, or otherwise restrict our ability to conduct operations. Increasing protectionism, economic nationalism, and national security concerns may lead to further changes in trade policy, domestic sourcing initiatives, or other formal and informal measures that could make it more difficult to sell our products in, or restrict our access to, some markets and/or customers. For example, following the May 21,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Some revenue with customers headquartered outside of China has also been impacted. Further actions by the Chinese government could impact additional revenue inside or outside China, or our operations in China, or our ability to ship products to our customers, any of which could have a material adverse effect on our business, results of operations, or financial condition.</w:t>
      </w:r>
    </w:p>
    <w:p>
      <w:pPr>
        <w:spacing w:after="0" w:line="141"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We cannot predict what further actions may ultimately be taken with respect to export regulations, tariffs, or other trade regulations between the United States and other countries, what products or companies may be subject to such actions, or what actions may be taken by other countries in retaliation. Further changes in trade policy, tariffs,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Such changes may also result in reputational harm to us, the development or adoption of technologies that compete with our products, long-term changes in global trade and technology supply chains, or negative impacts on our customers’ products which incorporate our solutions. Any of the effects described in this risk factor could have a material adverse effect on our business, results of operations, or financial condition.</w:t>
      </w:r>
    </w:p>
    <w:p>
      <w:pPr>
        <w:spacing w:after="0" w:line="139" w:lineRule="exact"/>
        <w:rPr>
          <w:sz w:val="20"/>
          <w:szCs w:val="20"/>
          <w:color w:val="auto"/>
        </w:rPr>
      </w:pPr>
    </w:p>
    <w:p>
      <w:pPr>
        <w:ind w:right="460"/>
        <w:spacing w:after="0" w:line="262" w:lineRule="auto"/>
        <w:rPr>
          <w:sz w:val="20"/>
          <w:szCs w:val="20"/>
          <w:color w:val="auto"/>
        </w:rPr>
      </w:pPr>
      <w:r>
        <w:rPr>
          <w:rFonts w:ascii="Arial" w:cs="Arial" w:eastAsia="Arial" w:hAnsi="Arial"/>
          <w:sz w:val="12"/>
          <w:szCs w:val="12"/>
          <w:color w:val="auto"/>
        </w:rPr>
        <w:t>The technology industry is subject to intense media, political, and regulatory scrutiny, which can increase our exposure to government investigations,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Tax-related matters could have a material adverse effect on our business, results of operations, or financial condition.</w:t>
      </w:r>
    </w:p>
    <w:p>
      <w:pPr>
        <w:spacing w:after="0" w:line="168" w:lineRule="exact"/>
        <w:rPr>
          <w:sz w:val="20"/>
          <w:szCs w:val="20"/>
          <w:color w:val="auto"/>
        </w:rPr>
      </w:pPr>
    </w:p>
    <w:p>
      <w:pPr>
        <w:ind w:right="40"/>
        <w:spacing w:after="0" w:line="262" w:lineRule="auto"/>
        <w:rPr>
          <w:sz w:val="20"/>
          <w:szCs w:val="20"/>
          <w:color w:val="auto"/>
        </w:rPr>
      </w:pPr>
      <w:r>
        <w:rPr>
          <w:rFonts w:ascii="Arial" w:cs="Arial" w:eastAsia="Arial" w:hAnsi="Arial"/>
          <w:sz w:val="12"/>
          <w:szCs w:val="12"/>
          <w:color w:val="auto"/>
        </w:rPr>
        <w:t>We are subject to income taxes in the United States and many foreign jurisdictions. Our provision for income taxes and cash tax liabilities in the future could be adversely affected by numerous factors, including changes in the geographic mix of our earnings among jurisdictions, challenges by tax authorities to our tax positions and intercompany transfer pricing arrangements, failure to meet performance obligations with respect to tax incentive agreements, expanding our operations in various countries, fluctuations in foreign currency exchange rates, adverse resolution of audits and examinations of previously filed tax returns, and changes in tax laws and regulations.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51 | 2024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1" w:name="page52"/>
    <w:bookmarkEnd w:id="51"/>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1" w:lineRule="exact"/>
        <w:rPr>
          <w:sz w:val="20"/>
          <w:szCs w:val="20"/>
          <w:color w:val="auto"/>
        </w:rPr>
      </w:pPr>
    </w:p>
    <w:p>
      <w:pPr>
        <w:ind w:right="20"/>
        <w:spacing w:after="0"/>
        <w:rPr>
          <w:sz w:val="20"/>
          <w:szCs w:val="20"/>
          <w:color w:val="auto"/>
        </w:rPr>
      </w:pPr>
      <w:r>
        <w:rPr>
          <w:rFonts w:ascii="Arial" w:cs="Arial" w:eastAsia="Arial" w:hAnsi="Arial"/>
          <w:sz w:val="12"/>
          <w:szCs w:val="12"/>
          <w:color w:val="auto"/>
        </w:rPr>
        <w:t>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Beginning in 2024, the Inflation Reduction Act of 2022 imposes a 15% book minimum tax on corporations with three-year average annual adjusted financial statement income exceeding $1 billion. The impact of this tax will depend on our facts in each year, anticipated guidance from the U.S. Department of the Treasury, and other developing global tax legislation. Further changes in the tax laws of foreign jurisdictions could arise as a result of the base erosion and profit shifting project undertaken by the Organisation for Economic Co-operation and Development (“OECD”). In December 2022, the European Union (“EU”) member states reached an agreement to implement the minimum tax component (“Pillar Two”) of the OECD’s tax reform initiative. The directive has been enacted or will be enacted retroactively to be in effect as of January 1, 2024 in nearly all EU member states. If similar directives under Pillar Two are adopted by taxing authorities in other countries where we do business, such changes could have a material adverse effect on our business, results of operations, or financial condition.</w:t>
      </w:r>
    </w:p>
    <w:p>
      <w:pPr>
        <w:spacing w:after="0" w:line="141" w:lineRule="exact"/>
        <w:rPr>
          <w:sz w:val="20"/>
          <w:szCs w:val="20"/>
          <w:color w:val="auto"/>
        </w:rPr>
      </w:pPr>
    </w:p>
    <w:p>
      <w:pPr>
        <w:ind w:right="200"/>
        <w:spacing w:after="0" w:line="296" w:lineRule="auto"/>
        <w:rPr>
          <w:sz w:val="20"/>
          <w:szCs w:val="20"/>
          <w:color w:val="auto"/>
        </w:rPr>
      </w:pPr>
      <w:r>
        <w:rPr>
          <w:rFonts w:ascii="Arial" w:cs="Arial" w:eastAsia="Arial" w:hAnsi="Arial"/>
          <w:sz w:val="12"/>
          <w:szCs w:val="12"/>
          <w:b w:val="1"/>
          <w:bCs w:val="1"/>
          <w:color w:val="auto"/>
        </w:rPr>
        <w:t>We and others are subject to a variety of complex and evolving laws, regulations, or industry standards, including with respect to environmental, health, safety, and product considerations, which may have a material adverse effect on our business, results of operations, or financial condition.</w:t>
      </w:r>
    </w:p>
    <w:p>
      <w:pPr>
        <w:spacing w:after="0" w:line="110"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The manufacture of our products requires the use of facilities, equipment, chemicals, and materials that are subject to a broad array of laws and regulations in numerous jurisdictions in which we operate.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Additionally, we engage various third parties as sales channel partners or to represent us or otherwise act on our behalf who are also subject to a broad array of laws, regulations, and industry standards. Our engagement with these third parties may also expose us to risks associated with their respective compliance with laws and regulations.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New and evolving environmental health, safety, and product considerations, including those related to greenhouse gas emissions and climate change, the purchase, use and disposal of regulated and/or hazardous chemicals, and the potential resulting environmental, health or safety impacts, may result in new laws, regulations, or industry standards that may affect us, our suppliers, and our customers. Such laws, regulations, or industry standards could cause us to incur additional direct costs for compliance, as well as increased indirect costs resulting from our customers, suppliers, or both incurring additional compliance costs that are passed on to us. These costs may adversely impact our results of operations and financial condition.</w:t>
      </w:r>
    </w:p>
    <w:p>
      <w:pPr>
        <w:spacing w:after="0" w:line="126" w:lineRule="exact"/>
        <w:rPr>
          <w:sz w:val="20"/>
          <w:szCs w:val="20"/>
          <w:color w:val="auto"/>
        </w:rPr>
      </w:pPr>
    </w:p>
    <w:p>
      <w:pPr>
        <w:ind w:right="180"/>
        <w:spacing w:after="0" w:line="246" w:lineRule="auto"/>
        <w:rPr>
          <w:sz w:val="20"/>
          <w:szCs w:val="20"/>
          <w:color w:val="auto"/>
        </w:rPr>
      </w:pPr>
      <w:r>
        <w:rPr>
          <w:rFonts w:ascii="Arial" w:cs="Arial" w:eastAsia="Arial" w:hAnsi="Arial"/>
          <w:sz w:val="12"/>
          <w:szCs w:val="12"/>
          <w:color w:val="auto"/>
        </w:rPr>
        <w:t>New and evolving cybersecurity, data privacy, and artificial intelligence laws and regulations impose requirements for information confidentiality, integrity, availability, personal and proprietary data collection, storage, use, sharing, deletion, and artificial intelligence solutions that must be transparent, fair, secure, human-focused, and accountable. Such laws, standards, and market expectations could cause us to incur additional direct costs for compliance, as well as increased indirect costs resulting from our customers, suppliers, or partners reluctance to share information or solutions due to actual or perceived inadequate controls. These costs may adversely impact our operations and financial condition.</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As a result of the considerations detailed in this risk factor, we could experience the following:</w:t>
      </w:r>
    </w:p>
    <w:p>
      <w:pPr>
        <w:spacing w:after="0" w:line="168" w:lineRule="exact"/>
        <w:rPr>
          <w:sz w:val="20"/>
          <w:szCs w:val="20"/>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suspension of production or sales of our products;</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limited supplies of chemicals or materials used to make our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remediation costs;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increased compliance costs;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alteration of our manufacturing processes;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regulatory penalties, fines, civil or criminal sanctions, and other legal liabilities;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reputational challenges.</w:t>
      </w:r>
    </w:p>
    <w:p>
      <w:pPr>
        <w:spacing w:after="0" w:line="156" w:lineRule="exact"/>
        <w:rPr>
          <w:sz w:val="20"/>
          <w:szCs w:val="20"/>
          <w:color w:val="auto"/>
        </w:rPr>
      </w:pPr>
    </w:p>
    <w:p>
      <w:pPr>
        <w:ind w:right="40"/>
        <w:spacing w:after="0" w:line="286" w:lineRule="auto"/>
        <w:rPr>
          <w:sz w:val="20"/>
          <w:szCs w:val="20"/>
          <w:color w:val="auto"/>
        </w:rPr>
      </w:pPr>
      <w:r>
        <w:rPr>
          <w:rFonts w:ascii="Arial" w:cs="Arial" w:eastAsia="Arial" w:hAnsi="Arial"/>
          <w:sz w:val="12"/>
          <w:szCs w:val="12"/>
          <w:color w:val="auto"/>
        </w:rPr>
        <w:t>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2" w:name="page53"/>
    <w:bookmarkEnd w:id="52"/>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Risks Related to Capitalization and Financial Markets</w:t>
      </w:r>
    </w:p>
    <w:p>
      <w:pPr>
        <w:spacing w:after="0" w:line="178" w:lineRule="exact"/>
        <w:rPr>
          <w:sz w:val="20"/>
          <w:szCs w:val="20"/>
          <w:color w:val="auto"/>
        </w:rPr>
      </w:pPr>
    </w:p>
    <w:p>
      <w:pPr>
        <w:ind w:right="160"/>
        <w:spacing w:after="0" w:line="296" w:lineRule="auto"/>
        <w:rPr>
          <w:sz w:val="20"/>
          <w:szCs w:val="20"/>
          <w:color w:val="auto"/>
        </w:rPr>
      </w:pPr>
      <w:r>
        <w:rPr>
          <w:rFonts w:ascii="Arial" w:cs="Arial" w:eastAsia="Arial" w:hAnsi="Arial"/>
          <w:sz w:val="12"/>
          <w:szCs w:val="12"/>
          <w:b w:val="1"/>
          <w:bCs w:val="1"/>
          <w:color w:val="auto"/>
        </w:rPr>
        <w:t>We may be unable to generate sufficient cash flows or obtain access to external financing necessary to fund our operations, make scheduled debt payments, pay our dividend, and make adequate capital investments.</w:t>
      </w:r>
    </w:p>
    <w:p>
      <w:pPr>
        <w:spacing w:after="0" w:line="110" w:lineRule="exact"/>
        <w:rPr>
          <w:sz w:val="20"/>
          <w:szCs w:val="20"/>
          <w:color w:val="auto"/>
        </w:rPr>
      </w:pPr>
    </w:p>
    <w:p>
      <w:pPr>
        <w:ind w:right="260"/>
        <w:spacing w:after="0" w:line="268" w:lineRule="auto"/>
        <w:rPr>
          <w:sz w:val="20"/>
          <w:szCs w:val="20"/>
          <w:color w:val="auto"/>
        </w:rPr>
      </w:pPr>
      <w:r>
        <w:rPr>
          <w:rFonts w:ascii="Arial" w:cs="Arial" w:eastAsia="Arial" w:hAnsi="Arial"/>
          <w:sz w:val="12"/>
          <w:szCs w:val="12"/>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 We estimate capital expenditures in 2024 for property, plant, and equipment, net of partner contributions, to be in the range of $7.5 billion to $8.0 billion.</w:t>
      </w:r>
    </w:p>
    <w:p>
      <w:pPr>
        <w:spacing w:after="0" w:line="132" w:lineRule="exact"/>
        <w:rPr>
          <w:sz w:val="20"/>
          <w:szCs w:val="20"/>
          <w:color w:val="auto"/>
        </w:rPr>
      </w:pPr>
    </w:p>
    <w:p>
      <w:pPr>
        <w:ind w:right="60"/>
        <w:spacing w:after="0" w:line="257" w:lineRule="auto"/>
        <w:rPr>
          <w:sz w:val="20"/>
          <w:szCs w:val="20"/>
          <w:color w:val="auto"/>
        </w:rPr>
      </w:pPr>
      <w:r>
        <w:rPr>
          <w:rFonts w:ascii="Arial" w:cs="Arial" w:eastAsia="Arial" w:hAnsi="Arial"/>
          <w:sz w:val="12"/>
          <w:szCs w:val="12"/>
          <w:color w:val="auto"/>
        </w:rPr>
        <w:t>In the past, we have utilized external sources of financing when needed. As a result of our debt levels, expected debt amortization, prevailing interest rates, and general capital market and other economic conditions, it may be difficult for us to obtain financing on terms acceptable to us or at all. We have experienced volatility in our cash flows and operating results and we expect to continue to experience such volatility in the future, which may negatively affect our credit rating. Our credit rating may also be affected by our liquidity, financial results, economic risk, or other factors, which may increase the cost of borrowings and make it difficult for us to obtain financing on terms acceptable to us or at all. There can be no assurance that we will be able to generate sufficient cash flows, access capital or credit markets, or find other sources of financing to fund our operations, make debt payments, refinance our debt, pay our quarterly dividend,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Debt obligations could adversely affect our financial condition.</w:t>
      </w:r>
    </w:p>
    <w:p>
      <w:pPr>
        <w:spacing w:after="0" w:line="168" w:lineRule="exact"/>
        <w:rPr>
          <w:sz w:val="20"/>
          <w:szCs w:val="20"/>
          <w:color w:val="auto"/>
        </w:rPr>
      </w:pPr>
    </w:p>
    <w:p>
      <w:pPr>
        <w:ind w:right="420"/>
        <w:spacing w:after="0" w:line="286" w:lineRule="auto"/>
        <w:rPr>
          <w:sz w:val="20"/>
          <w:szCs w:val="20"/>
          <w:color w:val="auto"/>
        </w:rPr>
      </w:pPr>
      <w:r>
        <w:rPr>
          <w:rFonts w:ascii="Arial" w:cs="Arial" w:eastAsia="Arial" w:hAnsi="Arial"/>
          <w:sz w:val="12"/>
          <w:szCs w:val="12"/>
          <w:color w:val="auto"/>
        </w:rPr>
        <w:t>We have incurred in the past, and expect to incur in the future, debt to finance our capital investments, business acquisitions, and to realign our capital structure. As of February 29, 2024, we had debt with a carrying value of $13.72 billion and may incur additional debt, including under our $2.50 billion Revolving Credit Facility. Our debt obligations could adversely impact us as follows:</w:t>
      </w:r>
    </w:p>
    <w:p>
      <w:pPr>
        <w:spacing w:after="0" w:line="121" w:lineRule="exact"/>
        <w:rPr>
          <w:sz w:val="20"/>
          <w:szCs w:val="20"/>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require us to use a large portion of our cash flow to pay principal and interest on debt, which will reduce the amount of cash flow available to fund our business activities;</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adversely impact our credit rating, which could increase borrowing costs;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limit our future ability to raise funds for capital expenditures, strategic acquisitions or business opportunities, R&amp;D, and other general corporate requirements;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restrict our ability to incur specified indebtedness, create or incur certain liens, and enter into sale-leaseback financing transactions;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increase our vulnerability to adverse economic and industry conditions;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increase our exposure to rising interest rates from variable rate indebtedness;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result in certain of our debt instruments becoming immediately due and payable or being deemed to be in default if applicable cross default, cross-acceleration and/or similar provisions are triggered.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53 | 2024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3" w:name="page54"/>
    <w:bookmarkEnd w:id="53"/>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1" w:lineRule="exact"/>
        <w:rPr>
          <w:sz w:val="20"/>
          <w:szCs w:val="20"/>
          <w:color w:val="auto"/>
        </w:rPr>
      </w:pPr>
    </w:p>
    <w:p>
      <w:pPr>
        <w:ind w:right="80"/>
        <w:spacing w:after="0" w:line="238" w:lineRule="auto"/>
        <w:rPr>
          <w:sz w:val="20"/>
          <w:szCs w:val="20"/>
          <w:color w:val="auto"/>
        </w:rPr>
      </w:pPr>
      <w:r>
        <w:rPr>
          <w:rFonts w:ascii="Arial" w:cs="Arial" w:eastAsia="Arial" w:hAnsi="Arial"/>
          <w:sz w:val="12"/>
          <w:szCs w:val="12"/>
          <w:color w:val="auto"/>
        </w:rPr>
        <w:t>Our ability to meet our payment obligations under our debt instruments depends on our ability to generate significant cash flows or obtain external financing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In light of industry conditions, in 2023, we amended the financial covenants in our Revolving Credit Facility and term loan agreements. See “Part I. Financial Information – Item 2. Management’s Discussion and Analysis of Financial Condition and Results of Operations – Overview” and “Part I. Financial Information - Item 1. Financial Statements – Notes to Consolidated Financial Statements – Debt.” If we are unable to generate sufficient cash flows to service our debt payment obligations or satisfy our debt</w:t>
      </w:r>
    </w:p>
    <w:p>
      <w:pPr>
        <w:spacing w:after="0" w:line="1" w:lineRule="exact"/>
        <w:rPr>
          <w:sz w:val="20"/>
          <w:szCs w:val="20"/>
          <w:color w:val="auto"/>
        </w:rPr>
      </w:pPr>
    </w:p>
    <w:p>
      <w:pPr>
        <w:ind w:right="120"/>
        <w:spacing w:after="0" w:line="237" w:lineRule="auto"/>
        <w:rPr>
          <w:sz w:val="20"/>
          <w:szCs w:val="20"/>
          <w:color w:val="auto"/>
        </w:rPr>
      </w:pPr>
      <w:r>
        <w:rPr>
          <w:rFonts w:ascii="Arial" w:cs="Arial" w:eastAsia="Arial" w:hAnsi="Arial"/>
          <w:sz w:val="12"/>
          <w:szCs w:val="12"/>
          <w:color w:val="auto"/>
        </w:rPr>
        <w:t>covenants, we may need to refinance, restructure, or amend the terms of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foreign currency exchange rates could materially adversely affect our business, results of operations, or financial condition.</w:t>
      </w:r>
    </w:p>
    <w:p>
      <w:pPr>
        <w:spacing w:after="0" w:line="168"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Across our global operations, significant transactions and balances are denominated in currencies other than the U.S. dollar (our reporting currency), primarily the Chinese yuan, euro, Indian rupee, Japanese yen, Malaysian ringgit, New Taiwan dollar, and Singapore dollar. In addition, a significant portion of our manufacturing costs are denominated in foreign currencies.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are subject to counterparty default risks.</w:t>
      </w:r>
    </w:p>
    <w:p>
      <w:pPr>
        <w:spacing w:after="0" w:line="168"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We have numerous arrangements with financial institutions that subject us to counterparty default risks, including cash deposits, investments, and derivative instruments. Additionally, we are subject to counterparty default risk from our customers for amounts receivable from them. As a result, we are subject to the risk that the counterparty will default on its performance obligations. A counterparty may not comply with its contractual commitments which could then lead to its defaulting on its obligations with little or no notice to us, which could limit our ability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trading price of our common stock has been and may continue to be volatile.</w:t>
      </w:r>
    </w:p>
    <w:p>
      <w:pPr>
        <w:spacing w:after="0" w:line="168"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Our common stock has experienced substantial price volatility in the past and may continue to do so in the future. Additionally, we, the technology industry, and the stock market as a whole have on occasion experienced extreme stock price and volume fluctuations that have affected stock prices in ways that may have been unrelated to the specific operating performance of individual companies. The trading price of our common stock may fluctuate widely due to various factors, including, but not limited to, actual or anticipated fluctuations in our financial condition and operating results, changes in financial forecasts or estimates by us or financial or other market estimates and ratings by securities and other analysts, changes in our capital structure, including issuance of additional debt or equity to the public, interest rate changes, regulatory changes, news regarding our products or products of our competitors, and broad market and industry fluctuations.</w:t>
      </w:r>
    </w:p>
    <w:p>
      <w:pPr>
        <w:spacing w:after="0" w:line="137"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For these reasons, investors should not rely on recent or historical trends to predict future trading prices of our common stock, financial condition, results of operations, or cash flows. Investors in our common stock may not realize any return on their investment in us and may lose some or all of their investment. Volatility in the trading price of our common stock could also result in the filing of securities class action litigation matters, which could result in substantial costs and the diversion of management time and resources.</w:t>
      </w:r>
    </w:p>
    <w:p>
      <w:pPr>
        <w:spacing w:after="0" w:line="270"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4" w:name="page55"/>
    <w:bookmarkEnd w:id="54"/>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372" w:lineRule="exact"/>
        <w:rPr>
          <w:sz w:val="20"/>
          <w:szCs w:val="20"/>
          <w:color w:val="auto"/>
        </w:rPr>
      </w:pPr>
    </w:p>
    <w:p>
      <w:pPr>
        <w:ind w:right="340"/>
        <w:spacing w:after="0" w:line="296" w:lineRule="auto"/>
        <w:rPr>
          <w:sz w:val="20"/>
          <w:szCs w:val="20"/>
          <w:color w:val="auto"/>
        </w:rPr>
      </w:pPr>
      <w:r>
        <w:rPr>
          <w:rFonts w:ascii="Arial" w:cs="Arial" w:eastAsia="Arial" w:hAnsi="Arial"/>
          <w:sz w:val="12"/>
          <w:szCs w:val="12"/>
          <w:b w:val="1"/>
          <w:bCs w:val="1"/>
          <w:color w:val="auto"/>
        </w:rPr>
        <w:t>The amount and frequency of our share repurchases may fluctuate, and we cannot guarantee that we will fully consummate our share repurchase authorization, or that it will enhance long-term shareholder value. Share repurchases could also increase the volatility of the trading price of our stock and will diminish our cash reserves.</w:t>
      </w:r>
    </w:p>
    <w:p>
      <w:pPr>
        <w:spacing w:after="0" w:line="110" w:lineRule="exact"/>
        <w:rPr>
          <w:sz w:val="20"/>
          <w:szCs w:val="20"/>
          <w:color w:val="auto"/>
        </w:rPr>
      </w:pPr>
    </w:p>
    <w:p>
      <w:pPr>
        <w:ind w:right="100"/>
        <w:spacing w:after="0" w:line="262" w:lineRule="auto"/>
        <w:rPr>
          <w:sz w:val="20"/>
          <w:szCs w:val="20"/>
          <w:color w:val="auto"/>
        </w:rPr>
      </w:pPr>
      <w:r>
        <w:rPr>
          <w:rFonts w:ascii="Arial" w:cs="Arial" w:eastAsia="Arial" w:hAnsi="Arial"/>
          <w:sz w:val="12"/>
          <w:szCs w:val="12"/>
          <w:color w:val="auto"/>
        </w:rPr>
        <w:t>The amount, frequency, and execution of our share repurchases pursuant to our share repurchase authorization may fluctuate based on our operating results, cash flows, and priorities for the use of cash for other purposes. Our expenditures for share repurchases were $425 million in 2023, $2.43 billion in 2022, $1.20 billion in 2021, $ 176 million in 2020, and $2.66 billion in 2019. These other purposes include, but are not limited to, operational spending, capital spending, acquisitions, and repayment of debt. Other factors, including changes in tax laws, could also impact our share repurchases. Although our Board of Directors has authorized share repurchases of up to $10 billion of our outstanding common stock, the authorization does not obligate us to repurchase any common stock.</w:t>
      </w:r>
    </w:p>
    <w:p>
      <w:pPr>
        <w:spacing w:after="0" w:line="135" w:lineRule="exact"/>
        <w:rPr>
          <w:sz w:val="20"/>
          <w:szCs w:val="20"/>
          <w:color w:val="auto"/>
        </w:rPr>
      </w:pPr>
    </w:p>
    <w:p>
      <w:pPr>
        <w:ind w:right="140"/>
        <w:spacing w:after="0" w:line="334" w:lineRule="auto"/>
        <w:rPr>
          <w:sz w:val="20"/>
          <w:szCs w:val="20"/>
          <w:color w:val="auto"/>
        </w:rPr>
      </w:pPr>
      <w:r>
        <w:rPr>
          <w:rFonts w:ascii="Arial" w:cs="Arial" w:eastAsia="Arial" w:hAnsi="Arial"/>
          <w:sz w:val="11"/>
          <w:szCs w:val="11"/>
          <w:color w:val="auto"/>
        </w:rPr>
        <w:t>We cannot guarantee that our share repurchase authorization will be fully consummated or that it will enhance long-term shareholder value. The repurchase authorization could affect the trading price of our stock and increase volatility, and any announcement of a pause in, or termination of, this program may result in a decrease in the trading price of our stock. In addition, this program will diminish our cash reserves.</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There can be no assurance that we will continue to declare cash dividends in any particular amounts or at all.</w:t>
      </w:r>
    </w:p>
    <w:p>
      <w:pPr>
        <w:spacing w:after="0" w:line="168" w:lineRule="exact"/>
        <w:rPr>
          <w:sz w:val="20"/>
          <w:szCs w:val="20"/>
          <w:color w:val="auto"/>
        </w:rPr>
      </w:pPr>
    </w:p>
    <w:p>
      <w:pPr>
        <w:ind w:right="80"/>
        <w:spacing w:after="0" w:line="286" w:lineRule="auto"/>
        <w:rPr>
          <w:sz w:val="20"/>
          <w:szCs w:val="20"/>
          <w:color w:val="auto"/>
        </w:rPr>
      </w:pPr>
      <w:r>
        <w:rPr>
          <w:rFonts w:ascii="Arial" w:cs="Arial" w:eastAsia="Arial" w:hAnsi="Arial"/>
          <w:sz w:val="12"/>
          <w:szCs w:val="12"/>
          <w:color w:val="auto"/>
        </w:rPr>
        <w:t>Our Board of Directors has adopted a dividend policy pursuant to which we currently pay a cash dividend on our common shares on a quarterly basis. The declaration and payment of any dividend is subject to the approval of our Board of Directors and our dividend may be discontinued or reduced at any time. There can be no assurance that we will declare cash dividends in the future in any particular amounts, or at all.</w:t>
      </w:r>
    </w:p>
    <w:p>
      <w:pPr>
        <w:spacing w:after="0" w:line="121" w:lineRule="exact"/>
        <w:rPr>
          <w:sz w:val="20"/>
          <w:szCs w:val="20"/>
          <w:color w:val="auto"/>
        </w:rPr>
      </w:pPr>
    </w:p>
    <w:p>
      <w:pPr>
        <w:ind w:right="200"/>
        <w:spacing w:after="0" w:line="268" w:lineRule="auto"/>
        <w:rPr>
          <w:sz w:val="20"/>
          <w:szCs w:val="20"/>
          <w:color w:val="auto"/>
        </w:rPr>
      </w:pPr>
      <w:r>
        <w:rPr>
          <w:rFonts w:ascii="Arial" w:cs="Arial" w:eastAsia="Arial" w:hAnsi="Arial"/>
          <w:sz w:val="12"/>
          <w:szCs w:val="12"/>
          <w:color w:val="auto"/>
        </w:rPr>
        <w:t>Future dividends, if any, and their timing and amount, may be affected by, among other factors: our financial condition, results of operations, capital requirements, business conditions, debt service obligations, contractual restrictions, industry practice, legal requirements, regulatory constraints, and other factors that our Board of Directors may deem relevant. A reduction in or elimination of our dividend payments could have a negative effect on the trading price of our stock.</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55 | 2024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5" w:name="page56"/>
    <w:bookmarkEnd w:id="55"/>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67"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In May 2018, we announced that our Board of Directors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During the quarter ended February 29, 2024, we did not repurchase any common stock under the authorization and as of February 29, 2024, $3.11 billion of the authorization remained available for the repurchase of our common stock.</w:t>
      </w:r>
    </w:p>
    <w:p>
      <w:pPr>
        <w:spacing w:after="0" w:line="126" w:lineRule="exact"/>
        <w:rPr>
          <w:sz w:val="20"/>
          <w:szCs w:val="20"/>
          <w:color w:val="auto"/>
        </w:rPr>
      </w:pPr>
    </w:p>
    <w:p>
      <w:pPr>
        <w:ind w:right="200"/>
        <w:spacing w:after="0" w:line="270" w:lineRule="auto"/>
        <w:rPr>
          <w:sz w:val="20"/>
          <w:szCs w:val="20"/>
          <w:color w:val="auto"/>
        </w:rPr>
      </w:pPr>
      <w:r>
        <w:rPr>
          <w:rFonts w:ascii="Arial" w:cs="Arial" w:eastAsia="Arial" w:hAnsi="Arial"/>
          <w:sz w:val="12"/>
          <w:szCs w:val="12"/>
          <w:color w:val="auto"/>
        </w:rPr>
        <w:t>Shares of common stock withheld as payment of withholding taxes upon the vesting of restricted stock are also treated as common stock repurchases. Shares withheld as payment of withholding taxes upon the vesting of restricted stock units are not considered repurchases for purposes of this Item and are not required to be reported.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In the second quarter of 2024, shares withheld as payment upon the vesting of restricted stock consisted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20" w:type="dxa"/>
            <w:vAlign w:val="bottom"/>
            <w:vMerge w:val="restart"/>
          </w:tcPr>
          <w:p>
            <w:pPr>
              <w:jc w:val="right"/>
              <w:ind w:right="160"/>
              <w:spacing w:after="0"/>
              <w:rPr>
                <w:sz w:val="20"/>
                <w:szCs w:val="20"/>
                <w:color w:val="auto"/>
              </w:rPr>
            </w:pPr>
            <w:r>
              <w:rPr>
                <w:rFonts w:ascii="Arial" w:cs="Arial" w:eastAsia="Arial" w:hAnsi="Arial"/>
                <w:sz w:val="12"/>
                <w:szCs w:val="12"/>
                <w:b w:val="1"/>
                <w:bCs w:val="1"/>
                <w:color w:val="auto"/>
              </w:rPr>
              <w:t>Total number of</w:t>
            </w:r>
          </w:p>
        </w:tc>
        <w:tc>
          <w:tcPr>
            <w:tcW w:w="80" w:type="dxa"/>
            <w:vAlign w:val="bottom"/>
          </w:tcPr>
          <w:p>
            <w:pPr>
              <w:spacing w:after="0"/>
              <w:rPr>
                <w:sz w:val="12"/>
                <w:szCs w:val="12"/>
                <w:color w:val="auto"/>
              </w:rPr>
            </w:pPr>
          </w:p>
        </w:tc>
        <w:tc>
          <w:tcPr>
            <w:tcW w:w="920" w:type="dxa"/>
            <w:vAlign w:val="bottom"/>
            <w:vMerge w:val="restart"/>
          </w:tcPr>
          <w:p>
            <w:pPr>
              <w:jc w:val="right"/>
              <w:ind w:right="40"/>
              <w:spacing w:after="0"/>
              <w:rPr>
                <w:sz w:val="20"/>
                <w:szCs w:val="20"/>
                <w:color w:val="auto"/>
              </w:rPr>
            </w:pPr>
            <w:r>
              <w:rPr>
                <w:rFonts w:ascii="Arial" w:cs="Arial" w:eastAsia="Arial" w:hAnsi="Arial"/>
                <w:sz w:val="12"/>
                <w:szCs w:val="12"/>
                <w:b w:val="1"/>
                <w:bCs w:val="1"/>
                <w:color w:val="auto"/>
              </w:rPr>
              <w:t>Average price</w:t>
            </w:r>
          </w:p>
        </w:tc>
        <w:tc>
          <w:tcPr>
            <w:tcW w:w="2240" w:type="dxa"/>
            <w:vAlign w:val="bottom"/>
          </w:tcPr>
          <w:p>
            <w:pPr>
              <w:jc w:val="center"/>
              <w:spacing w:after="0"/>
              <w:rPr>
                <w:sz w:val="20"/>
                <w:szCs w:val="20"/>
                <w:color w:val="auto"/>
              </w:rPr>
            </w:pPr>
            <w:r>
              <w:rPr>
                <w:rFonts w:ascii="Arial" w:cs="Arial" w:eastAsia="Arial" w:hAnsi="Arial"/>
                <w:sz w:val="12"/>
                <w:szCs w:val="12"/>
                <w:b w:val="1"/>
                <w:bCs w:val="1"/>
                <w:color w:val="auto"/>
                <w:w w:val="99"/>
              </w:rPr>
              <w:t>Total number of shares purchased as</w:t>
            </w:r>
          </w:p>
        </w:tc>
        <w:tc>
          <w:tcPr>
            <w:tcW w:w="3160" w:type="dxa"/>
            <w:vAlign w:val="bottom"/>
          </w:tcPr>
          <w:p>
            <w:pPr>
              <w:jc w:val="center"/>
              <w:spacing w:after="0"/>
              <w:rPr>
                <w:sz w:val="20"/>
                <w:szCs w:val="20"/>
                <w:color w:val="auto"/>
              </w:rPr>
            </w:pPr>
            <w:r>
              <w:rPr>
                <w:rFonts w:ascii="Arial" w:cs="Arial" w:eastAsia="Arial" w:hAnsi="Arial"/>
                <w:sz w:val="12"/>
                <w:szCs w:val="12"/>
                <w:b w:val="1"/>
                <w:bCs w:val="1"/>
                <w:color w:val="auto"/>
                <w:w w:val="99"/>
              </w:rPr>
              <w:t>Approximate dollar value of shares that may yet be</w:t>
            </w:r>
          </w:p>
        </w:tc>
        <w:tc>
          <w:tcPr>
            <w:tcW w:w="0" w:type="dxa"/>
            <w:vAlign w:val="bottom"/>
          </w:tcPr>
          <w:p>
            <w:pPr>
              <w:spacing w:after="0"/>
              <w:rPr>
                <w:sz w:val="1"/>
                <w:szCs w:val="1"/>
                <w:color w:val="auto"/>
              </w:rPr>
            </w:pPr>
          </w:p>
        </w:tc>
      </w:tr>
      <w:tr>
        <w:trPr>
          <w:trHeight w:val="117"/>
        </w:trPr>
        <w:tc>
          <w:tcPr>
            <w:tcW w:w="1300" w:type="dxa"/>
            <w:vAlign w:val="bottom"/>
          </w:tcPr>
          <w:p>
            <w:pPr>
              <w:spacing w:after="0"/>
              <w:rPr>
                <w:sz w:val="10"/>
                <w:szCs w:val="10"/>
                <w:color w:val="auto"/>
              </w:rPr>
            </w:pPr>
          </w:p>
        </w:tc>
        <w:tc>
          <w:tcPr>
            <w:tcW w:w="228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Period</w:t>
            </w:r>
          </w:p>
        </w:tc>
        <w:tc>
          <w:tcPr>
            <w:tcW w:w="13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224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part of publicly announced plans or</w:t>
            </w:r>
          </w:p>
        </w:tc>
        <w:tc>
          <w:tcPr>
            <w:tcW w:w="316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purchased under publicly announced plans or</w:t>
            </w:r>
          </w:p>
        </w:tc>
        <w:tc>
          <w:tcPr>
            <w:tcW w:w="0" w:type="dxa"/>
            <w:vAlign w:val="bottom"/>
          </w:tcPr>
          <w:p>
            <w:pPr>
              <w:spacing w:after="0"/>
              <w:rPr>
                <w:sz w:val="1"/>
                <w:szCs w:val="1"/>
                <w:color w:val="auto"/>
              </w:rPr>
            </w:pPr>
          </w:p>
        </w:tc>
      </w:tr>
      <w:tr>
        <w:trPr>
          <w:trHeight w:val="170"/>
        </w:trPr>
        <w:tc>
          <w:tcPr>
            <w:tcW w:w="13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2"/>
            <w:vMerge w:val="continue"/>
          </w:tcPr>
          <w:p>
            <w:pPr>
              <w:spacing w:after="0"/>
              <w:rPr>
                <w:sz w:val="14"/>
                <w:szCs w:val="14"/>
                <w:color w:val="auto"/>
              </w:rPr>
            </w:pP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shares purchased</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99"/>
              </w:rPr>
              <w:t>paid per share</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programs</w:t>
            </w: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 xml:space="preserve">programs </w:t>
            </w:r>
            <w:r>
              <w:rPr>
                <w:rFonts w:ascii="Arial" w:cs="Arial" w:eastAsia="Arial" w:hAnsi="Arial"/>
                <w:sz w:val="12"/>
                <w:szCs w:val="12"/>
                <w:color w:val="auto"/>
              </w:rPr>
              <w:t>(in millions)</w:t>
            </w:r>
          </w:p>
        </w:tc>
        <w:tc>
          <w:tcPr>
            <w:tcW w:w="0" w:type="dxa"/>
            <w:vAlign w:val="bottom"/>
          </w:tcPr>
          <w:p>
            <w:pPr>
              <w:spacing w:after="0"/>
              <w:rPr>
                <w:sz w:val="1"/>
                <w:szCs w:val="1"/>
                <w:color w:val="auto"/>
              </w:rPr>
            </w:pPr>
          </w:p>
        </w:tc>
      </w:tr>
      <w:tr>
        <w:trPr>
          <w:trHeight w:val="161"/>
        </w:trPr>
        <w:tc>
          <w:tcPr>
            <w:tcW w:w="1300" w:type="dxa"/>
            <w:vAlign w:val="bottom"/>
            <w:shd w:val="clear" w:color="auto" w:fill="D1D2D4"/>
          </w:tcPr>
          <w:p>
            <w:pPr>
              <w:spacing w:after="0"/>
              <w:rPr>
                <w:sz w:val="20"/>
                <w:szCs w:val="20"/>
                <w:color w:val="auto"/>
              </w:rPr>
            </w:pPr>
            <w:r>
              <w:rPr>
                <w:rFonts w:ascii="Arial" w:cs="Arial" w:eastAsia="Arial" w:hAnsi="Arial"/>
                <w:sz w:val="12"/>
                <w:szCs w:val="12"/>
                <w:color w:val="auto"/>
              </w:rPr>
              <w:t>December 1, 2023</w:t>
            </w:r>
          </w:p>
        </w:tc>
        <w:tc>
          <w:tcPr>
            <w:tcW w:w="2280" w:type="dxa"/>
            <w:vAlign w:val="bottom"/>
            <w:gridSpan w:val="2"/>
            <w:shd w:val="clear" w:color="auto" w:fill="D1D2D4"/>
          </w:tcPr>
          <w:p>
            <w:pPr>
              <w:ind w:left="380"/>
              <w:spacing w:after="0"/>
              <w:rPr>
                <w:sz w:val="20"/>
                <w:szCs w:val="20"/>
                <w:color w:val="auto"/>
              </w:rPr>
            </w:pPr>
            <w:r>
              <w:rPr>
                <w:rFonts w:ascii="Arial" w:cs="Arial" w:eastAsia="Arial" w:hAnsi="Arial"/>
                <w:sz w:val="12"/>
                <w:szCs w:val="12"/>
                <w:color w:val="auto"/>
              </w:rPr>
              <w:t>— January 4, 2024</w:t>
            </w:r>
          </w:p>
        </w:tc>
        <w:tc>
          <w:tcPr>
            <w:tcW w:w="140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 $</w:t>
            </w:r>
          </w:p>
        </w:tc>
        <w:tc>
          <w:tcPr>
            <w:tcW w:w="9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2240" w:type="dxa"/>
            <w:vAlign w:val="bottom"/>
            <w:shd w:val="clear" w:color="auto" w:fill="D1D2D4"/>
          </w:tcPr>
          <w:p>
            <w:pPr>
              <w:ind w:left="2060"/>
              <w:spacing w:after="0"/>
              <w:rPr>
                <w:sz w:val="20"/>
                <w:szCs w:val="20"/>
                <w:color w:val="auto"/>
              </w:rPr>
            </w:pPr>
            <w:r>
              <w:rPr>
                <w:rFonts w:ascii="Arial" w:cs="Arial" w:eastAsia="Arial" w:hAnsi="Arial"/>
                <w:sz w:val="12"/>
                <w:szCs w:val="12"/>
                <w:color w:val="auto"/>
              </w:rPr>
              <w:t>—</w:t>
            </w:r>
          </w:p>
        </w:tc>
        <w:tc>
          <w:tcPr>
            <w:tcW w:w="316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00" w:type="dxa"/>
            <w:vAlign w:val="bottom"/>
          </w:tcPr>
          <w:p>
            <w:pPr>
              <w:spacing w:after="0"/>
              <w:rPr>
                <w:sz w:val="20"/>
                <w:szCs w:val="20"/>
                <w:color w:val="auto"/>
              </w:rPr>
            </w:pPr>
            <w:r>
              <w:rPr>
                <w:rFonts w:ascii="Arial" w:cs="Arial" w:eastAsia="Arial" w:hAnsi="Arial"/>
                <w:sz w:val="12"/>
                <w:szCs w:val="12"/>
                <w:color w:val="auto"/>
              </w:rPr>
              <w:t>January 5, 2024</w:t>
            </w:r>
          </w:p>
        </w:tc>
        <w:tc>
          <w:tcPr>
            <w:tcW w:w="540" w:type="dxa"/>
            <w:vAlign w:val="bottom"/>
          </w:tcPr>
          <w:p>
            <w:pPr>
              <w:ind w:left="420"/>
              <w:spacing w:after="0"/>
              <w:rPr>
                <w:sz w:val="20"/>
                <w:szCs w:val="20"/>
                <w:color w:val="auto"/>
              </w:rPr>
            </w:pPr>
            <w:r>
              <w:rPr>
                <w:rFonts w:ascii="Arial" w:cs="Arial" w:eastAsia="Arial" w:hAnsi="Arial"/>
                <w:sz w:val="12"/>
                <w:szCs w:val="12"/>
                <w:color w:val="auto"/>
              </w:rPr>
              <w:t>–</w:t>
            </w:r>
          </w:p>
        </w:tc>
        <w:tc>
          <w:tcPr>
            <w:tcW w:w="1740" w:type="dxa"/>
            <w:vAlign w:val="bottom"/>
          </w:tcPr>
          <w:p>
            <w:pPr>
              <w:ind w:left="20"/>
              <w:spacing w:after="0"/>
              <w:rPr>
                <w:sz w:val="20"/>
                <w:szCs w:val="20"/>
                <w:color w:val="auto"/>
              </w:rPr>
            </w:pPr>
            <w:r>
              <w:rPr>
                <w:rFonts w:ascii="Arial" w:cs="Arial" w:eastAsia="Arial" w:hAnsi="Arial"/>
                <w:sz w:val="12"/>
                <w:szCs w:val="12"/>
                <w:color w:val="auto"/>
              </w:rPr>
              <w:t>February 1, 2024</w:t>
            </w:r>
          </w:p>
        </w:tc>
        <w:tc>
          <w:tcPr>
            <w:tcW w:w="1320" w:type="dxa"/>
            <w:vAlign w:val="bottom"/>
          </w:tcPr>
          <w:p>
            <w:pPr>
              <w:jc w:val="right"/>
              <w:spacing w:after="0"/>
              <w:rPr>
                <w:sz w:val="20"/>
                <w:szCs w:val="20"/>
                <w:color w:val="auto"/>
              </w:rPr>
            </w:pPr>
            <w:r>
              <w:rPr>
                <w:rFonts w:ascii="Arial" w:cs="Arial" w:eastAsia="Arial" w:hAnsi="Arial"/>
                <w:sz w:val="12"/>
                <w:szCs w:val="12"/>
                <w:color w:val="auto"/>
              </w:rPr>
              <w:t>24,254</w:t>
            </w: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82.39</w:t>
            </w:r>
          </w:p>
        </w:tc>
        <w:tc>
          <w:tcPr>
            <w:tcW w:w="2240" w:type="dxa"/>
            <w:vAlign w:val="bottom"/>
          </w:tcPr>
          <w:p>
            <w:pPr>
              <w:ind w:left="2060"/>
              <w:spacing w:after="0"/>
              <w:rPr>
                <w:sz w:val="20"/>
                <w:szCs w:val="20"/>
                <w:color w:val="auto"/>
              </w:rPr>
            </w:pPr>
            <w:r>
              <w:rPr>
                <w:rFonts w:ascii="Arial" w:cs="Arial" w:eastAsia="Arial" w:hAnsi="Arial"/>
                <w:sz w:val="12"/>
                <w:szCs w:val="12"/>
                <w:color w:val="auto"/>
              </w:rPr>
              <w:t>—</w:t>
            </w:r>
          </w:p>
        </w:tc>
        <w:tc>
          <w:tcPr>
            <w:tcW w:w="3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300" w:type="dxa"/>
            <w:vAlign w:val="bottom"/>
            <w:shd w:val="clear" w:color="auto" w:fill="D1D2D4"/>
          </w:tcPr>
          <w:p>
            <w:pPr>
              <w:spacing w:after="0"/>
              <w:rPr>
                <w:sz w:val="20"/>
                <w:szCs w:val="20"/>
                <w:color w:val="auto"/>
              </w:rPr>
            </w:pPr>
            <w:r>
              <w:rPr>
                <w:rFonts w:ascii="Arial" w:cs="Arial" w:eastAsia="Arial" w:hAnsi="Arial"/>
                <w:sz w:val="12"/>
                <w:szCs w:val="12"/>
                <w:color w:val="auto"/>
              </w:rPr>
              <w:t>February 2, 2024</w:t>
            </w:r>
          </w:p>
        </w:tc>
        <w:tc>
          <w:tcPr>
            <w:tcW w:w="540" w:type="dxa"/>
            <w:vAlign w:val="bottom"/>
            <w:shd w:val="clear" w:color="auto" w:fill="D1D2D4"/>
          </w:tcPr>
          <w:p>
            <w:pPr>
              <w:ind w:left="420"/>
              <w:spacing w:after="0"/>
              <w:rPr>
                <w:sz w:val="20"/>
                <w:szCs w:val="20"/>
                <w:color w:val="auto"/>
              </w:rPr>
            </w:pPr>
            <w:r>
              <w:rPr>
                <w:rFonts w:ascii="Arial" w:cs="Arial" w:eastAsia="Arial" w:hAnsi="Arial"/>
                <w:sz w:val="12"/>
                <w:szCs w:val="12"/>
                <w:color w:val="auto"/>
              </w:rPr>
              <w:t>–</w:t>
            </w:r>
          </w:p>
        </w:tc>
        <w:tc>
          <w:tcPr>
            <w:tcW w:w="1740" w:type="dxa"/>
            <w:vAlign w:val="bottom"/>
            <w:shd w:val="clear" w:color="auto" w:fill="D1D2D4"/>
          </w:tcPr>
          <w:p>
            <w:pPr>
              <w:ind w:left="20"/>
              <w:spacing w:after="0"/>
              <w:rPr>
                <w:sz w:val="20"/>
                <w:szCs w:val="20"/>
                <w:color w:val="auto"/>
              </w:rPr>
            </w:pPr>
            <w:r>
              <w:rPr>
                <w:rFonts w:ascii="Arial" w:cs="Arial" w:eastAsia="Arial" w:hAnsi="Arial"/>
                <w:sz w:val="12"/>
                <w:szCs w:val="12"/>
                <w:color w:val="auto"/>
              </w:rPr>
              <w:t>February 29, 2024</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D1D2D4"/>
          </w:tcPr>
          <w:p>
            <w:pPr>
              <w:spacing w:after="0"/>
              <w:rPr>
                <w:sz w:val="13"/>
                <w:szCs w:val="13"/>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2240" w:type="dxa"/>
            <w:vAlign w:val="bottom"/>
            <w:tcBorders>
              <w:bottom w:val="single" w:sz="8" w:color="auto"/>
            </w:tcBorders>
            <w:shd w:val="clear" w:color="auto" w:fill="D1D2D4"/>
          </w:tcPr>
          <w:p>
            <w:pPr>
              <w:ind w:left="2060"/>
              <w:spacing w:after="0"/>
              <w:rPr>
                <w:sz w:val="20"/>
                <w:szCs w:val="20"/>
                <w:color w:val="auto"/>
              </w:rPr>
            </w:pPr>
            <w:r>
              <w:rPr>
                <w:rFonts w:ascii="Arial" w:cs="Arial" w:eastAsia="Arial" w:hAnsi="Arial"/>
                <w:sz w:val="12"/>
                <w:szCs w:val="12"/>
                <w:color w:val="auto"/>
              </w:rPr>
              <w:t>—</w:t>
            </w:r>
          </w:p>
        </w:tc>
        <w:tc>
          <w:tcPr>
            <w:tcW w:w="316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24,254</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82.39</w:t>
            </w:r>
          </w:p>
        </w:tc>
        <w:tc>
          <w:tcPr>
            <w:tcW w:w="2240" w:type="dxa"/>
            <w:vAlign w:val="bottom"/>
            <w:tcBorders>
              <w:bottom w:val="single" w:sz="8" w:color="auto"/>
            </w:tcBorders>
          </w:tcPr>
          <w:p>
            <w:pPr>
              <w:ind w:left="2060"/>
              <w:spacing w:after="0"/>
              <w:rPr>
                <w:sz w:val="20"/>
                <w:szCs w:val="20"/>
                <w:color w:val="auto"/>
              </w:rPr>
            </w:pPr>
            <w:r>
              <w:rPr>
                <w:rFonts w:ascii="Arial" w:cs="Arial" w:eastAsia="Arial" w:hAnsi="Arial"/>
                <w:sz w:val="12"/>
                <w:szCs w:val="12"/>
                <w:color w:val="auto"/>
              </w:rPr>
              <w:t>—</w:t>
            </w:r>
          </w:p>
        </w:tc>
        <w:tc>
          <w:tcPr>
            <w:tcW w:w="3160" w:type="dxa"/>
            <w:vAlign w:val="bottom"/>
          </w:tcPr>
          <w:p>
            <w:pPr>
              <w:jc w:val="right"/>
              <w:spacing w:after="0"/>
              <w:rPr>
                <w:sz w:val="20"/>
                <w:szCs w:val="20"/>
                <w:color w:val="auto"/>
              </w:rPr>
            </w:pPr>
            <w:r>
              <w:rPr>
                <w:rFonts w:ascii="Arial" w:cs="Arial" w:eastAsia="Arial" w:hAnsi="Arial"/>
                <w:sz w:val="12"/>
                <w:szCs w:val="12"/>
                <w:color w:val="auto"/>
              </w:rPr>
              <w:t>$3,106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31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56</w:t>
            </w:r>
          </w:p>
        </w:tc>
        <w:tc>
          <w:tcPr>
            <w:tcW w:w="0" w:type="dxa"/>
            <w:vAlign w:val="bottom"/>
          </w:tcPr>
          <w:p>
            <w:pPr>
              <w:spacing w:after="0" w:line="20" w:lineRule="exact"/>
              <w:rPr>
                <w:sz w:val="1"/>
                <w:szCs w:val="1"/>
                <w:color w:val="auto"/>
              </w:rPr>
            </w:pPr>
          </w:p>
        </w:tc>
      </w:tr>
      <w:tr>
        <w:trPr>
          <w:trHeight w:val="745"/>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74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2240" w:type="dxa"/>
            <w:vAlign w:val="bottom"/>
            <w:tcBorders>
              <w:bottom w:val="single" w:sz="8" w:color="9A9A9A"/>
            </w:tcBorders>
          </w:tcPr>
          <w:p>
            <w:pPr>
              <w:spacing w:after="0"/>
              <w:rPr>
                <w:sz w:val="5"/>
                <w:szCs w:val="5"/>
                <w:color w:val="auto"/>
              </w:rPr>
            </w:pPr>
          </w:p>
        </w:tc>
        <w:tc>
          <w:tcPr>
            <w:tcW w:w="316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6635750</wp:posOffset>
            </wp:positionH>
            <wp:positionV relativeFrom="paragraph">
              <wp:posOffset>-216535</wp:posOffset>
            </wp:positionV>
            <wp:extent cx="440055" cy="1200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40055" cy="120015"/>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6" w:name="page57"/>
    <w:bookmarkEnd w:id="56"/>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Securities Trading Plans of Directors and Executive Officers</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The following officer, as defined in Rule 16a-1(f) of the Exchange Act, adopted a “Rule 10b5-1 trading arrangement,” as defined in Item 408 of Regulation S-K, as follows:</w:t>
      </w:r>
    </w:p>
    <w:p>
      <w:pPr>
        <w:spacing w:after="0" w:line="159" w:lineRule="exact"/>
        <w:rPr>
          <w:sz w:val="20"/>
          <w:szCs w:val="20"/>
          <w:color w:val="auto"/>
        </w:rPr>
      </w:pPr>
    </w:p>
    <w:p>
      <w:pPr>
        <w:ind w:right="80"/>
        <w:spacing w:after="0" w:line="259" w:lineRule="auto"/>
        <w:rPr>
          <w:sz w:val="20"/>
          <w:szCs w:val="20"/>
          <w:color w:val="auto"/>
        </w:rPr>
      </w:pPr>
      <w:r>
        <w:rPr>
          <w:rFonts w:ascii="Arial" w:cs="Arial" w:eastAsia="Arial" w:hAnsi="Arial"/>
          <w:sz w:val="11"/>
          <w:szCs w:val="11"/>
          <w:color w:val="auto"/>
        </w:rPr>
        <w:t>On January 30, 2024, Scott DeBoer, our Executive Vice President, Technology and Products, adopted a Rule 10b5-1 trading arrangement providing for the sale of an aggregate of up to 40,000 shares of our common stock acquired by Mr. DeBoer pursuant to our Restricted Stock Awards. The trading arrangement is intended to satisfy the affirmative defense in Rule 10b5-1(c). The first date that sales of any shares are</w:t>
      </w:r>
    </w:p>
    <w:p>
      <w:pPr>
        <w:ind w:right="540"/>
        <w:spacing w:after="0" w:line="249" w:lineRule="auto"/>
        <w:rPr>
          <w:sz w:val="20"/>
          <w:szCs w:val="20"/>
          <w:color w:val="auto"/>
        </w:rPr>
      </w:pPr>
      <w:r>
        <w:rPr>
          <w:rFonts w:ascii="Arial" w:cs="Arial" w:eastAsia="Arial" w:hAnsi="Arial"/>
          <w:sz w:val="12"/>
          <w:szCs w:val="12"/>
          <w:color w:val="auto"/>
        </w:rPr>
        <w:t>permitted to be sold under the trading arrangement will be May 1, 2024, and subsequent sales under the trading arrangement may occur on a regular basis for the duration of the trading arrangement until January 30, 2025, or earlier if all transactions under the trading arrangement are completed.</w:t>
      </w:r>
    </w:p>
    <w:p>
      <w:pPr>
        <w:spacing w:after="0" w:line="134" w:lineRule="exact"/>
        <w:rPr>
          <w:sz w:val="20"/>
          <w:szCs w:val="20"/>
          <w:color w:val="auto"/>
        </w:rPr>
      </w:pPr>
    </w:p>
    <w:p>
      <w:pPr>
        <w:ind w:right="240"/>
        <w:spacing w:after="0" w:line="270" w:lineRule="auto"/>
        <w:rPr>
          <w:sz w:val="20"/>
          <w:szCs w:val="20"/>
          <w:color w:val="auto"/>
        </w:rPr>
      </w:pPr>
      <w:r>
        <w:rPr>
          <w:rFonts w:ascii="Arial" w:cs="Arial" w:eastAsia="Arial" w:hAnsi="Arial"/>
          <w:sz w:val="12"/>
          <w:szCs w:val="12"/>
          <w:color w:val="auto"/>
        </w:rPr>
        <w:t>No other officers or directors, as defined in Rule 16a-1(f), adopted and/or terminated a “Rule 10b5-1 trading arrangement” or a “non-Rule 10b5-1 trading arrangement,” as defined in Item 408 of Regulation S-K, during the last fiscal quarter.</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57 | 2024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26"/>
        </w:trPr>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40" w:type="dxa"/>
            <w:vAlign w:val="bottom"/>
            <w:gridSpan w:val="2"/>
          </w:tcPr>
          <w:p>
            <w:pPr>
              <w:ind w:left="440"/>
              <w:spacing w:after="0"/>
              <w:rPr>
                <w:sz w:val="20"/>
                <w:szCs w:val="20"/>
                <w:color w:val="auto"/>
              </w:rPr>
            </w:pPr>
            <w:r>
              <w:rPr>
                <w:rFonts w:ascii="Arial" w:cs="Arial" w:eastAsia="Arial" w:hAnsi="Arial"/>
                <w:sz w:val="11"/>
                <w:szCs w:val="11"/>
                <w:b w:val="1"/>
                <w:bCs w:val="1"/>
                <w:color w:val="BD03F7"/>
                <w:w w:val="94"/>
              </w:rPr>
              <w:t>Table of Contents</w:t>
            </w:r>
          </w:p>
        </w:tc>
      </w:tr>
      <w:tr>
        <w:trPr>
          <w:trHeight w:val="624"/>
        </w:trPr>
        <w:tc>
          <w:tcPr>
            <w:tcW w:w="6580" w:type="dxa"/>
            <w:vAlign w:val="bottom"/>
            <w:gridSpan w:val="12"/>
          </w:tcPr>
          <w:p>
            <w:pPr>
              <w:spacing w:after="0"/>
              <w:rPr>
                <w:sz w:val="20"/>
                <w:szCs w:val="20"/>
                <w:color w:val="auto"/>
              </w:rPr>
            </w:pPr>
            <w:r>
              <w:rPr>
                <w:rFonts w:ascii="Arial" w:cs="Arial" w:eastAsia="Arial" w:hAnsi="Arial"/>
                <w:sz w:val="17"/>
                <w:szCs w:val="17"/>
                <w:b w:val="1"/>
                <w:bCs w:val="1"/>
                <w:color w:val="auto"/>
              </w:rPr>
              <w:t>ITEM 6. EXHIBITS</w:t>
            </w:r>
          </w:p>
        </w:tc>
        <w:tc>
          <w:tcPr>
            <w:tcW w:w="1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Borders>
              <w:top w:val="single" w:sz="8" w:color="BD03F7"/>
            </w:tcBorders>
          </w:tcPr>
          <w:p>
            <w:pPr>
              <w:spacing w:after="0"/>
              <w:rPr>
                <w:sz w:val="24"/>
                <w:szCs w:val="24"/>
                <w:color w:val="auto"/>
              </w:rPr>
            </w:pPr>
          </w:p>
        </w:tc>
      </w:tr>
      <w:tr>
        <w:trPr>
          <w:trHeight w:val="157"/>
        </w:trPr>
        <w:tc>
          <w:tcPr>
            <w:tcW w:w="9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Exhibit Number</w:t>
            </w:r>
          </w:p>
        </w:tc>
        <w:tc>
          <w:tcPr>
            <w:tcW w:w="5600" w:type="dxa"/>
            <w:vAlign w:val="bottom"/>
            <w:tcBorders>
              <w:bottom w:val="single" w:sz="8" w:color="auto"/>
            </w:tcBorders>
            <w:gridSpan w:val="11"/>
          </w:tcPr>
          <w:p>
            <w:pPr>
              <w:spacing w:after="0"/>
              <w:rPr>
                <w:sz w:val="20"/>
                <w:szCs w:val="20"/>
                <w:color w:val="auto"/>
              </w:rPr>
            </w:pPr>
            <w:r>
              <w:rPr>
                <w:rFonts w:ascii="Arial" w:cs="Arial" w:eastAsia="Arial" w:hAnsi="Arial"/>
                <w:sz w:val="12"/>
                <w:szCs w:val="12"/>
                <w:b w:val="1"/>
                <w:bCs w:val="1"/>
                <w:color w:val="auto"/>
              </w:rPr>
              <w:t>Description of Exhibit</w:t>
            </w: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Filed Herewith   Form</w:t>
            </w:r>
          </w:p>
        </w:tc>
        <w:tc>
          <w:tcPr>
            <w:tcW w:w="3160" w:type="dxa"/>
            <w:vAlign w:val="bottom"/>
            <w:tcBorders>
              <w:bottom w:val="single" w:sz="8" w:color="auto"/>
            </w:tcBorders>
            <w:gridSpan w:val="3"/>
          </w:tcPr>
          <w:p>
            <w:pPr>
              <w:ind w:left="260"/>
              <w:spacing w:after="0"/>
              <w:rPr>
                <w:sz w:val="20"/>
                <w:szCs w:val="20"/>
                <w:color w:val="auto"/>
              </w:rPr>
            </w:pPr>
            <w:r>
              <w:rPr>
                <w:rFonts w:ascii="Arial" w:cs="Arial" w:eastAsia="Arial" w:hAnsi="Arial"/>
                <w:sz w:val="12"/>
                <w:szCs w:val="12"/>
                <w:b w:val="1"/>
                <w:bCs w:val="1"/>
                <w:color w:val="auto"/>
              </w:rPr>
              <w:t>Period Ending  Exhibit/ Appendix Filing Date</w:t>
            </w:r>
          </w:p>
        </w:tc>
      </w:tr>
      <w:tr>
        <w:trPr>
          <w:trHeight w:val="122"/>
        </w:trPr>
        <w:tc>
          <w:tcPr>
            <w:tcW w:w="980" w:type="dxa"/>
            <w:vAlign w:val="bottom"/>
            <w:shd w:val="clear" w:color="auto" w:fill="D1D2D4"/>
          </w:tcPr>
          <w:p>
            <w:pPr>
              <w:spacing w:after="0" w:line="115" w:lineRule="exact"/>
              <w:rPr>
                <w:sz w:val="20"/>
                <w:szCs w:val="20"/>
                <w:color w:val="auto"/>
              </w:rPr>
            </w:pPr>
            <w:r>
              <w:rPr>
                <w:rFonts w:ascii="Arial" w:cs="Arial" w:eastAsia="Arial" w:hAnsi="Arial"/>
                <w:sz w:val="12"/>
                <w:szCs w:val="12"/>
                <w:color w:val="auto"/>
              </w:rPr>
              <w:t>3.1</w:t>
            </w:r>
          </w:p>
        </w:tc>
        <w:tc>
          <w:tcPr>
            <w:tcW w:w="5600" w:type="dxa"/>
            <w:vAlign w:val="bottom"/>
            <w:gridSpan w:val="11"/>
            <w:shd w:val="clear" w:color="auto" w:fill="D1D2D4"/>
          </w:tcPr>
          <w:p>
            <w:pPr>
              <w:spacing w:after="0" w:line="115" w:lineRule="exact"/>
              <w:rPr>
                <w:rFonts w:ascii="Arial" w:cs="Arial" w:eastAsia="Arial" w:hAnsi="Arial"/>
                <w:sz w:val="12"/>
                <w:szCs w:val="12"/>
                <w:color w:val="auto"/>
              </w:rPr>
            </w:pPr>
            <w:hyperlink r:id="rId102">
              <w:r>
                <w:rPr>
                  <w:rFonts w:ascii="Arial" w:cs="Arial" w:eastAsia="Arial" w:hAnsi="Arial"/>
                  <w:sz w:val="12"/>
                  <w:szCs w:val="12"/>
                  <w:color w:val="auto"/>
                </w:rPr>
                <w:t>Restated Certificate of Incorporation of the Registrant</w:t>
              </w:r>
            </w:hyperlink>
          </w:p>
        </w:tc>
        <w:tc>
          <w:tcPr>
            <w:tcW w:w="1560" w:type="dxa"/>
            <w:vAlign w:val="bottom"/>
            <w:shd w:val="clear" w:color="auto" w:fill="D1D2D4"/>
          </w:tcPr>
          <w:p>
            <w:pPr>
              <w:ind w:left="1020"/>
              <w:spacing w:after="0" w:line="115" w:lineRule="exact"/>
              <w:rPr>
                <w:sz w:val="20"/>
                <w:szCs w:val="20"/>
                <w:color w:val="auto"/>
              </w:rPr>
            </w:pPr>
            <w:r>
              <w:rPr>
                <w:rFonts w:ascii="Arial" w:cs="Arial" w:eastAsia="Arial" w:hAnsi="Arial"/>
                <w:sz w:val="12"/>
                <w:szCs w:val="12"/>
                <w:color w:val="auto"/>
              </w:rPr>
              <w:t>8-K</w:t>
            </w:r>
          </w:p>
        </w:tc>
        <w:tc>
          <w:tcPr>
            <w:tcW w:w="1820" w:type="dxa"/>
            <w:vAlign w:val="bottom"/>
            <w:shd w:val="clear" w:color="auto" w:fill="D1D2D4"/>
          </w:tcPr>
          <w:p>
            <w:pPr>
              <w:ind w:left="1180"/>
              <w:spacing w:after="0" w:line="115" w:lineRule="exact"/>
              <w:rPr>
                <w:sz w:val="20"/>
                <w:szCs w:val="20"/>
                <w:color w:val="auto"/>
              </w:rPr>
            </w:pPr>
            <w:r>
              <w:rPr>
                <w:rFonts w:ascii="Arial" w:cs="Arial" w:eastAsia="Arial" w:hAnsi="Arial"/>
                <w:sz w:val="12"/>
                <w:szCs w:val="12"/>
                <w:color w:val="auto"/>
              </w:rPr>
              <w:t>99.2</w:t>
            </w:r>
          </w:p>
        </w:tc>
        <w:tc>
          <w:tcPr>
            <w:tcW w:w="1340" w:type="dxa"/>
            <w:vAlign w:val="bottom"/>
            <w:gridSpan w:val="2"/>
            <w:shd w:val="clear" w:color="auto" w:fill="D1D2D4"/>
          </w:tcPr>
          <w:p>
            <w:pPr>
              <w:ind w:left="420"/>
              <w:spacing w:after="0" w:line="115" w:lineRule="exact"/>
              <w:rPr>
                <w:sz w:val="20"/>
                <w:szCs w:val="20"/>
                <w:color w:val="auto"/>
              </w:rPr>
            </w:pPr>
            <w:r>
              <w:rPr>
                <w:rFonts w:ascii="Arial" w:cs="Arial" w:eastAsia="Arial" w:hAnsi="Arial"/>
                <w:sz w:val="12"/>
                <w:szCs w:val="12"/>
                <w:color w:val="auto"/>
              </w:rPr>
              <w:t>1/26/15</w:t>
            </w:r>
          </w:p>
        </w:tc>
      </w:tr>
      <w:tr>
        <w:trPr>
          <w:trHeight w:val="126"/>
        </w:trPr>
        <w:tc>
          <w:tcPr>
            <w:tcW w:w="980" w:type="dxa"/>
            <w:vAlign w:val="bottom"/>
            <w:tcBorders>
              <w:top w:val="single" w:sz="8" w:color="D1D2D4"/>
            </w:tcBorders>
          </w:tcPr>
          <w:p>
            <w:pPr>
              <w:spacing w:after="0" w:line="126" w:lineRule="exact"/>
              <w:rPr>
                <w:sz w:val="20"/>
                <w:szCs w:val="20"/>
                <w:color w:val="auto"/>
              </w:rPr>
            </w:pPr>
            <w:r>
              <w:rPr>
                <w:rFonts w:ascii="Arial" w:cs="Arial" w:eastAsia="Arial" w:hAnsi="Arial"/>
                <w:sz w:val="12"/>
                <w:szCs w:val="12"/>
                <w:color w:val="auto"/>
              </w:rPr>
              <w:t>3.2</w:t>
            </w:r>
          </w:p>
        </w:tc>
        <w:tc>
          <w:tcPr>
            <w:tcW w:w="2840" w:type="dxa"/>
            <w:vAlign w:val="bottom"/>
            <w:tcBorders>
              <w:top w:val="single" w:sz="8" w:color="auto"/>
            </w:tcBorders>
            <w:gridSpan w:val="3"/>
          </w:tcPr>
          <w:p>
            <w:pPr>
              <w:spacing w:after="0" w:line="126" w:lineRule="exact"/>
              <w:rPr>
                <w:rFonts w:ascii="Arial" w:cs="Arial" w:eastAsia="Arial" w:hAnsi="Arial"/>
                <w:sz w:val="12"/>
                <w:szCs w:val="12"/>
                <w:color w:val="auto"/>
              </w:rPr>
            </w:pPr>
            <w:hyperlink r:id="rId103">
              <w:r>
                <w:rPr>
                  <w:rFonts w:ascii="Arial" w:cs="Arial" w:eastAsia="Arial" w:hAnsi="Arial"/>
                  <w:sz w:val="12"/>
                  <w:szCs w:val="12"/>
                  <w:color w:val="auto"/>
                </w:rPr>
                <w:t>Amended and Restated Bylaws of the Registrant</w:t>
              </w:r>
            </w:hyperlink>
          </w:p>
        </w:tc>
        <w:tc>
          <w:tcPr>
            <w:tcW w:w="2760" w:type="dxa"/>
            <w:vAlign w:val="bottom"/>
            <w:tcBorders>
              <w:top w:val="single" w:sz="8" w:color="D1D2D4"/>
            </w:tcBorders>
            <w:gridSpan w:val="8"/>
          </w:tcPr>
          <w:p>
            <w:pPr>
              <w:spacing w:after="0"/>
              <w:rPr>
                <w:sz w:val="10"/>
                <w:szCs w:val="10"/>
                <w:color w:val="auto"/>
              </w:rPr>
            </w:pPr>
          </w:p>
        </w:tc>
        <w:tc>
          <w:tcPr>
            <w:tcW w:w="1560" w:type="dxa"/>
            <w:vAlign w:val="bottom"/>
            <w:tcBorders>
              <w:top w:val="single" w:sz="8" w:color="D1D2D4"/>
            </w:tcBorders>
          </w:tcPr>
          <w:p>
            <w:pPr>
              <w:ind w:left="1020"/>
              <w:spacing w:after="0" w:line="126" w:lineRule="exact"/>
              <w:rPr>
                <w:sz w:val="20"/>
                <w:szCs w:val="20"/>
                <w:color w:val="auto"/>
              </w:rPr>
            </w:pPr>
            <w:r>
              <w:rPr>
                <w:rFonts w:ascii="Arial" w:cs="Arial" w:eastAsia="Arial" w:hAnsi="Arial"/>
                <w:sz w:val="12"/>
                <w:szCs w:val="12"/>
                <w:color w:val="auto"/>
              </w:rPr>
              <w:t>8-K</w:t>
            </w:r>
          </w:p>
        </w:tc>
        <w:tc>
          <w:tcPr>
            <w:tcW w:w="1820" w:type="dxa"/>
            <w:vAlign w:val="bottom"/>
            <w:tcBorders>
              <w:top w:val="single" w:sz="8" w:color="D1D2D4"/>
            </w:tcBorders>
          </w:tcPr>
          <w:p>
            <w:pPr>
              <w:ind w:left="1180"/>
              <w:spacing w:after="0" w:line="126" w:lineRule="exact"/>
              <w:rPr>
                <w:sz w:val="20"/>
                <w:szCs w:val="20"/>
                <w:color w:val="auto"/>
              </w:rPr>
            </w:pPr>
            <w:r>
              <w:rPr>
                <w:rFonts w:ascii="Arial" w:cs="Arial" w:eastAsia="Arial" w:hAnsi="Arial"/>
                <w:sz w:val="12"/>
                <w:szCs w:val="12"/>
                <w:color w:val="auto"/>
              </w:rPr>
              <w:t>3.1</w:t>
            </w:r>
          </w:p>
        </w:tc>
        <w:tc>
          <w:tcPr>
            <w:tcW w:w="1340" w:type="dxa"/>
            <w:vAlign w:val="bottom"/>
            <w:tcBorders>
              <w:top w:val="single" w:sz="8" w:color="D1D2D4"/>
            </w:tcBorders>
            <w:gridSpan w:val="2"/>
          </w:tcPr>
          <w:p>
            <w:pPr>
              <w:ind w:left="420"/>
              <w:spacing w:after="0" w:line="126" w:lineRule="exact"/>
              <w:rPr>
                <w:sz w:val="20"/>
                <w:szCs w:val="20"/>
                <w:color w:val="auto"/>
              </w:rPr>
            </w:pPr>
            <w:r>
              <w:rPr>
                <w:rFonts w:ascii="Arial" w:cs="Arial" w:eastAsia="Arial" w:hAnsi="Arial"/>
                <w:sz w:val="12"/>
                <w:szCs w:val="12"/>
                <w:color w:val="auto"/>
              </w:rPr>
              <w:t>3/11/24</w:t>
            </w:r>
          </w:p>
        </w:tc>
      </w:tr>
      <w:tr>
        <w:trPr>
          <w:trHeight w:val="27"/>
        </w:trPr>
        <w:tc>
          <w:tcPr>
            <w:tcW w:w="9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6"/>
        </w:trPr>
        <w:tc>
          <w:tcPr>
            <w:tcW w:w="980" w:type="dxa"/>
            <w:vAlign w:val="bottom"/>
            <w:shd w:val="clear" w:color="auto" w:fill="D1D2D4"/>
          </w:tcPr>
          <w:p>
            <w:pPr>
              <w:spacing w:after="0" w:line="126" w:lineRule="exact"/>
              <w:rPr>
                <w:sz w:val="20"/>
                <w:szCs w:val="20"/>
                <w:color w:val="auto"/>
              </w:rPr>
            </w:pPr>
            <w:r>
              <w:rPr>
                <w:rFonts w:ascii="Arial" w:cs="Arial" w:eastAsia="Arial" w:hAnsi="Arial"/>
                <w:sz w:val="12"/>
                <w:szCs w:val="12"/>
                <w:color w:val="auto"/>
              </w:rPr>
              <w:t>4.1</w:t>
            </w:r>
          </w:p>
        </w:tc>
        <w:tc>
          <w:tcPr>
            <w:tcW w:w="5600" w:type="dxa"/>
            <w:vAlign w:val="bottom"/>
            <w:gridSpan w:val="11"/>
            <w:shd w:val="clear" w:color="auto" w:fill="D1D2D4"/>
          </w:tcPr>
          <w:p>
            <w:pPr>
              <w:spacing w:after="0" w:line="126" w:lineRule="exact"/>
              <w:rPr>
                <w:rFonts w:ascii="Arial" w:cs="Arial" w:eastAsia="Arial" w:hAnsi="Arial"/>
                <w:sz w:val="12"/>
                <w:szCs w:val="12"/>
                <w:color w:val="auto"/>
              </w:rPr>
            </w:pPr>
            <w:hyperlink r:id="rId104">
              <w:r>
                <w:rPr>
                  <w:rFonts w:ascii="Arial" w:cs="Arial" w:eastAsia="Arial" w:hAnsi="Arial"/>
                  <w:sz w:val="12"/>
                  <w:szCs w:val="12"/>
                  <w:color w:val="auto"/>
                </w:rPr>
                <w:t>Indenture, dated February 6, 2019, by and between Micron Technology, Inc. and U.S. Bank Trust</w:t>
              </w:r>
            </w:hyperlink>
          </w:p>
        </w:tc>
        <w:tc>
          <w:tcPr>
            <w:tcW w:w="1560" w:type="dxa"/>
            <w:vAlign w:val="bottom"/>
            <w:shd w:val="clear" w:color="auto" w:fill="D1D2D4"/>
          </w:tcPr>
          <w:p>
            <w:pPr>
              <w:ind w:left="1020"/>
              <w:spacing w:after="0" w:line="126" w:lineRule="exact"/>
              <w:rPr>
                <w:sz w:val="20"/>
                <w:szCs w:val="20"/>
                <w:color w:val="auto"/>
              </w:rPr>
            </w:pPr>
            <w:r>
              <w:rPr>
                <w:rFonts w:ascii="Arial" w:cs="Arial" w:eastAsia="Arial" w:hAnsi="Arial"/>
                <w:sz w:val="12"/>
                <w:szCs w:val="12"/>
                <w:color w:val="auto"/>
              </w:rPr>
              <w:t>8-K</w:t>
            </w:r>
          </w:p>
        </w:tc>
        <w:tc>
          <w:tcPr>
            <w:tcW w:w="1820" w:type="dxa"/>
            <w:vAlign w:val="bottom"/>
            <w:shd w:val="clear" w:color="auto" w:fill="D1D2D4"/>
          </w:tcPr>
          <w:p>
            <w:pPr>
              <w:ind w:left="1180"/>
              <w:spacing w:after="0" w:line="126" w:lineRule="exact"/>
              <w:rPr>
                <w:sz w:val="20"/>
                <w:szCs w:val="20"/>
                <w:color w:val="auto"/>
              </w:rPr>
            </w:pPr>
            <w:r>
              <w:rPr>
                <w:rFonts w:ascii="Arial" w:cs="Arial" w:eastAsia="Arial" w:hAnsi="Arial"/>
                <w:sz w:val="12"/>
                <w:szCs w:val="12"/>
                <w:color w:val="auto"/>
              </w:rPr>
              <w:t>4.1</w:t>
            </w:r>
          </w:p>
        </w:tc>
        <w:tc>
          <w:tcPr>
            <w:tcW w:w="1340" w:type="dxa"/>
            <w:vAlign w:val="bottom"/>
            <w:gridSpan w:val="2"/>
            <w:shd w:val="clear" w:color="auto" w:fill="D1D2D4"/>
          </w:tcPr>
          <w:p>
            <w:pPr>
              <w:ind w:left="420"/>
              <w:spacing w:after="0" w:line="126" w:lineRule="exact"/>
              <w:rPr>
                <w:sz w:val="20"/>
                <w:szCs w:val="20"/>
                <w:color w:val="auto"/>
              </w:rPr>
            </w:pPr>
            <w:r>
              <w:rPr>
                <w:rFonts w:ascii="Arial" w:cs="Arial" w:eastAsia="Arial" w:hAnsi="Arial"/>
                <w:sz w:val="12"/>
                <w:szCs w:val="12"/>
                <w:color w:val="auto"/>
              </w:rPr>
              <w:t>2/6/19</w:t>
            </w:r>
          </w:p>
        </w:tc>
      </w:tr>
      <w:tr>
        <w:trPr>
          <w:trHeight w:val="113"/>
        </w:trPr>
        <w:tc>
          <w:tcPr>
            <w:tcW w:w="980" w:type="dxa"/>
            <w:vAlign w:val="bottom"/>
            <w:tcBorders>
              <w:top w:val="single" w:sz="8" w:color="D1D2D4"/>
              <w:bottom w:val="single" w:sz="8" w:color="D1D2D4"/>
            </w:tcBorders>
            <w:shd w:val="clear" w:color="auto" w:fill="D1D2D4"/>
          </w:tcPr>
          <w:p>
            <w:pPr>
              <w:spacing w:after="0"/>
              <w:rPr>
                <w:sz w:val="9"/>
                <w:szCs w:val="9"/>
                <w:color w:val="auto"/>
              </w:rPr>
            </w:pPr>
          </w:p>
        </w:tc>
        <w:tc>
          <w:tcPr>
            <w:tcW w:w="5120" w:type="dxa"/>
            <w:vAlign w:val="bottom"/>
            <w:tcBorders>
              <w:top w:val="single" w:sz="8" w:color="auto"/>
              <w:bottom w:val="single" w:sz="8" w:color="auto"/>
            </w:tcBorders>
            <w:gridSpan w:val="7"/>
            <w:shd w:val="clear" w:color="auto" w:fill="D1D2D4"/>
          </w:tcPr>
          <w:p>
            <w:pPr>
              <w:spacing w:after="0" w:line="106" w:lineRule="exact"/>
              <w:rPr>
                <w:rFonts w:ascii="Arial" w:cs="Arial" w:eastAsia="Arial" w:hAnsi="Arial"/>
                <w:sz w:val="12"/>
                <w:szCs w:val="12"/>
                <w:color w:val="auto"/>
              </w:rPr>
            </w:pPr>
            <w:hyperlink r:id="rId104">
              <w:r>
                <w:rPr>
                  <w:rFonts w:ascii="Arial" w:cs="Arial" w:eastAsia="Arial" w:hAnsi="Arial"/>
                  <w:sz w:val="12"/>
                  <w:szCs w:val="12"/>
                  <w:color w:val="auto"/>
                </w:rPr>
                <w:t>Company, National Association (as successor in interest to U.S. Bank National Association), as</w:t>
              </w:r>
            </w:hyperlink>
          </w:p>
        </w:tc>
        <w:tc>
          <w:tcPr>
            <w:tcW w:w="360" w:type="dxa"/>
            <w:vAlign w:val="bottom"/>
            <w:tcBorders>
              <w:top w:val="single" w:sz="8" w:color="D1D2D4"/>
              <w:bottom w:val="single" w:sz="8" w:color="auto"/>
            </w:tcBorders>
            <w:gridSpan w:val="2"/>
            <w:shd w:val="clear" w:color="auto" w:fill="D1D2D4"/>
          </w:tcPr>
          <w:p>
            <w:pPr>
              <w:spacing w:after="0" w:line="106" w:lineRule="exact"/>
              <w:rPr>
                <w:rFonts w:ascii="Arial" w:cs="Arial" w:eastAsia="Arial" w:hAnsi="Arial"/>
                <w:sz w:val="12"/>
                <w:szCs w:val="12"/>
                <w:color w:val="auto"/>
                <w:w w:val="83"/>
              </w:rPr>
            </w:pPr>
            <w:hyperlink r:id="rId104">
              <w:r>
                <w:rPr>
                  <w:rFonts w:ascii="Arial" w:cs="Arial" w:eastAsia="Arial" w:hAnsi="Arial"/>
                  <w:sz w:val="12"/>
                  <w:szCs w:val="12"/>
                  <w:color w:val="auto"/>
                  <w:w w:val="83"/>
                </w:rPr>
                <w:t>Trustee</w:t>
              </w:r>
            </w:hyperlink>
          </w:p>
        </w:tc>
        <w:tc>
          <w:tcPr>
            <w:tcW w:w="120" w:type="dxa"/>
            <w:vAlign w:val="bottom"/>
            <w:tcBorders>
              <w:top w:val="single" w:sz="8" w:color="D1D2D4"/>
              <w:bottom w:val="single" w:sz="8" w:color="D1D2D4"/>
            </w:tcBorders>
            <w:gridSpan w:val="2"/>
            <w:shd w:val="clear" w:color="auto" w:fill="D1D2D4"/>
          </w:tcPr>
          <w:p>
            <w:pPr>
              <w:spacing w:after="0"/>
              <w:rPr>
                <w:sz w:val="9"/>
                <w:szCs w:val="9"/>
                <w:color w:val="auto"/>
              </w:rPr>
            </w:pPr>
          </w:p>
        </w:tc>
        <w:tc>
          <w:tcPr>
            <w:tcW w:w="1560" w:type="dxa"/>
            <w:vAlign w:val="bottom"/>
            <w:tcBorders>
              <w:top w:val="single" w:sz="8" w:color="D1D2D4"/>
              <w:bottom w:val="single" w:sz="8" w:color="D1D2D4"/>
            </w:tcBorders>
            <w:shd w:val="clear" w:color="auto" w:fill="D1D2D4"/>
          </w:tcPr>
          <w:p>
            <w:pPr>
              <w:spacing w:after="0"/>
              <w:rPr>
                <w:sz w:val="9"/>
                <w:szCs w:val="9"/>
                <w:color w:val="auto"/>
              </w:rPr>
            </w:pPr>
          </w:p>
        </w:tc>
        <w:tc>
          <w:tcPr>
            <w:tcW w:w="1820" w:type="dxa"/>
            <w:vAlign w:val="bottom"/>
            <w:tcBorders>
              <w:top w:val="single" w:sz="8" w:color="D1D2D4"/>
              <w:bottom w:val="single" w:sz="8" w:color="D1D2D4"/>
            </w:tcBorders>
            <w:shd w:val="clear" w:color="auto" w:fill="D1D2D4"/>
          </w:tcPr>
          <w:p>
            <w:pPr>
              <w:spacing w:after="0"/>
              <w:rPr>
                <w:sz w:val="9"/>
                <w:szCs w:val="9"/>
                <w:color w:val="auto"/>
              </w:rPr>
            </w:pPr>
          </w:p>
        </w:tc>
        <w:tc>
          <w:tcPr>
            <w:tcW w:w="440" w:type="dxa"/>
            <w:vAlign w:val="bottom"/>
            <w:tcBorders>
              <w:top w:val="single" w:sz="8" w:color="D1D2D4"/>
              <w:bottom w:val="single" w:sz="8" w:color="D1D2D4"/>
            </w:tcBorders>
            <w:shd w:val="clear" w:color="auto" w:fill="D1D2D4"/>
          </w:tcPr>
          <w:p>
            <w:pPr>
              <w:spacing w:after="0"/>
              <w:rPr>
                <w:sz w:val="9"/>
                <w:szCs w:val="9"/>
                <w:color w:val="auto"/>
              </w:rPr>
            </w:pPr>
          </w:p>
        </w:tc>
        <w:tc>
          <w:tcPr>
            <w:tcW w:w="900" w:type="dxa"/>
            <w:vAlign w:val="bottom"/>
            <w:tcBorders>
              <w:top w:val="single" w:sz="8" w:color="D1D2D4"/>
              <w:bottom w:val="single" w:sz="8" w:color="D1D2D4"/>
            </w:tcBorders>
            <w:shd w:val="clear" w:color="auto" w:fill="D1D2D4"/>
          </w:tcPr>
          <w:p>
            <w:pPr>
              <w:spacing w:after="0"/>
              <w:rPr>
                <w:sz w:val="9"/>
                <w:szCs w:val="9"/>
                <w:color w:val="auto"/>
              </w:rPr>
            </w:pPr>
          </w:p>
        </w:tc>
      </w:tr>
      <w:tr>
        <w:trPr>
          <w:trHeight w:val="126"/>
        </w:trPr>
        <w:tc>
          <w:tcPr>
            <w:tcW w:w="980" w:type="dxa"/>
            <w:vAlign w:val="bottom"/>
          </w:tcPr>
          <w:p>
            <w:pPr>
              <w:spacing w:after="0" w:line="126" w:lineRule="exact"/>
              <w:rPr>
                <w:sz w:val="20"/>
                <w:szCs w:val="20"/>
                <w:color w:val="auto"/>
              </w:rPr>
            </w:pPr>
            <w:r>
              <w:rPr>
                <w:rFonts w:ascii="Arial" w:cs="Arial" w:eastAsia="Arial" w:hAnsi="Arial"/>
                <w:sz w:val="12"/>
                <w:szCs w:val="12"/>
                <w:color w:val="auto"/>
              </w:rPr>
              <w:t>4.2</w:t>
            </w:r>
          </w:p>
        </w:tc>
        <w:tc>
          <w:tcPr>
            <w:tcW w:w="5600" w:type="dxa"/>
            <w:vAlign w:val="bottom"/>
            <w:gridSpan w:val="11"/>
          </w:tcPr>
          <w:p>
            <w:pPr>
              <w:spacing w:after="0" w:line="126" w:lineRule="exact"/>
              <w:rPr>
                <w:rFonts w:ascii="Arial" w:cs="Arial" w:eastAsia="Arial" w:hAnsi="Arial"/>
                <w:sz w:val="12"/>
                <w:szCs w:val="12"/>
                <w:color w:val="auto"/>
              </w:rPr>
            </w:pPr>
            <w:hyperlink r:id="rId105">
              <w:r>
                <w:rPr>
                  <w:rFonts w:ascii="Arial" w:cs="Arial" w:eastAsia="Arial" w:hAnsi="Arial"/>
                  <w:sz w:val="12"/>
                  <w:szCs w:val="12"/>
                  <w:color w:val="auto"/>
                </w:rPr>
                <w:t>Eighth Supplemental Indenture, dated as of January 12, 2024, by and between Micron Technology, Inc.</w:t>
              </w:r>
            </w:hyperlink>
          </w:p>
        </w:tc>
        <w:tc>
          <w:tcPr>
            <w:tcW w:w="1560" w:type="dxa"/>
            <w:vAlign w:val="bottom"/>
          </w:tcPr>
          <w:p>
            <w:pPr>
              <w:ind w:left="1020"/>
              <w:spacing w:after="0" w:line="126" w:lineRule="exact"/>
              <w:rPr>
                <w:sz w:val="20"/>
                <w:szCs w:val="20"/>
                <w:color w:val="auto"/>
              </w:rPr>
            </w:pPr>
            <w:r>
              <w:rPr>
                <w:rFonts w:ascii="Arial" w:cs="Arial" w:eastAsia="Arial" w:hAnsi="Arial"/>
                <w:sz w:val="12"/>
                <w:szCs w:val="12"/>
                <w:color w:val="auto"/>
              </w:rPr>
              <w:t>8-K</w:t>
            </w:r>
          </w:p>
        </w:tc>
        <w:tc>
          <w:tcPr>
            <w:tcW w:w="1820" w:type="dxa"/>
            <w:vAlign w:val="bottom"/>
          </w:tcPr>
          <w:p>
            <w:pPr>
              <w:ind w:left="1180"/>
              <w:spacing w:after="0" w:line="126" w:lineRule="exact"/>
              <w:rPr>
                <w:sz w:val="20"/>
                <w:szCs w:val="20"/>
                <w:color w:val="auto"/>
              </w:rPr>
            </w:pPr>
            <w:r>
              <w:rPr>
                <w:rFonts w:ascii="Arial" w:cs="Arial" w:eastAsia="Arial" w:hAnsi="Arial"/>
                <w:sz w:val="12"/>
                <w:szCs w:val="12"/>
                <w:color w:val="auto"/>
              </w:rPr>
              <w:t>4.2</w:t>
            </w:r>
          </w:p>
        </w:tc>
        <w:tc>
          <w:tcPr>
            <w:tcW w:w="1340" w:type="dxa"/>
            <w:vAlign w:val="bottom"/>
            <w:gridSpan w:val="2"/>
          </w:tcPr>
          <w:p>
            <w:pPr>
              <w:ind w:left="420"/>
              <w:spacing w:after="0" w:line="126" w:lineRule="exact"/>
              <w:rPr>
                <w:sz w:val="20"/>
                <w:szCs w:val="20"/>
                <w:color w:val="auto"/>
              </w:rPr>
            </w:pPr>
            <w:r>
              <w:rPr>
                <w:rFonts w:ascii="Arial" w:cs="Arial" w:eastAsia="Arial" w:hAnsi="Arial"/>
                <w:sz w:val="12"/>
                <w:szCs w:val="12"/>
                <w:color w:val="auto"/>
              </w:rPr>
              <w:t>1/12/24</w:t>
            </w:r>
          </w:p>
        </w:tc>
      </w:tr>
      <w:tr>
        <w:trPr>
          <w:trHeight w:val="113"/>
        </w:trPr>
        <w:tc>
          <w:tcPr>
            <w:tcW w:w="980" w:type="dxa"/>
            <w:vAlign w:val="bottom"/>
          </w:tcPr>
          <w:p>
            <w:pPr>
              <w:spacing w:after="0"/>
              <w:rPr>
                <w:sz w:val="9"/>
                <w:szCs w:val="9"/>
                <w:color w:val="auto"/>
              </w:rPr>
            </w:pPr>
          </w:p>
        </w:tc>
        <w:tc>
          <w:tcPr>
            <w:tcW w:w="3400" w:type="dxa"/>
            <w:vAlign w:val="bottom"/>
            <w:tcBorders>
              <w:top w:val="single" w:sz="8" w:color="auto"/>
              <w:bottom w:val="single" w:sz="8" w:color="auto"/>
            </w:tcBorders>
            <w:gridSpan w:val="4"/>
          </w:tcPr>
          <w:p>
            <w:pPr>
              <w:spacing w:after="0" w:line="106" w:lineRule="exact"/>
              <w:rPr>
                <w:rFonts w:ascii="Arial" w:cs="Arial" w:eastAsia="Arial" w:hAnsi="Arial"/>
                <w:sz w:val="12"/>
                <w:szCs w:val="12"/>
                <w:color w:val="auto"/>
                <w:w w:val="98"/>
              </w:rPr>
            </w:pPr>
            <w:hyperlink r:id="rId105">
              <w:r>
                <w:rPr>
                  <w:rFonts w:ascii="Arial" w:cs="Arial" w:eastAsia="Arial" w:hAnsi="Arial"/>
                  <w:sz w:val="12"/>
                  <w:szCs w:val="12"/>
                  <w:color w:val="auto"/>
                  <w:w w:val="98"/>
                </w:rPr>
                <w:t>and U.S. Bank Trust Company, National Association, as Trustee</w:t>
              </w:r>
            </w:hyperlink>
          </w:p>
        </w:tc>
        <w:tc>
          <w:tcPr>
            <w:tcW w:w="2060" w:type="dxa"/>
            <w:vAlign w:val="bottom"/>
            <w:tcBorders>
              <w:top w:val="single" w:sz="8" w:color="auto"/>
            </w:tcBorders>
            <w:gridSpan w:val="4"/>
          </w:tcPr>
          <w:p>
            <w:pPr>
              <w:spacing w:after="0"/>
              <w:rPr>
                <w:sz w:val="9"/>
                <w:szCs w:val="9"/>
                <w:color w:val="auto"/>
              </w:rPr>
            </w:pPr>
          </w:p>
        </w:tc>
        <w:tc>
          <w:tcPr>
            <w:tcW w:w="1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26"/>
        </w:trPr>
        <w:tc>
          <w:tcPr>
            <w:tcW w:w="980" w:type="dxa"/>
            <w:vAlign w:val="bottom"/>
            <w:shd w:val="clear" w:color="auto" w:fill="D1D2D4"/>
          </w:tcPr>
          <w:p>
            <w:pPr>
              <w:spacing w:after="0" w:line="126" w:lineRule="exact"/>
              <w:rPr>
                <w:sz w:val="20"/>
                <w:szCs w:val="20"/>
                <w:color w:val="auto"/>
              </w:rPr>
            </w:pPr>
            <w:r>
              <w:rPr>
                <w:rFonts w:ascii="Arial" w:cs="Arial" w:eastAsia="Arial" w:hAnsi="Arial"/>
                <w:sz w:val="12"/>
                <w:szCs w:val="12"/>
                <w:color w:val="auto"/>
              </w:rPr>
              <w:t>4.3</w:t>
            </w:r>
          </w:p>
        </w:tc>
        <w:tc>
          <w:tcPr>
            <w:tcW w:w="5600" w:type="dxa"/>
            <w:vAlign w:val="bottom"/>
            <w:gridSpan w:val="11"/>
            <w:shd w:val="clear" w:color="auto" w:fill="D1D2D4"/>
          </w:tcPr>
          <w:p>
            <w:pPr>
              <w:spacing w:after="0" w:line="126" w:lineRule="exact"/>
              <w:rPr>
                <w:rFonts w:ascii="Arial" w:cs="Arial" w:eastAsia="Arial" w:hAnsi="Arial"/>
                <w:sz w:val="12"/>
                <w:szCs w:val="12"/>
                <w:color w:val="auto"/>
                <w:w w:val="99"/>
              </w:rPr>
            </w:pPr>
            <w:hyperlink r:id="rId105">
              <w:r>
                <w:rPr>
                  <w:rFonts w:ascii="Arial" w:cs="Arial" w:eastAsia="Arial" w:hAnsi="Arial"/>
                  <w:sz w:val="12"/>
                  <w:szCs w:val="12"/>
                  <w:color w:val="auto"/>
                  <w:w w:val="99"/>
                </w:rPr>
                <w:t>Form of Note for Micron Technology, Inc.’s 5.30% Senior Notes due 2031 (incorporated by reference from</w:t>
              </w:r>
            </w:hyperlink>
          </w:p>
        </w:tc>
        <w:tc>
          <w:tcPr>
            <w:tcW w:w="1560" w:type="dxa"/>
            <w:vAlign w:val="bottom"/>
            <w:shd w:val="clear" w:color="auto" w:fill="D1D2D4"/>
          </w:tcPr>
          <w:p>
            <w:pPr>
              <w:ind w:left="1020"/>
              <w:spacing w:after="0" w:line="126" w:lineRule="exact"/>
              <w:rPr>
                <w:sz w:val="20"/>
                <w:szCs w:val="20"/>
                <w:color w:val="auto"/>
              </w:rPr>
            </w:pPr>
            <w:r>
              <w:rPr>
                <w:rFonts w:ascii="Arial" w:cs="Arial" w:eastAsia="Arial" w:hAnsi="Arial"/>
                <w:sz w:val="12"/>
                <w:szCs w:val="12"/>
                <w:color w:val="auto"/>
              </w:rPr>
              <w:t>8-K</w:t>
            </w:r>
          </w:p>
        </w:tc>
        <w:tc>
          <w:tcPr>
            <w:tcW w:w="1820" w:type="dxa"/>
            <w:vAlign w:val="bottom"/>
            <w:shd w:val="clear" w:color="auto" w:fill="D1D2D4"/>
          </w:tcPr>
          <w:p>
            <w:pPr>
              <w:ind w:left="1180"/>
              <w:spacing w:after="0" w:line="126" w:lineRule="exact"/>
              <w:rPr>
                <w:sz w:val="20"/>
                <w:szCs w:val="20"/>
                <w:color w:val="auto"/>
              </w:rPr>
            </w:pPr>
            <w:r>
              <w:rPr>
                <w:rFonts w:ascii="Arial" w:cs="Arial" w:eastAsia="Arial" w:hAnsi="Arial"/>
                <w:sz w:val="12"/>
                <w:szCs w:val="12"/>
                <w:color w:val="auto"/>
              </w:rPr>
              <w:t>4.3</w:t>
            </w:r>
          </w:p>
        </w:tc>
        <w:tc>
          <w:tcPr>
            <w:tcW w:w="1340" w:type="dxa"/>
            <w:vAlign w:val="bottom"/>
            <w:gridSpan w:val="2"/>
            <w:shd w:val="clear" w:color="auto" w:fill="D1D2D4"/>
          </w:tcPr>
          <w:p>
            <w:pPr>
              <w:ind w:left="420"/>
              <w:spacing w:after="0" w:line="126" w:lineRule="exact"/>
              <w:rPr>
                <w:sz w:val="20"/>
                <w:szCs w:val="20"/>
                <w:color w:val="auto"/>
              </w:rPr>
            </w:pPr>
            <w:r>
              <w:rPr>
                <w:rFonts w:ascii="Arial" w:cs="Arial" w:eastAsia="Arial" w:hAnsi="Arial"/>
                <w:sz w:val="12"/>
                <w:szCs w:val="12"/>
                <w:color w:val="auto"/>
              </w:rPr>
              <w:t>1/12/24</w:t>
            </w:r>
          </w:p>
        </w:tc>
      </w:tr>
      <w:tr>
        <w:trPr>
          <w:trHeight w:val="106"/>
        </w:trPr>
        <w:tc>
          <w:tcPr>
            <w:tcW w:w="980" w:type="dxa"/>
            <w:vAlign w:val="bottom"/>
            <w:tcBorders>
              <w:top w:val="single" w:sz="8" w:color="D1D2D4"/>
            </w:tcBorders>
            <w:shd w:val="clear" w:color="auto" w:fill="D1D2D4"/>
          </w:tcPr>
          <w:p>
            <w:pPr>
              <w:spacing w:after="0"/>
              <w:rPr>
                <w:sz w:val="9"/>
                <w:szCs w:val="9"/>
                <w:color w:val="auto"/>
              </w:rPr>
            </w:pPr>
          </w:p>
        </w:tc>
        <w:tc>
          <w:tcPr>
            <w:tcW w:w="5580" w:type="dxa"/>
            <w:vAlign w:val="bottom"/>
            <w:tcBorders>
              <w:top w:val="single" w:sz="8" w:color="auto"/>
            </w:tcBorders>
            <w:gridSpan w:val="10"/>
            <w:shd w:val="clear" w:color="auto" w:fill="D1D2D4"/>
          </w:tcPr>
          <w:p>
            <w:pPr>
              <w:spacing w:after="0" w:line="106" w:lineRule="exact"/>
              <w:rPr>
                <w:rFonts w:ascii="Arial" w:cs="Arial" w:eastAsia="Arial" w:hAnsi="Arial"/>
                <w:sz w:val="12"/>
                <w:szCs w:val="12"/>
                <w:color w:val="auto"/>
              </w:rPr>
            </w:pPr>
            <w:hyperlink r:id="rId105">
              <w:r>
                <w:rPr>
                  <w:rFonts w:ascii="Arial" w:cs="Arial" w:eastAsia="Arial" w:hAnsi="Arial"/>
                  <w:sz w:val="12"/>
                  <w:szCs w:val="12"/>
                  <w:color w:val="auto"/>
                </w:rPr>
                <w:t>Exhibit 4.2 hereto)</w:t>
              </w:r>
            </w:hyperlink>
          </w:p>
        </w:tc>
        <w:tc>
          <w:tcPr>
            <w:tcW w:w="20" w:type="dxa"/>
            <w:vAlign w:val="bottom"/>
            <w:tcBorders>
              <w:top w:val="single" w:sz="8" w:color="D1D2D4"/>
            </w:tcBorders>
            <w:shd w:val="clear" w:color="auto" w:fill="D1D2D4"/>
          </w:tcPr>
          <w:p>
            <w:pPr>
              <w:spacing w:after="0"/>
              <w:rPr>
                <w:sz w:val="9"/>
                <w:szCs w:val="9"/>
                <w:color w:val="auto"/>
              </w:rPr>
            </w:pPr>
          </w:p>
        </w:tc>
        <w:tc>
          <w:tcPr>
            <w:tcW w:w="1560" w:type="dxa"/>
            <w:vAlign w:val="bottom"/>
            <w:tcBorders>
              <w:top w:val="single" w:sz="8" w:color="D1D2D4"/>
            </w:tcBorders>
            <w:shd w:val="clear" w:color="auto" w:fill="D1D2D4"/>
          </w:tcPr>
          <w:p>
            <w:pPr>
              <w:spacing w:after="0"/>
              <w:rPr>
                <w:sz w:val="9"/>
                <w:szCs w:val="9"/>
                <w:color w:val="auto"/>
              </w:rPr>
            </w:pPr>
          </w:p>
        </w:tc>
        <w:tc>
          <w:tcPr>
            <w:tcW w:w="1820" w:type="dxa"/>
            <w:vAlign w:val="bottom"/>
            <w:tcBorders>
              <w:top w:val="single" w:sz="8" w:color="D1D2D4"/>
            </w:tcBorders>
            <w:shd w:val="clear" w:color="auto" w:fill="D1D2D4"/>
          </w:tcPr>
          <w:p>
            <w:pPr>
              <w:spacing w:after="0"/>
              <w:rPr>
                <w:sz w:val="9"/>
                <w:szCs w:val="9"/>
                <w:color w:val="auto"/>
              </w:rPr>
            </w:pPr>
          </w:p>
        </w:tc>
        <w:tc>
          <w:tcPr>
            <w:tcW w:w="440" w:type="dxa"/>
            <w:vAlign w:val="bottom"/>
            <w:tcBorders>
              <w:top w:val="single" w:sz="8" w:color="D1D2D4"/>
            </w:tcBorders>
            <w:shd w:val="clear" w:color="auto" w:fill="D1D2D4"/>
          </w:tcPr>
          <w:p>
            <w:pPr>
              <w:spacing w:after="0"/>
              <w:rPr>
                <w:sz w:val="9"/>
                <w:szCs w:val="9"/>
                <w:color w:val="auto"/>
              </w:rPr>
            </w:pPr>
          </w:p>
        </w:tc>
        <w:tc>
          <w:tcPr>
            <w:tcW w:w="900" w:type="dxa"/>
            <w:vAlign w:val="bottom"/>
            <w:tcBorders>
              <w:top w:val="single" w:sz="8" w:color="D1D2D4"/>
            </w:tcBorders>
            <w:shd w:val="clear" w:color="auto" w:fill="D1D2D4"/>
          </w:tcPr>
          <w:p>
            <w:pPr>
              <w:spacing w:after="0"/>
              <w:rPr>
                <w:sz w:val="9"/>
                <w:szCs w:val="9"/>
                <w:color w:val="auto"/>
              </w:rPr>
            </w:pPr>
          </w:p>
        </w:tc>
      </w:tr>
      <w:tr>
        <w:trPr>
          <w:trHeight w:val="27"/>
        </w:trPr>
        <w:tc>
          <w:tcPr>
            <w:tcW w:w="980" w:type="dxa"/>
            <w:vAlign w:val="bottom"/>
            <w:shd w:val="clear" w:color="auto" w:fill="D1D2D4"/>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20" w:type="dxa"/>
            <w:vAlign w:val="bottom"/>
            <w:shd w:val="clear" w:color="auto" w:fill="D1D2D4"/>
          </w:tcPr>
          <w:p>
            <w:pPr>
              <w:spacing w:after="0"/>
              <w:rPr>
                <w:sz w:val="2"/>
                <w:szCs w:val="2"/>
                <w:color w:val="auto"/>
              </w:rPr>
            </w:pPr>
          </w:p>
        </w:tc>
        <w:tc>
          <w:tcPr>
            <w:tcW w:w="260" w:type="dxa"/>
            <w:vAlign w:val="bottom"/>
            <w:tcBorders>
              <w:right w:val="single" w:sz="8" w:color="D1D2D4"/>
            </w:tcBorders>
            <w:shd w:val="clear" w:color="auto" w:fill="D1D2D4"/>
          </w:tcPr>
          <w:p>
            <w:pPr>
              <w:spacing w:after="0"/>
              <w:rPr>
                <w:sz w:val="2"/>
                <w:szCs w:val="2"/>
                <w:color w:val="auto"/>
              </w:rPr>
            </w:pPr>
          </w:p>
        </w:tc>
        <w:tc>
          <w:tcPr>
            <w:tcW w:w="560" w:type="dxa"/>
            <w:vAlign w:val="bottom"/>
            <w:shd w:val="clear" w:color="auto" w:fill="D1D2D4"/>
          </w:tcPr>
          <w:p>
            <w:pPr>
              <w:spacing w:after="0"/>
              <w:rPr>
                <w:sz w:val="2"/>
                <w:szCs w:val="2"/>
                <w:color w:val="auto"/>
              </w:rPr>
            </w:pPr>
          </w:p>
        </w:tc>
        <w:tc>
          <w:tcPr>
            <w:tcW w:w="80" w:type="dxa"/>
            <w:vAlign w:val="bottom"/>
            <w:shd w:val="clear" w:color="auto" w:fill="D1D2D4"/>
          </w:tcPr>
          <w:p>
            <w:pPr>
              <w:spacing w:after="0"/>
              <w:rPr>
                <w:sz w:val="2"/>
                <w:szCs w:val="2"/>
                <w:color w:val="auto"/>
              </w:rPr>
            </w:pPr>
          </w:p>
        </w:tc>
        <w:tc>
          <w:tcPr>
            <w:tcW w:w="40" w:type="dxa"/>
            <w:vAlign w:val="bottom"/>
            <w:shd w:val="clear" w:color="auto" w:fill="D1D2D4"/>
          </w:tcPr>
          <w:p>
            <w:pPr>
              <w:spacing w:after="0"/>
              <w:rPr>
                <w:sz w:val="2"/>
                <w:szCs w:val="2"/>
                <w:color w:val="auto"/>
              </w:rPr>
            </w:pPr>
          </w:p>
        </w:tc>
        <w:tc>
          <w:tcPr>
            <w:tcW w:w="1600" w:type="dxa"/>
            <w:vAlign w:val="bottom"/>
            <w:shd w:val="clear" w:color="auto" w:fill="D1D2D4"/>
          </w:tcPr>
          <w:p>
            <w:pPr>
              <w:spacing w:after="0"/>
              <w:rPr>
                <w:sz w:val="2"/>
                <w:szCs w:val="2"/>
                <w:color w:val="auto"/>
              </w:rPr>
            </w:pPr>
          </w:p>
        </w:tc>
        <w:tc>
          <w:tcPr>
            <w:tcW w:w="340" w:type="dxa"/>
            <w:vAlign w:val="bottom"/>
            <w:shd w:val="clear" w:color="auto" w:fill="D1D2D4"/>
          </w:tcPr>
          <w:p>
            <w:pPr>
              <w:spacing w:after="0"/>
              <w:rPr>
                <w:sz w:val="2"/>
                <w:szCs w:val="2"/>
                <w:color w:val="auto"/>
              </w:rPr>
            </w:pPr>
          </w:p>
        </w:tc>
        <w:tc>
          <w:tcPr>
            <w:tcW w:w="20" w:type="dxa"/>
            <w:vAlign w:val="bottom"/>
            <w:shd w:val="clear" w:color="auto" w:fill="D1D2D4"/>
          </w:tcPr>
          <w:p>
            <w:pPr>
              <w:spacing w:after="0"/>
              <w:rPr>
                <w:sz w:val="2"/>
                <w:szCs w:val="2"/>
                <w:color w:val="auto"/>
              </w:rPr>
            </w:pPr>
          </w:p>
        </w:tc>
        <w:tc>
          <w:tcPr>
            <w:tcW w:w="100" w:type="dxa"/>
            <w:vAlign w:val="bottom"/>
            <w:shd w:val="clear" w:color="auto" w:fill="D1D2D4"/>
          </w:tcPr>
          <w:p>
            <w:pPr>
              <w:spacing w:after="0"/>
              <w:rPr>
                <w:sz w:val="2"/>
                <w:szCs w:val="2"/>
                <w:color w:val="auto"/>
              </w:rPr>
            </w:pPr>
          </w:p>
        </w:tc>
        <w:tc>
          <w:tcPr>
            <w:tcW w:w="20" w:type="dxa"/>
            <w:vAlign w:val="bottom"/>
            <w:shd w:val="clear" w:color="auto" w:fill="D1D2D4"/>
          </w:tcPr>
          <w:p>
            <w:pPr>
              <w:spacing w:after="0"/>
              <w:rPr>
                <w:sz w:val="2"/>
                <w:szCs w:val="2"/>
                <w:color w:val="auto"/>
              </w:rPr>
            </w:pPr>
          </w:p>
        </w:tc>
        <w:tc>
          <w:tcPr>
            <w:tcW w:w="1560" w:type="dxa"/>
            <w:vAlign w:val="bottom"/>
            <w:shd w:val="clear" w:color="auto" w:fill="D1D2D4"/>
          </w:tcPr>
          <w:p>
            <w:pPr>
              <w:spacing w:after="0"/>
              <w:rPr>
                <w:sz w:val="2"/>
                <w:szCs w:val="2"/>
                <w:color w:val="auto"/>
              </w:rPr>
            </w:pPr>
          </w:p>
        </w:tc>
        <w:tc>
          <w:tcPr>
            <w:tcW w:w="1820" w:type="dxa"/>
            <w:vAlign w:val="bottom"/>
            <w:shd w:val="clear" w:color="auto" w:fill="D1D2D4"/>
          </w:tcPr>
          <w:p>
            <w:pPr>
              <w:spacing w:after="0"/>
              <w:rPr>
                <w:sz w:val="2"/>
                <w:szCs w:val="2"/>
                <w:color w:val="auto"/>
              </w:rPr>
            </w:pPr>
          </w:p>
        </w:tc>
        <w:tc>
          <w:tcPr>
            <w:tcW w:w="440" w:type="dxa"/>
            <w:vAlign w:val="bottom"/>
            <w:shd w:val="clear" w:color="auto" w:fill="D1D2D4"/>
          </w:tcPr>
          <w:p>
            <w:pPr>
              <w:spacing w:after="0"/>
              <w:rPr>
                <w:sz w:val="2"/>
                <w:szCs w:val="2"/>
                <w:color w:val="auto"/>
              </w:rPr>
            </w:pPr>
          </w:p>
        </w:tc>
        <w:tc>
          <w:tcPr>
            <w:tcW w:w="900" w:type="dxa"/>
            <w:vAlign w:val="bottom"/>
            <w:shd w:val="clear" w:color="auto" w:fill="D1D2D4"/>
          </w:tcPr>
          <w:p>
            <w:pPr>
              <w:spacing w:after="0"/>
              <w:rPr>
                <w:sz w:val="2"/>
                <w:szCs w:val="2"/>
                <w:color w:val="auto"/>
              </w:rPr>
            </w:pPr>
          </w:p>
        </w:tc>
      </w:tr>
      <w:tr>
        <w:trPr>
          <w:trHeight w:val="133"/>
        </w:trPr>
        <w:tc>
          <w:tcPr>
            <w:tcW w:w="980" w:type="dxa"/>
            <w:vAlign w:val="bottom"/>
          </w:tcPr>
          <w:p>
            <w:pPr>
              <w:spacing w:after="0" w:line="126" w:lineRule="exact"/>
              <w:rPr>
                <w:sz w:val="20"/>
                <w:szCs w:val="20"/>
                <w:color w:val="auto"/>
              </w:rPr>
            </w:pPr>
            <w:r>
              <w:rPr>
                <w:rFonts w:ascii="Arial" w:cs="Arial" w:eastAsia="Arial" w:hAnsi="Arial"/>
                <w:sz w:val="12"/>
                <w:szCs w:val="12"/>
                <w:color w:val="auto"/>
              </w:rPr>
              <w:t>31.1</w:t>
            </w:r>
          </w:p>
        </w:tc>
        <w:tc>
          <w:tcPr>
            <w:tcW w:w="5600" w:type="dxa"/>
            <w:vAlign w:val="bottom"/>
            <w:gridSpan w:val="11"/>
          </w:tcPr>
          <w:p>
            <w:pPr>
              <w:spacing w:after="0" w:line="126" w:lineRule="exact"/>
              <w:rPr>
                <w:sz w:val="20"/>
                <w:szCs w:val="20"/>
                <w:color w:val="auto"/>
              </w:rPr>
            </w:pPr>
            <w:r>
              <w:rPr>
                <w:rFonts w:ascii="Arial" w:cs="Arial" w:eastAsia="Arial" w:hAnsi="Arial"/>
                <w:sz w:val="12"/>
                <w:szCs w:val="12"/>
                <w:color w:val="auto"/>
              </w:rPr>
              <w:t>Rule 13a-14(a) Certification of Chief Executive Officer</w:t>
            </w:r>
          </w:p>
        </w:tc>
        <w:tc>
          <w:tcPr>
            <w:tcW w:w="1560" w:type="dxa"/>
            <w:vAlign w:val="bottom"/>
          </w:tcPr>
          <w:p>
            <w:pPr>
              <w:ind w:left="20"/>
              <w:spacing w:after="0" w:line="126" w:lineRule="exact"/>
              <w:rPr>
                <w:sz w:val="20"/>
                <w:szCs w:val="20"/>
                <w:color w:val="auto"/>
              </w:rPr>
            </w:pPr>
            <w:r>
              <w:rPr>
                <w:rFonts w:ascii="Arial" w:cs="Arial" w:eastAsia="Arial" w:hAnsi="Arial"/>
                <w:sz w:val="12"/>
                <w:szCs w:val="12"/>
                <w:color w:val="auto"/>
              </w:rPr>
              <w:t>X</w:t>
            </w:r>
          </w:p>
        </w:tc>
        <w:tc>
          <w:tcPr>
            <w:tcW w:w="1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26"/>
        </w:trPr>
        <w:tc>
          <w:tcPr>
            <w:tcW w:w="980" w:type="dxa"/>
            <w:vAlign w:val="bottom"/>
            <w:shd w:val="clear" w:color="auto" w:fill="D1D2D4"/>
          </w:tcPr>
          <w:p>
            <w:pPr>
              <w:spacing w:after="0" w:line="126" w:lineRule="exact"/>
              <w:rPr>
                <w:sz w:val="20"/>
                <w:szCs w:val="20"/>
                <w:color w:val="auto"/>
              </w:rPr>
            </w:pPr>
            <w:r>
              <w:rPr>
                <w:rFonts w:ascii="Arial" w:cs="Arial" w:eastAsia="Arial" w:hAnsi="Arial"/>
                <w:sz w:val="12"/>
                <w:szCs w:val="12"/>
                <w:color w:val="auto"/>
              </w:rPr>
              <w:t>31.2</w:t>
            </w:r>
          </w:p>
        </w:tc>
        <w:tc>
          <w:tcPr>
            <w:tcW w:w="2840" w:type="dxa"/>
            <w:vAlign w:val="bottom"/>
            <w:tcBorders>
              <w:top w:val="single" w:sz="8" w:color="auto"/>
              <w:right w:val="single" w:sz="8" w:color="D1D2D4"/>
            </w:tcBorders>
            <w:gridSpan w:val="3"/>
            <w:shd w:val="clear" w:color="auto" w:fill="D1D2D4"/>
          </w:tcPr>
          <w:p>
            <w:pPr>
              <w:spacing w:after="0" w:line="126" w:lineRule="exact"/>
              <w:rPr>
                <w:sz w:val="20"/>
                <w:szCs w:val="20"/>
                <w:color w:val="auto"/>
              </w:rPr>
            </w:pPr>
            <w:r>
              <w:rPr>
                <w:rFonts w:ascii="Arial" w:cs="Arial" w:eastAsia="Arial" w:hAnsi="Arial"/>
                <w:sz w:val="12"/>
                <w:szCs w:val="12"/>
                <w:color w:val="auto"/>
                <w:w w:val="99"/>
              </w:rPr>
              <w:t>Rule 13a-14(a) Certification of Chief Financial Officer</w:t>
            </w:r>
          </w:p>
        </w:tc>
        <w:tc>
          <w:tcPr>
            <w:tcW w:w="2760" w:type="dxa"/>
            <w:vAlign w:val="bottom"/>
            <w:gridSpan w:val="8"/>
            <w:shd w:val="clear" w:color="auto" w:fill="D1D2D4"/>
          </w:tcPr>
          <w:p>
            <w:pPr>
              <w:spacing w:after="0"/>
              <w:rPr>
                <w:sz w:val="10"/>
                <w:szCs w:val="10"/>
                <w:color w:val="auto"/>
              </w:rPr>
            </w:pPr>
          </w:p>
        </w:tc>
        <w:tc>
          <w:tcPr>
            <w:tcW w:w="1560" w:type="dxa"/>
            <w:vAlign w:val="bottom"/>
            <w:shd w:val="clear" w:color="auto" w:fill="D1D2D4"/>
          </w:tcPr>
          <w:p>
            <w:pPr>
              <w:ind w:left="20"/>
              <w:spacing w:after="0" w:line="126" w:lineRule="exact"/>
              <w:rPr>
                <w:sz w:val="20"/>
                <w:szCs w:val="20"/>
                <w:color w:val="auto"/>
              </w:rPr>
            </w:pPr>
            <w:r>
              <w:rPr>
                <w:rFonts w:ascii="Arial" w:cs="Arial" w:eastAsia="Arial" w:hAnsi="Arial"/>
                <w:sz w:val="12"/>
                <w:szCs w:val="12"/>
                <w:color w:val="auto"/>
              </w:rPr>
              <w:t>X</w:t>
            </w:r>
          </w:p>
        </w:tc>
        <w:tc>
          <w:tcPr>
            <w:tcW w:w="1820" w:type="dxa"/>
            <w:vAlign w:val="bottom"/>
            <w:shd w:val="clear" w:color="auto" w:fill="D1D2D4"/>
          </w:tcPr>
          <w:p>
            <w:pPr>
              <w:spacing w:after="0"/>
              <w:rPr>
                <w:sz w:val="10"/>
                <w:szCs w:val="10"/>
                <w:color w:val="auto"/>
              </w:rPr>
            </w:pPr>
          </w:p>
        </w:tc>
        <w:tc>
          <w:tcPr>
            <w:tcW w:w="440" w:type="dxa"/>
            <w:vAlign w:val="bottom"/>
            <w:shd w:val="clear" w:color="auto" w:fill="D1D2D4"/>
          </w:tcPr>
          <w:p>
            <w:pPr>
              <w:spacing w:after="0"/>
              <w:rPr>
                <w:sz w:val="10"/>
                <w:szCs w:val="10"/>
                <w:color w:val="auto"/>
              </w:rPr>
            </w:pPr>
          </w:p>
        </w:tc>
        <w:tc>
          <w:tcPr>
            <w:tcW w:w="900" w:type="dxa"/>
            <w:vAlign w:val="bottom"/>
            <w:shd w:val="clear" w:color="auto" w:fill="D1D2D4"/>
          </w:tcPr>
          <w:p>
            <w:pPr>
              <w:spacing w:after="0"/>
              <w:rPr>
                <w:sz w:val="10"/>
                <w:szCs w:val="10"/>
                <w:color w:val="auto"/>
              </w:rPr>
            </w:pPr>
          </w:p>
        </w:tc>
      </w:tr>
      <w:tr>
        <w:trPr>
          <w:trHeight w:val="27"/>
        </w:trPr>
        <w:tc>
          <w:tcPr>
            <w:tcW w:w="980" w:type="dxa"/>
            <w:vAlign w:val="bottom"/>
            <w:shd w:val="clear" w:color="auto" w:fill="D1D2D4"/>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60" w:type="dxa"/>
            <w:vAlign w:val="bottom"/>
            <w:tcBorders>
              <w:right w:val="single" w:sz="8" w:color="D1D2D4"/>
            </w:tcBorders>
            <w:shd w:val="clear" w:color="auto" w:fill="000000"/>
          </w:tcPr>
          <w:p>
            <w:pPr>
              <w:spacing w:after="0"/>
              <w:rPr>
                <w:sz w:val="2"/>
                <w:szCs w:val="2"/>
                <w:color w:val="auto"/>
              </w:rPr>
            </w:pPr>
          </w:p>
        </w:tc>
        <w:tc>
          <w:tcPr>
            <w:tcW w:w="560" w:type="dxa"/>
            <w:vAlign w:val="bottom"/>
            <w:shd w:val="clear" w:color="auto" w:fill="D1D2D4"/>
          </w:tcPr>
          <w:p>
            <w:pPr>
              <w:spacing w:after="0"/>
              <w:rPr>
                <w:sz w:val="2"/>
                <w:szCs w:val="2"/>
                <w:color w:val="auto"/>
              </w:rPr>
            </w:pPr>
          </w:p>
        </w:tc>
        <w:tc>
          <w:tcPr>
            <w:tcW w:w="80" w:type="dxa"/>
            <w:vAlign w:val="bottom"/>
            <w:shd w:val="clear" w:color="auto" w:fill="D1D2D4"/>
          </w:tcPr>
          <w:p>
            <w:pPr>
              <w:spacing w:after="0"/>
              <w:rPr>
                <w:sz w:val="2"/>
                <w:szCs w:val="2"/>
                <w:color w:val="auto"/>
              </w:rPr>
            </w:pPr>
          </w:p>
        </w:tc>
        <w:tc>
          <w:tcPr>
            <w:tcW w:w="40" w:type="dxa"/>
            <w:vAlign w:val="bottom"/>
            <w:shd w:val="clear" w:color="auto" w:fill="D1D2D4"/>
          </w:tcPr>
          <w:p>
            <w:pPr>
              <w:spacing w:after="0"/>
              <w:rPr>
                <w:sz w:val="2"/>
                <w:szCs w:val="2"/>
                <w:color w:val="auto"/>
              </w:rPr>
            </w:pPr>
          </w:p>
        </w:tc>
        <w:tc>
          <w:tcPr>
            <w:tcW w:w="1600" w:type="dxa"/>
            <w:vAlign w:val="bottom"/>
            <w:shd w:val="clear" w:color="auto" w:fill="D1D2D4"/>
          </w:tcPr>
          <w:p>
            <w:pPr>
              <w:spacing w:after="0"/>
              <w:rPr>
                <w:sz w:val="2"/>
                <w:szCs w:val="2"/>
                <w:color w:val="auto"/>
              </w:rPr>
            </w:pPr>
          </w:p>
        </w:tc>
        <w:tc>
          <w:tcPr>
            <w:tcW w:w="340" w:type="dxa"/>
            <w:vAlign w:val="bottom"/>
            <w:shd w:val="clear" w:color="auto" w:fill="D1D2D4"/>
          </w:tcPr>
          <w:p>
            <w:pPr>
              <w:spacing w:after="0"/>
              <w:rPr>
                <w:sz w:val="2"/>
                <w:szCs w:val="2"/>
                <w:color w:val="auto"/>
              </w:rPr>
            </w:pPr>
          </w:p>
        </w:tc>
        <w:tc>
          <w:tcPr>
            <w:tcW w:w="20" w:type="dxa"/>
            <w:vAlign w:val="bottom"/>
            <w:shd w:val="clear" w:color="auto" w:fill="D1D2D4"/>
          </w:tcPr>
          <w:p>
            <w:pPr>
              <w:spacing w:after="0"/>
              <w:rPr>
                <w:sz w:val="2"/>
                <w:szCs w:val="2"/>
                <w:color w:val="auto"/>
              </w:rPr>
            </w:pPr>
          </w:p>
        </w:tc>
        <w:tc>
          <w:tcPr>
            <w:tcW w:w="100" w:type="dxa"/>
            <w:vAlign w:val="bottom"/>
            <w:shd w:val="clear" w:color="auto" w:fill="D1D2D4"/>
          </w:tcPr>
          <w:p>
            <w:pPr>
              <w:spacing w:after="0"/>
              <w:rPr>
                <w:sz w:val="2"/>
                <w:szCs w:val="2"/>
                <w:color w:val="auto"/>
              </w:rPr>
            </w:pPr>
          </w:p>
        </w:tc>
        <w:tc>
          <w:tcPr>
            <w:tcW w:w="20" w:type="dxa"/>
            <w:vAlign w:val="bottom"/>
            <w:shd w:val="clear" w:color="auto" w:fill="D1D2D4"/>
          </w:tcPr>
          <w:p>
            <w:pPr>
              <w:spacing w:after="0"/>
              <w:rPr>
                <w:sz w:val="2"/>
                <w:szCs w:val="2"/>
                <w:color w:val="auto"/>
              </w:rPr>
            </w:pPr>
          </w:p>
        </w:tc>
        <w:tc>
          <w:tcPr>
            <w:tcW w:w="1560" w:type="dxa"/>
            <w:vAlign w:val="bottom"/>
            <w:shd w:val="clear" w:color="auto" w:fill="D1D2D4"/>
          </w:tcPr>
          <w:p>
            <w:pPr>
              <w:spacing w:after="0"/>
              <w:rPr>
                <w:sz w:val="2"/>
                <w:szCs w:val="2"/>
                <w:color w:val="auto"/>
              </w:rPr>
            </w:pPr>
          </w:p>
        </w:tc>
        <w:tc>
          <w:tcPr>
            <w:tcW w:w="1820" w:type="dxa"/>
            <w:vAlign w:val="bottom"/>
            <w:shd w:val="clear" w:color="auto" w:fill="D1D2D4"/>
          </w:tcPr>
          <w:p>
            <w:pPr>
              <w:spacing w:after="0"/>
              <w:rPr>
                <w:sz w:val="2"/>
                <w:szCs w:val="2"/>
                <w:color w:val="auto"/>
              </w:rPr>
            </w:pPr>
          </w:p>
        </w:tc>
        <w:tc>
          <w:tcPr>
            <w:tcW w:w="440" w:type="dxa"/>
            <w:vAlign w:val="bottom"/>
            <w:shd w:val="clear" w:color="auto" w:fill="D1D2D4"/>
          </w:tcPr>
          <w:p>
            <w:pPr>
              <w:spacing w:after="0"/>
              <w:rPr>
                <w:sz w:val="2"/>
                <w:szCs w:val="2"/>
                <w:color w:val="auto"/>
              </w:rPr>
            </w:pPr>
          </w:p>
        </w:tc>
        <w:tc>
          <w:tcPr>
            <w:tcW w:w="900" w:type="dxa"/>
            <w:vAlign w:val="bottom"/>
            <w:shd w:val="clear" w:color="auto" w:fill="D1D2D4"/>
          </w:tcPr>
          <w:p>
            <w:pPr>
              <w:spacing w:after="0"/>
              <w:rPr>
                <w:sz w:val="2"/>
                <w:szCs w:val="2"/>
                <w:color w:val="auto"/>
              </w:rPr>
            </w:pPr>
          </w:p>
        </w:tc>
      </w:tr>
      <w:tr>
        <w:trPr>
          <w:trHeight w:val="133"/>
        </w:trPr>
        <w:tc>
          <w:tcPr>
            <w:tcW w:w="980" w:type="dxa"/>
            <w:vAlign w:val="bottom"/>
          </w:tcPr>
          <w:p>
            <w:pPr>
              <w:spacing w:after="0" w:line="126" w:lineRule="exact"/>
              <w:rPr>
                <w:sz w:val="20"/>
                <w:szCs w:val="20"/>
                <w:color w:val="auto"/>
              </w:rPr>
            </w:pPr>
            <w:r>
              <w:rPr>
                <w:rFonts w:ascii="Arial" w:cs="Arial" w:eastAsia="Arial" w:hAnsi="Arial"/>
                <w:sz w:val="12"/>
                <w:szCs w:val="12"/>
                <w:color w:val="auto"/>
              </w:rPr>
              <w:t>32.1</w:t>
            </w:r>
          </w:p>
        </w:tc>
        <w:tc>
          <w:tcPr>
            <w:tcW w:w="3520" w:type="dxa"/>
            <w:vAlign w:val="bottom"/>
            <w:tcBorders>
              <w:bottom w:val="single" w:sz="8" w:color="auto"/>
            </w:tcBorders>
            <w:gridSpan w:val="6"/>
          </w:tcPr>
          <w:p>
            <w:pPr>
              <w:spacing w:after="0" w:line="126" w:lineRule="exact"/>
              <w:rPr>
                <w:sz w:val="20"/>
                <w:szCs w:val="20"/>
                <w:color w:val="auto"/>
              </w:rPr>
            </w:pPr>
            <w:r>
              <w:rPr>
                <w:rFonts w:ascii="Arial" w:cs="Arial" w:eastAsia="Arial" w:hAnsi="Arial"/>
                <w:sz w:val="12"/>
                <w:szCs w:val="12"/>
                <w:color w:val="auto"/>
                <w:w w:val="99"/>
              </w:rPr>
              <w:t>Certification of Chief Executive Officer Pursuant to 18 U.S.C. 1350</w:t>
            </w:r>
          </w:p>
        </w:tc>
        <w:tc>
          <w:tcPr>
            <w:tcW w:w="2080" w:type="dxa"/>
            <w:vAlign w:val="bottom"/>
            <w:gridSpan w:val="5"/>
          </w:tcPr>
          <w:p>
            <w:pPr>
              <w:spacing w:after="0"/>
              <w:rPr>
                <w:sz w:val="11"/>
                <w:szCs w:val="11"/>
                <w:color w:val="auto"/>
              </w:rPr>
            </w:pPr>
          </w:p>
        </w:tc>
        <w:tc>
          <w:tcPr>
            <w:tcW w:w="1560" w:type="dxa"/>
            <w:vAlign w:val="bottom"/>
          </w:tcPr>
          <w:p>
            <w:pPr>
              <w:ind w:left="20"/>
              <w:spacing w:after="0" w:line="126" w:lineRule="exact"/>
              <w:rPr>
                <w:sz w:val="20"/>
                <w:szCs w:val="20"/>
                <w:color w:val="auto"/>
              </w:rPr>
            </w:pPr>
            <w:r>
              <w:rPr>
                <w:rFonts w:ascii="Arial" w:cs="Arial" w:eastAsia="Arial" w:hAnsi="Arial"/>
                <w:sz w:val="12"/>
                <w:szCs w:val="12"/>
                <w:color w:val="auto"/>
              </w:rPr>
              <w:t>X</w:t>
            </w:r>
          </w:p>
        </w:tc>
        <w:tc>
          <w:tcPr>
            <w:tcW w:w="1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3"/>
        </w:trPr>
        <w:tc>
          <w:tcPr>
            <w:tcW w:w="980" w:type="dxa"/>
            <w:vAlign w:val="bottom"/>
            <w:tcBorders>
              <w:bottom w:val="single" w:sz="8" w:color="D1D2D4"/>
            </w:tcBorders>
            <w:shd w:val="clear" w:color="auto" w:fill="D1D2D4"/>
          </w:tcPr>
          <w:p>
            <w:pPr>
              <w:spacing w:after="0" w:line="126" w:lineRule="exact"/>
              <w:rPr>
                <w:sz w:val="20"/>
                <w:szCs w:val="20"/>
                <w:color w:val="auto"/>
              </w:rPr>
            </w:pPr>
            <w:r>
              <w:rPr>
                <w:rFonts w:ascii="Arial" w:cs="Arial" w:eastAsia="Arial" w:hAnsi="Arial"/>
                <w:sz w:val="12"/>
                <w:szCs w:val="12"/>
                <w:color w:val="auto"/>
              </w:rPr>
              <w:t>32.2</w:t>
            </w:r>
          </w:p>
        </w:tc>
        <w:tc>
          <w:tcPr>
            <w:tcW w:w="3480" w:type="dxa"/>
            <w:vAlign w:val="bottom"/>
            <w:tcBorders>
              <w:bottom w:val="single" w:sz="8" w:color="auto"/>
            </w:tcBorders>
            <w:gridSpan w:val="5"/>
            <w:shd w:val="clear" w:color="auto" w:fill="D1D2D4"/>
          </w:tcPr>
          <w:p>
            <w:pPr>
              <w:spacing w:after="0" w:line="126" w:lineRule="exact"/>
              <w:rPr>
                <w:sz w:val="20"/>
                <w:szCs w:val="20"/>
                <w:color w:val="auto"/>
              </w:rPr>
            </w:pPr>
            <w:r>
              <w:rPr>
                <w:rFonts w:ascii="Arial" w:cs="Arial" w:eastAsia="Arial" w:hAnsi="Arial"/>
                <w:sz w:val="12"/>
                <w:szCs w:val="12"/>
                <w:color w:val="auto"/>
                <w:w w:val="99"/>
              </w:rPr>
              <w:t>Certification of Chief Financial Officer Pursuant to 18 U.S.C. 1350</w:t>
            </w:r>
          </w:p>
        </w:tc>
        <w:tc>
          <w:tcPr>
            <w:tcW w:w="2120" w:type="dxa"/>
            <w:vAlign w:val="bottom"/>
            <w:tcBorders>
              <w:bottom w:val="single" w:sz="8" w:color="D1D2D4"/>
            </w:tcBorders>
            <w:gridSpan w:val="6"/>
            <w:shd w:val="clear" w:color="auto" w:fill="D1D2D4"/>
          </w:tcPr>
          <w:p>
            <w:pPr>
              <w:spacing w:after="0"/>
              <w:rPr>
                <w:sz w:val="11"/>
                <w:szCs w:val="11"/>
                <w:color w:val="auto"/>
              </w:rPr>
            </w:pPr>
          </w:p>
        </w:tc>
        <w:tc>
          <w:tcPr>
            <w:tcW w:w="1560" w:type="dxa"/>
            <w:vAlign w:val="bottom"/>
            <w:tcBorders>
              <w:bottom w:val="single" w:sz="8" w:color="D1D2D4"/>
            </w:tcBorders>
            <w:shd w:val="clear" w:color="auto" w:fill="D1D2D4"/>
          </w:tcPr>
          <w:p>
            <w:pPr>
              <w:ind w:left="20"/>
              <w:spacing w:after="0" w:line="126" w:lineRule="exact"/>
              <w:rPr>
                <w:sz w:val="20"/>
                <w:szCs w:val="20"/>
                <w:color w:val="auto"/>
              </w:rPr>
            </w:pPr>
            <w:r>
              <w:rPr>
                <w:rFonts w:ascii="Arial" w:cs="Arial" w:eastAsia="Arial" w:hAnsi="Arial"/>
                <w:sz w:val="12"/>
                <w:szCs w:val="12"/>
                <w:color w:val="auto"/>
              </w:rPr>
              <w:t>X</w:t>
            </w:r>
          </w:p>
        </w:tc>
        <w:tc>
          <w:tcPr>
            <w:tcW w:w="1820" w:type="dxa"/>
            <w:vAlign w:val="bottom"/>
            <w:tcBorders>
              <w:bottom w:val="single" w:sz="8" w:color="D1D2D4"/>
            </w:tcBorders>
            <w:shd w:val="clear" w:color="auto" w:fill="D1D2D4"/>
          </w:tcPr>
          <w:p>
            <w:pPr>
              <w:spacing w:after="0"/>
              <w:rPr>
                <w:sz w:val="11"/>
                <w:szCs w:val="11"/>
                <w:color w:val="auto"/>
              </w:rPr>
            </w:pPr>
          </w:p>
        </w:tc>
        <w:tc>
          <w:tcPr>
            <w:tcW w:w="440" w:type="dxa"/>
            <w:vAlign w:val="bottom"/>
            <w:tcBorders>
              <w:bottom w:val="single" w:sz="8" w:color="D1D2D4"/>
            </w:tcBorders>
            <w:shd w:val="clear" w:color="auto" w:fill="D1D2D4"/>
          </w:tcPr>
          <w:p>
            <w:pPr>
              <w:spacing w:after="0"/>
              <w:rPr>
                <w:sz w:val="11"/>
                <w:szCs w:val="11"/>
                <w:color w:val="auto"/>
              </w:rPr>
            </w:pPr>
          </w:p>
        </w:tc>
        <w:tc>
          <w:tcPr>
            <w:tcW w:w="900" w:type="dxa"/>
            <w:vAlign w:val="bottom"/>
            <w:tcBorders>
              <w:bottom w:val="single" w:sz="8" w:color="D1D2D4"/>
            </w:tcBorders>
            <w:shd w:val="clear" w:color="auto" w:fill="D1D2D4"/>
          </w:tcPr>
          <w:p>
            <w:pPr>
              <w:spacing w:after="0"/>
              <w:rPr>
                <w:sz w:val="11"/>
                <w:szCs w:val="11"/>
                <w:color w:val="auto"/>
              </w:rPr>
            </w:pPr>
          </w:p>
        </w:tc>
      </w:tr>
      <w:tr>
        <w:trPr>
          <w:trHeight w:val="122"/>
        </w:trPr>
        <w:tc>
          <w:tcPr>
            <w:tcW w:w="980" w:type="dxa"/>
            <w:vAlign w:val="bottom"/>
          </w:tcPr>
          <w:p>
            <w:pPr>
              <w:spacing w:after="0" w:line="122" w:lineRule="exact"/>
              <w:rPr>
                <w:sz w:val="20"/>
                <w:szCs w:val="20"/>
                <w:color w:val="auto"/>
              </w:rPr>
            </w:pPr>
            <w:r>
              <w:rPr>
                <w:rFonts w:ascii="Arial" w:cs="Arial" w:eastAsia="Arial" w:hAnsi="Arial"/>
                <w:sz w:val="12"/>
                <w:szCs w:val="12"/>
                <w:color w:val="auto"/>
              </w:rPr>
              <w:t>101.INS</w:t>
            </w:r>
          </w:p>
        </w:tc>
        <w:tc>
          <w:tcPr>
            <w:tcW w:w="5600" w:type="dxa"/>
            <w:vAlign w:val="bottom"/>
            <w:gridSpan w:val="11"/>
          </w:tcPr>
          <w:p>
            <w:pPr>
              <w:spacing w:after="0" w:line="122" w:lineRule="exact"/>
              <w:rPr>
                <w:sz w:val="20"/>
                <w:szCs w:val="20"/>
                <w:color w:val="auto"/>
              </w:rPr>
            </w:pPr>
            <w:r>
              <w:rPr>
                <w:rFonts w:ascii="Arial" w:cs="Arial" w:eastAsia="Arial" w:hAnsi="Arial"/>
                <w:sz w:val="12"/>
                <w:szCs w:val="12"/>
                <w:color w:val="auto"/>
              </w:rPr>
              <w:t>Inline XBRL Instance Document - the instance document does not appear in the Interactive Data File</w:t>
            </w:r>
          </w:p>
        </w:tc>
        <w:tc>
          <w:tcPr>
            <w:tcW w:w="1560" w:type="dxa"/>
            <w:vAlign w:val="bottom"/>
          </w:tcPr>
          <w:p>
            <w:pPr>
              <w:ind w:left="20"/>
              <w:spacing w:after="0" w:line="122" w:lineRule="exact"/>
              <w:rPr>
                <w:sz w:val="20"/>
                <w:szCs w:val="20"/>
                <w:color w:val="auto"/>
              </w:rPr>
            </w:pPr>
            <w:r>
              <w:rPr>
                <w:rFonts w:ascii="Arial" w:cs="Arial" w:eastAsia="Arial" w:hAnsi="Arial"/>
                <w:sz w:val="12"/>
                <w:szCs w:val="12"/>
                <w:color w:val="auto"/>
              </w:rPr>
              <w:t>X</w:t>
            </w:r>
          </w:p>
        </w:tc>
        <w:tc>
          <w:tcPr>
            <w:tcW w:w="1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57"/>
        </w:trPr>
        <w:tc>
          <w:tcPr>
            <w:tcW w:w="980" w:type="dxa"/>
            <w:vAlign w:val="bottom"/>
          </w:tcPr>
          <w:p>
            <w:pPr>
              <w:spacing w:after="0"/>
              <w:rPr>
                <w:sz w:val="13"/>
                <w:szCs w:val="13"/>
                <w:color w:val="auto"/>
              </w:rPr>
            </w:pPr>
          </w:p>
        </w:tc>
        <w:tc>
          <w:tcPr>
            <w:tcW w:w="5600" w:type="dxa"/>
            <w:vAlign w:val="bottom"/>
            <w:gridSpan w:val="11"/>
          </w:tcPr>
          <w:p>
            <w:pPr>
              <w:spacing w:after="0"/>
              <w:rPr>
                <w:sz w:val="20"/>
                <w:szCs w:val="20"/>
                <w:color w:val="auto"/>
              </w:rPr>
            </w:pPr>
            <w:r>
              <w:rPr>
                <w:rFonts w:ascii="Arial" w:cs="Arial" w:eastAsia="Arial" w:hAnsi="Arial"/>
                <w:sz w:val="12"/>
                <w:szCs w:val="12"/>
                <w:color w:val="auto"/>
              </w:rPr>
              <w:t>because its XBRL tags are embedded within the Inline XBRL document</w:t>
            </w:r>
          </w:p>
        </w:tc>
        <w:tc>
          <w:tcPr>
            <w:tcW w:w="15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3"/>
        </w:trPr>
        <w:tc>
          <w:tcPr>
            <w:tcW w:w="980" w:type="dxa"/>
            <w:vAlign w:val="bottom"/>
            <w:shd w:val="clear" w:color="auto" w:fill="D1D2D4"/>
          </w:tcPr>
          <w:p>
            <w:pPr>
              <w:spacing w:after="0"/>
              <w:rPr>
                <w:sz w:val="20"/>
                <w:szCs w:val="20"/>
                <w:color w:val="auto"/>
              </w:rPr>
            </w:pPr>
            <w:r>
              <w:rPr>
                <w:rFonts w:ascii="Arial" w:cs="Arial" w:eastAsia="Arial" w:hAnsi="Arial"/>
                <w:sz w:val="12"/>
                <w:szCs w:val="12"/>
                <w:color w:val="auto"/>
              </w:rPr>
              <w:t>101.SCH</w:t>
            </w:r>
          </w:p>
        </w:tc>
        <w:tc>
          <w:tcPr>
            <w:tcW w:w="5600" w:type="dxa"/>
            <w:vAlign w:val="bottom"/>
            <w:gridSpan w:val="11"/>
            <w:shd w:val="clear" w:color="auto" w:fill="D1D2D4"/>
          </w:tcPr>
          <w:p>
            <w:pPr>
              <w:spacing w:after="0"/>
              <w:rPr>
                <w:sz w:val="20"/>
                <w:szCs w:val="20"/>
                <w:color w:val="auto"/>
              </w:rPr>
            </w:pPr>
            <w:r>
              <w:rPr>
                <w:rFonts w:ascii="Arial" w:cs="Arial" w:eastAsia="Arial" w:hAnsi="Arial"/>
                <w:sz w:val="12"/>
                <w:szCs w:val="12"/>
                <w:color w:val="auto"/>
              </w:rPr>
              <w:t>Inline XBRL Taxonomy Extension Schema Document</w:t>
            </w:r>
          </w:p>
        </w:tc>
        <w:tc>
          <w:tcPr>
            <w:tcW w:w="1560" w:type="dxa"/>
            <w:vAlign w:val="bottom"/>
            <w:shd w:val="clear" w:color="auto" w:fill="D1D2D4"/>
          </w:tcPr>
          <w:p>
            <w:pPr>
              <w:ind w:left="20"/>
              <w:spacing w:after="0"/>
              <w:rPr>
                <w:sz w:val="20"/>
                <w:szCs w:val="20"/>
                <w:color w:val="auto"/>
              </w:rPr>
            </w:pPr>
            <w:r>
              <w:rPr>
                <w:rFonts w:ascii="Arial" w:cs="Arial" w:eastAsia="Arial" w:hAnsi="Arial"/>
                <w:sz w:val="12"/>
                <w:szCs w:val="12"/>
                <w:color w:val="auto"/>
              </w:rPr>
              <w:t>X</w:t>
            </w:r>
          </w:p>
        </w:tc>
        <w:tc>
          <w:tcPr>
            <w:tcW w:w="1820" w:type="dxa"/>
            <w:vAlign w:val="bottom"/>
            <w:shd w:val="clear" w:color="auto" w:fill="D1D2D4"/>
          </w:tcPr>
          <w:p>
            <w:pPr>
              <w:spacing w:after="0"/>
              <w:rPr>
                <w:sz w:val="13"/>
                <w:szCs w:val="13"/>
                <w:color w:val="auto"/>
              </w:rPr>
            </w:pPr>
          </w:p>
        </w:tc>
        <w:tc>
          <w:tcPr>
            <w:tcW w:w="440" w:type="dxa"/>
            <w:vAlign w:val="bottom"/>
            <w:shd w:val="clear" w:color="auto" w:fill="D1D2D4"/>
          </w:tcPr>
          <w:p>
            <w:pPr>
              <w:spacing w:after="0"/>
              <w:rPr>
                <w:sz w:val="13"/>
                <w:szCs w:val="13"/>
                <w:color w:val="auto"/>
              </w:rPr>
            </w:pPr>
          </w:p>
        </w:tc>
        <w:tc>
          <w:tcPr>
            <w:tcW w:w="900" w:type="dxa"/>
            <w:vAlign w:val="bottom"/>
            <w:shd w:val="clear" w:color="auto" w:fill="D1D2D4"/>
          </w:tcPr>
          <w:p>
            <w:pPr>
              <w:spacing w:after="0"/>
              <w:rPr>
                <w:sz w:val="13"/>
                <w:szCs w:val="13"/>
                <w:color w:val="auto"/>
              </w:rPr>
            </w:pPr>
          </w:p>
        </w:tc>
      </w:tr>
      <w:tr>
        <w:trPr>
          <w:trHeight w:val="153"/>
        </w:trPr>
        <w:tc>
          <w:tcPr>
            <w:tcW w:w="980" w:type="dxa"/>
            <w:vAlign w:val="bottom"/>
          </w:tcPr>
          <w:p>
            <w:pPr>
              <w:spacing w:after="0"/>
              <w:rPr>
                <w:sz w:val="20"/>
                <w:szCs w:val="20"/>
                <w:color w:val="auto"/>
              </w:rPr>
            </w:pPr>
            <w:r>
              <w:rPr>
                <w:rFonts w:ascii="Arial" w:cs="Arial" w:eastAsia="Arial" w:hAnsi="Arial"/>
                <w:sz w:val="12"/>
                <w:szCs w:val="12"/>
                <w:color w:val="auto"/>
              </w:rPr>
              <w:t>101.CAL</w:t>
            </w:r>
          </w:p>
        </w:tc>
        <w:tc>
          <w:tcPr>
            <w:tcW w:w="5600" w:type="dxa"/>
            <w:vAlign w:val="bottom"/>
            <w:gridSpan w:val="11"/>
          </w:tcPr>
          <w:p>
            <w:pPr>
              <w:spacing w:after="0"/>
              <w:rPr>
                <w:sz w:val="20"/>
                <w:szCs w:val="20"/>
                <w:color w:val="auto"/>
              </w:rPr>
            </w:pPr>
            <w:r>
              <w:rPr>
                <w:rFonts w:ascii="Arial" w:cs="Arial" w:eastAsia="Arial" w:hAnsi="Arial"/>
                <w:sz w:val="12"/>
                <w:szCs w:val="12"/>
                <w:color w:val="auto"/>
              </w:rPr>
              <w:t>Inline XBRL Taxonomy Extension Calculation Linkbase Document</w:t>
            </w:r>
          </w:p>
        </w:tc>
        <w:tc>
          <w:tcPr>
            <w:tcW w:w="1560" w:type="dxa"/>
            <w:vAlign w:val="bottom"/>
          </w:tcPr>
          <w:p>
            <w:pPr>
              <w:ind w:left="20"/>
              <w:spacing w:after="0"/>
              <w:rPr>
                <w:sz w:val="20"/>
                <w:szCs w:val="20"/>
                <w:color w:val="auto"/>
              </w:rPr>
            </w:pPr>
            <w:r>
              <w:rPr>
                <w:rFonts w:ascii="Arial" w:cs="Arial" w:eastAsia="Arial" w:hAnsi="Arial"/>
                <w:sz w:val="12"/>
                <w:szCs w:val="12"/>
                <w:color w:val="auto"/>
              </w:rPr>
              <w:t>X</w:t>
            </w:r>
          </w:p>
        </w:tc>
        <w:tc>
          <w:tcPr>
            <w:tcW w:w="1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3"/>
        </w:trPr>
        <w:tc>
          <w:tcPr>
            <w:tcW w:w="980" w:type="dxa"/>
            <w:vAlign w:val="bottom"/>
            <w:shd w:val="clear" w:color="auto" w:fill="D1D2D4"/>
          </w:tcPr>
          <w:p>
            <w:pPr>
              <w:spacing w:after="0"/>
              <w:rPr>
                <w:sz w:val="20"/>
                <w:szCs w:val="20"/>
                <w:color w:val="auto"/>
              </w:rPr>
            </w:pPr>
            <w:r>
              <w:rPr>
                <w:rFonts w:ascii="Arial" w:cs="Arial" w:eastAsia="Arial" w:hAnsi="Arial"/>
                <w:sz w:val="12"/>
                <w:szCs w:val="12"/>
                <w:color w:val="auto"/>
              </w:rPr>
              <w:t>101.DEF</w:t>
            </w:r>
          </w:p>
        </w:tc>
        <w:tc>
          <w:tcPr>
            <w:tcW w:w="5600" w:type="dxa"/>
            <w:vAlign w:val="bottom"/>
            <w:gridSpan w:val="11"/>
            <w:shd w:val="clear" w:color="auto" w:fill="D1D2D4"/>
          </w:tcPr>
          <w:p>
            <w:pPr>
              <w:spacing w:after="0"/>
              <w:rPr>
                <w:sz w:val="20"/>
                <w:szCs w:val="20"/>
                <w:color w:val="auto"/>
              </w:rPr>
            </w:pPr>
            <w:r>
              <w:rPr>
                <w:rFonts w:ascii="Arial" w:cs="Arial" w:eastAsia="Arial" w:hAnsi="Arial"/>
                <w:sz w:val="12"/>
                <w:szCs w:val="12"/>
                <w:color w:val="auto"/>
              </w:rPr>
              <w:t>Inline XBRL Taxonomy Extension Definition Linkbase Document</w:t>
            </w:r>
          </w:p>
        </w:tc>
        <w:tc>
          <w:tcPr>
            <w:tcW w:w="1560" w:type="dxa"/>
            <w:vAlign w:val="bottom"/>
            <w:shd w:val="clear" w:color="auto" w:fill="D1D2D4"/>
          </w:tcPr>
          <w:p>
            <w:pPr>
              <w:ind w:left="20"/>
              <w:spacing w:after="0"/>
              <w:rPr>
                <w:sz w:val="20"/>
                <w:szCs w:val="20"/>
                <w:color w:val="auto"/>
              </w:rPr>
            </w:pPr>
            <w:r>
              <w:rPr>
                <w:rFonts w:ascii="Arial" w:cs="Arial" w:eastAsia="Arial" w:hAnsi="Arial"/>
                <w:sz w:val="12"/>
                <w:szCs w:val="12"/>
                <w:color w:val="auto"/>
              </w:rPr>
              <w:t>X</w:t>
            </w:r>
          </w:p>
        </w:tc>
        <w:tc>
          <w:tcPr>
            <w:tcW w:w="1820" w:type="dxa"/>
            <w:vAlign w:val="bottom"/>
            <w:shd w:val="clear" w:color="auto" w:fill="D1D2D4"/>
          </w:tcPr>
          <w:p>
            <w:pPr>
              <w:spacing w:after="0"/>
              <w:rPr>
                <w:sz w:val="13"/>
                <w:szCs w:val="13"/>
                <w:color w:val="auto"/>
              </w:rPr>
            </w:pPr>
          </w:p>
        </w:tc>
        <w:tc>
          <w:tcPr>
            <w:tcW w:w="440" w:type="dxa"/>
            <w:vAlign w:val="bottom"/>
            <w:shd w:val="clear" w:color="auto" w:fill="D1D2D4"/>
          </w:tcPr>
          <w:p>
            <w:pPr>
              <w:spacing w:after="0"/>
              <w:rPr>
                <w:sz w:val="13"/>
                <w:szCs w:val="13"/>
                <w:color w:val="auto"/>
              </w:rPr>
            </w:pPr>
          </w:p>
        </w:tc>
        <w:tc>
          <w:tcPr>
            <w:tcW w:w="900" w:type="dxa"/>
            <w:vAlign w:val="bottom"/>
            <w:shd w:val="clear" w:color="auto" w:fill="D1D2D4"/>
          </w:tcPr>
          <w:p>
            <w:pPr>
              <w:spacing w:after="0"/>
              <w:rPr>
                <w:sz w:val="13"/>
                <w:szCs w:val="13"/>
                <w:color w:val="auto"/>
              </w:rPr>
            </w:pPr>
          </w:p>
        </w:tc>
      </w:tr>
      <w:tr>
        <w:trPr>
          <w:trHeight w:val="153"/>
        </w:trPr>
        <w:tc>
          <w:tcPr>
            <w:tcW w:w="980" w:type="dxa"/>
            <w:vAlign w:val="bottom"/>
          </w:tcPr>
          <w:p>
            <w:pPr>
              <w:spacing w:after="0"/>
              <w:rPr>
                <w:sz w:val="20"/>
                <w:szCs w:val="20"/>
                <w:color w:val="auto"/>
              </w:rPr>
            </w:pPr>
            <w:r>
              <w:rPr>
                <w:rFonts w:ascii="Arial" w:cs="Arial" w:eastAsia="Arial" w:hAnsi="Arial"/>
                <w:sz w:val="12"/>
                <w:szCs w:val="12"/>
                <w:color w:val="auto"/>
              </w:rPr>
              <w:t>101.LAB</w:t>
            </w:r>
          </w:p>
        </w:tc>
        <w:tc>
          <w:tcPr>
            <w:tcW w:w="5600" w:type="dxa"/>
            <w:vAlign w:val="bottom"/>
            <w:gridSpan w:val="11"/>
          </w:tcPr>
          <w:p>
            <w:pPr>
              <w:spacing w:after="0"/>
              <w:rPr>
                <w:sz w:val="20"/>
                <w:szCs w:val="20"/>
                <w:color w:val="auto"/>
              </w:rPr>
            </w:pPr>
            <w:r>
              <w:rPr>
                <w:rFonts w:ascii="Arial" w:cs="Arial" w:eastAsia="Arial" w:hAnsi="Arial"/>
                <w:sz w:val="12"/>
                <w:szCs w:val="12"/>
                <w:color w:val="auto"/>
              </w:rPr>
              <w:t>Inline XBRL Taxonomy Extension Label Linkbase Document</w:t>
            </w:r>
          </w:p>
        </w:tc>
        <w:tc>
          <w:tcPr>
            <w:tcW w:w="1560" w:type="dxa"/>
            <w:vAlign w:val="bottom"/>
          </w:tcPr>
          <w:p>
            <w:pPr>
              <w:ind w:left="20"/>
              <w:spacing w:after="0"/>
              <w:rPr>
                <w:sz w:val="20"/>
                <w:szCs w:val="20"/>
                <w:color w:val="auto"/>
              </w:rPr>
            </w:pPr>
            <w:r>
              <w:rPr>
                <w:rFonts w:ascii="Arial" w:cs="Arial" w:eastAsia="Arial" w:hAnsi="Arial"/>
                <w:sz w:val="12"/>
                <w:szCs w:val="12"/>
                <w:color w:val="auto"/>
              </w:rPr>
              <w:t>X</w:t>
            </w:r>
          </w:p>
        </w:tc>
        <w:tc>
          <w:tcPr>
            <w:tcW w:w="1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3"/>
        </w:trPr>
        <w:tc>
          <w:tcPr>
            <w:tcW w:w="980" w:type="dxa"/>
            <w:vAlign w:val="bottom"/>
            <w:shd w:val="clear" w:color="auto" w:fill="D1D2D4"/>
          </w:tcPr>
          <w:p>
            <w:pPr>
              <w:spacing w:after="0"/>
              <w:rPr>
                <w:sz w:val="20"/>
                <w:szCs w:val="20"/>
                <w:color w:val="auto"/>
              </w:rPr>
            </w:pPr>
            <w:r>
              <w:rPr>
                <w:rFonts w:ascii="Arial" w:cs="Arial" w:eastAsia="Arial" w:hAnsi="Arial"/>
                <w:sz w:val="12"/>
                <w:szCs w:val="12"/>
                <w:color w:val="auto"/>
              </w:rPr>
              <w:t>101.PRE</w:t>
            </w:r>
          </w:p>
        </w:tc>
        <w:tc>
          <w:tcPr>
            <w:tcW w:w="5600" w:type="dxa"/>
            <w:vAlign w:val="bottom"/>
            <w:gridSpan w:val="11"/>
            <w:shd w:val="clear" w:color="auto" w:fill="D1D2D4"/>
          </w:tcPr>
          <w:p>
            <w:pPr>
              <w:spacing w:after="0"/>
              <w:rPr>
                <w:sz w:val="20"/>
                <w:szCs w:val="20"/>
                <w:color w:val="auto"/>
              </w:rPr>
            </w:pPr>
            <w:r>
              <w:rPr>
                <w:rFonts w:ascii="Arial" w:cs="Arial" w:eastAsia="Arial" w:hAnsi="Arial"/>
                <w:sz w:val="12"/>
                <w:szCs w:val="12"/>
                <w:color w:val="auto"/>
              </w:rPr>
              <w:t>Inline XBRL Taxonomy Extension Presentation Linkbase Document</w:t>
            </w:r>
          </w:p>
        </w:tc>
        <w:tc>
          <w:tcPr>
            <w:tcW w:w="1560" w:type="dxa"/>
            <w:vAlign w:val="bottom"/>
            <w:shd w:val="clear" w:color="auto" w:fill="D1D2D4"/>
          </w:tcPr>
          <w:p>
            <w:pPr>
              <w:ind w:left="20"/>
              <w:spacing w:after="0"/>
              <w:rPr>
                <w:sz w:val="20"/>
                <w:szCs w:val="20"/>
                <w:color w:val="auto"/>
              </w:rPr>
            </w:pPr>
            <w:r>
              <w:rPr>
                <w:rFonts w:ascii="Arial" w:cs="Arial" w:eastAsia="Arial" w:hAnsi="Arial"/>
                <w:sz w:val="12"/>
                <w:szCs w:val="12"/>
                <w:color w:val="auto"/>
              </w:rPr>
              <w:t>X</w:t>
            </w:r>
          </w:p>
        </w:tc>
        <w:tc>
          <w:tcPr>
            <w:tcW w:w="1820" w:type="dxa"/>
            <w:vAlign w:val="bottom"/>
            <w:shd w:val="clear" w:color="auto" w:fill="D1D2D4"/>
          </w:tcPr>
          <w:p>
            <w:pPr>
              <w:spacing w:after="0"/>
              <w:rPr>
                <w:sz w:val="13"/>
                <w:szCs w:val="13"/>
                <w:color w:val="auto"/>
              </w:rPr>
            </w:pPr>
          </w:p>
        </w:tc>
        <w:tc>
          <w:tcPr>
            <w:tcW w:w="440" w:type="dxa"/>
            <w:vAlign w:val="bottom"/>
            <w:shd w:val="clear" w:color="auto" w:fill="D1D2D4"/>
          </w:tcPr>
          <w:p>
            <w:pPr>
              <w:spacing w:after="0"/>
              <w:rPr>
                <w:sz w:val="13"/>
                <w:szCs w:val="13"/>
                <w:color w:val="auto"/>
              </w:rPr>
            </w:pPr>
          </w:p>
        </w:tc>
        <w:tc>
          <w:tcPr>
            <w:tcW w:w="900" w:type="dxa"/>
            <w:vAlign w:val="bottom"/>
            <w:shd w:val="clear" w:color="auto" w:fill="D1D2D4"/>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2"/>
                <w:szCs w:val="12"/>
                <w:color w:val="auto"/>
              </w:rPr>
              <w:t>104</w:t>
            </w:r>
          </w:p>
        </w:tc>
        <w:tc>
          <w:tcPr>
            <w:tcW w:w="5600" w:type="dxa"/>
            <w:vAlign w:val="bottom"/>
            <w:gridSpan w:val="11"/>
          </w:tcPr>
          <w:p>
            <w:pPr>
              <w:spacing w:after="0"/>
              <w:rPr>
                <w:sz w:val="20"/>
                <w:szCs w:val="20"/>
                <w:color w:val="auto"/>
              </w:rPr>
            </w:pPr>
            <w:r>
              <w:rPr>
                <w:rFonts w:ascii="Arial" w:cs="Arial" w:eastAsia="Arial" w:hAnsi="Arial"/>
                <w:sz w:val="12"/>
                <w:szCs w:val="12"/>
                <w:color w:val="auto"/>
              </w:rPr>
              <w:t>Cover Page Interactive Data File (formatted as Inline XBRL and contained in Exhibit 101)</w:t>
            </w:r>
          </w:p>
        </w:tc>
        <w:tc>
          <w:tcPr>
            <w:tcW w:w="1560" w:type="dxa"/>
            <w:vAlign w:val="bottom"/>
          </w:tcPr>
          <w:p>
            <w:pPr>
              <w:ind w:left="20"/>
              <w:spacing w:after="0"/>
              <w:rPr>
                <w:sz w:val="20"/>
                <w:szCs w:val="20"/>
                <w:color w:val="auto"/>
              </w:rPr>
            </w:pPr>
            <w:r>
              <w:rPr>
                <w:rFonts w:ascii="Arial" w:cs="Arial" w:eastAsia="Arial" w:hAnsi="Arial"/>
                <w:sz w:val="12"/>
                <w:szCs w:val="12"/>
                <w:color w:val="auto"/>
              </w:rPr>
              <w:t>X</w:t>
            </w:r>
          </w:p>
        </w:tc>
        <w:tc>
          <w:tcPr>
            <w:tcW w:w="1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58" w:name="page59"/>
    <w:bookmarkEnd w:id="58"/>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69" w:lineRule="exact"/>
        <w:rPr>
          <w:sz w:val="20"/>
          <w:szCs w:val="20"/>
          <w:color w:val="auto"/>
        </w:rPr>
      </w:pPr>
    </w:p>
    <w:p>
      <w:pPr>
        <w:ind w:left="7820"/>
        <w:spacing w:after="0"/>
        <w:rPr>
          <w:sz w:val="20"/>
          <w:szCs w:val="20"/>
          <w:color w:val="auto"/>
        </w:rPr>
      </w:pPr>
      <w:r>
        <w:rPr>
          <w:rFonts w:ascii="Arial" w:cs="Arial" w:eastAsia="Arial" w:hAnsi="Arial"/>
          <w:sz w:val="12"/>
          <w:szCs w:val="12"/>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12065</wp:posOffset>
            </wp:positionV>
            <wp:extent cx="361759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3617595" cy="5715"/>
                    </a:xfrm>
                    <a:prstGeom prst="rect">
                      <a:avLst/>
                    </a:prstGeom>
                    <a:noFill/>
                  </pic:spPr>
                </pic:pic>
              </a:graphicData>
            </a:graphic>
          </wp:anchor>
        </w:drawing>
      </w:r>
    </w:p>
    <w:p>
      <w:pPr>
        <w:spacing w:after="0" w:line="4" w:lineRule="exact"/>
        <w:rPr>
          <w:sz w:val="20"/>
          <w:szCs w:val="20"/>
          <w:color w:val="auto"/>
        </w:rPr>
      </w:pPr>
    </w:p>
    <w:p>
      <w:pPr>
        <w:jc w:val="center"/>
        <w:ind w:left="560"/>
        <w:spacing w:after="0"/>
        <w:rPr>
          <w:sz w:val="20"/>
          <w:szCs w:val="20"/>
          <w:color w:val="auto"/>
        </w:rPr>
      </w:pPr>
      <w:r>
        <w:rPr>
          <w:rFonts w:ascii="Arial" w:cs="Arial" w:eastAsia="Arial" w:hAnsi="Arial"/>
          <w:sz w:val="12"/>
          <w:szCs w:val="12"/>
          <w:color w:val="auto"/>
        </w:rPr>
        <w:t>(Registrant)</w:t>
      </w:r>
    </w:p>
    <w:p>
      <w:pPr>
        <w:spacing w:after="0" w:line="357" w:lineRule="exact"/>
        <w:rPr>
          <w:sz w:val="20"/>
          <w:szCs w:val="20"/>
          <w:color w:val="auto"/>
        </w:rPr>
      </w:pPr>
    </w:p>
    <w:p>
      <w:pPr>
        <w:spacing w:after="0"/>
        <w:tabs>
          <w:tab w:leader="none" w:pos="780" w:val="left"/>
          <w:tab w:leader="none" w:pos="5140" w:val="left"/>
          <w:tab w:leader="none" w:pos="560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March 21, 2024</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i w:val="1"/>
          <w:iCs w:val="1"/>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12065</wp:posOffset>
            </wp:positionV>
            <wp:extent cx="361759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3617595" cy="5715"/>
                    </a:xfrm>
                    <a:prstGeom prst="rect">
                      <a:avLst/>
                    </a:prstGeom>
                    <a:noFill/>
                  </pic:spPr>
                </pic:pic>
              </a:graphicData>
            </a:graphic>
          </wp:anchor>
        </w:drawing>
      </w:r>
    </w:p>
    <w:p>
      <w:pPr>
        <w:spacing w:after="0" w:line="40"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Mark Murphy</w:t>
      </w:r>
    </w:p>
    <w:p>
      <w:pPr>
        <w:spacing w:after="0" w:line="5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Executive Vice President and Chief Financial Officer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(Principal Financial Officer)</w:t>
      </w:r>
    </w:p>
    <w:p>
      <w:pPr>
        <w:spacing w:after="0" w:line="182" w:lineRule="exact"/>
        <w:rPr>
          <w:sz w:val="20"/>
          <w:szCs w:val="20"/>
          <w:color w:val="auto"/>
        </w:rPr>
      </w:pPr>
    </w:p>
    <w:p>
      <w:pPr>
        <w:ind w:left="5620"/>
        <w:spacing w:after="0"/>
        <w:rPr>
          <w:sz w:val="20"/>
          <w:szCs w:val="20"/>
          <w:color w:val="auto"/>
        </w:rPr>
      </w:pPr>
      <w:r>
        <w:rPr>
          <w:rFonts w:ascii="Arial" w:cs="Arial" w:eastAsia="Arial" w:hAnsi="Arial"/>
          <w:sz w:val="12"/>
          <w:szCs w:val="12"/>
          <w:i w:val="1"/>
          <w:iCs w:val="1"/>
          <w:color w:val="auto"/>
        </w:rPr>
        <w:t>/s/ Scott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10795</wp:posOffset>
            </wp:positionV>
            <wp:extent cx="361759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3617595" cy="5715"/>
                    </a:xfrm>
                    <a:prstGeom prst="rect">
                      <a:avLst/>
                    </a:prstGeom>
                    <a:noFill/>
                  </pic:spPr>
                </pic:pic>
              </a:graphicData>
            </a:graphic>
          </wp:anchor>
        </w:drawing>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Scott Allen</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Corporate Vice President and Chief Accounting Officer</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59 | 2024 Q2 10-Q</w:t>
      </w:r>
    </w:p>
    <w:p>
      <w:pPr>
        <w:sectPr>
          <w:pgSz w:w="11900" w:h="16838" w:orient="portrait"/>
          <w:cols w:equalWidth="0" w:num="1">
            <w:col w:w="11300"/>
          </w:cols>
          <w:pgMar w:left="300" w:top="131" w:right="299" w:bottom="1440" w:gutter="0" w:footer="0" w:header="0"/>
        </w:sectPr>
      </w:pPr>
    </w:p>
    <w:bookmarkStart w:id="59" w:name="page60"/>
    <w:bookmarkEnd w:id="59"/>
    <w:p>
      <w:pPr>
        <w:jc w:val="right"/>
        <w:spacing w:after="0"/>
        <w:rPr>
          <w:sz w:val="20"/>
          <w:szCs w:val="20"/>
          <w:color w:val="auto"/>
        </w:rPr>
      </w:pPr>
      <w:r>
        <w:rPr>
          <w:rFonts w:ascii="Arial" w:cs="Arial" w:eastAsia="Arial" w:hAnsi="Arial"/>
          <w:sz w:val="14"/>
          <w:szCs w:val="14"/>
          <w:b w:val="1"/>
          <w:bCs w:val="1"/>
          <w:color w:val="auto"/>
        </w:rPr>
        <w:t>EXHIBIT 31.1</w:t>
      </w:r>
    </w:p>
    <w:p>
      <w:pPr>
        <w:spacing w:after="0" w:line="73"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RULE 13a-14(a) CERTIFICATION OF</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CHIEF EXECUTIVE OFFICER</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2"/>
          <w:szCs w:val="12"/>
          <w:color w:val="auto"/>
        </w:rPr>
        <w:t>I, Sanjay Mehrotra, certify that:</w:t>
      </w:r>
    </w:p>
    <w:p>
      <w:pPr>
        <w:spacing w:after="0" w:line="114" w:lineRule="exact"/>
        <w:rPr>
          <w:sz w:val="20"/>
          <w:szCs w:val="20"/>
          <w:color w:val="auto"/>
        </w:rPr>
      </w:pPr>
    </w:p>
    <w:p>
      <w:pPr>
        <w:ind w:left="208" w:hanging="208"/>
        <w:spacing w:after="0"/>
        <w:tabs>
          <w:tab w:leader="none" w:pos="208" w:val="left"/>
        </w:tabs>
        <w:numPr>
          <w:ilvl w:val="0"/>
          <w:numId w:val="30"/>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Micron Technology, Inc.;</w:t>
      </w:r>
    </w:p>
    <w:p>
      <w:pPr>
        <w:spacing w:after="0" w:line="114" w:lineRule="exact"/>
        <w:rPr>
          <w:rFonts w:ascii="Arial" w:cs="Arial" w:eastAsia="Arial" w:hAnsi="Arial"/>
          <w:sz w:val="12"/>
          <w:szCs w:val="12"/>
          <w:color w:val="auto"/>
        </w:rPr>
      </w:pPr>
    </w:p>
    <w:p>
      <w:pPr>
        <w:ind w:left="208" w:right="160" w:hanging="208"/>
        <w:spacing w:after="0" w:line="286" w:lineRule="auto"/>
        <w:tabs>
          <w:tab w:leader="none" w:pos="2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2"/>
          <w:szCs w:val="12"/>
          <w:color w:val="auto"/>
        </w:rPr>
      </w:pPr>
    </w:p>
    <w:p>
      <w:pPr>
        <w:ind w:left="208" w:right="120" w:hanging="208"/>
        <w:spacing w:after="0" w:line="286" w:lineRule="auto"/>
        <w:tabs>
          <w:tab w:leader="none" w:pos="2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Arial" w:cs="Arial" w:eastAsia="Arial" w:hAnsi="Arial"/>
          <w:sz w:val="12"/>
          <w:szCs w:val="12"/>
          <w:color w:val="auto"/>
        </w:rPr>
      </w:pPr>
    </w:p>
    <w:p>
      <w:pPr>
        <w:ind w:left="208" w:right="280" w:hanging="208"/>
        <w:spacing w:after="0" w:line="286" w:lineRule="auto"/>
        <w:tabs>
          <w:tab w:leader="none" w:pos="2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2"/>
          <w:szCs w:val="12"/>
          <w:color w:val="auto"/>
        </w:rPr>
      </w:pPr>
    </w:p>
    <w:p>
      <w:pPr>
        <w:ind w:left="428" w:right="200" w:hanging="212"/>
        <w:spacing w:after="0" w:line="286" w:lineRule="auto"/>
        <w:tabs>
          <w:tab w:leader="none" w:pos="420" w:val="left"/>
        </w:tabs>
        <w:numPr>
          <w:ilvl w:val="1"/>
          <w:numId w:val="3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2"/>
          <w:szCs w:val="12"/>
          <w:color w:val="auto"/>
        </w:rPr>
      </w:pPr>
    </w:p>
    <w:p>
      <w:pPr>
        <w:ind w:left="428" w:right="20" w:hanging="212"/>
        <w:spacing w:after="0" w:line="286" w:lineRule="auto"/>
        <w:tabs>
          <w:tab w:leader="none" w:pos="420" w:val="left"/>
        </w:tabs>
        <w:numPr>
          <w:ilvl w:val="1"/>
          <w:numId w:val="3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2"/>
          <w:szCs w:val="12"/>
          <w:color w:val="auto"/>
        </w:rPr>
      </w:pPr>
    </w:p>
    <w:p>
      <w:pPr>
        <w:ind w:left="428" w:right="200" w:hanging="212"/>
        <w:spacing w:after="0" w:line="286" w:lineRule="auto"/>
        <w:tabs>
          <w:tab w:leader="none" w:pos="422" w:val="left"/>
        </w:tabs>
        <w:numPr>
          <w:ilvl w:val="1"/>
          <w:numId w:val="3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Arial" w:cs="Arial" w:eastAsia="Arial" w:hAnsi="Arial"/>
          <w:sz w:val="12"/>
          <w:szCs w:val="12"/>
          <w:color w:val="auto"/>
        </w:rPr>
      </w:pPr>
    </w:p>
    <w:p>
      <w:pPr>
        <w:ind w:left="428" w:right="40" w:hanging="212"/>
        <w:spacing w:after="0" w:line="286" w:lineRule="auto"/>
        <w:tabs>
          <w:tab w:leader="none" w:pos="420" w:val="left"/>
        </w:tabs>
        <w:numPr>
          <w:ilvl w:val="1"/>
          <w:numId w:val="3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2"/>
          <w:szCs w:val="12"/>
          <w:color w:val="auto"/>
        </w:rPr>
      </w:pPr>
    </w:p>
    <w:p>
      <w:pPr>
        <w:ind w:left="208" w:right="540" w:hanging="208"/>
        <w:spacing w:after="0" w:line="286" w:lineRule="auto"/>
        <w:tabs>
          <w:tab w:leader="none" w:pos="2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Arial" w:cs="Arial" w:eastAsia="Arial" w:hAnsi="Arial"/>
          <w:sz w:val="12"/>
          <w:szCs w:val="12"/>
          <w:color w:val="auto"/>
        </w:rPr>
      </w:pPr>
    </w:p>
    <w:p>
      <w:pPr>
        <w:ind w:left="428" w:right="380" w:hanging="212"/>
        <w:spacing w:after="0" w:line="286" w:lineRule="auto"/>
        <w:tabs>
          <w:tab w:leader="none" w:pos="420" w:val="left"/>
        </w:tabs>
        <w:numPr>
          <w:ilvl w:val="1"/>
          <w:numId w:val="3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Arial" w:cs="Arial" w:eastAsia="Arial" w:hAnsi="Arial"/>
          <w:sz w:val="12"/>
          <w:szCs w:val="12"/>
          <w:color w:val="auto"/>
        </w:rPr>
      </w:pPr>
    </w:p>
    <w:p>
      <w:pPr>
        <w:ind w:left="428" w:hanging="212"/>
        <w:spacing w:after="0"/>
        <w:tabs>
          <w:tab w:leader="none" w:pos="428" w:val="left"/>
        </w:tabs>
        <w:numPr>
          <w:ilvl w:val="1"/>
          <w:numId w:val="3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96" w:lineRule="exact"/>
        <w:rPr>
          <w:sz w:val="20"/>
          <w:szCs w:val="20"/>
          <w:color w:val="auto"/>
        </w:rPr>
      </w:pPr>
    </w:p>
    <w:p>
      <w:pPr>
        <w:ind w:left="468"/>
        <w:spacing w:after="0"/>
        <w:tabs>
          <w:tab w:leader="none" w:pos="1188" w:val="left"/>
          <w:tab w:leader="none" w:pos="5568"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March 21, 2024</w:t>
      </w:r>
      <w:r>
        <w:rPr>
          <w:sz w:val="20"/>
          <w:szCs w:val="20"/>
          <w:color w:val="auto"/>
        </w:rPr>
        <w:tab/>
      </w:r>
      <w:r>
        <w:rPr>
          <w:rFonts w:ascii="Arial" w:cs="Arial" w:eastAsia="Arial" w:hAnsi="Arial"/>
          <w:sz w:val="11"/>
          <w:szCs w:val="11"/>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12065</wp:posOffset>
            </wp:positionV>
            <wp:extent cx="334899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3348990" cy="5715"/>
                    </a:xfrm>
                    <a:prstGeom prst="rect">
                      <a:avLst/>
                    </a:prstGeom>
                    <a:noFill/>
                  </pic:spPr>
                </pic:pic>
              </a:graphicData>
            </a:graphic>
          </wp:anchor>
        </w:drawing>
      </w:r>
    </w:p>
    <w:p>
      <w:pPr>
        <w:spacing w:after="0" w:line="31" w:lineRule="exact"/>
        <w:rPr>
          <w:sz w:val="20"/>
          <w:szCs w:val="20"/>
          <w:color w:val="auto"/>
        </w:rPr>
      </w:pPr>
    </w:p>
    <w:p>
      <w:pPr>
        <w:ind w:left="5588"/>
        <w:spacing w:after="0"/>
        <w:rPr>
          <w:sz w:val="20"/>
          <w:szCs w:val="20"/>
          <w:color w:val="auto"/>
        </w:rPr>
      </w:pPr>
      <w:r>
        <w:rPr>
          <w:rFonts w:ascii="Arial" w:cs="Arial" w:eastAsia="Arial" w:hAnsi="Arial"/>
          <w:sz w:val="12"/>
          <w:szCs w:val="12"/>
          <w:color w:val="auto"/>
        </w:rPr>
        <w:t>Sanjay Mehrotra</w:t>
      </w:r>
    </w:p>
    <w:p>
      <w:pPr>
        <w:ind w:left="5588"/>
        <w:spacing w:after="0"/>
        <w:rPr>
          <w:sz w:val="20"/>
          <w:szCs w:val="20"/>
          <w:color w:val="auto"/>
        </w:rPr>
      </w:pPr>
      <w:r>
        <w:rPr>
          <w:rFonts w:ascii="Arial" w:cs="Arial" w:eastAsia="Arial" w:hAnsi="Arial"/>
          <w:sz w:val="12"/>
          <w:szCs w:val="12"/>
          <w:color w:val="auto"/>
        </w:rPr>
        <w:t>President and Chief Executive Officer and Director</w:t>
      </w:r>
    </w:p>
    <w:p>
      <w:pPr>
        <w:sectPr>
          <w:pgSz w:w="11900" w:h="16838" w:orient="portrait"/>
          <w:cols w:equalWidth="0" w:num="1">
            <w:col w:w="11308"/>
          </w:cols>
          <w:pgMar w:left="292" w:top="706" w:right="299" w:bottom="1440" w:gutter="0" w:footer="0" w:header="0"/>
        </w:sectPr>
      </w:pPr>
    </w:p>
    <w:bookmarkStart w:id="60" w:name="page61"/>
    <w:bookmarkEnd w:id="60"/>
    <w:p>
      <w:pPr>
        <w:jc w:val="right"/>
        <w:spacing w:after="0"/>
        <w:rPr>
          <w:sz w:val="20"/>
          <w:szCs w:val="20"/>
          <w:color w:val="auto"/>
        </w:rPr>
      </w:pPr>
      <w:r>
        <w:rPr>
          <w:rFonts w:ascii="Arial" w:cs="Arial" w:eastAsia="Arial" w:hAnsi="Arial"/>
          <w:sz w:val="14"/>
          <w:szCs w:val="14"/>
          <w:b w:val="1"/>
          <w:bCs w:val="1"/>
          <w:color w:val="auto"/>
        </w:rPr>
        <w:t>EXHIBIT 31.2</w:t>
      </w:r>
    </w:p>
    <w:p>
      <w:pPr>
        <w:spacing w:after="0" w:line="73"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RULE 13a-14(a) CERTIFICATION OF</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CHIEF FINANCIAL OFFICER</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Mark Murphy, certify that:</w:t>
      </w:r>
    </w:p>
    <w:p>
      <w:pPr>
        <w:spacing w:after="0" w:line="114" w:lineRule="exact"/>
        <w:rPr>
          <w:sz w:val="20"/>
          <w:szCs w:val="20"/>
          <w:color w:val="auto"/>
        </w:rPr>
      </w:pPr>
    </w:p>
    <w:p>
      <w:pPr>
        <w:ind w:left="208" w:hanging="208"/>
        <w:spacing w:after="0"/>
        <w:tabs>
          <w:tab w:leader="none" w:pos="208" w:val="left"/>
        </w:tabs>
        <w:numPr>
          <w:ilvl w:val="0"/>
          <w:numId w:val="31"/>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Micron Technology, Inc.;</w:t>
      </w:r>
    </w:p>
    <w:p>
      <w:pPr>
        <w:spacing w:after="0" w:line="114" w:lineRule="exact"/>
        <w:rPr>
          <w:rFonts w:ascii="Arial" w:cs="Arial" w:eastAsia="Arial" w:hAnsi="Arial"/>
          <w:sz w:val="12"/>
          <w:szCs w:val="12"/>
          <w:color w:val="auto"/>
        </w:rPr>
      </w:pPr>
    </w:p>
    <w:p>
      <w:pPr>
        <w:ind w:left="208" w:right="160" w:hanging="208"/>
        <w:spacing w:after="0" w:line="286" w:lineRule="auto"/>
        <w:tabs>
          <w:tab w:leader="none" w:pos="200" w:val="left"/>
        </w:tabs>
        <w:numPr>
          <w:ilvl w:val="0"/>
          <w:numId w:val="3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2"/>
          <w:szCs w:val="12"/>
          <w:color w:val="auto"/>
        </w:rPr>
      </w:pPr>
    </w:p>
    <w:p>
      <w:pPr>
        <w:ind w:left="208" w:right="120" w:hanging="208"/>
        <w:spacing w:after="0" w:line="286" w:lineRule="auto"/>
        <w:tabs>
          <w:tab w:leader="none" w:pos="200" w:val="left"/>
        </w:tabs>
        <w:numPr>
          <w:ilvl w:val="0"/>
          <w:numId w:val="3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Arial" w:cs="Arial" w:eastAsia="Arial" w:hAnsi="Arial"/>
          <w:sz w:val="12"/>
          <w:szCs w:val="12"/>
          <w:color w:val="auto"/>
        </w:rPr>
      </w:pPr>
    </w:p>
    <w:p>
      <w:pPr>
        <w:ind w:left="208" w:right="280" w:hanging="208"/>
        <w:spacing w:after="0" w:line="286" w:lineRule="auto"/>
        <w:tabs>
          <w:tab w:leader="none" w:pos="20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2"/>
          <w:szCs w:val="12"/>
          <w:color w:val="auto"/>
        </w:rPr>
      </w:pPr>
    </w:p>
    <w:p>
      <w:pPr>
        <w:ind w:left="428" w:right="200" w:hanging="212"/>
        <w:spacing w:after="0" w:line="286" w:lineRule="auto"/>
        <w:tabs>
          <w:tab w:leader="none" w:pos="420" w:val="left"/>
        </w:tabs>
        <w:numPr>
          <w:ilvl w:val="1"/>
          <w:numId w:val="3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2"/>
          <w:szCs w:val="12"/>
          <w:color w:val="auto"/>
        </w:rPr>
      </w:pPr>
    </w:p>
    <w:p>
      <w:pPr>
        <w:ind w:left="428" w:right="20" w:hanging="212"/>
        <w:spacing w:after="0" w:line="286" w:lineRule="auto"/>
        <w:tabs>
          <w:tab w:leader="none" w:pos="420" w:val="left"/>
        </w:tabs>
        <w:numPr>
          <w:ilvl w:val="1"/>
          <w:numId w:val="3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2"/>
          <w:szCs w:val="12"/>
          <w:color w:val="auto"/>
        </w:rPr>
      </w:pPr>
    </w:p>
    <w:p>
      <w:pPr>
        <w:ind w:left="428" w:right="200" w:hanging="212"/>
        <w:spacing w:after="0" w:line="286" w:lineRule="auto"/>
        <w:tabs>
          <w:tab w:leader="none" w:pos="422" w:val="left"/>
        </w:tabs>
        <w:numPr>
          <w:ilvl w:val="1"/>
          <w:numId w:val="3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Arial" w:cs="Arial" w:eastAsia="Arial" w:hAnsi="Arial"/>
          <w:sz w:val="12"/>
          <w:szCs w:val="12"/>
          <w:color w:val="auto"/>
        </w:rPr>
      </w:pPr>
    </w:p>
    <w:p>
      <w:pPr>
        <w:ind w:left="428" w:right="40" w:hanging="212"/>
        <w:spacing w:after="0" w:line="286" w:lineRule="auto"/>
        <w:tabs>
          <w:tab w:leader="none" w:pos="420" w:val="left"/>
        </w:tabs>
        <w:numPr>
          <w:ilvl w:val="1"/>
          <w:numId w:val="3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2"/>
          <w:szCs w:val="12"/>
          <w:color w:val="auto"/>
        </w:rPr>
      </w:pPr>
    </w:p>
    <w:p>
      <w:pPr>
        <w:ind w:left="208" w:right="540" w:hanging="208"/>
        <w:spacing w:after="0" w:line="286" w:lineRule="auto"/>
        <w:tabs>
          <w:tab w:leader="none" w:pos="20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Arial" w:cs="Arial" w:eastAsia="Arial" w:hAnsi="Arial"/>
          <w:sz w:val="12"/>
          <w:szCs w:val="12"/>
          <w:color w:val="auto"/>
        </w:rPr>
      </w:pPr>
    </w:p>
    <w:p>
      <w:pPr>
        <w:ind w:left="428" w:right="380" w:hanging="212"/>
        <w:spacing w:after="0" w:line="286" w:lineRule="auto"/>
        <w:tabs>
          <w:tab w:leader="none" w:pos="420" w:val="left"/>
        </w:tabs>
        <w:numPr>
          <w:ilvl w:val="1"/>
          <w:numId w:val="3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Arial" w:cs="Arial" w:eastAsia="Arial" w:hAnsi="Arial"/>
          <w:sz w:val="12"/>
          <w:szCs w:val="12"/>
          <w:color w:val="auto"/>
        </w:rPr>
      </w:pPr>
    </w:p>
    <w:p>
      <w:pPr>
        <w:ind w:left="428" w:hanging="212"/>
        <w:spacing w:after="0"/>
        <w:tabs>
          <w:tab w:leader="none" w:pos="428" w:val="left"/>
        </w:tabs>
        <w:numPr>
          <w:ilvl w:val="1"/>
          <w:numId w:val="3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41" w:lineRule="exact"/>
        <w:rPr>
          <w:sz w:val="20"/>
          <w:szCs w:val="20"/>
          <w:color w:val="auto"/>
        </w:rPr>
      </w:pPr>
    </w:p>
    <w:p>
      <w:pPr>
        <w:ind w:left="28"/>
        <w:spacing w:after="0"/>
        <w:tabs>
          <w:tab w:leader="none" w:pos="668" w:val="left"/>
          <w:tab w:leader="none" w:pos="5648"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March 21, 2024</w:t>
      </w:r>
      <w:r>
        <w:rPr>
          <w:sz w:val="20"/>
          <w:szCs w:val="20"/>
          <w:color w:val="auto"/>
        </w:rPr>
        <w:tab/>
      </w:r>
      <w:r>
        <w:rPr>
          <w:rFonts w:ascii="Arial" w:cs="Arial" w:eastAsia="Arial" w:hAnsi="Arial"/>
          <w:sz w:val="11"/>
          <w:szCs w:val="11"/>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12065</wp:posOffset>
            </wp:positionV>
            <wp:extent cx="357759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3577590" cy="5715"/>
                    </a:xfrm>
                    <a:prstGeom prst="rect">
                      <a:avLst/>
                    </a:prstGeom>
                    <a:noFill/>
                  </pic:spPr>
                </pic:pic>
              </a:graphicData>
            </a:graphic>
          </wp:anchor>
        </w:drawing>
      </w:r>
    </w:p>
    <w:p>
      <w:pPr>
        <w:spacing w:after="0" w:line="40" w:lineRule="exact"/>
        <w:rPr>
          <w:sz w:val="20"/>
          <w:szCs w:val="20"/>
          <w:color w:val="auto"/>
        </w:rPr>
      </w:pPr>
    </w:p>
    <w:p>
      <w:pPr>
        <w:ind w:left="5668"/>
        <w:spacing w:after="0"/>
        <w:rPr>
          <w:sz w:val="20"/>
          <w:szCs w:val="20"/>
          <w:color w:val="auto"/>
        </w:rPr>
      </w:pPr>
      <w:r>
        <w:rPr>
          <w:rFonts w:ascii="Arial" w:cs="Arial" w:eastAsia="Arial" w:hAnsi="Arial"/>
          <w:sz w:val="12"/>
          <w:szCs w:val="12"/>
          <w:color w:val="auto"/>
        </w:rPr>
        <w:t>Mark Murphy</w:t>
      </w:r>
    </w:p>
    <w:p>
      <w:pPr>
        <w:spacing w:after="0" w:line="21" w:lineRule="exact"/>
        <w:rPr>
          <w:sz w:val="20"/>
          <w:szCs w:val="20"/>
          <w:color w:val="auto"/>
        </w:rPr>
      </w:pPr>
    </w:p>
    <w:p>
      <w:pPr>
        <w:ind w:left="5668"/>
        <w:spacing w:after="0"/>
        <w:rPr>
          <w:sz w:val="20"/>
          <w:szCs w:val="20"/>
          <w:color w:val="auto"/>
        </w:rPr>
      </w:pPr>
      <w:r>
        <w:rPr>
          <w:rFonts w:ascii="Arial" w:cs="Arial" w:eastAsia="Arial" w:hAnsi="Arial"/>
          <w:sz w:val="12"/>
          <w:szCs w:val="12"/>
          <w:color w:val="auto"/>
        </w:rPr>
        <w:t>Executive Vice President and Chief Financial Officer</w:t>
      </w:r>
    </w:p>
    <w:p>
      <w:pPr>
        <w:sectPr>
          <w:pgSz w:w="11900" w:h="16838" w:orient="portrait"/>
          <w:cols w:equalWidth="0" w:num="1">
            <w:col w:w="11308"/>
          </w:cols>
          <w:pgMar w:left="292" w:top="706" w:right="299" w:bottom="1440" w:gutter="0" w:footer="0" w:header="0"/>
        </w:sectPr>
      </w:pPr>
    </w:p>
    <w:bookmarkStart w:id="61" w:name="page62"/>
    <w:bookmarkEnd w:id="61"/>
    <w:p>
      <w:pPr>
        <w:jc w:val="right"/>
        <w:spacing w:after="0"/>
        <w:rPr>
          <w:sz w:val="20"/>
          <w:szCs w:val="20"/>
          <w:color w:val="auto"/>
        </w:rPr>
      </w:pPr>
      <w:r>
        <w:rPr>
          <w:rFonts w:ascii="Arial" w:cs="Arial" w:eastAsia="Arial" w:hAnsi="Arial"/>
          <w:sz w:val="14"/>
          <w:szCs w:val="14"/>
          <w:b w:val="1"/>
          <w:bCs w:val="1"/>
          <w:color w:val="auto"/>
        </w:rPr>
        <w:t>EXHIBIT 32.1</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PURSUANT TO 18 U.S.C. 1350</w:t>
      </w:r>
    </w:p>
    <w:p>
      <w:pPr>
        <w:spacing w:after="0" w:line="110"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I, Sanjay Mehrotra, certify, pursuant to 18 U.S.C. 1350, as adopted pursuant to Section 906 of the Sarbanes-Oxley Act of 2002, that the Quarterly Report of Micron Technology, Inc. on Form 10-Q for the period ended February 29, 2024,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05" w:lineRule="exact"/>
        <w:rPr>
          <w:sz w:val="20"/>
          <w:szCs w:val="20"/>
          <w:color w:val="auto"/>
        </w:rPr>
      </w:pPr>
    </w:p>
    <w:p>
      <w:pPr>
        <w:spacing w:after="0"/>
        <w:tabs>
          <w:tab w:leader="none" w:pos="640" w:val="left"/>
          <w:tab w:leader="none" w:pos="558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March 21, 2024</w:t>
      </w:r>
      <w:r>
        <w:rPr>
          <w:sz w:val="20"/>
          <w:szCs w:val="20"/>
          <w:color w:val="auto"/>
        </w:rPr>
        <w:tab/>
      </w:r>
      <w:r>
        <w:rPr>
          <w:rFonts w:ascii="Arial" w:cs="Arial" w:eastAsia="Arial" w:hAnsi="Arial"/>
          <w:sz w:val="11"/>
          <w:szCs w:val="11"/>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12065</wp:posOffset>
            </wp:positionV>
            <wp:extent cx="357759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3577590" cy="5715"/>
                    </a:xfrm>
                    <a:prstGeom prst="rect">
                      <a:avLst/>
                    </a:prstGeom>
                    <a:noFill/>
                  </pic:spPr>
                </pic:pic>
              </a:graphicData>
            </a:graphic>
          </wp:anchor>
        </w:drawing>
      </w:r>
    </w:p>
    <w:p>
      <w:pPr>
        <w:spacing w:after="0" w:line="40"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Sanjay Mehrotra</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President and Chief Executive Officer and Director</w:t>
      </w:r>
    </w:p>
    <w:p>
      <w:pPr>
        <w:sectPr>
          <w:pgSz w:w="11900" w:h="16838" w:orient="portrait"/>
          <w:cols w:equalWidth="0" w:num="1">
            <w:col w:w="11300"/>
          </w:cols>
          <w:pgMar w:left="300" w:top="706" w:right="299" w:bottom="1440" w:gutter="0" w:footer="0" w:header="0"/>
        </w:sectPr>
      </w:pPr>
    </w:p>
    <w:bookmarkStart w:id="62" w:name="page63"/>
    <w:bookmarkEnd w:id="62"/>
    <w:p>
      <w:pPr>
        <w:jc w:val="right"/>
        <w:spacing w:after="0"/>
        <w:rPr>
          <w:sz w:val="20"/>
          <w:szCs w:val="20"/>
          <w:color w:val="auto"/>
        </w:rPr>
      </w:pPr>
      <w:r>
        <w:rPr>
          <w:rFonts w:ascii="Arial" w:cs="Arial" w:eastAsia="Arial" w:hAnsi="Arial"/>
          <w:sz w:val="14"/>
          <w:szCs w:val="14"/>
          <w:b w:val="1"/>
          <w:bCs w:val="1"/>
          <w:color w:val="auto"/>
        </w:rPr>
        <w:t>EXHIBIT 32.2</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PURSUANT TO 18 U.S.C. 1350</w:t>
      </w:r>
    </w:p>
    <w:p>
      <w:pPr>
        <w:spacing w:after="0" w:line="110" w:lineRule="exact"/>
        <w:rPr>
          <w:sz w:val="20"/>
          <w:szCs w:val="20"/>
          <w:color w:val="auto"/>
        </w:rPr>
      </w:pPr>
    </w:p>
    <w:p>
      <w:pPr>
        <w:jc w:val="both"/>
        <w:ind w:right="100"/>
        <w:spacing w:after="0" w:line="268" w:lineRule="auto"/>
        <w:rPr>
          <w:sz w:val="20"/>
          <w:szCs w:val="20"/>
          <w:color w:val="auto"/>
        </w:rPr>
      </w:pPr>
      <w:r>
        <w:rPr>
          <w:rFonts w:ascii="Arial" w:cs="Arial" w:eastAsia="Arial" w:hAnsi="Arial"/>
          <w:sz w:val="12"/>
          <w:szCs w:val="12"/>
          <w:color w:val="auto"/>
        </w:rPr>
        <w:t>I, Mark Murphy, certify, pursuant to 18 U.S.C. 1350, as adopted pursuant to Section 906 of the Sarbanes-Oxley Act of 2002, that the Quarterly Report of Micron Technology, Inc. on Form 10-Q for the period ended February 29, 2024,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05" w:lineRule="exact"/>
        <w:rPr>
          <w:sz w:val="20"/>
          <w:szCs w:val="20"/>
          <w:color w:val="auto"/>
        </w:rPr>
      </w:pPr>
    </w:p>
    <w:p>
      <w:pPr>
        <w:spacing w:after="0"/>
        <w:tabs>
          <w:tab w:leader="none" w:pos="660" w:val="left"/>
          <w:tab w:leader="none" w:pos="562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March 21, 2024</w:t>
      </w:r>
      <w:r>
        <w:rPr>
          <w:sz w:val="20"/>
          <w:szCs w:val="20"/>
          <w:color w:val="auto"/>
        </w:rPr>
        <w:tab/>
      </w:r>
      <w:r>
        <w:rPr>
          <w:rFonts w:ascii="Arial" w:cs="Arial" w:eastAsia="Arial" w:hAnsi="Arial"/>
          <w:sz w:val="11"/>
          <w:szCs w:val="11"/>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12065</wp:posOffset>
            </wp:positionV>
            <wp:extent cx="357759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3577590" cy="5715"/>
                    </a:xfrm>
                    <a:prstGeom prst="rect">
                      <a:avLst/>
                    </a:prstGeom>
                    <a:noFill/>
                  </pic:spPr>
                </pic:pic>
              </a:graphicData>
            </a:graphic>
          </wp:anchor>
        </w:drawing>
      </w:r>
    </w:p>
    <w:p>
      <w:pPr>
        <w:spacing w:after="0" w:line="40"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Mark Murphy</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Executive Vice President and Chief Financial Officer</w:t>
      </w:r>
    </w:p>
    <w:sectPr>
      <w:pgSz w:w="11900" w:h="16838" w:orient="portrait"/>
      <w:cols w:equalWidth="0" w:num="1">
        <w:col w:w="11300"/>
      </w:cols>
      <w:pgMar w:left="300" w:top="70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3"/>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6" Type="http://schemas.openxmlformats.org/officeDocument/2006/relationships/image" Target="media/image95.jpe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02" Type="http://schemas.openxmlformats.org/officeDocument/2006/relationships/hyperlink" Target="https://www.sec.gov/Archives/edgar/data/723125/000110465915004447/a15-3005_2ex99d2.htm" TargetMode="External"/><Relationship Id="rId103" Type="http://schemas.openxmlformats.org/officeDocument/2006/relationships/hyperlink" Target="https://www.sec.gov/Archives/edgar/data/723125/000110465924033011/tm248305d1_ex3-1.htm" TargetMode="External"/><Relationship Id="rId104" Type="http://schemas.openxmlformats.org/officeDocument/2006/relationships/hyperlink" Target="https://www.sec.gov/Archives/edgar/data/723125/000110465919006069/a18-36862_4ex4d1.htm" TargetMode="External"/><Relationship Id="rId105" Type="http://schemas.openxmlformats.org/officeDocument/2006/relationships/hyperlink" Target="https://www.sec.gov/Archives/edgar/data/723125/000110465924003666/tm243238d1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2024-03-21T12:33:46Z</dcterms:created>
  <dcterms:modified xsi:type="dcterms:W3CDTF">2024-03-21T12:33:46Z</dcterms:modified>
</cp:coreProperties>
</file>