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7,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142875</wp:posOffset>
            </wp:positionV>
            <wp:extent cx="145732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Boise, Idaho 83716-9632</w:t>
            </w:r>
          </w:p>
        </w:tc>
        <w:tc>
          <w:tcPr>
            <w:tcW w:w="3100" w:type="dxa"/>
            <w:vAlign w:val="bottom"/>
            <w:tcBorders>
              <w:bottom w:val="single" w:sz="8" w:color="auto"/>
            </w:tcBorders>
          </w:tcPr>
          <w:p>
            <w:pPr>
              <w:spacing w:after="0"/>
              <w:rPr>
                <w:sz w:val="20"/>
                <w:szCs w:val="20"/>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Borders>
              <w:bottom w:val="single" w:sz="8" w:color="auto"/>
            </w:tcBorders>
          </w:tcPr>
          <w:p>
            <w:pPr>
              <w:spacing w:after="0"/>
              <w:rPr>
                <w:sz w:val="19"/>
                <w:szCs w:val="19"/>
                <w:color w:val="auto"/>
              </w:rPr>
            </w:pPr>
          </w:p>
        </w:tc>
      </w:tr>
      <w:tr>
        <w:trPr>
          <w:trHeight w:val="641"/>
        </w:trPr>
        <w:tc>
          <w:tcPr>
            <w:tcW w:w="33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100" w:type="dxa"/>
            <w:vAlign w:val="bottom"/>
            <w:tcBorders>
              <w:bottom w:val="single" w:sz="8" w:color="auto"/>
            </w:tcBorders>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21, 2018, the Company announced that its Board of Directors had authorized a stock repurchase program (the “Repurchase Program”) through open market purchases, block trades, privately negotiated transactions and/or derivative transactions, subject to market conditions and Micron's ongoing determination that it is the best use of available cash. On December 21, 2022, the Company disclosed the temporary suspension of the Repurchase Program as a result of the industry downturn. In light of improved conditions, on August 7, 2024, the Company determined that repurchases may resume, which will help offset dilution from employee stock purchase programs. The Company maintains its commitment to further strengthening its balance sheet and sustaining its investment grade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Murphy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40"/>
      </w:cols>
      <w:pgMar w:left="320" w:top="90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2024-08-07T07:48:15Z</dcterms:created>
  <dcterms:modified xsi:type="dcterms:W3CDTF">2024-08-07T07:48:15Z</dcterms:modified>
</cp:coreProperties>
</file>