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6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14605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60"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57"/>
        </w:trPr>
        <w:tc>
          <w:tcPr>
            <w:tcW w:w="40" w:type="dxa"/>
            <w:vAlign w:val="bottom"/>
          </w:tcPr>
          <w:p>
            <w:pPr>
              <w:spacing w:after="0"/>
              <w:rPr>
                <w:sz w:val="22"/>
                <w:szCs w:val="22"/>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2"/>
                <w:szCs w:val="22"/>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0" w:type="dxa"/>
            <w:vAlign w:val="bottom"/>
          </w:tcPr>
          <w:p>
            <w:pPr>
              <w:spacing w:after="0"/>
              <w:rPr>
                <w:sz w:val="19"/>
                <w:szCs w:val="19"/>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07"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823595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7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On March 31, 2021, we announced the financial results for our second quarter of fiscal 2021 ended March 4, 2021. The full text of the press release issued in connection with the announcement is attached as Exhibit 99.1 to this Current Report on Form 8-K.</w:t>
      </w:r>
    </w:p>
    <w:p>
      <w:pPr>
        <w:spacing w:after="0" w:line="3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5"/>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160" w:type="dxa"/>
            <w:vAlign w:val="bottom"/>
          </w:tcPr>
          <w:p>
            <w:pPr>
              <w:spacing w:after="0"/>
              <w:rPr>
                <w:sz w:val="24"/>
                <w:szCs w:val="24"/>
                <w:color w:val="auto"/>
              </w:rPr>
            </w:pPr>
          </w:p>
        </w:tc>
        <w:tc>
          <w:tcPr>
            <w:tcW w:w="10080" w:type="dxa"/>
            <w:vAlign w:val="bottom"/>
            <w:gridSpan w:val="5"/>
          </w:tcPr>
          <w:p>
            <w:pPr>
              <w:ind w:left="180"/>
              <w:spacing w:after="0"/>
              <w:rPr>
                <w:sz w:val="20"/>
                <w:szCs w:val="20"/>
                <w:color w:val="auto"/>
              </w:rPr>
            </w:pPr>
            <w:r>
              <w:rPr>
                <w:rFonts w:ascii="Arial" w:cs="Arial" w:eastAsia="Arial" w:hAnsi="Arial"/>
                <w:sz w:val="18"/>
                <w:szCs w:val="18"/>
                <w:color w:val="auto"/>
              </w:rPr>
              <w:t>(d) Exhibits.</w:t>
            </w:r>
          </w:p>
        </w:tc>
      </w:tr>
      <w:tr>
        <w:trPr>
          <w:trHeight w:val="85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182"/>
        </w:trPr>
        <w:tc>
          <w:tcPr>
            <w:tcW w:w="116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99.1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gridSpan w:val="3"/>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issued on March 31, 2021</w:t>
              </w:r>
            </w:hyperlink>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50"/>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79"/>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7500" w:type="dxa"/>
            <w:vAlign w:val="bottom"/>
            <w:gridSpan w:val="2"/>
          </w:tcPr>
          <w:p>
            <w:pPr>
              <w:ind w:left="1740"/>
              <w:spacing w:after="0"/>
              <w:rPr>
                <w:sz w:val="20"/>
                <w:szCs w:val="20"/>
                <w:color w:val="auto"/>
              </w:rPr>
            </w:pPr>
            <w:r>
              <w:rPr>
                <w:rFonts w:ascii="Arial" w:cs="Arial" w:eastAsia="Arial" w:hAnsi="Arial"/>
                <w:sz w:val="18"/>
                <w:szCs w:val="18"/>
                <w:b w:val="1"/>
                <w:bCs w:val="1"/>
                <w:color w:val="auto"/>
              </w:rPr>
              <w:t>MICRON TECHNOLOGY, INC.</w:t>
            </w:r>
          </w:p>
        </w:tc>
      </w:tr>
      <w:tr>
        <w:trPr>
          <w:trHeight w:val="742"/>
        </w:trPr>
        <w:tc>
          <w:tcPr>
            <w:tcW w:w="3720" w:type="dxa"/>
            <w:vAlign w:val="bottom"/>
          </w:tcPr>
          <w:p>
            <w:pPr>
              <w:spacing w:after="0"/>
              <w:rPr>
                <w:sz w:val="20"/>
                <w:szCs w:val="20"/>
                <w:color w:val="auto"/>
              </w:rPr>
            </w:pPr>
            <w:r>
              <w:rPr>
                <w:rFonts w:ascii="Arial" w:cs="Arial" w:eastAsia="Arial" w:hAnsi="Arial"/>
                <w:sz w:val="18"/>
                <w:szCs w:val="18"/>
                <w:color w:val="auto"/>
              </w:rPr>
              <w:t>Date:   March 31, 2021</w:t>
            </w:r>
          </w:p>
        </w:tc>
        <w:tc>
          <w:tcPr>
            <w:tcW w:w="2640" w:type="dxa"/>
            <w:vAlign w:val="bottom"/>
          </w:tcPr>
          <w:p>
            <w:pPr>
              <w:ind w:left="17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23"/>
        </w:trPr>
        <w:tc>
          <w:tcPr>
            <w:tcW w:w="3720" w:type="dxa"/>
            <w:vAlign w:val="bottom"/>
          </w:tcPr>
          <w:p>
            <w:pPr>
              <w:spacing w:after="0"/>
              <w:rPr>
                <w:sz w:val="19"/>
                <w:szCs w:val="19"/>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30"/>
        </w:trPr>
        <w:tc>
          <w:tcPr>
            <w:tcW w:w="3720" w:type="dxa"/>
            <w:vAlign w:val="bottom"/>
          </w:tcPr>
          <w:p>
            <w:pPr>
              <w:spacing w:after="0"/>
              <w:rPr>
                <w:sz w:val="19"/>
                <w:szCs w:val="19"/>
                <w:color w:val="auto"/>
              </w:rPr>
            </w:pPr>
          </w:p>
        </w:tc>
        <w:tc>
          <w:tcPr>
            <w:tcW w:w="2640" w:type="dxa"/>
            <w:vAlign w:val="bottom"/>
          </w:tcPr>
          <w:p>
            <w:pPr>
              <w:ind w:left="17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29"/>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line="189" w:lineRule="exact"/>
              <w:rPr>
                <w:sz w:val="20"/>
                <w:szCs w:val="20"/>
                <w:color w:val="auto"/>
              </w:rPr>
            </w:pPr>
            <w:r>
              <w:rPr>
                <w:rFonts w:ascii="Arial" w:cs="Arial" w:eastAsia="Arial" w:hAnsi="Arial"/>
                <w:sz w:val="18"/>
                <w:szCs w:val="18"/>
                <w:color w:val="0090DA"/>
              </w:rPr>
              <w:t>epompen@micron.com</w:t>
            </w:r>
          </w:p>
        </w:tc>
      </w:tr>
      <w:tr>
        <w:trPr>
          <w:trHeight w:val="250"/>
        </w:trPr>
        <w:tc>
          <w:tcPr>
            <w:tcW w:w="1500" w:type="dxa"/>
            <w:vAlign w:val="bottom"/>
          </w:tcPr>
          <w:p>
            <w:pPr>
              <w:spacing w:after="0"/>
              <w:rPr>
                <w:sz w:val="21"/>
                <w:szCs w:val="21"/>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1"/>
                <w:szCs w:val="21"/>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QUARTER OF FISCAL 2021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Strong execution drives robust growth across multiple end markets</w:t>
      </w:r>
    </w:p>
    <w:p>
      <w:pPr>
        <w:spacing w:after="0" w:line="2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March 31, 2021 – Micron Technology, Inc. (Nasdaq: MU) today announced results for its second quarter of fiscal 2021,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March 4, 2021.</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Q2 2021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$6.24 billion versus $5.77 billion for the prior quarter and $4.80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$603 million, or $0.53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$1.13 billion, or $0.98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$3.06 billion versus $1.97 billion for the prior quarter and $2.00 billion for the same period last year</w:t>
      </w:r>
    </w:p>
    <w:p>
      <w:pPr>
        <w:spacing w:after="0" w:line="25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“Micron’s strong fiscal second quarter performance reflects rapidly improving market conditions and continued solid execution,” said Micron Technology President and CEO Sanjay Mehrotra. “Our technology leadership in both DRAM and NAND places Micron in an excellent position to capitalize on the secular demand driven by AI and 5G, and to deliver new levels of user experience and innovation across the data center and intelligent edge.”</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6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40" w:type="dxa"/>
            <w:vAlign w:val="bottom"/>
            <w:tcBorders>
              <w:bottom w:val="single" w:sz="8" w:color="0090DA"/>
            </w:tcBorders>
          </w:tcPr>
          <w:p>
            <w:pPr>
              <w:spacing w:after="0"/>
              <w:rPr>
                <w:sz w:val="23"/>
                <w:szCs w:val="23"/>
                <w:color w:val="auto"/>
              </w:rPr>
            </w:pPr>
          </w:p>
        </w:tc>
        <w:tc>
          <w:tcPr>
            <w:tcW w:w="1140" w:type="dxa"/>
            <w:vAlign w:val="bottom"/>
            <w:tcBorders>
              <w:bottom w:val="single" w:sz="8" w:color="0090DA"/>
            </w:tcBorders>
            <w:gridSpan w:val="2"/>
          </w:tcPr>
          <w:p>
            <w:pPr>
              <w:ind w:left="40"/>
              <w:spacing w:after="0"/>
              <w:rPr>
                <w:sz w:val="20"/>
                <w:szCs w:val="20"/>
                <w:color w:val="auto"/>
              </w:rPr>
            </w:pPr>
            <w:r>
              <w:rPr>
                <w:rFonts w:ascii="Arial" w:cs="Arial" w:eastAsia="Arial" w:hAnsi="Arial"/>
                <w:sz w:val="18"/>
                <w:szCs w:val="18"/>
                <w:b w:val="1"/>
                <w:bCs w:val="1"/>
                <w:color w:val="auto"/>
                <w:w w:val="96"/>
              </w:rPr>
              <w:t>Non-GAAP</w:t>
            </w:r>
            <w:r>
              <w:rPr>
                <w:rFonts w:ascii="Arial" w:cs="Arial" w:eastAsia="Arial" w:hAnsi="Arial"/>
                <w:sz w:val="23"/>
                <w:szCs w:val="23"/>
                <w:b w:val="1"/>
                <w:bCs w:val="1"/>
                <w:color w:val="auto"/>
                <w:w w:val="96"/>
                <w:vertAlign w:val="superscript"/>
              </w:rPr>
              <w:t>(2)</w:t>
            </w: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r>
      <w:tr>
        <w:trPr>
          <w:trHeight w:val="25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FQ2-21</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FQ1-21</w:t>
            </w:r>
          </w:p>
        </w:tc>
        <w:tc>
          <w:tcPr>
            <w:tcW w:w="2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FQ2-20</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FQ2-21</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FQ1-21</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FQ2-20</w:t>
            </w:r>
          </w:p>
        </w:tc>
      </w:tr>
      <w:tr>
        <w:trPr>
          <w:trHeight w:val="34"/>
        </w:trPr>
        <w:tc>
          <w:tcPr>
            <w:tcW w:w="42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960" w:type="dxa"/>
            <w:vAlign w:val="bottom"/>
            <w:tcBorders>
              <w:top w:val="single" w:sz="8" w:color="0090DA"/>
            </w:tcBorders>
          </w:tcPr>
          <w:p>
            <w:pPr>
              <w:spacing w:after="0"/>
              <w:rPr>
                <w:sz w:val="2"/>
                <w:szCs w:val="2"/>
                <w:color w:val="auto"/>
              </w:rPr>
            </w:pP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6,236</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5,773</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4,797</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6,236</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5,773</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4,797</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1,649</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2,054</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1,784</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1,398</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26.4 %</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30.1 %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28.2 %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32.9 %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30.9 %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29.1 %</w:t>
            </w: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986</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856</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663</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1,257</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973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542</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10.6 %</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15.0 %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9.2 %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20.2 %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16.9 %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11.3 %</w:t>
            </w:r>
          </w:p>
        </w:tc>
      </w:tr>
      <w:tr>
        <w:trPr>
          <w:trHeight w:val="230"/>
        </w:trPr>
        <w:tc>
          <w:tcPr>
            <w:tcW w:w="42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1,128</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897</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517</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0.98</w:t>
            </w: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0.45</w:t>
            </w:r>
          </w:p>
        </w:tc>
      </w:tr>
    </w:tbl>
    <w:p>
      <w:pPr>
        <w:spacing w:after="0" w:line="340" w:lineRule="exact"/>
        <w:rPr>
          <w:sz w:val="20"/>
          <w:szCs w:val="20"/>
          <w:color w:val="auto"/>
        </w:rPr>
      </w:pPr>
    </w:p>
    <w:p>
      <w:pPr>
        <w:jc w:val="both"/>
        <w:ind w:right="260"/>
        <w:spacing w:after="0" w:line="215"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$2.88 billion for the second quarter of 2021,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$174 million. Micron ended the quarter with cash, marketable investments, and restricted cash of $8.57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$1.95 billion.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646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59"/>
        </w:trPr>
        <w:tc>
          <w:tcPr>
            <w:tcW w:w="646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third quarter of 2021:</w:t>
            </w:r>
          </w:p>
        </w:tc>
        <w:tc>
          <w:tcPr>
            <w:tcW w:w="26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6"/>
        </w:trPr>
        <w:tc>
          <w:tcPr>
            <w:tcW w:w="64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FQ3-21</w:t>
            </w:r>
          </w:p>
        </w:tc>
        <w:tc>
          <w:tcPr>
            <w:tcW w:w="2600" w:type="dxa"/>
            <w:vAlign w:val="bottom"/>
            <w:tcBorders>
              <w:bottom w:val="single" w:sz="8" w:color="0090DA"/>
            </w:tcBorders>
          </w:tcPr>
          <w:p>
            <w:pPr>
              <w:jc w:val="right"/>
              <w:ind w:right="50"/>
              <w:spacing w:after="0" w:line="256"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180" w:type="dxa"/>
            <w:vAlign w:val="bottom"/>
            <w:tcBorders>
              <w:bottom w:val="single" w:sz="8" w:color="0090DA"/>
            </w:tcBorders>
          </w:tcPr>
          <w:p>
            <w:pPr>
              <w:jc w:val="right"/>
              <w:spacing w:after="0" w:line="256"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30"/>
        </w:trPr>
        <w:tc>
          <w:tcPr>
            <w:tcW w:w="6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0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$7.1 billion ± $200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$7.1 billion ± $200 million</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00" w:type="dxa"/>
            <w:vAlign w:val="bottom"/>
          </w:tcPr>
          <w:p>
            <w:pPr>
              <w:jc w:val="right"/>
              <w:ind w:right="50"/>
              <w:spacing w:after="0"/>
              <w:rPr>
                <w:sz w:val="20"/>
                <w:szCs w:val="20"/>
                <w:color w:val="auto"/>
              </w:rPr>
            </w:pPr>
            <w:r>
              <w:rPr>
                <w:rFonts w:ascii="Arial" w:cs="Arial" w:eastAsia="Arial" w:hAnsi="Arial"/>
                <w:sz w:val="18"/>
                <w:szCs w:val="18"/>
                <w:color w:val="auto"/>
              </w:rPr>
              <w:t>40.5% ± 1%</w:t>
            </w:r>
          </w:p>
        </w:tc>
        <w:tc>
          <w:tcPr>
            <w:tcW w:w="2180" w:type="dxa"/>
            <w:vAlign w:val="bottom"/>
          </w:tcPr>
          <w:p>
            <w:pPr>
              <w:jc w:val="right"/>
              <w:spacing w:after="0"/>
              <w:rPr>
                <w:sz w:val="20"/>
                <w:szCs w:val="20"/>
                <w:color w:val="auto"/>
              </w:rPr>
            </w:pPr>
            <w:r>
              <w:rPr>
                <w:rFonts w:ascii="Arial" w:cs="Arial" w:eastAsia="Arial" w:hAnsi="Arial"/>
                <w:sz w:val="18"/>
                <w:szCs w:val="18"/>
                <w:color w:val="auto"/>
              </w:rPr>
              <w:t>41.5% ± 1%</w:t>
            </w:r>
          </w:p>
        </w:tc>
      </w:tr>
      <w:tr>
        <w:trPr>
          <w:trHeight w:val="229"/>
        </w:trPr>
        <w:tc>
          <w:tcPr>
            <w:tcW w:w="6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0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$930 million ± $25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$875 million ± $25 million</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600" w:type="dxa"/>
            <w:vAlign w:val="bottom"/>
          </w:tcPr>
          <w:p>
            <w:pPr>
              <w:jc w:val="right"/>
              <w:ind w:right="50"/>
              <w:spacing w:after="0"/>
              <w:rPr>
                <w:sz w:val="20"/>
                <w:szCs w:val="20"/>
                <w:color w:val="auto"/>
              </w:rPr>
            </w:pPr>
            <w:r>
              <w:rPr>
                <w:rFonts w:ascii="Arial" w:cs="Arial" w:eastAsia="Arial" w:hAnsi="Arial"/>
                <w:sz w:val="18"/>
                <w:szCs w:val="18"/>
                <w:color w:val="auto"/>
              </w:rPr>
              <w:t>$27 million</w:t>
            </w:r>
          </w:p>
        </w:tc>
        <w:tc>
          <w:tcPr>
            <w:tcW w:w="2180" w:type="dxa"/>
            <w:vAlign w:val="bottom"/>
          </w:tcPr>
          <w:p>
            <w:pPr>
              <w:jc w:val="right"/>
              <w:spacing w:after="0"/>
              <w:rPr>
                <w:sz w:val="20"/>
                <w:szCs w:val="20"/>
                <w:color w:val="auto"/>
              </w:rPr>
            </w:pPr>
            <w:r>
              <w:rPr>
                <w:rFonts w:ascii="Arial" w:cs="Arial" w:eastAsia="Arial" w:hAnsi="Arial"/>
                <w:sz w:val="18"/>
                <w:szCs w:val="18"/>
                <w:color w:val="auto"/>
              </w:rPr>
              <w:t>$25 million</w:t>
            </w:r>
          </w:p>
        </w:tc>
      </w:tr>
      <w:tr>
        <w:trPr>
          <w:trHeight w:val="229"/>
        </w:trPr>
        <w:tc>
          <w:tcPr>
            <w:tcW w:w="646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Diluted earnings per share</w:t>
            </w:r>
          </w:p>
        </w:tc>
        <w:tc>
          <w:tcPr>
            <w:tcW w:w="260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$1.52 ± $0.07</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$1.62 ± $0.07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 xml:space="preserve">Micron will host a conference call on Wednesday, March 31, 2021, at 2:30 p.m. MT to discuss its second quarter financial results and provide forward-looking guidance for its third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A webcast replay will be available for one year after the call. For Investor Relations and other company updates, follow @MicronTech on Twitter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11" w:lineRule="exact"/>
        <w:rPr>
          <w:sz w:val="20"/>
          <w:szCs w:val="20"/>
          <w:color w:val="auto"/>
        </w:rPr>
      </w:pPr>
    </w:p>
    <w:p>
      <w:pPr>
        <w:ind w:right="520" w:firstLine="8"/>
        <w:spacing w:after="0" w:line="267"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2021 Micron Technology, Inc. All rights reserved. Micron, the Micron logo, and all other Micron trademarks are the property of Micron Technology, Inc. All other trademarks are the property of their respective owners.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4"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886"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1st Qtr.</w:t>
            </w:r>
          </w:p>
        </w:tc>
        <w:tc>
          <w:tcPr>
            <w:tcW w:w="140" w:type="dxa"/>
            <w:vAlign w:val="bottom"/>
          </w:tcPr>
          <w:p>
            <w:pPr>
              <w:spacing w:after="0"/>
              <w:rPr>
                <w:sz w:val="19"/>
                <w:szCs w:val="19"/>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2nd Qtr.</w:t>
            </w:r>
          </w:p>
        </w:tc>
        <w:tc>
          <w:tcPr>
            <w:tcW w:w="220" w:type="dxa"/>
            <w:vAlign w:val="bottom"/>
          </w:tcPr>
          <w:p>
            <w:pPr>
              <w:spacing w:after="0"/>
              <w:rPr>
                <w:sz w:val="19"/>
                <w:szCs w:val="19"/>
                <w:color w:val="auto"/>
              </w:rPr>
            </w:pPr>
          </w:p>
        </w:tc>
        <w:tc>
          <w:tcPr>
            <w:tcW w:w="24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185"/>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rPr>
              <w:t>March 4,</w:t>
            </w:r>
          </w:p>
        </w:tc>
        <w:tc>
          <w:tcPr>
            <w:tcW w:w="14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3,</w:t>
            </w:r>
          </w:p>
        </w:tc>
        <w:tc>
          <w:tcPr>
            <w:tcW w:w="14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February 27,</w:t>
            </w:r>
          </w:p>
        </w:tc>
        <w:tc>
          <w:tcPr>
            <w:tcW w:w="220" w:type="dxa"/>
            <w:vAlign w:val="bottom"/>
          </w:tcPr>
          <w:p>
            <w:pPr>
              <w:spacing w:after="0"/>
              <w:rPr>
                <w:sz w:val="16"/>
                <w:szCs w:val="16"/>
                <w:color w:val="auto"/>
              </w:rPr>
            </w:pPr>
          </w:p>
        </w:tc>
        <w:tc>
          <w:tcPr>
            <w:tcW w:w="112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rPr>
              <w:t>March 4,</w:t>
            </w:r>
          </w:p>
        </w:tc>
        <w:tc>
          <w:tcPr>
            <w:tcW w:w="120" w:type="dxa"/>
            <w:vAlign w:val="bottom"/>
          </w:tcPr>
          <w:p>
            <w:pPr>
              <w:spacing w:after="0"/>
              <w:rPr>
                <w:sz w:val="16"/>
                <w:szCs w:val="16"/>
                <w:color w:val="auto"/>
              </w:rPr>
            </w:pPr>
          </w:p>
        </w:tc>
        <w:tc>
          <w:tcPr>
            <w:tcW w:w="1220" w:type="dxa"/>
            <w:vAlign w:val="bottom"/>
          </w:tcPr>
          <w:p>
            <w:pPr>
              <w:jc w:val="right"/>
              <w:ind w:right="50"/>
              <w:spacing w:after="0" w:line="185" w:lineRule="exact"/>
              <w:rPr>
                <w:sz w:val="20"/>
                <w:szCs w:val="20"/>
                <w:color w:val="auto"/>
              </w:rPr>
            </w:pPr>
            <w:r>
              <w:rPr>
                <w:rFonts w:ascii="Arial" w:cs="Arial" w:eastAsia="Arial" w:hAnsi="Arial"/>
                <w:sz w:val="18"/>
                <w:szCs w:val="18"/>
                <w:b w:val="1"/>
                <w:bCs w:val="1"/>
                <w:color w:val="auto"/>
                <w:w w:val="98"/>
              </w:rPr>
              <w:t>February 27,</w:t>
            </w:r>
          </w:p>
        </w:tc>
      </w:tr>
      <w:tr>
        <w:trPr>
          <w:trHeight w:val="229"/>
        </w:trPr>
        <w:tc>
          <w:tcPr>
            <w:tcW w:w="458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22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34"/>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4,797</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12,009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9,941</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1,355</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3,385</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2,721</w:t>
            </w:r>
          </w:p>
        </w:tc>
      </w:tr>
      <w:tr>
        <w:trPr>
          <w:trHeight w:val="256"/>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1,288</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1,321</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57"/>
        </w:trPr>
        <w:tc>
          <w:tcPr>
            <w:tcW w:w="458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45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988</w:t>
            </w:r>
          </w:p>
        </w:tc>
      </w:tr>
      <w:tr>
        <w:trPr>
          <w:trHeight w:val="256"/>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407</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915</w:t>
            </w:r>
          </w:p>
        </w:tc>
      </w:tr>
      <w:tr>
        <w:trPr>
          <w:trHeight w:val="257"/>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458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0.54</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0.37</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0.81</w:t>
            </w: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0.79</w:t>
            </w:r>
          </w:p>
        </w:tc>
      </w:tr>
      <w:tr>
        <w:trPr>
          <w:trHeight w:val="257"/>
        </w:trPr>
        <w:tc>
          <w:tcPr>
            <w:tcW w:w="458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c>
          <w:tcPr>
            <w:tcW w:w="220" w:type="dxa"/>
            <w:vAlign w:val="bottom"/>
            <w:shd w:val="clear" w:color="auto" w:fill="D1D2D4"/>
          </w:tcPr>
          <w:p>
            <w:pPr>
              <w:spacing w:after="0"/>
              <w:rPr>
                <w:sz w:val="22"/>
                <w:szCs w:val="22"/>
                <w:color w:val="auto"/>
              </w:rPr>
            </w:pPr>
          </w:p>
        </w:tc>
        <w:tc>
          <w:tcPr>
            <w:tcW w:w="1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122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2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4,</w:t>
            </w:r>
          </w:p>
        </w:tc>
        <w:tc>
          <w:tcPr>
            <w:tcW w:w="140" w:type="dxa"/>
            <w:vAlign w:val="bottom"/>
          </w:tcPr>
          <w:p>
            <w:pPr>
              <w:spacing w:after="0"/>
              <w:rPr>
                <w:sz w:val="17"/>
                <w:szCs w:val="17"/>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0090DA"/>
            </w:tcBorders>
            <w:vMerge w:val="continue"/>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0090DA"/>
            </w:tcBorders>
          </w:tcPr>
          <w:p>
            <w:pPr>
              <w:spacing w:after="0"/>
              <w:rPr>
                <w:sz w:val="19"/>
                <w:szCs w:val="19"/>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5,985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7,624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4,743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5,242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564</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17,279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16,529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17,965</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31,848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32,229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31,031</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802</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724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4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4,856</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3"/>
        </w:trPr>
        <w:tc>
          <w:tcPr>
            <w:tcW w:w="72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5,688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6,298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6,356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13,472</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13,784</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7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Additional capital</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9,234</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9,034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34,723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34,138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33,384</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Treasury stock</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40,663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39,907</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54,135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53,691</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53,678</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4,</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February 27,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0090DA"/>
            </w:tcBorders>
            <w:vMerge w:val="continue"/>
          </w:tcPr>
          <w:p>
            <w:pPr>
              <w:spacing w:after="0"/>
              <w:rPr>
                <w:sz w:val="19"/>
                <w:szCs w:val="19"/>
                <w:color w:val="auto"/>
              </w:rPr>
            </w:pPr>
          </w:p>
        </w:tc>
        <w:tc>
          <w:tcPr>
            <w:tcW w:w="22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2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(5,756)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(1,349)</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(5,974)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2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6,574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7,171</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86"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Inventory</w:t>
      </w:r>
    </w:p>
    <w:p>
      <w:pPr>
        <w:spacing w:after="0" w:line="27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This change in accounting principle is preferable because in an environment with continuously changing production costs FIFO more closely matches the actual cost of goods sold with the revenues from sales of those specific units, better represents the actual cost of inventories remaining on hand at any period-end, and improves comparability with our semiconductor industry peers. The change to FIFO was not material to any prior periods, nor is the cumulative effect of $133 million material to the second quarter of 2021. As such, prior periods were not retrospectively adjusted, and the cumulative effect was reported as an increase to cost of goods sold for the second quarter of 2021 of $133 million, with an offsetting reduction to beginning inventories. This charge resulted in a corresponding reduction to operating income, a $128 million reduction to net income, and an $0.11 reduction to diluted earnings per share for the second quarter of 2021.</w:t>
      </w:r>
    </w:p>
    <w:p>
      <w:pPr>
        <w:spacing w:after="0" w:line="2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Beginning in the second quarter of 2021, we changed the classification of spare parts for equipment to better align with the manner in which they are used in operations. As a result, we now present spare parts as other current assets and no longer as a component of raw materials inventories. This reclassification was applied on a retrospective basis. As a result, $270 million of spare parts were presented in other current assets as of March 4, 2021, and we reclassified spare parts from inventories to other current assets of $279 million and $234 million in the accompanying balance sheets as of December 3, 2020 and September 3,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Assets Held for Sale</w:t>
      </w:r>
    </w:p>
    <w:p>
      <w:pPr>
        <w:spacing w:after="0" w:line="274"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at scale. Effective as of the end of the second quarter of 2021, we ceased development of 3D XPoint technology and engaged in discussions with potential buyers for the sale of our facility located in Lehi, Utah, that was dedicated to 3D XPoint production. As a result, we classified the property, plant, and equipment as held-for-sale and ceased depreciating the assets. As of March 4, 2021, the significant balances of assets and liabilities classified as held-for-sale in connection with our Lehi facility included $1.44 billion of property, plant, and equipment included in assets held for sale and $51 million of a finance lease obligation included in current portion of long-term debt. We also recognized a charge of $49 million to cost of goods sold in the second quarter of 2021 to write down 3D XPoint inventory due to our decision to cease further development of this technology. We expect to reach an agreement for the sale of our Lehi facility within calendar year 2021.</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ind w:left="436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2nd Qtr.</w:t>
            </w:r>
          </w:p>
        </w:tc>
        <w:tc>
          <w:tcPr>
            <w:tcW w:w="140" w:type="dxa"/>
            <w:vAlign w:val="bottom"/>
          </w:tcPr>
          <w:p>
            <w:pPr>
              <w:spacing w:after="0"/>
              <w:rPr>
                <w:sz w:val="19"/>
                <w:szCs w:val="19"/>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1st Qtr.</w:t>
            </w:r>
          </w:p>
        </w:tc>
        <w:tc>
          <w:tcPr>
            <w:tcW w:w="140" w:type="dxa"/>
            <w:vAlign w:val="bottom"/>
          </w:tcPr>
          <w:p>
            <w:pPr>
              <w:spacing w:after="0"/>
              <w:rPr>
                <w:sz w:val="19"/>
                <w:szCs w:val="19"/>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2nd Qtr.</w:t>
            </w:r>
          </w:p>
        </w:tc>
      </w:tr>
      <w:tr>
        <w:trPr>
          <w:trHeight w:val="185"/>
        </w:trPr>
        <w:tc>
          <w:tcPr>
            <w:tcW w:w="7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0"/>
              <w:spacing w:after="0" w:line="185" w:lineRule="exact"/>
              <w:rPr>
                <w:sz w:val="20"/>
                <w:szCs w:val="20"/>
                <w:color w:val="auto"/>
              </w:rPr>
            </w:pPr>
            <w:r>
              <w:rPr>
                <w:rFonts w:ascii="Arial" w:cs="Arial" w:eastAsia="Arial" w:hAnsi="Arial"/>
                <w:sz w:val="18"/>
                <w:szCs w:val="18"/>
                <w:b w:val="1"/>
                <w:bCs w:val="1"/>
                <w:color w:val="auto"/>
              </w:rPr>
              <w:t>March 4,</w:t>
            </w:r>
          </w:p>
        </w:tc>
        <w:tc>
          <w:tcPr>
            <w:tcW w:w="140" w:type="dxa"/>
            <w:vAlign w:val="bottom"/>
          </w:tcPr>
          <w:p>
            <w:pPr>
              <w:spacing w:after="0"/>
              <w:rPr>
                <w:sz w:val="16"/>
                <w:szCs w:val="16"/>
                <w:color w:val="auto"/>
              </w:rPr>
            </w:pPr>
          </w:p>
        </w:tc>
        <w:tc>
          <w:tcPr>
            <w:tcW w:w="120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rPr>
              <w:t>December 3,</w:t>
            </w:r>
          </w:p>
        </w:tc>
        <w:tc>
          <w:tcPr>
            <w:tcW w:w="140" w:type="dxa"/>
            <w:vAlign w:val="bottom"/>
          </w:tcPr>
          <w:p>
            <w:pPr>
              <w:spacing w:after="0"/>
              <w:rPr>
                <w:sz w:val="16"/>
                <w:szCs w:val="16"/>
                <w:color w:val="auto"/>
              </w:rPr>
            </w:pPr>
          </w:p>
        </w:tc>
        <w:tc>
          <w:tcPr>
            <w:tcW w:w="1220" w:type="dxa"/>
            <w:vAlign w:val="bottom"/>
            <w:gridSpan w:val="2"/>
          </w:tcPr>
          <w:p>
            <w:pPr>
              <w:jc w:val="center"/>
              <w:ind w:right="140"/>
              <w:spacing w:after="0" w:line="185" w:lineRule="exact"/>
              <w:rPr>
                <w:sz w:val="20"/>
                <w:szCs w:val="20"/>
                <w:color w:val="auto"/>
              </w:rPr>
            </w:pPr>
            <w:r>
              <w:rPr>
                <w:rFonts w:ascii="Arial" w:cs="Arial" w:eastAsia="Arial" w:hAnsi="Arial"/>
                <w:sz w:val="18"/>
                <w:szCs w:val="18"/>
                <w:b w:val="1"/>
                <w:bCs w:val="1"/>
                <w:color w:val="auto"/>
              </w:rPr>
              <w:t>February 27,</w:t>
            </w:r>
          </w:p>
        </w:tc>
      </w:tr>
      <w:tr>
        <w:trPr>
          <w:trHeight w:val="229"/>
        </w:trPr>
        <w:tc>
          <w:tcPr>
            <w:tcW w:w="7200" w:type="dxa"/>
            <w:vAlign w:val="bottom"/>
            <w:tcBorders>
              <w:bottom w:val="single" w:sz="8" w:color="0090DA"/>
            </w:tcBorders>
          </w:tcPr>
          <w:p>
            <w:pPr>
              <w:spacing w:after="0"/>
              <w:rPr>
                <w:sz w:val="19"/>
                <w:szCs w:val="19"/>
                <w:color w:val="auto"/>
              </w:rPr>
            </w:pPr>
          </w:p>
        </w:tc>
        <w:tc>
          <w:tcPr>
            <w:tcW w:w="200" w:type="dxa"/>
            <w:vAlign w:val="bottom"/>
            <w:tcBorders>
              <w:bottom w:val="single" w:sz="8" w:color="0090DA"/>
            </w:tcBorders>
          </w:tcPr>
          <w:p>
            <w:pPr>
              <w:spacing w:after="0"/>
              <w:rPr>
                <w:sz w:val="19"/>
                <w:szCs w:val="19"/>
                <w:color w:val="auto"/>
              </w:rPr>
            </w:pPr>
          </w:p>
        </w:tc>
        <w:tc>
          <w:tcPr>
            <w:tcW w:w="1120" w:type="dxa"/>
            <w:vAlign w:val="bottom"/>
            <w:tcBorders>
              <w:bottom w:val="single" w:sz="8" w:color="0090DA"/>
            </w:tcBorders>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9"/>
                <w:szCs w:val="19"/>
                <w:color w:val="auto"/>
              </w:rPr>
            </w:pPr>
          </w:p>
        </w:tc>
      </w:tr>
      <w:tr>
        <w:trPr>
          <w:trHeight w:val="34"/>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1,355</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Change in inventory cost absorption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3D XPoint inventory write-down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29"/>
        </w:trPr>
        <w:tc>
          <w:tcPr>
            <w:tcW w:w="72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48"/>
        </w:trPr>
        <w:tc>
          <w:tcPr>
            <w:tcW w:w="72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2,054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1,784</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1,398</w:t>
            </w:r>
          </w:p>
        </w:tc>
        <w:tc>
          <w:tcPr>
            <w:tcW w:w="20" w:type="dxa"/>
            <w:vAlign w:val="bottom"/>
          </w:tcPr>
          <w:p>
            <w:pPr>
              <w:spacing w:after="0"/>
              <w:rPr>
                <w:sz w:val="21"/>
                <w:szCs w:val="21"/>
                <w:color w:val="auto"/>
              </w:rPr>
            </w:pPr>
          </w:p>
        </w:tc>
      </w:tr>
      <w:tr>
        <w:trPr>
          <w:trHeight w:val="20"/>
        </w:trPr>
        <w:tc>
          <w:tcPr>
            <w:tcW w:w="720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72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0" w:type="dxa"/>
            <w:vAlign w:val="bottom"/>
          </w:tcPr>
          <w:p>
            <w:pPr>
              <w:spacing w:after="0"/>
              <w:rPr>
                <w:sz w:val="19"/>
                <w:szCs w:val="19"/>
                <w:color w:val="auto"/>
              </w:rPr>
            </w:pP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9"/>
                <w:szCs w:val="19"/>
                <w:color w:val="auto"/>
              </w:rPr>
            </w:pP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GAAP net income attributable to Micron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Amortization of debt discount and other costs</w:t>
            </w:r>
          </w:p>
        </w:tc>
        <w:tc>
          <w:tcPr>
            <w:tcW w:w="20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Estimated tax effects of above and non-cash changes in net deferred income taxes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Non-GAAP net income attributable to Micron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9"/>
                <w:szCs w:val="19"/>
                <w:color w:val="auto"/>
              </w:rPr>
            </w:pP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19"/>
                <w:szCs w:val="19"/>
                <w:color w:val="auto"/>
              </w:rPr>
            </w:pPr>
          </w:p>
        </w:tc>
      </w:tr>
      <w:tr>
        <w:trPr>
          <w:trHeight w:val="230"/>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Adjustment for stock-based compensation and capped calls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9"/>
                <w:szCs w:val="19"/>
                <w:color w:val="auto"/>
              </w:rPr>
            </w:pPr>
          </w:p>
        </w:tc>
      </w:tr>
      <w:tr>
        <w:trPr>
          <w:trHeight w:val="20"/>
        </w:trPr>
        <w:tc>
          <w:tcPr>
            <w:tcW w:w="7200" w:type="dxa"/>
            <w:vAlign w:val="bottom"/>
            <w:tcBorders>
              <w:bottom w:val="single" w:sz="8" w:color="D1D2D4"/>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7200" w:type="dxa"/>
            <w:vAlign w:val="bottom"/>
            <w:shd w:val="clear" w:color="auto" w:fill="D1D2D4"/>
          </w:tcPr>
          <w:p>
            <w:pPr>
              <w:spacing w:after="0"/>
              <w:rPr>
                <w:sz w:val="15"/>
                <w:szCs w:val="15"/>
                <w:color w:val="auto"/>
              </w:rPr>
            </w:pPr>
          </w:p>
        </w:tc>
        <w:tc>
          <w:tcPr>
            <w:tcW w:w="200" w:type="dxa"/>
            <w:vAlign w:val="bottom"/>
            <w:shd w:val="clear" w:color="auto" w:fill="D1D2D4"/>
          </w:tcPr>
          <w:p>
            <w:pPr>
              <w:spacing w:after="0"/>
              <w:rPr>
                <w:sz w:val="15"/>
                <w:szCs w:val="15"/>
                <w:color w:val="auto"/>
              </w:rPr>
            </w:pPr>
          </w:p>
        </w:tc>
        <w:tc>
          <w:tcPr>
            <w:tcW w:w="1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200" w:type="dxa"/>
            <w:vAlign w:val="bottom"/>
            <w:shd w:val="clear" w:color="auto" w:fill="D1D2D4"/>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GAAP diluted earnings per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9"/>
                <w:szCs w:val="19"/>
                <w:color w:val="auto"/>
              </w:rPr>
            </w:pPr>
          </w:p>
        </w:tc>
      </w:tr>
      <w:tr>
        <w:trPr>
          <w:trHeight w:val="229"/>
        </w:trPr>
        <w:tc>
          <w:tcPr>
            <w:tcW w:w="72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Effects of the above adjustments</w:t>
            </w:r>
          </w:p>
        </w:tc>
        <w:tc>
          <w:tcPr>
            <w:tcW w:w="20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0.45</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9"/>
                <w:szCs w:val="19"/>
                <w:color w:val="auto"/>
              </w:rPr>
            </w:pP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Non-GAAP diluted earnings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9"/>
                <w:szCs w:val="19"/>
                <w:color w:val="auto"/>
              </w:rPr>
            </w:pPr>
          </w:p>
        </w:tc>
      </w:tr>
      <w:tr>
        <w:trPr>
          <w:trHeight w:val="21"/>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20"/>
          </w:cols>
          <w:pgMar w:left="340" w:top="886"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700" w:type="dxa"/>
            <w:vAlign w:val="bottom"/>
            <w:gridSpan w:val="4"/>
          </w:tcPr>
          <w:p>
            <w:pPr>
              <w:jc w:val="right"/>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90"/>
        </w:trPr>
        <w:tc>
          <w:tcPr>
            <w:tcW w:w="5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2nd Qtr.</w:t>
            </w:r>
          </w:p>
        </w:tc>
        <w:tc>
          <w:tcPr>
            <w:tcW w:w="160" w:type="dxa"/>
            <w:vAlign w:val="bottom"/>
          </w:tcPr>
          <w:p>
            <w:pPr>
              <w:spacing w:after="0"/>
              <w:rPr>
                <w:sz w:val="24"/>
                <w:szCs w:val="24"/>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1st Qtr.</w:t>
            </w:r>
          </w:p>
        </w:tc>
        <w:tc>
          <w:tcPr>
            <w:tcW w:w="140" w:type="dxa"/>
            <w:vAlign w:val="bottom"/>
          </w:tcPr>
          <w:p>
            <w:pPr>
              <w:spacing w:after="0"/>
              <w:rPr>
                <w:sz w:val="24"/>
                <w:szCs w:val="24"/>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2nd Qtr.</w:t>
            </w:r>
          </w:p>
        </w:tc>
      </w:tr>
      <w:tr>
        <w:trPr>
          <w:trHeight w:val="185"/>
        </w:trPr>
        <w:tc>
          <w:tcPr>
            <w:tcW w:w="5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100" w:type="dxa"/>
            <w:vAlign w:val="bottom"/>
          </w:tcPr>
          <w:p>
            <w:pPr>
              <w:jc w:val="center"/>
              <w:ind w:right="90"/>
              <w:spacing w:after="0" w:line="185" w:lineRule="exact"/>
              <w:rPr>
                <w:sz w:val="20"/>
                <w:szCs w:val="20"/>
                <w:color w:val="auto"/>
              </w:rPr>
            </w:pPr>
            <w:r>
              <w:rPr>
                <w:rFonts w:ascii="Arial" w:cs="Arial" w:eastAsia="Arial" w:hAnsi="Arial"/>
                <w:sz w:val="18"/>
                <w:szCs w:val="18"/>
                <w:b w:val="1"/>
                <w:bCs w:val="1"/>
                <w:color w:val="auto"/>
                <w:w w:val="98"/>
              </w:rPr>
              <w:t>March 4,</w:t>
            </w:r>
          </w:p>
        </w:tc>
        <w:tc>
          <w:tcPr>
            <w:tcW w:w="160" w:type="dxa"/>
            <w:vAlign w:val="bottom"/>
          </w:tcPr>
          <w:p>
            <w:pPr>
              <w:spacing w:after="0"/>
              <w:rPr>
                <w:sz w:val="16"/>
                <w:szCs w:val="16"/>
                <w:color w:val="auto"/>
              </w:rPr>
            </w:pPr>
          </w:p>
        </w:tc>
        <w:tc>
          <w:tcPr>
            <w:tcW w:w="1180" w:type="dxa"/>
            <w:vAlign w:val="bottom"/>
          </w:tcPr>
          <w:p>
            <w:pPr>
              <w:jc w:val="center"/>
              <w:ind w:right="10"/>
              <w:spacing w:after="0" w:line="185" w:lineRule="exact"/>
              <w:rPr>
                <w:sz w:val="20"/>
                <w:szCs w:val="20"/>
                <w:color w:val="auto"/>
              </w:rPr>
            </w:pPr>
            <w:r>
              <w:rPr>
                <w:rFonts w:ascii="Arial" w:cs="Arial" w:eastAsia="Arial" w:hAnsi="Arial"/>
                <w:sz w:val="18"/>
                <w:szCs w:val="18"/>
                <w:b w:val="1"/>
                <w:bCs w:val="1"/>
                <w:color w:val="auto"/>
              </w:rPr>
              <w:t>December 3,</w:t>
            </w:r>
          </w:p>
        </w:tc>
        <w:tc>
          <w:tcPr>
            <w:tcW w:w="140" w:type="dxa"/>
            <w:vAlign w:val="bottom"/>
          </w:tcPr>
          <w:p>
            <w:pPr>
              <w:spacing w:after="0"/>
              <w:rPr>
                <w:sz w:val="16"/>
                <w:szCs w:val="16"/>
                <w:color w:val="auto"/>
              </w:rPr>
            </w:pPr>
          </w:p>
        </w:tc>
        <w:tc>
          <w:tcPr>
            <w:tcW w:w="1220" w:type="dxa"/>
            <w:vAlign w:val="bottom"/>
          </w:tcPr>
          <w:p>
            <w:pPr>
              <w:jc w:val="center"/>
              <w:ind w:right="30"/>
              <w:spacing w:after="0" w:line="185" w:lineRule="exact"/>
              <w:rPr>
                <w:sz w:val="20"/>
                <w:szCs w:val="20"/>
                <w:color w:val="auto"/>
              </w:rPr>
            </w:pPr>
            <w:r>
              <w:rPr>
                <w:rFonts w:ascii="Arial" w:cs="Arial" w:eastAsia="Arial" w:hAnsi="Arial"/>
                <w:sz w:val="18"/>
                <w:szCs w:val="18"/>
                <w:b w:val="1"/>
                <w:bCs w:val="1"/>
                <w:color w:val="auto"/>
                <w:w w:val="98"/>
              </w:rPr>
              <w:t>February 27,</w:t>
            </w:r>
          </w:p>
        </w:tc>
      </w:tr>
      <w:tr>
        <w:trPr>
          <w:trHeight w:val="229"/>
        </w:trPr>
        <w:tc>
          <w:tcPr>
            <w:tcW w:w="5660" w:type="dxa"/>
            <w:vAlign w:val="bottom"/>
            <w:tcBorders>
              <w:bottom w:val="single" w:sz="8" w:color="0090DA"/>
            </w:tcBorders>
          </w:tcPr>
          <w:p>
            <w:pPr>
              <w:spacing w:after="0"/>
              <w:rPr>
                <w:sz w:val="19"/>
                <w:szCs w:val="19"/>
                <w:color w:val="auto"/>
              </w:rPr>
            </w:pPr>
          </w:p>
        </w:tc>
        <w:tc>
          <w:tcPr>
            <w:tcW w:w="1780" w:type="dxa"/>
            <w:vAlign w:val="bottom"/>
            <w:tcBorders>
              <w:bottom w:val="single" w:sz="8" w:color="0090DA"/>
            </w:tcBorders>
          </w:tcPr>
          <w:p>
            <w:pPr>
              <w:spacing w:after="0"/>
              <w:rPr>
                <w:sz w:val="19"/>
                <w:szCs w:val="19"/>
                <w:color w:val="auto"/>
              </w:rPr>
            </w:pPr>
          </w:p>
        </w:tc>
        <w:tc>
          <w:tcPr>
            <w:tcW w:w="11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w w:val="99"/>
              </w:rPr>
              <w:t>2020</w:t>
            </w:r>
          </w:p>
        </w:tc>
      </w:tr>
      <w:tr>
        <w:trPr>
          <w:trHeight w:val="34"/>
        </w:trPr>
        <w:tc>
          <w:tcPr>
            <w:tcW w:w="5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6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7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3,057</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1,967</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2,001</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Investments in capital expenditures, net</w:t>
            </w:r>
          </w:p>
        </w:tc>
        <w:tc>
          <w:tcPr>
            <w:tcW w:w="1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ind w:left="140"/>
        <w:spacing w:after="0" w:line="229" w:lineRule="auto"/>
        <w:rPr>
          <w:sz w:val="20"/>
          <w:szCs w:val="20"/>
          <w:color w:val="auto"/>
        </w:rPr>
      </w:pPr>
      <w:r>
        <w:rPr>
          <w:rFonts w:ascii="Arial" w:cs="Arial" w:eastAsia="Arial" w:hAnsi="Arial"/>
          <w:sz w:val="17"/>
          <w:szCs w:val="17"/>
          <w:color w:val="auto"/>
        </w:rPr>
        <w:t>Expenditures for property, plant, and equipment, net</w:t>
      </w:r>
      <w:r>
        <w:rPr>
          <w:rFonts w:ascii="Arial" w:cs="Arial" w:eastAsia="Arial" w:hAnsi="Arial"/>
          <w:sz w:val="22"/>
          <w:szCs w:val="22"/>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equipment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funded by partners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free cash flow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(2,726)</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30"/>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4000"/>
          </w:cols>
          <w:pgMar w:left="320" w:top="886" w:right="339" w:bottom="1440" w:gutter="0" w:footer="0" w:header="0"/>
          <w:type w:val="continuous"/>
        </w:sectPr>
      </w:pPr>
    </w:p>
    <w:p>
      <w:pPr>
        <w:spacing w:after="0" w:line="150" w:lineRule="exact"/>
        <w:rPr>
          <w:sz w:val="20"/>
          <w:szCs w:val="20"/>
          <w:color w:val="auto"/>
        </w:rPr>
      </w:pPr>
    </w:p>
    <w:p>
      <w:pPr>
        <w:ind w:left="340" w:right="140" w:hanging="332"/>
        <w:spacing w:after="0" w:line="220" w:lineRule="auto"/>
        <w:tabs>
          <w:tab w:leader="none" w:pos="33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Expenditures for property, plant, and equipment, net include proceeds from sales of property, plant, and equipment of $18 million for the second quarter of 2021, $12 million for the first quarter of 2021, and $43 million for the second quarter of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448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March 4,</w:t>
            </w:r>
          </w:p>
        </w:tc>
        <w:tc>
          <w:tcPr>
            <w:tcW w:w="1400" w:type="dxa"/>
            <w:vAlign w:val="bottom"/>
          </w:tcPr>
          <w:p>
            <w:pPr>
              <w:jc w:val="center"/>
              <w:ind w:left="30"/>
              <w:spacing w:after="0"/>
              <w:rPr>
                <w:sz w:val="20"/>
                <w:szCs w:val="20"/>
                <w:color w:val="auto"/>
              </w:rPr>
            </w:pPr>
            <w:r>
              <w:rPr>
                <w:rFonts w:ascii="Arial" w:cs="Arial" w:eastAsia="Arial" w:hAnsi="Arial"/>
                <w:sz w:val="18"/>
                <w:szCs w:val="18"/>
                <w:b w:val="1"/>
                <w:bCs w:val="1"/>
                <w:color w:val="auto"/>
              </w:rPr>
              <w:t>December 3,</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September 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0090DA"/>
            </w:tcBorders>
            <w:vMerge w:val="continue"/>
          </w:tcPr>
          <w:p>
            <w:pPr>
              <w:spacing w:after="0"/>
              <w:rPr>
                <w:sz w:val="19"/>
                <w:szCs w:val="19"/>
                <w:color w:val="auto"/>
              </w:rPr>
            </w:pPr>
          </w:p>
        </w:tc>
        <w:tc>
          <w:tcPr>
            <w:tcW w:w="4480" w:type="dxa"/>
            <w:vAlign w:val="bottom"/>
            <w:tcBorders>
              <w:bottom w:val="single" w:sz="8" w:color="0090DA"/>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36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short-term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Current and noncurrent restricted cash</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marketable investments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and long-term debt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cash</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7,184</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7,032</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8,142</w:t>
            </w:r>
          </w:p>
        </w:tc>
      </w:tr>
      <w:tr>
        <w:trPr>
          <w:trHeight w:val="229"/>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29"/>
        </w:trPr>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(6,621)</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-479425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-187960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000"/>
          </w:cols>
          <w:pgMar w:left="320" w:top="886" w:right="339" w:bottom="1440" w:gutter="0" w:footer="0" w:header="0"/>
          <w:type w:val="continuous"/>
        </w:sectPr>
      </w:pPr>
    </w:p>
    <w:p>
      <w:pPr>
        <w:spacing w:after="0" w:line="1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 license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notes and other debt;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Initial impact of inventory accounting policy change to FIFO and change in inventory cost absorption in the second quarter of 2021; and</w:t>
      </w:r>
    </w:p>
    <w:p>
      <w:pPr>
        <w:ind w:left="660" w:right="18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and significant changes in tax law.</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6" w:right="339" w:bottom="1440" w:gutter="0" w:footer="0" w:header="0"/>
          <w:type w:val="continuous"/>
        </w:sectPr>
      </w:pPr>
    </w:p>
    <w:bookmarkStart w:id="11" w:name="page12"/>
    <w:bookmarkEnd w:id="11"/>
    <w:p>
      <w:pPr>
        <w:ind w:right="40"/>
        <w:spacing w:after="0" w:line="254"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Non-GAAP diluted shares also include the impact of capped calls, which are anti-dilutive in GAAP earnings per share but are expected to mitigate the dilutive effect of convertible notes, based on the average share price for the period the capped calls were outstanding.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FQ3-21</w:t>
            </w:r>
          </w:p>
        </w:tc>
        <w:tc>
          <w:tcPr>
            <w:tcW w:w="2660" w:type="dxa"/>
            <w:vAlign w:val="bottom"/>
            <w:gridSpan w:val="3"/>
          </w:tcPr>
          <w:p>
            <w:pPr>
              <w:ind w:left="360"/>
              <w:spacing w:after="0"/>
              <w:rPr>
                <w:sz w:val="20"/>
                <w:szCs w:val="20"/>
                <w:color w:val="auto"/>
              </w:rPr>
            </w:pPr>
            <w:r>
              <w:rPr>
                <w:rFonts w:ascii="Arial" w:cs="Arial" w:eastAsia="Arial" w:hAnsi="Arial"/>
                <w:sz w:val="18"/>
                <w:szCs w:val="18"/>
                <w:b w:val="1"/>
                <w:bCs w:val="1"/>
                <w:color w:val="auto"/>
              </w:rPr>
              <w:t>GAAP Outlook</w:t>
            </w:r>
          </w:p>
        </w:tc>
        <w:tc>
          <w:tcPr>
            <w:tcW w:w="218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280" w:type="dxa"/>
            <w:vAlign w:val="bottom"/>
            <w:tcBorders>
              <w:top w:val="single" w:sz="8" w:color="0090DA"/>
            </w:tcBorders>
          </w:tcPr>
          <w:p>
            <w:pPr>
              <w:spacing w:after="0"/>
              <w:rPr>
                <w:sz w:val="2"/>
                <w:szCs w:val="2"/>
                <w:color w:val="auto"/>
              </w:rPr>
            </w:pPr>
          </w:p>
        </w:tc>
        <w:tc>
          <w:tcPr>
            <w:tcW w:w="214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0090DA"/>
            </w:tcBorders>
          </w:tcPr>
          <w:p>
            <w:pPr>
              <w:spacing w:after="0"/>
              <w:rPr>
                <w:sz w:val="2"/>
                <w:szCs w:val="2"/>
                <w:color w:val="auto"/>
              </w:rPr>
            </w:pPr>
          </w:p>
        </w:tc>
        <w:tc>
          <w:tcPr>
            <w:tcW w:w="19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2120" w:type="dxa"/>
            <w:vAlign w:val="bottom"/>
            <w:tcBorders>
              <w:top w:val="single" w:sz="8" w:color="0090DA"/>
            </w:tcBorders>
          </w:tcPr>
          <w:p>
            <w:pPr>
              <w:spacing w:after="0"/>
              <w:rPr>
                <w:sz w:val="2"/>
                <w:szCs w:val="2"/>
                <w:color w:val="auto"/>
              </w:rPr>
            </w:pP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660" w:type="dxa"/>
            <w:vAlign w:val="bottom"/>
            <w:gridSpan w:val="3"/>
            <w:shd w:val="clear" w:color="auto" w:fill="D1D2D4"/>
          </w:tcPr>
          <w:p>
            <w:pPr>
              <w:jc w:val="right"/>
              <w:ind w:right="540"/>
              <w:spacing w:after="0"/>
              <w:rPr>
                <w:sz w:val="20"/>
                <w:szCs w:val="20"/>
                <w:color w:val="auto"/>
              </w:rPr>
            </w:pPr>
            <w:r>
              <w:rPr>
                <w:rFonts w:ascii="Arial" w:cs="Arial" w:eastAsia="Arial" w:hAnsi="Arial"/>
                <w:sz w:val="18"/>
                <w:szCs w:val="18"/>
                <w:color w:val="auto"/>
              </w:rPr>
              <w:t>$7.1 billion ± $200 million</w:t>
            </w:r>
          </w:p>
        </w:tc>
        <w:tc>
          <w:tcPr>
            <w:tcW w:w="2180" w:type="dxa"/>
            <w:vAlign w:val="bottom"/>
            <w:gridSpan w:val="3"/>
            <w:shd w:val="clear" w:color="auto" w:fill="D1D2D4"/>
          </w:tcPr>
          <w:p>
            <w:pPr>
              <w:jc w:val="right"/>
              <w:ind w:right="134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 billion ± $200 million</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140" w:type="dxa"/>
            <w:vAlign w:val="bottom"/>
          </w:tcPr>
          <w:p>
            <w:pPr>
              <w:jc w:val="right"/>
              <w:spacing w:after="0"/>
              <w:rPr>
                <w:sz w:val="20"/>
                <w:szCs w:val="20"/>
                <w:color w:val="auto"/>
              </w:rPr>
            </w:pPr>
            <w:r>
              <w:rPr>
                <w:rFonts w:ascii="Arial" w:cs="Arial" w:eastAsia="Arial" w:hAnsi="Arial"/>
                <w:sz w:val="18"/>
                <w:szCs w:val="18"/>
                <w:color w:val="auto"/>
              </w:rPr>
              <w:t>40.5% ± 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3"/>
          </w:tcPr>
          <w:p>
            <w:pPr>
              <w:jc w:val="right"/>
              <w:ind w:right="1140"/>
              <w:spacing w:after="0"/>
              <w:rPr>
                <w:sz w:val="20"/>
                <w:szCs w:val="20"/>
                <w:color w:val="auto"/>
              </w:rPr>
            </w:pPr>
            <w:r>
              <w:rPr>
                <w:rFonts w:ascii="Arial" w:cs="Arial" w:eastAsia="Arial" w:hAnsi="Arial"/>
                <w:sz w:val="18"/>
                <w:szCs w:val="18"/>
                <w:color w:val="auto"/>
              </w:rPr>
              <w:t>1% A</w:t>
            </w:r>
          </w:p>
        </w:tc>
        <w:tc>
          <w:tcPr>
            <w:tcW w:w="2120" w:type="dxa"/>
            <w:vAlign w:val="bottom"/>
          </w:tcPr>
          <w:p>
            <w:pPr>
              <w:jc w:val="right"/>
              <w:spacing w:after="0"/>
              <w:rPr>
                <w:sz w:val="20"/>
                <w:szCs w:val="20"/>
                <w:color w:val="auto"/>
              </w:rPr>
            </w:pPr>
            <w:r>
              <w:rPr>
                <w:rFonts w:ascii="Arial" w:cs="Arial" w:eastAsia="Arial" w:hAnsi="Arial"/>
                <w:sz w:val="18"/>
                <w:szCs w:val="18"/>
                <w:color w:val="auto"/>
              </w:rPr>
              <w:t>41.5% ± 1%</w:t>
            </w: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2660" w:type="dxa"/>
            <w:vAlign w:val="bottom"/>
            <w:gridSpan w:val="3"/>
            <w:shd w:val="clear" w:color="auto" w:fill="D1D2D4"/>
          </w:tcPr>
          <w:p>
            <w:pPr>
              <w:jc w:val="right"/>
              <w:ind w:right="540"/>
              <w:spacing w:after="0"/>
              <w:rPr>
                <w:sz w:val="20"/>
                <w:szCs w:val="20"/>
                <w:color w:val="auto"/>
              </w:rPr>
            </w:pPr>
            <w:r>
              <w:rPr>
                <w:rFonts w:ascii="Arial" w:cs="Arial" w:eastAsia="Arial" w:hAnsi="Arial"/>
                <w:sz w:val="18"/>
                <w:szCs w:val="18"/>
                <w:color w:val="auto"/>
              </w:rPr>
              <w:t>$930 million ± $25 million</w:t>
            </w:r>
          </w:p>
        </w:tc>
        <w:tc>
          <w:tcPr>
            <w:tcW w:w="2180" w:type="dxa"/>
            <w:vAlign w:val="bottom"/>
            <w:gridSpan w:val="3"/>
            <w:shd w:val="clear" w:color="auto" w:fill="D1D2D4"/>
          </w:tcPr>
          <w:p>
            <w:pPr>
              <w:jc w:val="right"/>
              <w:ind w:right="1140"/>
              <w:spacing w:after="0"/>
              <w:rPr>
                <w:sz w:val="20"/>
                <w:szCs w:val="20"/>
                <w:color w:val="auto"/>
              </w:rPr>
            </w:pPr>
            <w:r>
              <w:rPr>
                <w:rFonts w:ascii="Arial" w:cs="Arial" w:eastAsia="Arial" w:hAnsi="Arial"/>
                <w:sz w:val="18"/>
                <w:szCs w:val="18"/>
                <w:color w:val="auto"/>
                <w:w w:val="98"/>
              </w:rPr>
              <w:t>$55 million B</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$875 million ± $25 million</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660" w:type="dxa"/>
            <w:vAlign w:val="bottom"/>
            <w:gridSpan w:val="3"/>
          </w:tcPr>
          <w:p>
            <w:pPr>
              <w:jc w:val="right"/>
              <w:ind w:right="540"/>
              <w:spacing w:after="0"/>
              <w:rPr>
                <w:sz w:val="20"/>
                <w:szCs w:val="20"/>
                <w:color w:val="auto"/>
              </w:rPr>
            </w:pPr>
            <w:r>
              <w:rPr>
                <w:rFonts w:ascii="Arial" w:cs="Arial" w:eastAsia="Arial" w:hAnsi="Arial"/>
                <w:sz w:val="18"/>
                <w:szCs w:val="18"/>
                <w:color w:val="auto"/>
              </w:rPr>
              <w:t>$27 million</w:t>
            </w:r>
          </w:p>
        </w:tc>
        <w:tc>
          <w:tcPr>
            <w:tcW w:w="2180" w:type="dxa"/>
            <w:vAlign w:val="bottom"/>
            <w:gridSpan w:val="3"/>
          </w:tcPr>
          <w:p>
            <w:pPr>
              <w:jc w:val="right"/>
              <w:ind w:right="1120"/>
              <w:spacing w:after="0"/>
              <w:rPr>
                <w:sz w:val="20"/>
                <w:szCs w:val="20"/>
                <w:color w:val="auto"/>
              </w:rPr>
            </w:pPr>
            <w:r>
              <w:rPr>
                <w:rFonts w:ascii="Arial" w:cs="Arial" w:eastAsia="Arial" w:hAnsi="Arial"/>
                <w:sz w:val="18"/>
                <w:szCs w:val="18"/>
                <w:color w:val="auto"/>
              </w:rPr>
              <w:t>$2 million C</w:t>
            </w:r>
          </w:p>
        </w:tc>
        <w:tc>
          <w:tcPr>
            <w:tcW w:w="2120" w:type="dxa"/>
            <w:vAlign w:val="bottom"/>
          </w:tcPr>
          <w:p>
            <w:pPr>
              <w:jc w:val="right"/>
              <w:spacing w:after="0"/>
              <w:rPr>
                <w:sz w:val="20"/>
                <w:szCs w:val="20"/>
                <w:color w:val="auto"/>
              </w:rPr>
            </w:pPr>
            <w:r>
              <w:rPr>
                <w:rFonts w:ascii="Arial" w:cs="Arial" w:eastAsia="Arial" w:hAnsi="Arial"/>
                <w:sz w:val="18"/>
                <w:szCs w:val="18"/>
                <w:color w:val="auto"/>
              </w:rPr>
              <w:t>$25 million</w:t>
            </w:r>
          </w:p>
        </w:tc>
      </w:tr>
      <w:tr>
        <w:trPr>
          <w:trHeight w:val="229"/>
        </w:trPr>
        <w:tc>
          <w:tcPr>
            <w:tcW w:w="428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 ± $0.07</w:t>
            </w:r>
          </w:p>
        </w:tc>
        <w:tc>
          <w:tcPr>
            <w:tcW w:w="10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2180" w:type="dxa"/>
            <w:vAlign w:val="bottom"/>
            <w:gridSpan w:val="3"/>
            <w:shd w:val="clear" w:color="auto" w:fill="D1D2D4"/>
          </w:tcPr>
          <w:p>
            <w:pPr>
              <w:jc w:val="right"/>
              <w:ind w:right="460"/>
              <w:spacing w:after="0"/>
              <w:rPr>
                <w:sz w:val="20"/>
                <w:szCs w:val="20"/>
                <w:color w:val="auto"/>
              </w:rPr>
            </w:pPr>
            <w:r>
              <w:rPr>
                <w:rFonts w:ascii="Arial" w:cs="Arial" w:eastAsia="Arial" w:hAnsi="Arial"/>
                <w:sz w:val="18"/>
                <w:szCs w:val="18"/>
                <w:color w:val="auto"/>
              </w:rPr>
              <w:t>$0.10 A, B, C, D</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$1.62 ± $0.07</w:t>
            </w:r>
          </w:p>
        </w:tc>
      </w:tr>
      <w:tr>
        <w:trPr>
          <w:trHeight w:val="55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0"/>
        </w:trPr>
        <w:tc>
          <w:tcPr>
            <w:tcW w:w="42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420" w:type="dxa"/>
            <w:vAlign w:val="bottom"/>
            <w:tcBorders>
              <w:bottom w:val="single" w:sz="8" w:color="0090DA"/>
            </w:tcBorders>
          </w:tcPr>
          <w:p>
            <w:pPr>
              <w:spacing w:after="0"/>
              <w:rPr>
                <w:sz w:val="19"/>
                <w:szCs w:val="19"/>
                <w:color w:val="auto"/>
              </w:rPr>
            </w:pPr>
          </w:p>
        </w:tc>
        <w:tc>
          <w:tcPr>
            <w:tcW w:w="190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2120" w:type="dxa"/>
            <w:vAlign w:val="bottom"/>
            <w:tcBorders>
              <w:bottom w:val="single" w:sz="8" w:color="0090DA"/>
            </w:tcBorders>
          </w:tcPr>
          <w:p>
            <w:pPr>
              <w:spacing w:after="0"/>
              <w:rPr>
                <w:sz w:val="19"/>
                <w:szCs w:val="19"/>
                <w:color w:val="auto"/>
              </w:rPr>
            </w:pPr>
          </w:p>
        </w:tc>
      </w:tr>
      <w:tr>
        <w:trPr>
          <w:trHeight w:val="34"/>
        </w:trPr>
        <w:tc>
          <w:tcPr>
            <w:tcW w:w="42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0"/>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1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218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9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  Amortization of debt discount and other costs</w:t>
            </w:r>
          </w:p>
        </w:tc>
        <w:tc>
          <w:tcPr>
            <w:tcW w:w="21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19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940" w:type="dxa"/>
            <w:vAlign w:val="bottom"/>
            <w:tcBorders>
              <w:bottom w:val="single" w:sz="8" w:color="D1D2D4"/>
            </w:tcBorders>
            <w:gridSpan w:val="4"/>
          </w:tcPr>
          <w:p>
            <w:pPr>
              <w:ind w:left="20"/>
              <w:spacing w:after="0"/>
              <w:rPr>
                <w:sz w:val="20"/>
                <w:szCs w:val="20"/>
                <w:color w:val="auto"/>
              </w:rPr>
            </w:pPr>
            <w:r>
              <w:rPr>
                <w:rFonts w:ascii="Arial" w:cs="Arial" w:eastAsia="Arial" w:hAnsi="Arial"/>
                <w:sz w:val="18"/>
                <w:szCs w:val="18"/>
                <w:color w:val="auto"/>
              </w:rPr>
              <w:t>D  Tax effects of the above items and non-cash changes in net deferred income taxes</w:t>
            </w:r>
          </w:p>
        </w:tc>
        <w:tc>
          <w:tcPr>
            <w:tcW w:w="1900" w:type="dxa"/>
            <w:vAlign w:val="bottom"/>
            <w:tcBorders>
              <w:bottom w:val="single" w:sz="8" w:color="D1D2D4"/>
            </w:tcBorders>
          </w:tcPr>
          <w:p>
            <w:pPr>
              <w:spacing w:after="0"/>
              <w:rPr>
                <w:sz w:val="19"/>
                <w:szCs w:val="19"/>
                <w:color w:val="auto"/>
              </w:rPr>
            </w:pPr>
          </w:p>
        </w:tc>
        <w:tc>
          <w:tcPr>
            <w:tcW w:w="100" w:type="dxa"/>
            <w:vAlign w:val="bottom"/>
            <w:tcBorders>
              <w:bottom w:val="single" w:sz="8" w:color="D1D2D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280" w:type="dxa"/>
            <w:vAlign w:val="bottom"/>
            <w:shd w:val="clear" w:color="auto" w:fill="D1D2D4"/>
          </w:tcPr>
          <w:p>
            <w:pPr>
              <w:spacing w:after="0"/>
              <w:rPr>
                <w:sz w:val="21"/>
                <w:szCs w:val="21"/>
                <w:color w:val="auto"/>
              </w:rPr>
            </w:pPr>
          </w:p>
        </w:tc>
        <w:tc>
          <w:tcPr>
            <w:tcW w:w="2140" w:type="dxa"/>
            <w:vAlign w:val="bottom"/>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420" w:type="dxa"/>
            <w:vAlign w:val="bottom"/>
            <w:shd w:val="clear" w:color="auto" w:fill="D1D2D4"/>
          </w:tcPr>
          <w:p>
            <w:pPr>
              <w:spacing w:after="0"/>
              <w:rPr>
                <w:sz w:val="21"/>
                <w:szCs w:val="21"/>
                <w:color w:val="auto"/>
              </w:rPr>
            </w:pPr>
          </w:p>
        </w:tc>
        <w:tc>
          <w:tcPr>
            <w:tcW w:w="2180" w:type="dxa"/>
            <w:vAlign w:val="bottom"/>
            <w:gridSpan w:val="3"/>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4280" w:type="dxa"/>
            <w:vAlign w:val="bottom"/>
            <w:tcBorders>
              <w:top w:val="single" w:sz="8" w:color="D1D2D4"/>
            </w:tcBorders>
          </w:tcPr>
          <w:p>
            <w:pPr>
              <w:spacing w:after="0" w:line="20" w:lineRule="exact"/>
              <w:rPr>
                <w:sz w:val="1"/>
                <w:szCs w:val="1"/>
                <w:color w:val="auto"/>
              </w:rPr>
            </w:pPr>
          </w:p>
        </w:tc>
        <w:tc>
          <w:tcPr>
            <w:tcW w:w="214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tcBorders>
          </w:tcPr>
          <w:p>
            <w:pPr>
              <w:spacing w:after="0" w:line="20" w:lineRule="exact"/>
              <w:rPr>
                <w:sz w:val="1"/>
                <w:szCs w:val="1"/>
                <w:color w:val="auto"/>
              </w:rPr>
            </w:pPr>
          </w:p>
        </w:tc>
        <w:tc>
          <w:tcPr>
            <w:tcW w:w="1900" w:type="dxa"/>
            <w:vAlign w:val="bottom"/>
            <w:tcBorders>
              <w:top w:val="single" w:sz="8" w:color="D1D2D4"/>
            </w:tcBorders>
          </w:tcPr>
          <w:p>
            <w:pPr>
              <w:spacing w:after="0" w:line="20" w:lineRule="exact"/>
              <w:rPr>
                <w:sz w:val="1"/>
                <w:szCs w:val="1"/>
                <w:color w:val="auto"/>
              </w:rPr>
            </w:pPr>
          </w:p>
        </w:tc>
        <w:tc>
          <w:tcPr>
            <w:tcW w:w="10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right="60" w:hanging="332"/>
        <w:spacing w:after="0" w:line="220" w:lineRule="auto"/>
        <w:tabs>
          <w:tab w:leader="none" w:pos="33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1.15 billion diluted shares and non-GAAP earnings per share based on approximately 1.16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2021-03-31T16:51:19Z</dcterms:created>
  <dcterms:modified xsi:type="dcterms:W3CDTF">2021-03-31T16:51:19Z</dcterms:modified>
</cp:coreProperties>
</file>