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3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line="233" w:lineRule="auto"/>
        <w:rPr>
          <w:sz w:val="20"/>
          <w:szCs w:val="20"/>
          <w:color w:val="auto"/>
        </w:rPr>
      </w:pPr>
      <w:r>
        <w:rPr>
          <w:rFonts w:ascii="Arial" w:cs="Arial" w:eastAsia="Arial" w:hAnsi="Arial"/>
          <w:sz w:val="20"/>
          <w:szCs w:val="20"/>
          <w:b w:val="1"/>
          <w:bCs w:val="1"/>
          <w:color w:val="auto"/>
        </w:rPr>
        <w:t>Washington, D.C. 20549</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Form S-8</w:t>
      </w:r>
    </w:p>
    <w:p>
      <w:pPr>
        <w:spacing w:after="0" w:line="18" w:lineRule="exact"/>
        <w:rPr>
          <w:sz w:val="24"/>
          <w:szCs w:val="24"/>
          <w:color w:val="auto"/>
        </w:rPr>
      </w:pPr>
    </w:p>
    <w:p>
      <w:pPr>
        <w:jc w:val="center"/>
        <w:ind w:right="-59"/>
        <w:spacing w:after="0"/>
        <w:rPr>
          <w:sz w:val="20"/>
          <w:szCs w:val="20"/>
          <w:color w:val="auto"/>
        </w:rPr>
      </w:pPr>
      <w:r>
        <w:rPr>
          <w:rFonts w:ascii="Arial" w:cs="Arial" w:eastAsia="Arial" w:hAnsi="Arial"/>
          <w:sz w:val="27"/>
          <w:szCs w:val="27"/>
          <w:b w:val="1"/>
          <w:bCs w:val="1"/>
          <w:color w:val="auto"/>
        </w:rPr>
        <w:t>REGISTRATION STATEMENT</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i w:val="1"/>
          <w:iCs w:val="1"/>
          <w:color w:val="auto"/>
        </w:rPr>
        <w:t>Under</w:t>
      </w:r>
    </w:p>
    <w:p>
      <w:pPr>
        <w:jc w:val="center"/>
        <w:ind w:right="-59"/>
        <w:spacing w:after="0" w:line="233" w:lineRule="auto"/>
        <w:rPr>
          <w:sz w:val="20"/>
          <w:szCs w:val="20"/>
          <w:color w:val="auto"/>
        </w:rPr>
      </w:pPr>
      <w:r>
        <w:rPr>
          <w:rFonts w:ascii="Arial" w:cs="Arial" w:eastAsia="Arial" w:hAnsi="Arial"/>
          <w:sz w:val="20"/>
          <w:szCs w:val="20"/>
          <w:b w:val="1"/>
          <w:bCs w:val="1"/>
          <w:i w:val="1"/>
          <w:iCs w:val="1"/>
          <w:color w:val="auto"/>
        </w:rPr>
        <w:t>The Securities Act of 1933</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MICRON TECHNOLOGY, INC.</w:t>
      </w:r>
    </w:p>
    <w:p>
      <w:pPr>
        <w:jc w:val="center"/>
        <w:ind w:right="-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147" w:lineRule="exact"/>
        <w:rPr>
          <w:sz w:val="24"/>
          <w:szCs w:val="24"/>
          <w:color w:val="auto"/>
        </w:rPr>
      </w:pPr>
    </w:p>
    <w:tbl>
      <w:tblPr>
        <w:tblLayout w:type="fixed"/>
        <w:tblInd w:w="1820" w:type="dxa"/>
        <w:tblCellMar>
          <w:top w:w="0" w:type="dxa"/>
          <w:left w:w="0" w:type="dxa"/>
          <w:bottom w:w="0" w:type="dxa"/>
          <w:right w:w="0" w:type="dxa"/>
        </w:tblCellMar>
      </w:tblPr>
      <w:tr>
        <w:trPr>
          <w:trHeight w:val="256"/>
        </w:trPr>
        <w:tc>
          <w:tcPr>
            <w:tcW w:w="2140" w:type="dxa"/>
            <w:vAlign w:val="bottom"/>
          </w:tcPr>
          <w:p>
            <w:pPr>
              <w:jc w:val="center"/>
              <w:ind w:right="179"/>
              <w:spacing w:after="0"/>
              <w:rPr>
                <w:sz w:val="20"/>
                <w:szCs w:val="20"/>
                <w:color w:val="auto"/>
              </w:rPr>
            </w:pPr>
            <w:r>
              <w:rPr>
                <w:rFonts w:ascii="Arial" w:cs="Arial" w:eastAsia="Arial" w:hAnsi="Arial"/>
                <w:sz w:val="20"/>
                <w:szCs w:val="20"/>
                <w:b w:val="1"/>
                <w:bCs w:val="1"/>
                <w:color w:val="auto"/>
                <w:w w:val="91"/>
              </w:rPr>
              <w:t>Delaware</w:t>
            </w:r>
          </w:p>
        </w:tc>
        <w:tc>
          <w:tcPr>
            <w:tcW w:w="5420" w:type="dxa"/>
            <w:vAlign w:val="bottom"/>
            <w:gridSpan w:val="3"/>
          </w:tcPr>
          <w:p>
            <w:pPr>
              <w:jc w:val="center"/>
              <w:ind w:left="3890"/>
              <w:spacing w:after="0"/>
              <w:rPr>
                <w:sz w:val="20"/>
                <w:szCs w:val="20"/>
                <w:color w:val="auto"/>
              </w:rPr>
            </w:pPr>
            <w:r>
              <w:rPr>
                <w:rFonts w:ascii="Arial" w:cs="Arial" w:eastAsia="Arial" w:hAnsi="Arial"/>
                <w:sz w:val="20"/>
                <w:szCs w:val="20"/>
                <w:b w:val="1"/>
                <w:bCs w:val="1"/>
                <w:color w:val="auto"/>
                <w:w w:val="89"/>
              </w:rPr>
              <w:t>75-1618004</w:t>
            </w:r>
          </w:p>
        </w:tc>
      </w:tr>
      <w:tr>
        <w:trPr>
          <w:trHeight w:val="214"/>
        </w:trPr>
        <w:tc>
          <w:tcPr>
            <w:tcW w:w="2140" w:type="dxa"/>
            <w:vAlign w:val="bottom"/>
          </w:tcPr>
          <w:p>
            <w:pPr>
              <w:jc w:val="center"/>
              <w:ind w:right="179"/>
              <w:spacing w:after="0"/>
              <w:rPr>
                <w:sz w:val="20"/>
                <w:szCs w:val="20"/>
                <w:color w:val="auto"/>
              </w:rPr>
            </w:pPr>
            <w:r>
              <w:rPr>
                <w:rFonts w:ascii="Arial" w:cs="Arial" w:eastAsia="Arial" w:hAnsi="Arial"/>
                <w:sz w:val="14"/>
                <w:szCs w:val="14"/>
                <w:b w:val="1"/>
                <w:bCs w:val="1"/>
                <w:color w:val="auto"/>
                <w:w w:val="93"/>
              </w:rPr>
              <w:t>(State or other jurisdiction of</w:t>
            </w:r>
          </w:p>
        </w:tc>
        <w:tc>
          <w:tcPr>
            <w:tcW w:w="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380" w:type="dxa"/>
            <w:vAlign w:val="bottom"/>
          </w:tcPr>
          <w:p>
            <w:pPr>
              <w:jc w:val="center"/>
              <w:ind w:left="868"/>
              <w:spacing w:after="0"/>
              <w:rPr>
                <w:sz w:val="20"/>
                <w:szCs w:val="20"/>
                <w:color w:val="auto"/>
              </w:rPr>
            </w:pPr>
            <w:r>
              <w:rPr>
                <w:rFonts w:ascii="Arial" w:cs="Arial" w:eastAsia="Arial" w:hAnsi="Arial"/>
                <w:sz w:val="14"/>
                <w:szCs w:val="14"/>
                <w:b w:val="1"/>
                <w:bCs w:val="1"/>
                <w:color w:val="auto"/>
                <w:w w:val="96"/>
              </w:rPr>
              <w:t>(I.R.S. Employer</w:t>
            </w:r>
          </w:p>
        </w:tc>
      </w:tr>
      <w:tr>
        <w:trPr>
          <w:trHeight w:val="203"/>
        </w:trPr>
        <w:tc>
          <w:tcPr>
            <w:tcW w:w="2140" w:type="dxa"/>
            <w:vAlign w:val="bottom"/>
          </w:tcPr>
          <w:p>
            <w:pPr>
              <w:jc w:val="center"/>
              <w:ind w:right="179"/>
              <w:spacing w:after="0"/>
              <w:rPr>
                <w:sz w:val="20"/>
                <w:szCs w:val="20"/>
                <w:color w:val="auto"/>
              </w:rPr>
            </w:pPr>
            <w:r>
              <w:rPr>
                <w:rFonts w:ascii="Arial" w:cs="Arial" w:eastAsia="Arial" w:hAnsi="Arial"/>
                <w:sz w:val="14"/>
                <w:szCs w:val="14"/>
                <w:b w:val="1"/>
                <w:bCs w:val="1"/>
                <w:color w:val="auto"/>
                <w:w w:val="94"/>
              </w:rPr>
              <w:t>incorporation or organization)</w:t>
            </w:r>
          </w:p>
        </w:tc>
        <w:tc>
          <w:tcPr>
            <w:tcW w:w="4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380" w:type="dxa"/>
            <w:vAlign w:val="bottom"/>
          </w:tcPr>
          <w:p>
            <w:pPr>
              <w:jc w:val="center"/>
              <w:ind w:left="888"/>
              <w:spacing w:after="0"/>
              <w:rPr>
                <w:sz w:val="20"/>
                <w:szCs w:val="20"/>
                <w:color w:val="auto"/>
              </w:rPr>
            </w:pPr>
            <w:r>
              <w:rPr>
                <w:rFonts w:ascii="Arial" w:cs="Arial" w:eastAsia="Arial" w:hAnsi="Arial"/>
                <w:sz w:val="14"/>
                <w:szCs w:val="14"/>
                <w:b w:val="1"/>
                <w:bCs w:val="1"/>
                <w:color w:val="auto"/>
                <w:w w:val="95"/>
              </w:rPr>
              <w:t>Identification Number)</w:t>
            </w:r>
          </w:p>
        </w:tc>
      </w:tr>
      <w:tr>
        <w:trPr>
          <w:trHeight w:val="273"/>
        </w:trPr>
        <w:tc>
          <w:tcPr>
            <w:tcW w:w="21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960" w:type="dxa"/>
            <w:vAlign w:val="bottom"/>
            <w:gridSpan w:val="2"/>
          </w:tcPr>
          <w:p>
            <w:pPr>
              <w:jc w:val="center"/>
              <w:ind w:right="2288"/>
              <w:spacing w:after="0"/>
              <w:rPr>
                <w:sz w:val="20"/>
                <w:szCs w:val="20"/>
                <w:color w:val="auto"/>
              </w:rPr>
            </w:pPr>
            <w:r>
              <w:rPr>
                <w:rFonts w:ascii="Arial" w:cs="Arial" w:eastAsia="Arial" w:hAnsi="Arial"/>
                <w:sz w:val="20"/>
                <w:szCs w:val="20"/>
                <w:b w:val="1"/>
                <w:bCs w:val="1"/>
                <w:color w:val="auto"/>
                <w:w w:val="90"/>
              </w:rPr>
              <w:t>8000 South Federal Way</w:t>
            </w:r>
          </w:p>
        </w:tc>
      </w:tr>
      <w:tr>
        <w:trPr>
          <w:trHeight w:val="230"/>
        </w:trPr>
        <w:tc>
          <w:tcPr>
            <w:tcW w:w="2140" w:type="dxa"/>
            <w:vAlign w:val="bottom"/>
          </w:tcPr>
          <w:p>
            <w:pPr>
              <w:spacing w:after="0"/>
              <w:rPr>
                <w:sz w:val="19"/>
                <w:szCs w:val="19"/>
                <w:color w:val="auto"/>
              </w:rPr>
            </w:pPr>
          </w:p>
        </w:tc>
        <w:tc>
          <w:tcPr>
            <w:tcW w:w="5420" w:type="dxa"/>
            <w:vAlign w:val="bottom"/>
            <w:gridSpan w:val="3"/>
          </w:tcPr>
          <w:p>
            <w:pPr>
              <w:jc w:val="center"/>
              <w:ind w:right="1848"/>
              <w:spacing w:after="0"/>
              <w:rPr>
                <w:sz w:val="20"/>
                <w:szCs w:val="20"/>
                <w:color w:val="auto"/>
              </w:rPr>
            </w:pPr>
            <w:r>
              <w:rPr>
                <w:rFonts w:ascii="Arial" w:cs="Arial" w:eastAsia="Arial" w:hAnsi="Arial"/>
                <w:sz w:val="20"/>
                <w:szCs w:val="20"/>
                <w:b w:val="1"/>
                <w:bCs w:val="1"/>
                <w:color w:val="auto"/>
                <w:w w:val="88"/>
              </w:rPr>
              <w:t>P.O. Box 6, Boise Idaho 83707-0006</w:t>
            </w:r>
          </w:p>
        </w:tc>
      </w:tr>
      <w:tr>
        <w:trPr>
          <w:trHeight w:val="162"/>
        </w:trPr>
        <w:tc>
          <w:tcPr>
            <w:tcW w:w="2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960" w:type="dxa"/>
            <w:vAlign w:val="bottom"/>
            <w:gridSpan w:val="2"/>
          </w:tcPr>
          <w:p>
            <w:pPr>
              <w:jc w:val="center"/>
              <w:ind w:right="2308"/>
              <w:spacing w:after="0"/>
              <w:rPr>
                <w:sz w:val="20"/>
                <w:szCs w:val="20"/>
                <w:color w:val="auto"/>
              </w:rPr>
            </w:pPr>
            <w:r>
              <w:rPr>
                <w:rFonts w:ascii="Arial" w:cs="Arial" w:eastAsia="Arial" w:hAnsi="Arial"/>
                <w:sz w:val="14"/>
                <w:szCs w:val="14"/>
                <w:b w:val="1"/>
                <w:bCs w:val="1"/>
                <w:color w:val="auto"/>
                <w:w w:val="91"/>
              </w:rPr>
              <w:t>(Address of principal executive offices)</w:t>
            </w:r>
          </w:p>
        </w:tc>
      </w:tr>
      <w:tr>
        <w:trPr>
          <w:trHeight w:val="158"/>
        </w:trPr>
        <w:tc>
          <w:tcPr>
            <w:tcW w:w="2140" w:type="dxa"/>
            <w:vAlign w:val="bottom"/>
          </w:tcPr>
          <w:p>
            <w:pPr>
              <w:spacing w:after="0"/>
              <w:rPr>
                <w:sz w:val="13"/>
                <w:szCs w:val="13"/>
                <w:color w:val="auto"/>
              </w:rPr>
            </w:pPr>
          </w:p>
        </w:tc>
        <w:tc>
          <w:tcPr>
            <w:tcW w:w="3040" w:type="dxa"/>
            <w:vAlign w:val="bottom"/>
            <w:gridSpan w:val="2"/>
          </w:tcPr>
          <w:p>
            <w:pPr>
              <w:jc w:val="center"/>
              <w:ind w:left="370"/>
              <w:spacing w:after="0" w:line="158" w:lineRule="exact"/>
              <w:rPr>
                <w:sz w:val="20"/>
                <w:szCs w:val="20"/>
                <w:color w:val="auto"/>
              </w:rPr>
            </w:pPr>
            <w:r>
              <w:rPr>
                <w:rFonts w:ascii="Arial" w:cs="Arial" w:eastAsia="Arial" w:hAnsi="Arial"/>
                <w:sz w:val="14"/>
                <w:szCs w:val="14"/>
                <w:b w:val="1"/>
                <w:bCs w:val="1"/>
                <w:color w:val="auto"/>
                <w:w w:val="92"/>
              </w:rPr>
              <w:t>____________________________________</w:t>
            </w:r>
          </w:p>
        </w:tc>
        <w:tc>
          <w:tcPr>
            <w:tcW w:w="2380" w:type="dxa"/>
            <w:vAlign w:val="bottom"/>
          </w:tcPr>
          <w:p>
            <w:pPr>
              <w:spacing w:after="0"/>
              <w:rPr>
                <w:sz w:val="13"/>
                <w:szCs w:val="13"/>
                <w:color w:val="auto"/>
              </w:rPr>
            </w:pPr>
          </w:p>
        </w:tc>
      </w:tr>
      <w:tr>
        <w:trPr>
          <w:trHeight w:val="20"/>
        </w:trPr>
        <w:tc>
          <w:tcPr>
            <w:tcW w:w="2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98"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Micron Technology, Inc.</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1"/>
          <w:szCs w:val="31"/>
          <w:b w:val="1"/>
          <w:bCs w:val="1"/>
          <w:color w:val="auto"/>
        </w:rPr>
        <w:t>Amended and Restated 2007 Equity Incentive Plan</w:t>
      </w: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left="4940"/>
        <w:spacing w:after="0"/>
        <w:rPr>
          <w:sz w:val="20"/>
          <w:szCs w:val="20"/>
          <w:color w:val="auto"/>
        </w:rPr>
      </w:pPr>
      <w:r>
        <w:rPr>
          <w:rFonts w:ascii="Arial" w:cs="Arial" w:eastAsia="Arial" w:hAnsi="Arial"/>
          <w:sz w:val="18"/>
          <w:szCs w:val="18"/>
          <w:color w:val="auto"/>
        </w:rPr>
        <w:t>(Full title of the plan)</w:t>
      </w:r>
    </w:p>
    <w:p>
      <w:pPr>
        <w:spacing w:after="0" w:line="151"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D. Mark Durcan</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Micron Technology, Inc.</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8000 South Federal Way</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and address of agent for service)</w:t>
      </w:r>
    </w:p>
    <w:p>
      <w:pPr>
        <w:spacing w:after="0" w:line="2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208-368-4000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(Telephone number, including area code, of agent for service)</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4"/>
          <w:szCs w:val="14"/>
          <w:b w:val="1"/>
          <w:bCs w:val="1"/>
          <w:u w:val="single" w:color="auto"/>
          <w:color w:val="auto"/>
        </w:rPr>
        <w:t>____________________________________</w:t>
      </w:r>
    </w:p>
    <w:p>
      <w:pPr>
        <w:spacing w:after="0" w:line="9"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4" w:lineRule="exact"/>
        <w:rPr>
          <w:sz w:val="24"/>
          <w:szCs w:val="24"/>
          <w:color w:val="auto"/>
        </w:rPr>
      </w:pPr>
    </w:p>
    <w:tbl>
      <w:tblPr>
        <w:tblLayout w:type="fixed"/>
        <w:tblInd w:w="1100" w:type="dxa"/>
        <w:tblCellMar>
          <w:top w:w="0" w:type="dxa"/>
          <w:left w:w="0" w:type="dxa"/>
          <w:bottom w:w="0" w:type="dxa"/>
          <w:right w:w="0" w:type="dxa"/>
        </w:tblCellMar>
      </w:tblPr>
      <w:tr>
        <w:trPr>
          <w:trHeight w:val="230"/>
        </w:trPr>
        <w:tc>
          <w:tcPr>
            <w:tcW w:w="3860" w:type="dxa"/>
            <w:vAlign w:val="bottom"/>
          </w:tcPr>
          <w:p>
            <w:pPr>
              <w:ind w:left="820"/>
              <w:spacing w:after="0"/>
              <w:rPr>
                <w:sz w:val="20"/>
                <w:szCs w:val="20"/>
                <w:color w:val="auto"/>
              </w:rPr>
            </w:pPr>
            <w:r>
              <w:rPr>
                <w:rFonts w:ascii="Arial" w:cs="Arial" w:eastAsia="Arial" w:hAnsi="Arial"/>
                <w:sz w:val="18"/>
                <w:szCs w:val="18"/>
                <w:color w:val="auto"/>
              </w:rPr>
              <w:t xml:space="preserve">x  </w:t>
            </w:r>
            <w:r>
              <w:rPr>
                <w:rFonts w:ascii="Arial" w:cs="Arial" w:eastAsia="Arial" w:hAnsi="Arial"/>
                <w:sz w:val="16"/>
                <w:szCs w:val="16"/>
                <w:color w:val="auto"/>
              </w:rPr>
              <w:t>Large accelerated filer</w:t>
            </w:r>
          </w:p>
        </w:tc>
        <w:tc>
          <w:tcPr>
            <w:tcW w:w="1640" w:type="dxa"/>
            <w:vAlign w:val="bottom"/>
          </w:tcPr>
          <w:p>
            <w:pPr>
              <w:spacing w:after="0"/>
              <w:rPr>
                <w:sz w:val="20"/>
                <w:szCs w:val="20"/>
                <w:color w:val="auto"/>
              </w:rPr>
            </w:pPr>
          </w:p>
        </w:tc>
        <w:tc>
          <w:tcPr>
            <w:tcW w:w="440" w:type="dxa"/>
            <w:vAlign w:val="bottom"/>
          </w:tcPr>
          <w:p>
            <w:pPr>
              <w:ind w:left="280"/>
              <w:spacing w:after="0"/>
              <w:rPr>
                <w:sz w:val="20"/>
                <w:szCs w:val="20"/>
                <w:color w:val="auto"/>
              </w:rPr>
            </w:pPr>
            <w:r>
              <w:rPr>
                <w:rFonts w:ascii="Arial" w:cs="Arial" w:eastAsia="Arial" w:hAnsi="Arial"/>
                <w:sz w:val="18"/>
                <w:szCs w:val="18"/>
                <w:color w:val="auto"/>
              </w:rPr>
              <w:t>o</w:t>
            </w: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Accelerated filer</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5500" w:type="dxa"/>
            <w:vAlign w:val="bottom"/>
            <w:gridSpan w:val="2"/>
          </w:tcPr>
          <w:p>
            <w:pPr>
              <w:ind w:left="820"/>
              <w:spacing w:after="0"/>
              <w:rPr>
                <w:sz w:val="20"/>
                <w:szCs w:val="20"/>
                <w:color w:val="auto"/>
              </w:rPr>
            </w:pPr>
            <w:r>
              <w:rPr>
                <w:rFonts w:ascii="Arial" w:cs="Arial" w:eastAsia="Arial" w:hAnsi="Arial"/>
                <w:sz w:val="18"/>
                <w:szCs w:val="18"/>
                <w:color w:val="auto"/>
                <w:w w:val="94"/>
              </w:rPr>
              <w:t xml:space="preserve">o  </w:t>
            </w:r>
            <w:r>
              <w:rPr>
                <w:rFonts w:ascii="Arial" w:cs="Arial" w:eastAsia="Arial" w:hAnsi="Arial"/>
                <w:sz w:val="16"/>
                <w:szCs w:val="16"/>
                <w:color w:val="auto"/>
                <w:w w:val="94"/>
              </w:rPr>
              <w:t>Non-accelerated filer (Do not check if a smaller reporting company)</w:t>
            </w:r>
          </w:p>
        </w:tc>
        <w:tc>
          <w:tcPr>
            <w:tcW w:w="440" w:type="dxa"/>
            <w:vAlign w:val="bottom"/>
          </w:tcPr>
          <w:p>
            <w:pPr>
              <w:ind w:left="280"/>
              <w:spacing w:after="0"/>
              <w:rPr>
                <w:sz w:val="20"/>
                <w:szCs w:val="20"/>
                <w:color w:val="auto"/>
              </w:rPr>
            </w:pPr>
            <w:r>
              <w:rPr>
                <w:rFonts w:ascii="Arial" w:cs="Arial" w:eastAsia="Arial" w:hAnsi="Arial"/>
                <w:sz w:val="18"/>
                <w:szCs w:val="18"/>
                <w:color w:val="auto"/>
              </w:rPr>
              <w:t>o</w:t>
            </w:r>
          </w:p>
        </w:tc>
        <w:tc>
          <w:tcPr>
            <w:tcW w:w="2400" w:type="dxa"/>
            <w:vAlign w:val="bottom"/>
            <w:gridSpan w:val="2"/>
          </w:tcPr>
          <w:p>
            <w:pPr>
              <w:ind w:left="80"/>
              <w:spacing w:after="0"/>
              <w:rPr>
                <w:sz w:val="20"/>
                <w:szCs w:val="20"/>
                <w:color w:val="auto"/>
              </w:rPr>
            </w:pPr>
            <w:r>
              <w:rPr>
                <w:rFonts w:ascii="Arial" w:cs="Arial" w:eastAsia="Arial" w:hAnsi="Arial"/>
                <w:sz w:val="16"/>
                <w:szCs w:val="16"/>
                <w:color w:val="auto"/>
              </w:rPr>
              <w:t>Smaller reporting company</w:t>
            </w: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940" w:type="dxa"/>
            <w:vAlign w:val="bottom"/>
            <w:gridSpan w:val="4"/>
          </w:tcPr>
          <w:p>
            <w:pPr>
              <w:jc w:val="center"/>
              <w:ind w:left="2196"/>
              <w:spacing w:after="0"/>
              <w:rPr>
                <w:sz w:val="20"/>
                <w:szCs w:val="20"/>
                <w:color w:val="auto"/>
              </w:rPr>
            </w:pPr>
            <w:r>
              <w:rPr>
                <w:rFonts w:ascii="Arial" w:cs="Arial" w:eastAsia="Arial" w:hAnsi="Arial"/>
                <w:sz w:val="18"/>
                <w:szCs w:val="18"/>
                <w:b w:val="1"/>
                <w:bCs w:val="1"/>
                <w:color w:val="auto"/>
              </w:rPr>
              <w:t>CALCULATION OF REGISTRATION FEE</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spacing w:after="0"/>
              <w:rPr>
                <w:sz w:val="17"/>
                <w:szCs w:val="17"/>
                <w:color w:val="auto"/>
              </w:rPr>
            </w:pPr>
          </w:p>
        </w:tc>
        <w:tc>
          <w:tcPr>
            <w:tcW w:w="3080" w:type="dxa"/>
            <w:vAlign w:val="bottom"/>
            <w:gridSpan w:val="3"/>
          </w:tcPr>
          <w:p>
            <w:pPr>
              <w:jc w:val="center"/>
              <w:ind w:left="1377"/>
              <w:spacing w:after="0"/>
              <w:rPr>
                <w:sz w:val="20"/>
                <w:szCs w:val="20"/>
                <w:color w:val="auto"/>
              </w:rPr>
            </w:pPr>
            <w:r>
              <w:rPr>
                <w:rFonts w:ascii="Arial" w:cs="Arial" w:eastAsia="Arial" w:hAnsi="Arial"/>
                <w:sz w:val="16"/>
                <w:szCs w:val="16"/>
                <w:b w:val="1"/>
                <w:bCs w:val="1"/>
                <w:color w:val="auto"/>
                <w:w w:val="90"/>
              </w:rPr>
              <w:t>Proposed maximum</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maximum</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2"/>
              </w:rPr>
              <w:t>Amount of</w:t>
            </w:r>
          </w:p>
        </w:tc>
        <w:tc>
          <w:tcPr>
            <w:tcW w:w="0" w:type="dxa"/>
            <w:vAlign w:val="bottom"/>
          </w:tcPr>
          <w:p>
            <w:pPr>
              <w:spacing w:after="0"/>
              <w:rPr>
                <w:sz w:val="1"/>
                <w:szCs w:val="1"/>
                <w:color w:val="auto"/>
              </w:rPr>
            </w:pPr>
          </w:p>
        </w:tc>
      </w:tr>
      <w:tr>
        <w:trPr>
          <w:trHeight w:val="203"/>
        </w:trPr>
        <w:tc>
          <w:tcPr>
            <w:tcW w:w="3860" w:type="dxa"/>
            <w:vAlign w:val="bottom"/>
          </w:tcPr>
          <w:p>
            <w:pPr>
              <w:ind w:left="1700"/>
              <w:spacing w:after="0"/>
              <w:rPr>
                <w:sz w:val="20"/>
                <w:szCs w:val="20"/>
                <w:color w:val="auto"/>
              </w:rPr>
            </w:pPr>
            <w:r>
              <w:rPr>
                <w:rFonts w:ascii="Arial" w:cs="Arial" w:eastAsia="Arial" w:hAnsi="Arial"/>
                <w:sz w:val="16"/>
                <w:szCs w:val="16"/>
                <w:b w:val="1"/>
                <w:bCs w:val="1"/>
                <w:color w:val="auto"/>
              </w:rPr>
              <w:t>Title of</w:t>
            </w:r>
          </w:p>
        </w:tc>
        <w:tc>
          <w:tcPr>
            <w:tcW w:w="1640" w:type="dxa"/>
            <w:vAlign w:val="bottom"/>
          </w:tcPr>
          <w:p>
            <w:pPr>
              <w:jc w:val="center"/>
              <w:ind w:right="77"/>
              <w:spacing w:after="0"/>
              <w:rPr>
                <w:sz w:val="20"/>
                <w:szCs w:val="20"/>
                <w:color w:val="auto"/>
              </w:rPr>
            </w:pPr>
            <w:r>
              <w:rPr>
                <w:rFonts w:ascii="Arial" w:cs="Arial" w:eastAsia="Arial" w:hAnsi="Arial"/>
                <w:sz w:val="16"/>
                <w:szCs w:val="16"/>
                <w:b w:val="1"/>
                <w:bCs w:val="1"/>
                <w:color w:val="auto"/>
                <w:w w:val="93"/>
              </w:rPr>
              <w:t>Amount to be</w:t>
            </w:r>
          </w:p>
        </w:tc>
        <w:tc>
          <w:tcPr>
            <w:tcW w:w="144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89"/>
              </w:rPr>
              <w:t>aggregate offering</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9"/>
              </w:rPr>
              <w:t>aggregate offering</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0"/>
              </w:rPr>
              <w:t>registration</w:t>
            </w:r>
          </w:p>
        </w:tc>
        <w:tc>
          <w:tcPr>
            <w:tcW w:w="0" w:type="dxa"/>
            <w:vAlign w:val="bottom"/>
          </w:tcPr>
          <w:p>
            <w:pPr>
              <w:spacing w:after="0"/>
              <w:rPr>
                <w:sz w:val="1"/>
                <w:szCs w:val="1"/>
                <w:color w:val="auto"/>
              </w:rPr>
            </w:pPr>
          </w:p>
        </w:tc>
      </w:tr>
      <w:tr>
        <w:trPr>
          <w:trHeight w:val="210"/>
        </w:trPr>
        <w:tc>
          <w:tcPr>
            <w:tcW w:w="3860" w:type="dxa"/>
            <w:vAlign w:val="bottom"/>
          </w:tcPr>
          <w:p>
            <w:pPr>
              <w:ind w:left="1080"/>
              <w:spacing w:after="0"/>
              <w:rPr>
                <w:sz w:val="20"/>
                <w:szCs w:val="20"/>
                <w:color w:val="auto"/>
              </w:rPr>
            </w:pPr>
            <w:r>
              <w:rPr>
                <w:rFonts w:ascii="Arial" w:cs="Arial" w:eastAsia="Arial" w:hAnsi="Arial"/>
                <w:sz w:val="16"/>
                <w:szCs w:val="16"/>
                <w:b w:val="1"/>
                <w:bCs w:val="1"/>
                <w:color w:val="auto"/>
              </w:rPr>
              <w:t>securities to be registered</w:t>
            </w:r>
          </w:p>
        </w:tc>
        <w:tc>
          <w:tcPr>
            <w:tcW w:w="1640" w:type="dxa"/>
            <w:vAlign w:val="bottom"/>
          </w:tcPr>
          <w:p>
            <w:pPr>
              <w:jc w:val="center"/>
              <w:ind w:right="77"/>
              <w:spacing w:after="0"/>
              <w:rPr>
                <w:sz w:val="20"/>
                <w:szCs w:val="20"/>
                <w:color w:val="auto"/>
              </w:rPr>
            </w:pPr>
            <w:r>
              <w:rPr>
                <w:rFonts w:ascii="Arial" w:cs="Arial" w:eastAsia="Arial" w:hAnsi="Arial"/>
                <w:sz w:val="16"/>
                <w:szCs w:val="16"/>
                <w:b w:val="1"/>
                <w:bCs w:val="1"/>
                <w:color w:val="auto"/>
                <w:w w:val="90"/>
              </w:rPr>
              <w:t>registered (1)</w:t>
            </w:r>
          </w:p>
        </w:tc>
        <w:tc>
          <w:tcPr>
            <w:tcW w:w="1440" w:type="dxa"/>
            <w:vAlign w:val="bottom"/>
            <w:gridSpan w:val="2"/>
          </w:tcPr>
          <w:p>
            <w:pPr>
              <w:jc w:val="center"/>
              <w:ind w:right="99"/>
              <w:spacing w:after="0"/>
              <w:rPr>
                <w:sz w:val="20"/>
                <w:szCs w:val="20"/>
                <w:color w:val="auto"/>
              </w:rPr>
            </w:pPr>
            <w:r>
              <w:rPr>
                <w:rFonts w:ascii="Arial" w:cs="Arial" w:eastAsia="Arial" w:hAnsi="Arial"/>
                <w:sz w:val="16"/>
                <w:szCs w:val="16"/>
                <w:b w:val="1"/>
                <w:bCs w:val="1"/>
                <w:color w:val="auto"/>
                <w:w w:val="90"/>
              </w:rPr>
              <w:t>price per share (2)</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price (2)</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rPr>
                <w:sz w:val="1"/>
                <w:szCs w:val="1"/>
                <w:color w:val="auto"/>
              </w:rPr>
            </w:pPr>
          </w:p>
        </w:tc>
      </w:tr>
      <w:tr>
        <w:trPr>
          <w:trHeight w:val="33"/>
        </w:trPr>
        <w:tc>
          <w:tcPr>
            <w:tcW w:w="38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60" w:type="dxa"/>
            <w:vAlign w:val="bottom"/>
          </w:tcPr>
          <w:p>
            <w:pPr>
              <w:ind w:left="20"/>
              <w:spacing w:after="0"/>
              <w:rPr>
                <w:sz w:val="20"/>
                <w:szCs w:val="20"/>
                <w:color w:val="auto"/>
              </w:rPr>
            </w:pPr>
            <w:r>
              <w:rPr>
                <w:rFonts w:ascii="Arial" w:cs="Arial" w:eastAsia="Arial" w:hAnsi="Arial"/>
                <w:sz w:val="16"/>
                <w:szCs w:val="16"/>
                <w:color w:val="auto"/>
                <w:w w:val="97"/>
              </w:rPr>
              <w:t>Common Stock $0.10 par value per share, to be issued</w:t>
            </w: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860" w:type="dxa"/>
            <w:vAlign w:val="bottom"/>
          </w:tcPr>
          <w:p>
            <w:pPr>
              <w:ind w:left="20"/>
              <w:spacing w:after="0"/>
              <w:rPr>
                <w:sz w:val="20"/>
                <w:szCs w:val="20"/>
                <w:color w:val="auto"/>
              </w:rPr>
            </w:pPr>
            <w:r>
              <w:rPr>
                <w:rFonts w:ascii="Arial" w:cs="Arial" w:eastAsia="Arial" w:hAnsi="Arial"/>
                <w:sz w:val="16"/>
                <w:szCs w:val="16"/>
                <w:color w:val="auto"/>
                <w:w w:val="99"/>
              </w:rPr>
              <w:t>pursuant to the Micron Technology, Inc. Amended and</w:t>
            </w:r>
          </w:p>
        </w:tc>
        <w:tc>
          <w:tcPr>
            <w:tcW w:w="1640" w:type="dxa"/>
            <w:vAlign w:val="bottom"/>
            <w:vMerge w:val="restart"/>
          </w:tcPr>
          <w:p>
            <w:pPr>
              <w:jc w:val="right"/>
              <w:ind w:right="177"/>
              <w:spacing w:after="0"/>
              <w:rPr>
                <w:sz w:val="20"/>
                <w:szCs w:val="20"/>
                <w:color w:val="auto"/>
              </w:rPr>
            </w:pPr>
            <w:r>
              <w:rPr>
                <w:rFonts w:ascii="Arial" w:cs="Arial" w:eastAsia="Arial" w:hAnsi="Arial"/>
                <w:sz w:val="18"/>
                <w:szCs w:val="18"/>
                <w:color w:val="auto"/>
              </w:rPr>
              <w:t>30,000,000</w:t>
            </w:r>
          </w:p>
        </w:tc>
        <w:tc>
          <w:tcPr>
            <w:tcW w:w="1440" w:type="dxa"/>
            <w:vAlign w:val="bottom"/>
            <w:gridSpan w:val="2"/>
            <w:vMerge w:val="restart"/>
          </w:tcPr>
          <w:p>
            <w:pPr>
              <w:jc w:val="center"/>
              <w:ind w:right="99"/>
              <w:spacing w:after="0"/>
              <w:rPr>
                <w:sz w:val="20"/>
                <w:szCs w:val="20"/>
                <w:color w:val="auto"/>
              </w:rPr>
            </w:pPr>
            <w:r>
              <w:rPr>
                <w:rFonts w:ascii="Arial" w:cs="Arial" w:eastAsia="Arial" w:hAnsi="Arial"/>
                <w:sz w:val="18"/>
                <w:szCs w:val="18"/>
                <w:color w:val="auto"/>
                <w:w w:val="89"/>
              </w:rPr>
              <w:t>$27.655</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8"/>
              </w:rPr>
              <w:t>$829,650,000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auto"/>
                <w:w w:val="89"/>
              </w:rPr>
              <w:t>$96,405</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rPr>
                <w:sz w:val="20"/>
                <w:szCs w:val="20"/>
                <w:color w:val="auto"/>
              </w:rPr>
            </w:pPr>
            <w:r>
              <w:rPr>
                <w:rFonts w:ascii="Arial" w:cs="Arial" w:eastAsia="Arial" w:hAnsi="Arial"/>
                <w:sz w:val="16"/>
                <w:szCs w:val="16"/>
                <w:color w:val="auto"/>
              </w:rPr>
              <w:t>Restated 2007 Equity Incentive Plan</w:t>
            </w:r>
          </w:p>
        </w:tc>
        <w:tc>
          <w:tcPr>
            <w:tcW w:w="1640" w:type="dxa"/>
            <w:vAlign w:val="bottom"/>
            <w:vMerge w:val="continue"/>
          </w:tcPr>
          <w:p>
            <w:pPr>
              <w:spacing w:after="0"/>
              <w:rPr>
                <w:sz w:val="18"/>
                <w:szCs w:val="18"/>
                <w:color w:val="auto"/>
              </w:rPr>
            </w:pPr>
          </w:p>
        </w:tc>
        <w:tc>
          <w:tcPr>
            <w:tcW w:w="1440" w:type="dxa"/>
            <w:vAlign w:val="bottom"/>
            <w:gridSpan w:val="2"/>
            <w:vMerge w:val="continue"/>
          </w:tcPr>
          <w:p>
            <w:pPr>
              <w:spacing w:after="0"/>
              <w:rPr>
                <w:sz w:val="18"/>
                <w:szCs w:val="18"/>
                <w:color w:val="auto"/>
              </w:rPr>
            </w:pPr>
          </w:p>
        </w:tc>
        <w:tc>
          <w:tcPr>
            <w:tcW w:w="1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ind w:left="340" w:hanging="332"/>
        <w:spacing w:after="0" w:line="247"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Pursuant to Rule 416 under the Securities Act of 1933, (the "Securities Act"), to the extent additional shares of the Registrant's Common Stock may be issued or issuable as a result of a stock split, stock dividend or other distribution declared at any time by the Board of Directors while this Registration Statement is in effect, this Registration Statement is hereby declared to cover all of such additional Common Stock.</w:t>
      </w:r>
    </w:p>
    <w:p>
      <w:pPr>
        <w:spacing w:after="0" w:line="1" w:lineRule="exact"/>
        <w:rPr>
          <w:rFonts w:ascii="Arial" w:cs="Arial" w:eastAsia="Arial" w:hAnsi="Arial"/>
          <w:sz w:val="14"/>
          <w:szCs w:val="14"/>
          <w:color w:val="auto"/>
        </w:rPr>
      </w:pPr>
    </w:p>
    <w:p>
      <w:pPr>
        <w:ind w:left="340" w:right="40" w:hanging="332"/>
        <w:spacing w:after="0" w:line="255" w:lineRule="auto"/>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in accordance with Rules 457(c) and 457(h) under the Securities Act, solely for the purpose of calculating the registration fee on the basis of $27.655 per share, which is the average of the high and low price of the Company's Common Stock as reported on the Nasdaq Global Select Market on April 14, 2015.</w:t>
      </w:r>
    </w:p>
    <w:p>
      <w:pPr>
        <w:sectPr>
          <w:pgSz w:w="11900" w:h="16838" w:orient="portrait"/>
          <w:cols w:equalWidth="0" w:num="1">
            <w:col w:w="11380"/>
          </w:cols>
          <w:pgMar w:left="240" w:top="224" w:right="27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PART I</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INFORMATION REQUIRED IN THE SECTION 10(a) PROSPECTUS</w:t>
      </w:r>
    </w:p>
    <w:p>
      <w:pPr>
        <w:spacing w:after="0" w:line="266" w:lineRule="exact"/>
        <w:rPr>
          <w:sz w:val="20"/>
          <w:szCs w:val="20"/>
          <w:color w:val="auto"/>
        </w:rPr>
      </w:pPr>
    </w:p>
    <w:p>
      <w:pPr>
        <w:ind w:right="320" w:firstLine="324"/>
        <w:spacing w:after="0" w:line="312" w:lineRule="auto"/>
        <w:rPr>
          <w:sz w:val="20"/>
          <w:szCs w:val="20"/>
          <w:color w:val="auto"/>
        </w:rPr>
      </w:pPr>
      <w:r>
        <w:rPr>
          <w:rFonts w:ascii="Arial" w:cs="Arial" w:eastAsia="Arial" w:hAnsi="Arial"/>
          <w:sz w:val="19"/>
          <w:szCs w:val="19"/>
          <w:color w:val="auto"/>
        </w:rPr>
        <w:t>The documents containing the information specified in Part I of Form S-8 are not required to be filed with the Securities and Exchange Commission (the "Commission") either as part of this Registration Statement or as a prospectus or prospectus supplements pursuant to the Note to Part I of Form S-8 and Rule 424 under the Securities Act.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PART II</w:t>
      </w:r>
    </w:p>
    <w:p>
      <w:pPr>
        <w:spacing w:after="0" w:line="260" w:lineRule="exact"/>
        <w:rPr>
          <w:sz w:val="20"/>
          <w:szCs w:val="20"/>
          <w:color w:val="auto"/>
        </w:rPr>
      </w:pPr>
    </w:p>
    <w:p>
      <w:pPr>
        <w:ind w:left="2360"/>
        <w:spacing w:after="0"/>
        <w:rPr>
          <w:sz w:val="20"/>
          <w:szCs w:val="20"/>
          <w:color w:val="auto"/>
        </w:rPr>
      </w:pPr>
      <w:r>
        <w:rPr>
          <w:rFonts w:ascii="Arial" w:cs="Arial" w:eastAsia="Arial" w:hAnsi="Arial"/>
          <w:sz w:val="22"/>
          <w:szCs w:val="22"/>
          <w:b w:val="1"/>
          <w:bCs w:val="1"/>
          <w:color w:val="auto"/>
        </w:rPr>
        <w:t>INFORMATION REQUIRED IN THE REGISTRATION STATEMENT</w:t>
      </w:r>
    </w:p>
    <w:p>
      <w:pPr>
        <w:spacing w:after="0" w:line="26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3. Incorporation of Documents by Reference.</w:t>
      </w:r>
    </w:p>
    <w:p>
      <w:pPr>
        <w:spacing w:after="0" w:line="266" w:lineRule="exact"/>
        <w:rPr>
          <w:sz w:val="20"/>
          <w:szCs w:val="20"/>
          <w:color w:val="auto"/>
        </w:rPr>
      </w:pPr>
    </w:p>
    <w:p>
      <w:pPr>
        <w:ind w:right="740" w:firstLine="324"/>
        <w:spacing w:after="0" w:line="263" w:lineRule="auto"/>
        <w:rPr>
          <w:sz w:val="20"/>
          <w:szCs w:val="20"/>
          <w:color w:val="auto"/>
        </w:rPr>
      </w:pPr>
      <w:r>
        <w:rPr>
          <w:rFonts w:ascii="Arial" w:cs="Arial" w:eastAsia="Arial" w:hAnsi="Arial"/>
          <w:sz w:val="22"/>
          <w:szCs w:val="22"/>
          <w:color w:val="auto"/>
        </w:rPr>
        <w:t>The following documents filed by the Company with the Commission are incorporated by reference in this Registration Statement:</w:t>
      </w:r>
    </w:p>
    <w:p>
      <w:pPr>
        <w:spacing w:after="0" w:line="215" w:lineRule="exact"/>
        <w:rPr>
          <w:sz w:val="20"/>
          <w:szCs w:val="20"/>
          <w:color w:val="auto"/>
        </w:rPr>
      </w:pPr>
    </w:p>
    <w:p>
      <w:pPr>
        <w:ind w:right="580" w:firstLine="332"/>
        <w:spacing w:after="0" w:line="253" w:lineRule="auto"/>
        <w:tabs>
          <w:tab w:leader="none" w:pos="888"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latest Annual Report on Form 10-K for the year ended August 28, 2014 filed with the Commission pursuant to Section 13(a) of the Securities Exchange Act of 1934, as amended (the "Exchange Act") (File No. 1-10658), on October 27, 2014.</w:t>
      </w:r>
    </w:p>
    <w:p>
      <w:pPr>
        <w:spacing w:after="0" w:line="185" w:lineRule="exact"/>
        <w:rPr>
          <w:rFonts w:ascii="Arial" w:cs="Arial" w:eastAsia="Arial" w:hAnsi="Arial"/>
          <w:sz w:val="22"/>
          <w:szCs w:val="22"/>
          <w:color w:val="auto"/>
        </w:rPr>
      </w:pPr>
    </w:p>
    <w:p>
      <w:pPr>
        <w:ind w:right="240" w:firstLine="332"/>
        <w:spacing w:after="0" w:line="263" w:lineRule="auto"/>
        <w:tabs>
          <w:tab w:leader="none" w:pos="9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Quarterly Report on Form 10-Q for the quarterly periods ended December 4, 2014 and March 5, 2015, filed with the Commission on January 9, 2015 and April 10, 2015, respectively.</w:t>
      </w:r>
    </w:p>
    <w:p>
      <w:pPr>
        <w:spacing w:after="0" w:line="174" w:lineRule="exact"/>
        <w:rPr>
          <w:rFonts w:ascii="Arial" w:cs="Arial" w:eastAsia="Arial" w:hAnsi="Arial"/>
          <w:sz w:val="22"/>
          <w:szCs w:val="22"/>
          <w:color w:val="auto"/>
        </w:rPr>
      </w:pPr>
    </w:p>
    <w:p>
      <w:pPr>
        <w:ind w:right="160" w:firstLine="332"/>
        <w:spacing w:after="0" w:line="253" w:lineRule="auto"/>
        <w:tabs>
          <w:tab w:leader="none" w:pos="888"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Company's Current Reports on Form 8-K filed with the Commission on October 17, 2014, October 23, 2014, October 27, 2014, November 18, 2014, November 20, 2014, December 3, 2014, December 8, 2014, January 26, 2015, January 29, 2015, February 3, 2015, February 10, 2015, February 12, 2015 and March 11, 2015.</w:t>
      </w:r>
    </w:p>
    <w:p>
      <w:pPr>
        <w:spacing w:after="0" w:line="185" w:lineRule="exact"/>
        <w:rPr>
          <w:rFonts w:ascii="Arial" w:cs="Arial" w:eastAsia="Arial" w:hAnsi="Arial"/>
          <w:sz w:val="22"/>
          <w:szCs w:val="22"/>
          <w:color w:val="auto"/>
        </w:rPr>
      </w:pPr>
    </w:p>
    <w:p>
      <w:pPr>
        <w:ind w:right="80" w:firstLine="332"/>
        <w:spacing w:after="0" w:line="271" w:lineRule="auto"/>
        <w:tabs>
          <w:tab w:leader="none" w:pos="900"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description of the Company's Common Stock contained in the Company's Registration Statement on Form 8-A filed with the Commission on November 9, 1990, pursuant to Section 12(b) of the Exchange Act (File No. 1-10658), including any amendment or report filed with the Commission for the purpose of updating such description.</w:t>
      </w:r>
    </w:p>
    <w:p>
      <w:pPr>
        <w:spacing w:after="0" w:line="168" w:lineRule="exact"/>
        <w:rPr>
          <w:sz w:val="20"/>
          <w:szCs w:val="20"/>
          <w:color w:val="auto"/>
        </w:rPr>
      </w:pPr>
    </w:p>
    <w:p>
      <w:pPr>
        <w:ind w:firstLine="324"/>
        <w:spacing w:after="0" w:line="265" w:lineRule="auto"/>
        <w:rPr>
          <w:sz w:val="20"/>
          <w:szCs w:val="20"/>
          <w:color w:val="auto"/>
        </w:rPr>
      </w:pPr>
      <w:r>
        <w:rPr>
          <w:rFonts w:ascii="Arial" w:cs="Arial" w:eastAsia="Arial" w:hAnsi="Arial"/>
          <w:sz w:val="21"/>
          <w:szCs w:val="21"/>
          <w:color w:val="auto"/>
        </w:rPr>
        <w:t>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4. Description of Securities.</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5. Interests of Named Experts and Counsel.</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369" w:right="239" w:bottom="1440" w:gutter="0" w:footer="0" w:header="0"/>
        </w:sectPr>
      </w:pPr>
    </w:p>
    <w:bookmarkStart w:id="2" w:name="page3"/>
    <w:bookmarkEnd w:id="2"/>
    <w:p>
      <w:pPr>
        <w:ind w:left="20"/>
        <w:spacing w:after="0"/>
        <w:rPr>
          <w:sz w:val="20"/>
          <w:szCs w:val="20"/>
          <w:color w:val="auto"/>
        </w:rPr>
      </w:pPr>
      <w:r>
        <w:rPr>
          <w:rFonts w:ascii="Arial" w:cs="Arial" w:eastAsia="Arial" w:hAnsi="Arial"/>
          <w:sz w:val="22"/>
          <w:szCs w:val="22"/>
          <w:b w:val="1"/>
          <w:bCs w:val="1"/>
          <w:color w:val="auto"/>
        </w:rPr>
        <w:t>Item 6. Indemnification of Directors and Officers.</w:t>
      </w:r>
    </w:p>
    <w:p>
      <w:pPr>
        <w:spacing w:after="0" w:line="266" w:lineRule="exact"/>
        <w:rPr>
          <w:sz w:val="20"/>
          <w:szCs w:val="20"/>
          <w:color w:val="auto"/>
        </w:rPr>
      </w:pPr>
    </w:p>
    <w:p>
      <w:pPr>
        <w:ind w:right="280" w:firstLine="324"/>
        <w:spacing w:after="0" w:line="292" w:lineRule="auto"/>
        <w:rPr>
          <w:sz w:val="20"/>
          <w:szCs w:val="20"/>
          <w:color w:val="auto"/>
        </w:rPr>
      </w:pPr>
      <w:r>
        <w:rPr>
          <w:rFonts w:ascii="Arial" w:cs="Arial" w:eastAsia="Arial" w:hAnsi="Arial"/>
          <w:sz w:val="19"/>
          <w:szCs w:val="19"/>
          <w:color w:val="auto"/>
        </w:rPr>
        <w:t>Section 145 of the Delaware General Corporation Law authorizes a court to award, or a corporation's board of directors or stockholders to grant, indemnification to directors, officers, employees and agents in terms sufficiently broad to permit such indemnification under certain circumstances for liabilities (including reimbursement for expenses incurred) arising under the Securities Act and for liabilities arising from other state and federal causes of action. Section 10 of the Company's Certificate of Incorporation and Article VIII of the Company's Bylaws provide for the mandatory indemnification of its officers, directors, employees and agents to the extent permitted by Delaware General Corporation Law. The Company has entered into agreements with its officers, directors and certain key employees implementing such indemnification.</w:t>
      </w:r>
    </w:p>
    <w:p>
      <w:pPr>
        <w:spacing w:after="0" w:line="186"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7. Exemption from Registration Claimed.</w:t>
      </w:r>
    </w:p>
    <w:p>
      <w:pPr>
        <w:spacing w:after="0" w:line="2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Not applicable.</w:t>
      </w:r>
    </w:p>
    <w:p>
      <w:pPr>
        <w:spacing w:after="0" w:line="25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8. Exhibits.</w:t>
      </w:r>
    </w:p>
    <w:p>
      <w:pPr>
        <w:spacing w:after="0" w:line="37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89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17"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Micron Technology, Inc. Amended and Restated 2007 Equity Incentive Plan</w:t>
      </w:r>
    </w:p>
    <w:p>
      <w:pPr>
        <w:spacing w:after="0" w:line="44"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Micron Technology, Inc. Amended and Restated 2007 Equity Incentive Plan Forms of Agreement</w:t>
      </w:r>
    </w:p>
    <w:p>
      <w:pPr>
        <w:spacing w:after="0" w:line="44" w:lineRule="exact"/>
        <w:rPr>
          <w:sz w:val="20"/>
          <w:szCs w:val="20"/>
          <w:color w:val="auto"/>
        </w:rPr>
      </w:pPr>
    </w:p>
    <w:p>
      <w:pPr>
        <w:ind w:left="380"/>
        <w:spacing w:after="0"/>
        <w:tabs>
          <w:tab w:leader="none" w:pos="116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Opinion of Counsel</w:t>
      </w:r>
    </w:p>
    <w:p>
      <w:pPr>
        <w:spacing w:after="0" w:line="44"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Independent Registered Public Accounting Firm</w:t>
      </w:r>
    </w:p>
    <w:p>
      <w:pPr>
        <w:spacing w:after="0" w:line="44"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Consent of Counsel (contained in Exhibit 5.1)</w:t>
      </w:r>
    </w:p>
    <w:p>
      <w:pPr>
        <w:spacing w:after="0" w:line="44" w:lineRule="exact"/>
        <w:rPr>
          <w:sz w:val="20"/>
          <w:szCs w:val="20"/>
          <w:color w:val="auto"/>
        </w:rPr>
      </w:pPr>
    </w:p>
    <w:p>
      <w:pPr>
        <w:ind w:left="280"/>
        <w:spacing w:after="0"/>
        <w:tabs>
          <w:tab w:leader="none" w:pos="116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Power of Attorney (included on signature page)</w:t>
      </w:r>
    </w:p>
    <w:p>
      <w:pPr>
        <w:spacing w:after="0" w:line="24" w:lineRule="exact"/>
        <w:rPr>
          <w:sz w:val="20"/>
          <w:szCs w:val="20"/>
          <w:color w:val="auto"/>
        </w:rPr>
      </w:pPr>
    </w:p>
    <w:p>
      <w:pPr>
        <w:ind w:right="60" w:firstLine="332"/>
        <w:spacing w:after="0" w:line="258" w:lineRule="auto"/>
        <w:tabs>
          <w:tab w:leader="none" w:pos="59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Incorporated by reference to Exhibit 10.92 to the Company's Quarterly Report on Form 10-Q for the quarterly period ended March 5, 2015 filed with the Commission on April 10, 2015.</w:t>
      </w:r>
    </w:p>
    <w:p>
      <w:pPr>
        <w:spacing w:after="0" w:line="1" w:lineRule="exact"/>
        <w:rPr>
          <w:rFonts w:ascii="Arial" w:cs="Arial" w:eastAsia="Arial" w:hAnsi="Arial"/>
          <w:sz w:val="18"/>
          <w:szCs w:val="18"/>
          <w:color w:val="auto"/>
        </w:rPr>
      </w:pPr>
    </w:p>
    <w:p>
      <w:pPr>
        <w:ind w:right="600" w:firstLine="324"/>
        <w:spacing w:after="0" w:line="261" w:lineRule="auto"/>
        <w:rPr>
          <w:rFonts w:ascii="Arial" w:cs="Arial" w:eastAsia="Arial" w:hAnsi="Arial"/>
          <w:sz w:val="18"/>
          <w:szCs w:val="18"/>
          <w:color w:val="auto"/>
        </w:rPr>
      </w:pPr>
      <w:r>
        <w:rPr>
          <w:rFonts w:ascii="Arial" w:cs="Arial" w:eastAsia="Arial" w:hAnsi="Arial"/>
          <w:sz w:val="18"/>
          <w:szCs w:val="18"/>
          <w:color w:val="auto"/>
        </w:rPr>
        <w:t>** Incorporated by reference to Exhibit 4.2 to the Company's Registration Statement on Form S-8 (Registration No. 333-148357) filed with the Commission on December 27, 2007.</w:t>
      </w:r>
    </w:p>
    <w:p>
      <w:pPr>
        <w:spacing w:after="0" w:line="18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Item 9. Undertakings.</w:t>
      </w:r>
    </w:p>
    <w:p>
      <w:pPr>
        <w:spacing w:after="0" w:line="226" w:lineRule="exact"/>
        <w:rPr>
          <w:sz w:val="20"/>
          <w:szCs w:val="20"/>
          <w:color w:val="auto"/>
        </w:rPr>
      </w:pPr>
    </w:p>
    <w:p>
      <w:pPr>
        <w:ind w:left="980" w:hanging="648"/>
        <w:spacing w:after="0"/>
        <w:tabs>
          <w:tab w:leader="none" w:pos="98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The undersigned Company hereby undertakes:</w:t>
      </w:r>
    </w:p>
    <w:p>
      <w:pPr>
        <w:spacing w:after="0" w:line="219" w:lineRule="exact"/>
        <w:rPr>
          <w:rFonts w:ascii="Arial" w:cs="Arial" w:eastAsia="Arial" w:hAnsi="Arial"/>
          <w:sz w:val="22"/>
          <w:szCs w:val="22"/>
          <w:color w:val="auto"/>
        </w:rPr>
      </w:pPr>
    </w:p>
    <w:p>
      <w:pPr>
        <w:ind w:left="1320" w:hanging="664"/>
        <w:spacing w:after="0"/>
        <w:tabs>
          <w:tab w:leader="none" w:pos="1320" w:val="left"/>
        </w:tabs>
        <w:numPr>
          <w:ilvl w:val="1"/>
          <w:numId w:val="4"/>
        </w:numPr>
        <w:rPr>
          <w:rFonts w:ascii="Arial" w:cs="Arial" w:eastAsia="Arial" w:hAnsi="Arial"/>
          <w:sz w:val="19"/>
          <w:szCs w:val="19"/>
          <w:color w:val="auto"/>
        </w:rPr>
      </w:pPr>
      <w:r>
        <w:rPr>
          <w:rFonts w:ascii="Arial" w:cs="Arial" w:eastAsia="Arial" w:hAnsi="Arial"/>
          <w:sz w:val="19"/>
          <w:szCs w:val="19"/>
          <w:color w:val="auto"/>
        </w:rPr>
        <w:t>To file, during any period in which offers or sales are being made, a post-effective amendment to this Registration</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Statement:</w:t>
      </w:r>
    </w:p>
    <w:p>
      <w:pPr>
        <w:spacing w:after="0" w:line="201" w:lineRule="exact"/>
        <w:rPr>
          <w:rFonts w:ascii="Arial" w:cs="Arial" w:eastAsia="Arial" w:hAnsi="Arial"/>
          <w:sz w:val="19"/>
          <w:szCs w:val="19"/>
          <w:color w:val="auto"/>
        </w:rPr>
      </w:pPr>
    </w:p>
    <w:p>
      <w:pPr>
        <w:ind w:left="1580" w:hanging="600"/>
        <w:spacing w:after="0"/>
        <w:tabs>
          <w:tab w:leader="none" w:pos="1580" w:val="left"/>
        </w:tabs>
        <w:numPr>
          <w:ilvl w:val="2"/>
          <w:numId w:val="4"/>
        </w:numPr>
        <w:rPr>
          <w:rFonts w:ascii="Arial" w:cs="Arial" w:eastAsia="Arial" w:hAnsi="Arial"/>
          <w:sz w:val="22"/>
          <w:szCs w:val="22"/>
          <w:color w:val="auto"/>
        </w:rPr>
      </w:pPr>
      <w:r>
        <w:rPr>
          <w:rFonts w:ascii="Arial" w:cs="Arial" w:eastAsia="Arial" w:hAnsi="Arial"/>
          <w:sz w:val="22"/>
          <w:szCs w:val="22"/>
          <w:color w:val="auto"/>
        </w:rPr>
        <w:t>to include any prospectus required by section 10(a)(3) of the Securities Act;</w:t>
      </w:r>
    </w:p>
    <w:p>
      <w:pPr>
        <w:spacing w:after="0" w:line="219" w:lineRule="exact"/>
        <w:rPr>
          <w:rFonts w:ascii="Arial" w:cs="Arial" w:eastAsia="Arial" w:hAnsi="Arial"/>
          <w:sz w:val="22"/>
          <w:szCs w:val="22"/>
          <w:color w:val="auto"/>
        </w:rPr>
      </w:pPr>
    </w:p>
    <w:p>
      <w:pPr>
        <w:ind w:firstLine="980"/>
        <w:spacing w:after="0" w:line="294" w:lineRule="auto"/>
        <w:tabs>
          <w:tab w:leader="none" w:pos="1642" w:val="left"/>
        </w:tabs>
        <w:numPr>
          <w:ilvl w:val="2"/>
          <w:numId w:val="4"/>
        </w:numPr>
        <w:rPr>
          <w:rFonts w:ascii="Arial" w:cs="Arial" w:eastAsia="Arial" w:hAnsi="Arial"/>
          <w:sz w:val="19"/>
          <w:szCs w:val="19"/>
          <w:color w:val="auto"/>
        </w:rPr>
      </w:pPr>
      <w:r>
        <w:rPr>
          <w:rFonts w:ascii="Arial" w:cs="Arial" w:eastAsia="Arial" w:hAnsi="Arial"/>
          <w:sz w:val="19"/>
          <w:szCs w:val="19"/>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9" w:right="259" w:bottom="1440" w:gutter="0" w:footer="0" w:header="0"/>
        </w:sectPr>
      </w:pPr>
    </w:p>
    <w:bookmarkStart w:id="3" w:name="page4"/>
    <w:bookmarkEnd w:id="3"/>
    <w:p>
      <w:pPr>
        <w:ind w:right="220"/>
        <w:spacing w:after="0" w:line="263" w:lineRule="auto"/>
        <w:rPr>
          <w:sz w:val="20"/>
          <w:szCs w:val="20"/>
          <w:color w:val="auto"/>
        </w:rPr>
      </w:pPr>
      <w:r>
        <w:rPr>
          <w:rFonts w:ascii="Arial" w:cs="Arial" w:eastAsia="Arial" w:hAnsi="Arial"/>
          <w:sz w:val="22"/>
          <w:szCs w:val="22"/>
          <w:color w:val="auto"/>
        </w:rPr>
        <w:t>more than a 20 percent change in the maximum aggregate offering price set forth in the "Calculation of Registration Fee" table in the effective Registration Statement; and</w:t>
      </w:r>
    </w:p>
    <w:p>
      <w:pPr>
        <w:spacing w:after="0" w:line="175" w:lineRule="exact"/>
        <w:rPr>
          <w:sz w:val="20"/>
          <w:szCs w:val="20"/>
          <w:color w:val="auto"/>
        </w:rPr>
      </w:pPr>
    </w:p>
    <w:p>
      <w:pPr>
        <w:ind w:right="600" w:firstLine="980"/>
        <w:spacing w:after="0" w:line="287" w:lineRule="auto"/>
        <w:tabs>
          <w:tab w:leader="none" w:pos="1701" w:val="left"/>
        </w:tabs>
        <w:numPr>
          <w:ilvl w:val="0"/>
          <w:numId w:val="5"/>
        </w:numPr>
        <w:rPr>
          <w:rFonts w:ascii="Arial" w:cs="Arial" w:eastAsia="Arial" w:hAnsi="Arial"/>
          <w:sz w:val="21"/>
          <w:szCs w:val="21"/>
          <w:color w:val="auto"/>
        </w:rPr>
      </w:pPr>
      <w:r>
        <w:rPr>
          <w:rFonts w:ascii="Arial" w:cs="Arial" w:eastAsia="Arial" w:hAnsi="Arial"/>
          <w:sz w:val="21"/>
          <w:szCs w:val="21"/>
          <w:color w:val="auto"/>
        </w:rPr>
        <w:t>to include any material information with respect to the plan of distribution not previously disclosed in the Registration Statement or any material change to such information in the Registration Statement;</w:t>
      </w:r>
    </w:p>
    <w:p>
      <w:pPr>
        <w:spacing w:after="0" w:line="152" w:lineRule="exact"/>
        <w:rPr>
          <w:sz w:val="20"/>
          <w:szCs w:val="20"/>
          <w:color w:val="auto"/>
        </w:rPr>
      </w:pPr>
    </w:p>
    <w:p>
      <w:pPr>
        <w:jc w:val="both"/>
        <w:ind w:right="260" w:firstLine="972"/>
        <w:spacing w:after="0" w:line="312"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(a)(1)(i) and (a)(1)(ii) do not apply if the information required to be included in a</w:t>
      </w:r>
      <w:r>
        <w:rPr>
          <w:rFonts w:ascii="Arial" w:cs="Arial" w:eastAsia="Arial" w:hAnsi="Arial"/>
          <w:sz w:val="19"/>
          <w:szCs w:val="19"/>
          <w:i w:val="1"/>
          <w:iCs w:val="1"/>
          <w:color w:val="auto"/>
        </w:rPr>
        <w:t xml:space="preserve"> </w:t>
      </w:r>
      <w:r>
        <w:rPr>
          <w:rFonts w:ascii="Arial" w:cs="Arial" w:eastAsia="Arial" w:hAnsi="Arial"/>
          <w:sz w:val="19"/>
          <w:szCs w:val="19"/>
          <w:color w:val="auto"/>
        </w:rPr>
        <w:t>post-effective amendment by those paragraphs is contained in reports filed with or furnished to the Commission by the Company pursuant to Section 13 or Section 15(d) of the Exchange Act that are incorporated by reference in the Registration Statement.</w:t>
      </w:r>
    </w:p>
    <w:p>
      <w:pPr>
        <w:spacing w:after="0" w:line="134" w:lineRule="exact"/>
        <w:rPr>
          <w:sz w:val="20"/>
          <w:szCs w:val="20"/>
          <w:color w:val="auto"/>
        </w:rPr>
      </w:pPr>
    </w:p>
    <w:p>
      <w:pPr>
        <w:jc w:val="both"/>
        <w:ind w:firstLine="656"/>
        <w:spacing w:after="0" w:line="253" w:lineRule="auto"/>
        <w:tabs>
          <w:tab w:leader="none" w:pos="1305" w:val="left"/>
        </w:tabs>
        <w:numPr>
          <w:ilvl w:val="1"/>
          <w:numId w:val="6"/>
        </w:numPr>
        <w:rPr>
          <w:rFonts w:ascii="Arial" w:cs="Arial" w:eastAsia="Arial" w:hAnsi="Arial"/>
          <w:sz w:val="22"/>
          <w:szCs w:val="22"/>
          <w:color w:val="auto"/>
        </w:rPr>
      </w:pPr>
      <w:r>
        <w:rPr>
          <w:rFonts w:ascii="Arial" w:cs="Arial" w:eastAsia="Arial" w:hAnsi="Arial"/>
          <w:sz w:val="22"/>
          <w:szCs w:val="22"/>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5" w:lineRule="exact"/>
        <w:rPr>
          <w:rFonts w:ascii="Arial" w:cs="Arial" w:eastAsia="Arial" w:hAnsi="Arial"/>
          <w:sz w:val="22"/>
          <w:szCs w:val="22"/>
          <w:color w:val="auto"/>
        </w:rPr>
      </w:pPr>
    </w:p>
    <w:p>
      <w:pPr>
        <w:ind w:right="300" w:firstLine="656"/>
        <w:spacing w:after="0" w:line="263" w:lineRule="auto"/>
        <w:tabs>
          <w:tab w:leader="none" w:pos="1305" w:val="left"/>
        </w:tabs>
        <w:numPr>
          <w:ilvl w:val="1"/>
          <w:numId w:val="6"/>
        </w:numPr>
        <w:rPr>
          <w:rFonts w:ascii="Arial" w:cs="Arial" w:eastAsia="Arial" w:hAnsi="Arial"/>
          <w:sz w:val="22"/>
          <w:szCs w:val="22"/>
          <w:color w:val="auto"/>
        </w:rPr>
      </w:pPr>
      <w:r>
        <w:rPr>
          <w:rFonts w:ascii="Arial" w:cs="Arial" w:eastAsia="Arial" w:hAnsi="Arial"/>
          <w:sz w:val="22"/>
          <w:szCs w:val="22"/>
          <w:color w:val="auto"/>
        </w:rPr>
        <w:t>To remove from registration by means of a post-effective amendment any of the securities being registered which remain unsold at the termination of the offering.</w:t>
      </w:r>
    </w:p>
    <w:p>
      <w:pPr>
        <w:spacing w:after="0" w:line="174" w:lineRule="exact"/>
        <w:rPr>
          <w:rFonts w:ascii="Arial" w:cs="Arial" w:eastAsia="Arial" w:hAnsi="Arial"/>
          <w:sz w:val="22"/>
          <w:szCs w:val="22"/>
          <w:color w:val="auto"/>
        </w:rPr>
      </w:pPr>
    </w:p>
    <w:p>
      <w:pPr>
        <w:ind w:right="40" w:firstLine="332"/>
        <w:spacing w:after="0" w:line="297" w:lineRule="auto"/>
        <w:tabs>
          <w:tab w:leader="none" w:pos="981"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undersigned Company hereby undertakes that, for the purpose of determining any liability under the Securities Act, each filing of the Company's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47" w:lineRule="exact"/>
        <w:rPr>
          <w:rFonts w:ascii="Arial" w:cs="Arial" w:eastAsia="Arial" w:hAnsi="Arial"/>
          <w:sz w:val="19"/>
          <w:szCs w:val="19"/>
          <w:color w:val="auto"/>
        </w:rPr>
      </w:pPr>
    </w:p>
    <w:p>
      <w:pPr>
        <w:ind w:right="40" w:firstLine="332"/>
        <w:spacing w:after="0" w:line="259" w:lineRule="auto"/>
        <w:tabs>
          <w:tab w:leader="none" w:pos="969" w:val="left"/>
        </w:tabs>
        <w:numPr>
          <w:ilvl w:val="0"/>
          <w:numId w:val="7"/>
        </w:numPr>
        <w:rPr>
          <w:rFonts w:ascii="Arial" w:cs="Arial" w:eastAsia="Arial" w:hAnsi="Arial"/>
          <w:sz w:val="21"/>
          <w:szCs w:val="21"/>
          <w:color w:val="auto"/>
        </w:rPr>
      </w:pPr>
      <w:r>
        <w:rPr>
          <w:rFonts w:ascii="Arial" w:cs="Arial" w:eastAsia="Arial" w:hAnsi="Arial"/>
          <w:sz w:val="21"/>
          <w:szCs w:val="21"/>
          <w:color w:val="auto"/>
        </w:rPr>
        <w:t>Insofar as indemnification for liabilities arising under the Securities Act may be permitted to directors, officers and controlling persons of the Company pursuant to the foregoing provisions, or otherwise, the Company has been advised that in the opinion of the Commission such indemnification is against public policy as expressed in the Securities Act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75" w:right="2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ind w:firstLine="324"/>
        <w:spacing w:after="0" w:line="312" w:lineRule="auto"/>
        <w:rPr>
          <w:sz w:val="20"/>
          <w:szCs w:val="20"/>
          <w:color w:val="auto"/>
        </w:rPr>
      </w:pPr>
      <w:r>
        <w:rPr>
          <w:rFonts w:ascii="Arial" w:cs="Arial" w:eastAsia="Arial" w:hAnsi="Arial"/>
          <w:sz w:val="19"/>
          <w:szCs w:val="19"/>
          <w:color w:val="auto"/>
        </w:rPr>
        <w:t>Pursuant to the requirements of the Securities Act, the Company certifies that it has reasonable grounds to believe that it meets all of the requirements for filing on Form S-8 and has duly caused this Registration Statement to be signed on its behalf by the undersigned, thereunto duly authorized, in the City of Boise, State of Idaho, on this 17th day of April 2015.</w:t>
      </w:r>
    </w:p>
    <w:p>
      <w:pPr>
        <w:spacing w:after="0" w:line="282"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MICRON TECHNOLOGY, INC.</w:t>
      </w:r>
    </w:p>
    <w:p>
      <w:pPr>
        <w:spacing w:after="0" w:line="341" w:lineRule="exact"/>
        <w:rPr>
          <w:sz w:val="20"/>
          <w:szCs w:val="20"/>
          <w:color w:val="auto"/>
        </w:rPr>
      </w:pPr>
    </w:p>
    <w:p>
      <w:pPr>
        <w:ind w:left="6740"/>
        <w:spacing w:after="0"/>
        <w:rPr>
          <w:sz w:val="20"/>
          <w:szCs w:val="20"/>
          <w:color w:val="auto"/>
        </w:rPr>
      </w:pPr>
      <w:r>
        <w:rPr>
          <w:rFonts w:ascii="Arial" w:cs="Arial" w:eastAsia="Arial" w:hAnsi="Arial"/>
          <w:sz w:val="22"/>
          <w:szCs w:val="22"/>
          <w:i w:val="1"/>
          <w:iCs w:val="1"/>
          <w:color w:val="auto"/>
        </w:rPr>
        <w:t>/s/ Mark W. Adams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24765</wp:posOffset>
            </wp:positionV>
            <wp:extent cx="29927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By: Mark W. Adams</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President</w:t>
      </w:r>
    </w:p>
    <w:p>
      <w:pPr>
        <w:spacing w:after="0" w:line="395" w:lineRule="exact"/>
        <w:rPr>
          <w:sz w:val="20"/>
          <w:szCs w:val="20"/>
          <w:color w:val="auto"/>
        </w:rPr>
      </w:pPr>
    </w:p>
    <w:p>
      <w:pPr>
        <w:ind w:left="6740"/>
        <w:spacing w:after="0"/>
        <w:rPr>
          <w:sz w:val="20"/>
          <w:szCs w:val="20"/>
          <w:color w:val="auto"/>
        </w:rPr>
      </w:pPr>
      <w:r>
        <w:rPr>
          <w:rFonts w:ascii="Arial" w:cs="Arial" w:eastAsia="Arial" w:hAnsi="Arial"/>
          <w:sz w:val="22"/>
          <w:szCs w:val="22"/>
          <w:i w:val="1"/>
          <w:iCs w:val="1"/>
          <w:color w:val="auto"/>
        </w:rPr>
        <w:t>/s/ Mark J. Heil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24765</wp:posOffset>
            </wp:positionV>
            <wp:extent cx="29927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8" w:lineRule="exact"/>
        <w:rPr>
          <w:sz w:val="20"/>
          <w:szCs w:val="20"/>
          <w:color w:val="auto"/>
        </w:rPr>
      </w:pPr>
    </w:p>
    <w:p>
      <w:pPr>
        <w:ind w:left="6740"/>
        <w:spacing w:after="0"/>
        <w:rPr>
          <w:sz w:val="20"/>
          <w:szCs w:val="20"/>
          <w:color w:val="auto"/>
        </w:rPr>
      </w:pPr>
      <w:r>
        <w:rPr>
          <w:rFonts w:ascii="Arial" w:cs="Arial" w:eastAsia="Arial" w:hAnsi="Arial"/>
          <w:sz w:val="22"/>
          <w:szCs w:val="22"/>
          <w:color w:val="auto"/>
        </w:rPr>
        <w:t>By: Mark J. Heil</w:t>
      </w:r>
    </w:p>
    <w:p>
      <w:pPr>
        <w:spacing w:after="0" w:line="44" w:lineRule="exact"/>
        <w:rPr>
          <w:sz w:val="20"/>
          <w:szCs w:val="20"/>
          <w:color w:val="auto"/>
        </w:rPr>
      </w:pPr>
    </w:p>
    <w:p>
      <w:pPr>
        <w:ind w:left="7140"/>
        <w:spacing w:after="0"/>
        <w:rPr>
          <w:sz w:val="20"/>
          <w:szCs w:val="20"/>
          <w:color w:val="auto"/>
        </w:rPr>
      </w:pPr>
      <w:r>
        <w:rPr>
          <w:rFonts w:ascii="Arial" w:cs="Arial" w:eastAsia="Arial" w:hAnsi="Arial"/>
          <w:sz w:val="22"/>
          <w:szCs w:val="22"/>
          <w:color w:val="auto"/>
        </w:rPr>
        <w:t>Principal Financial and Accounting Officer</w:t>
      </w:r>
    </w:p>
    <w:p>
      <w:pPr>
        <w:spacing w:after="0" w:line="200" w:lineRule="exact"/>
        <w:rPr>
          <w:sz w:val="20"/>
          <w:szCs w:val="20"/>
          <w:color w:val="auto"/>
        </w:rPr>
      </w:pPr>
    </w:p>
    <w:p>
      <w:pPr>
        <w:spacing w:after="0" w:line="28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80"/>
          </w:cols>
          <w:pgMar w:left="240" w:top="369" w:right="379" w:bottom="1440" w:gutter="0" w:footer="0" w:header="0"/>
        </w:sectPr>
      </w:pPr>
    </w:p>
    <w:bookmarkStart w:id="5" w:name="page6"/>
    <w:bookmarkEnd w:id="5"/>
    <w:p>
      <w:pPr>
        <w:jc w:val="center"/>
        <w:spacing w:after="0"/>
        <w:rPr>
          <w:sz w:val="20"/>
          <w:szCs w:val="20"/>
          <w:color w:val="auto"/>
        </w:rPr>
      </w:pPr>
      <w:r>
        <w:rPr>
          <w:rFonts w:ascii="Arial" w:cs="Arial" w:eastAsia="Arial" w:hAnsi="Arial"/>
          <w:sz w:val="22"/>
          <w:szCs w:val="22"/>
          <w:b w:val="1"/>
          <w:bCs w:val="1"/>
          <w:u w:val="single" w:color="auto"/>
          <w:color w:val="auto"/>
        </w:rPr>
        <w:t>POWER OF ATTORNEY</w:t>
      </w:r>
    </w:p>
    <w:p>
      <w:pPr>
        <w:spacing w:after="0" w:line="226" w:lineRule="exact"/>
        <w:rPr>
          <w:sz w:val="20"/>
          <w:szCs w:val="20"/>
          <w:color w:val="auto"/>
        </w:rPr>
      </w:pPr>
    </w:p>
    <w:p>
      <w:pPr>
        <w:ind w:right="20" w:firstLine="324"/>
        <w:spacing w:after="0" w:line="297" w:lineRule="auto"/>
        <w:rPr>
          <w:sz w:val="20"/>
          <w:szCs w:val="20"/>
          <w:color w:val="auto"/>
        </w:rPr>
      </w:pPr>
      <w:r>
        <w:rPr>
          <w:rFonts w:ascii="Arial" w:cs="Arial" w:eastAsia="Arial" w:hAnsi="Arial"/>
          <w:sz w:val="19"/>
          <w:szCs w:val="19"/>
          <w:color w:val="auto"/>
        </w:rPr>
        <w:t>Each person whose signature appears below constitutes and appoints D. Mark Durcan and Mark J. Heil, jointly and severally, his attorneys-in-fact, each with the power of substitution, for him in any and all capacities, to sign any amendments (including post-effective amendments) to this Registration Statement on Form S-8,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47" w:lineRule="exact"/>
        <w:rPr>
          <w:sz w:val="20"/>
          <w:szCs w:val="20"/>
          <w:color w:val="auto"/>
        </w:rPr>
      </w:pPr>
    </w:p>
    <w:p>
      <w:pPr>
        <w:ind w:right="480" w:firstLine="324"/>
        <w:spacing w:after="0" w:line="263" w:lineRule="auto"/>
        <w:rPr>
          <w:sz w:val="20"/>
          <w:szCs w:val="20"/>
          <w:color w:val="auto"/>
        </w:rPr>
      </w:pPr>
      <w:r>
        <w:rPr>
          <w:rFonts w:ascii="Arial" w:cs="Arial" w:eastAsia="Arial" w:hAnsi="Arial"/>
          <w:sz w:val="22"/>
          <w:szCs w:val="22"/>
          <w:color w:val="auto"/>
        </w:rPr>
        <w:t>Pursuant to the requirements of the Securities Act of 1933, as amended, this Registration Statement has been signed by the following persons in the capacities and on the date indicated.</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3340" w:type="dxa"/>
            <w:vAlign w:val="bottom"/>
          </w:tcPr>
          <w:p>
            <w:pPr>
              <w:jc w:val="center"/>
              <w:spacing w:after="0"/>
              <w:rPr>
                <w:sz w:val="20"/>
                <w:szCs w:val="20"/>
                <w:color w:val="auto"/>
              </w:rPr>
            </w:pPr>
            <w:r>
              <w:rPr>
                <w:rFonts w:ascii="Arial" w:cs="Arial" w:eastAsia="Arial" w:hAnsi="Arial"/>
                <w:sz w:val="22"/>
                <w:szCs w:val="22"/>
                <w:b w:val="1"/>
                <w:bCs w:val="1"/>
                <w:color w:val="auto"/>
                <w:w w:val="88"/>
              </w:rPr>
              <w:t>Signature</w:t>
            </w:r>
          </w:p>
        </w:tc>
        <w:tc>
          <w:tcPr>
            <w:tcW w:w="100" w:type="dxa"/>
            <w:vAlign w:val="bottom"/>
          </w:tcPr>
          <w:p>
            <w:pPr>
              <w:spacing w:after="0"/>
              <w:rPr>
                <w:sz w:val="24"/>
                <w:szCs w:val="24"/>
                <w:color w:val="auto"/>
              </w:rPr>
            </w:pPr>
          </w:p>
        </w:tc>
        <w:tc>
          <w:tcPr>
            <w:tcW w:w="5700" w:type="dxa"/>
            <w:vAlign w:val="bottom"/>
            <w:gridSpan w:val="2"/>
          </w:tcPr>
          <w:p>
            <w:pPr>
              <w:ind w:left="2580"/>
              <w:spacing w:after="0"/>
              <w:rPr>
                <w:sz w:val="20"/>
                <w:szCs w:val="20"/>
                <w:color w:val="auto"/>
              </w:rPr>
            </w:pPr>
            <w:r>
              <w:rPr>
                <w:rFonts w:ascii="Arial" w:cs="Arial" w:eastAsia="Arial" w:hAnsi="Arial"/>
                <w:sz w:val="22"/>
                <w:szCs w:val="22"/>
                <w:b w:val="1"/>
                <w:bCs w:val="1"/>
                <w:color w:val="auto"/>
              </w:rPr>
              <w:t>Title</w:t>
            </w:r>
          </w:p>
        </w:tc>
        <w:tc>
          <w:tcPr>
            <w:tcW w:w="2280" w:type="dxa"/>
            <w:vAlign w:val="bottom"/>
          </w:tcPr>
          <w:p>
            <w:pPr>
              <w:jc w:val="center"/>
              <w:spacing w:after="0"/>
              <w:rPr>
                <w:sz w:val="20"/>
                <w:szCs w:val="20"/>
                <w:color w:val="auto"/>
              </w:rPr>
            </w:pPr>
            <w:r>
              <w:rPr>
                <w:rFonts w:ascii="Arial" w:cs="Arial" w:eastAsia="Arial" w:hAnsi="Arial"/>
                <w:sz w:val="22"/>
                <w:szCs w:val="22"/>
                <w:b w:val="1"/>
                <w:bCs w:val="1"/>
                <w:color w:val="auto"/>
                <w:w w:val="92"/>
              </w:rPr>
              <w:t>Date</w:t>
            </w:r>
          </w:p>
        </w:tc>
      </w:tr>
      <w:tr>
        <w:trPr>
          <w:trHeight w:val="291"/>
        </w:trPr>
        <w:tc>
          <w:tcPr>
            <w:tcW w:w="33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22"/>
                <w:szCs w:val="22"/>
                <w:i w:val="1"/>
                <w:iCs w:val="1"/>
                <w:color w:val="auto"/>
              </w:rPr>
              <w:t>/s/ D. Mark Durcan</w:t>
            </w:r>
          </w:p>
        </w:tc>
        <w:tc>
          <w:tcPr>
            <w:tcW w:w="100" w:type="dxa"/>
            <w:vAlign w:val="bottom"/>
          </w:tcPr>
          <w:p>
            <w:pPr>
              <w:spacing w:after="0"/>
              <w:rPr>
                <w:sz w:val="24"/>
                <w:szCs w:val="24"/>
                <w:color w:val="auto"/>
              </w:rPr>
            </w:pPr>
          </w:p>
        </w:tc>
        <w:tc>
          <w:tcPr>
            <w:tcW w:w="5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2"/>
              </w:rPr>
              <w:t>D. Mark Durcan</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Chief Executive Officer and Director</w:t>
            </w:r>
          </w:p>
        </w:tc>
        <w:tc>
          <w:tcPr>
            <w:tcW w:w="228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(Principal Executive Officer)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Mark J. Heil</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4"/>
              </w:rPr>
              <w:t>Mark J. Heil</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Senior Finance Director and Corporate Controller</w:t>
            </w:r>
          </w:p>
        </w:tc>
        <w:tc>
          <w:tcPr>
            <w:tcW w:w="2280" w:type="dxa"/>
            <w:vAlign w:val="bottom"/>
          </w:tcPr>
          <w:p>
            <w:pPr>
              <w:spacing w:after="0"/>
              <w:rPr>
                <w:sz w:val="24"/>
                <w:szCs w:val="24"/>
                <w:color w:val="auto"/>
              </w:rPr>
            </w:pPr>
          </w:p>
        </w:tc>
      </w:tr>
      <w:tr>
        <w:trPr>
          <w:trHeight w:val="297"/>
        </w:trPr>
        <w:tc>
          <w:tcPr>
            <w:tcW w:w="3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(Principal Financial and Accounting Officer)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E. Switz</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Robert E. Switz</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Chairman of the Board of Directors</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Robert L. Bailey</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3"/>
              </w:rPr>
              <w:t>Robert L. Bailey</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Richard M. Beyer</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0"/>
              </w:rPr>
              <w:t>Richard M. Beyer</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Patrick J. Byrne</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9"/>
              </w:rPr>
              <w:t>Patrick J. Byrne</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D. Warren A. East</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9"/>
              </w:rPr>
              <w:t>D. Warren A. East</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Mercedes Johnson</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87"/>
              </w:rPr>
              <w:t>Mercedes Johnson</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308"/>
        </w:trPr>
        <w:tc>
          <w:tcPr>
            <w:tcW w:w="3340" w:type="dxa"/>
            <w:vAlign w:val="bottom"/>
            <w:tcBorders>
              <w:bottom w:val="single" w:sz="8" w:color="auto"/>
            </w:tcBorders>
          </w:tcPr>
          <w:p>
            <w:pPr>
              <w:ind w:left="40"/>
              <w:spacing w:after="0"/>
              <w:rPr>
                <w:sz w:val="20"/>
                <w:szCs w:val="20"/>
                <w:color w:val="auto"/>
              </w:rPr>
            </w:pPr>
            <w:r>
              <w:rPr>
                <w:rFonts w:ascii="Arial" w:cs="Arial" w:eastAsia="Arial" w:hAnsi="Arial"/>
                <w:sz w:val="22"/>
                <w:szCs w:val="22"/>
                <w:i w:val="1"/>
                <w:iCs w:val="1"/>
                <w:color w:val="auto"/>
              </w:rPr>
              <w:t>/s/ Lawrence N. Mondry</w:t>
            </w:r>
          </w:p>
        </w:tc>
        <w:tc>
          <w:tcPr>
            <w:tcW w:w="10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4"/>
              </w:rPr>
              <w:t>April 17, 2015</w:t>
            </w:r>
          </w:p>
        </w:tc>
      </w:tr>
      <w:tr>
        <w:trPr>
          <w:trHeight w:val="280"/>
        </w:trPr>
        <w:tc>
          <w:tcPr>
            <w:tcW w:w="3340" w:type="dxa"/>
            <w:vAlign w:val="bottom"/>
          </w:tcPr>
          <w:p>
            <w:pPr>
              <w:jc w:val="center"/>
              <w:spacing w:after="0"/>
              <w:rPr>
                <w:sz w:val="20"/>
                <w:szCs w:val="20"/>
                <w:color w:val="auto"/>
              </w:rPr>
            </w:pPr>
            <w:r>
              <w:rPr>
                <w:rFonts w:ascii="Arial" w:cs="Arial" w:eastAsia="Arial" w:hAnsi="Arial"/>
                <w:sz w:val="22"/>
                <w:szCs w:val="22"/>
                <w:color w:val="auto"/>
                <w:w w:val="91"/>
              </w:rPr>
              <w:t>Lawrence N. Mondry</w:t>
            </w:r>
          </w:p>
        </w:tc>
        <w:tc>
          <w:tcPr>
            <w:tcW w:w="100" w:type="dxa"/>
            <w:vAlign w:val="bottom"/>
          </w:tcPr>
          <w:p>
            <w:pPr>
              <w:spacing w:after="0"/>
              <w:rPr>
                <w:sz w:val="24"/>
                <w:szCs w:val="24"/>
                <w:color w:val="auto"/>
              </w:rPr>
            </w:pPr>
          </w:p>
        </w:tc>
        <w:tc>
          <w:tcPr>
            <w:tcW w:w="5700" w:type="dxa"/>
            <w:vAlign w:val="bottom"/>
            <w:gridSpan w:val="2"/>
          </w:tcPr>
          <w:p>
            <w:pPr>
              <w:ind w:left="20"/>
              <w:spacing w:after="0"/>
              <w:rPr>
                <w:sz w:val="20"/>
                <w:szCs w:val="20"/>
                <w:color w:val="auto"/>
              </w:rPr>
            </w:pPr>
            <w:r>
              <w:rPr>
                <w:rFonts w:ascii="Arial" w:cs="Arial" w:eastAsia="Arial" w:hAnsi="Arial"/>
                <w:sz w:val="22"/>
                <w:szCs w:val="22"/>
                <w:color w:val="auto"/>
              </w:rPr>
              <w:t>Director</w:t>
            </w:r>
          </w:p>
        </w:tc>
        <w:tc>
          <w:tcPr>
            <w:tcW w:w="2280" w:type="dxa"/>
            <w:vAlign w:val="bottom"/>
          </w:tcPr>
          <w:p>
            <w:pPr>
              <w:spacing w:after="0"/>
              <w:rPr>
                <w:sz w:val="24"/>
                <w:szCs w:val="24"/>
                <w:color w:val="auto"/>
              </w:rPr>
            </w:pPr>
          </w:p>
        </w:tc>
      </w:tr>
      <w:tr>
        <w:trPr>
          <w:trHeight w:val="692"/>
        </w:trPr>
        <w:tc>
          <w:tcPr>
            <w:tcW w:w="3340" w:type="dxa"/>
            <w:vAlign w:val="bottom"/>
          </w:tcPr>
          <w:p>
            <w:pPr>
              <w:spacing w:after="0"/>
              <w:rPr>
                <w:sz w:val="24"/>
                <w:szCs w:val="24"/>
                <w:color w:val="auto"/>
              </w:rPr>
            </w:pPr>
          </w:p>
        </w:tc>
        <w:tc>
          <w:tcPr>
            <w:tcW w:w="5680" w:type="dxa"/>
            <w:vAlign w:val="bottom"/>
            <w:gridSpan w:val="2"/>
          </w:tcPr>
          <w:p>
            <w:pPr>
              <w:jc w:val="right"/>
              <w:ind w:right="3152"/>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2280" w:type="dxa"/>
            <w:vAlign w:val="bottom"/>
          </w:tcPr>
          <w:p>
            <w:pPr>
              <w:spacing w:after="0"/>
              <w:rPr>
                <w:sz w:val="24"/>
                <w:szCs w:val="24"/>
                <w:color w:val="auto"/>
              </w:rPr>
            </w:pPr>
          </w:p>
        </w:tc>
      </w:tr>
    </w:tbl>
    <w:p>
      <w:pPr>
        <w:sectPr>
          <w:pgSz w:w="11900" w:h="16838" w:orient="portrait"/>
          <w:cols w:equalWidth="0" w:num="1">
            <w:col w:w="11420"/>
          </w:cols>
          <w:pgMar w:left="240" w:top="585" w:right="239" w:bottom="1440" w:gutter="0" w:footer="0" w:header="0"/>
        </w:sectPr>
      </w:pPr>
    </w:p>
    <w:bookmarkStart w:id="6" w:name="page7"/>
    <w:bookmarkEnd w:id="6"/>
    <w:p>
      <w:pPr>
        <w:jc w:val="center"/>
        <w:ind w:right="-79"/>
        <w:spacing w:after="0"/>
        <w:rPr>
          <w:sz w:val="20"/>
          <w:szCs w:val="20"/>
          <w:color w:val="auto"/>
        </w:rPr>
      </w:pPr>
      <w:r>
        <w:rPr>
          <w:rFonts w:ascii="Arial" w:cs="Arial" w:eastAsia="Arial" w:hAnsi="Arial"/>
          <w:sz w:val="22"/>
          <w:szCs w:val="22"/>
          <w:b w:val="1"/>
          <w:bCs w:val="1"/>
          <w:color w:val="auto"/>
        </w:rPr>
        <w:t>EXHIBIT INDEX</w:t>
      </w:r>
    </w:p>
    <w:p>
      <w:pPr>
        <w:spacing w:after="0" w:line="368" w:lineRule="exact"/>
        <w:rPr>
          <w:sz w:val="20"/>
          <w:szCs w:val="20"/>
          <w:color w:val="auto"/>
        </w:rPr>
      </w:pPr>
    </w:p>
    <w:p>
      <w:pPr>
        <w:ind w:left="40"/>
        <w:spacing w:after="0"/>
        <w:rPr>
          <w:sz w:val="20"/>
          <w:szCs w:val="20"/>
          <w:color w:val="auto"/>
        </w:rPr>
      </w:pPr>
      <w:r>
        <w:rPr>
          <w:rFonts w:ascii="Arial" w:cs="Arial" w:eastAsia="Arial" w:hAnsi="Arial"/>
          <w:sz w:val="22"/>
          <w:szCs w:val="22"/>
          <w:b w:val="1"/>
          <w:bCs w:val="1"/>
          <w:color w:val="auto"/>
        </w:rPr>
        <w:t>Exhibit</w:t>
      </w:r>
    </w:p>
    <w:p>
      <w:pPr>
        <w:spacing w:after="0" w:line="1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22"/>
          <w:szCs w:val="22"/>
          <w:b w:val="1"/>
          <w:bCs w:val="1"/>
          <w:color w:val="auto"/>
        </w:rPr>
        <w:t>Number</w:t>
      </w:r>
      <w:r>
        <w:rPr>
          <w:sz w:val="20"/>
          <w:szCs w:val="20"/>
          <w:color w:val="auto"/>
        </w:rPr>
        <w:tab/>
      </w:r>
      <w:r>
        <w:rPr>
          <w:rFonts w:ascii="Arial" w:cs="Arial" w:eastAsia="Arial" w:hAnsi="Arial"/>
          <w:sz w:val="22"/>
          <w:szCs w:val="2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p>
      <w:pPr>
        <w:ind w:left="380"/>
        <w:spacing w:after="0"/>
        <w:tabs>
          <w:tab w:leader="none" w:pos="1280" w:val="left"/>
        </w:tabs>
        <w:rPr>
          <w:sz w:val="20"/>
          <w:szCs w:val="20"/>
          <w:color w:val="auto"/>
        </w:rPr>
      </w:pPr>
      <w:r>
        <w:rPr>
          <w:rFonts w:ascii="Arial" w:cs="Arial" w:eastAsia="Arial" w:hAnsi="Arial"/>
          <w:sz w:val="22"/>
          <w:szCs w:val="22"/>
          <w:color w:val="auto"/>
        </w:rPr>
        <w:t>4.1*</w:t>
      </w:r>
      <w:r>
        <w:rPr>
          <w:sz w:val="20"/>
          <w:szCs w:val="20"/>
          <w:color w:val="auto"/>
        </w:rPr>
        <w:tab/>
      </w:r>
      <w:r>
        <w:rPr>
          <w:rFonts w:ascii="Arial" w:cs="Arial" w:eastAsia="Arial" w:hAnsi="Arial"/>
          <w:sz w:val="19"/>
          <w:szCs w:val="19"/>
          <w:color w:val="auto"/>
        </w:rPr>
        <w:t>Micron Technology, Inc. Amended and Restated 2007 Equity Incentive Plan</w:t>
      </w:r>
    </w:p>
    <w:p>
      <w:pPr>
        <w:spacing w:after="0" w:line="44" w:lineRule="exact"/>
        <w:rPr>
          <w:sz w:val="20"/>
          <w:szCs w:val="20"/>
          <w:color w:val="auto"/>
        </w:rPr>
      </w:pPr>
    </w:p>
    <w:p>
      <w:pPr>
        <w:ind w:left="380"/>
        <w:spacing w:after="0"/>
        <w:tabs>
          <w:tab w:leader="none" w:pos="1280" w:val="left"/>
        </w:tabs>
        <w:rPr>
          <w:sz w:val="20"/>
          <w:szCs w:val="20"/>
          <w:color w:val="auto"/>
        </w:rPr>
      </w:pPr>
      <w:r>
        <w:rPr>
          <w:rFonts w:ascii="Arial" w:cs="Arial" w:eastAsia="Arial" w:hAnsi="Arial"/>
          <w:sz w:val="22"/>
          <w:szCs w:val="22"/>
          <w:color w:val="auto"/>
        </w:rPr>
        <w:t>4.2**</w:t>
      </w:r>
      <w:r>
        <w:rPr>
          <w:sz w:val="20"/>
          <w:szCs w:val="20"/>
          <w:color w:val="auto"/>
        </w:rPr>
        <w:tab/>
      </w:r>
      <w:r>
        <w:rPr>
          <w:rFonts w:ascii="Arial" w:cs="Arial" w:eastAsia="Arial" w:hAnsi="Arial"/>
          <w:sz w:val="19"/>
          <w:szCs w:val="19"/>
          <w:color w:val="auto"/>
        </w:rPr>
        <w:t>Micron Technology, Inc. Amended and Restated 2007 Equity Incentive Plan Forms of Agreement</w:t>
      </w:r>
    </w:p>
    <w:p>
      <w:pPr>
        <w:spacing w:after="0" w:line="44" w:lineRule="exact"/>
        <w:rPr>
          <w:sz w:val="20"/>
          <w:szCs w:val="20"/>
          <w:color w:val="auto"/>
        </w:rPr>
      </w:pPr>
    </w:p>
    <w:p>
      <w:pPr>
        <w:ind w:left="380"/>
        <w:spacing w:after="0"/>
        <w:tabs>
          <w:tab w:leader="none" w:pos="128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color w:val="auto"/>
        </w:rPr>
        <w:t>Opinion of Counsel</w:t>
      </w:r>
    </w:p>
    <w:p>
      <w:pPr>
        <w:spacing w:after="0" w:line="44"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22"/>
          <w:szCs w:val="22"/>
          <w:color w:val="auto"/>
        </w:rPr>
        <w:t>23.1</w:t>
      </w:r>
      <w:r>
        <w:rPr>
          <w:sz w:val="20"/>
          <w:szCs w:val="20"/>
          <w:color w:val="auto"/>
        </w:rPr>
        <w:tab/>
      </w:r>
      <w:r>
        <w:rPr>
          <w:rFonts w:ascii="Arial" w:cs="Arial" w:eastAsia="Arial" w:hAnsi="Arial"/>
          <w:sz w:val="19"/>
          <w:szCs w:val="19"/>
          <w:color w:val="auto"/>
        </w:rPr>
        <w:t>Consent of Independent Auditors</w:t>
      </w:r>
    </w:p>
    <w:p>
      <w:pPr>
        <w:spacing w:after="0" w:line="44"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22"/>
          <w:szCs w:val="22"/>
          <w:color w:val="auto"/>
        </w:rPr>
        <w:t>23.2</w:t>
      </w:r>
      <w:r>
        <w:rPr>
          <w:sz w:val="20"/>
          <w:szCs w:val="20"/>
          <w:color w:val="auto"/>
        </w:rPr>
        <w:tab/>
      </w:r>
      <w:r>
        <w:rPr>
          <w:rFonts w:ascii="Arial" w:cs="Arial" w:eastAsia="Arial" w:hAnsi="Arial"/>
          <w:sz w:val="19"/>
          <w:szCs w:val="19"/>
          <w:color w:val="auto"/>
        </w:rPr>
        <w:t>Consent of Counsel (contained in Exhibit 5.1)</w:t>
      </w:r>
    </w:p>
    <w:p>
      <w:pPr>
        <w:spacing w:after="0" w:line="44" w:lineRule="exact"/>
        <w:rPr>
          <w:sz w:val="20"/>
          <w:szCs w:val="20"/>
          <w:color w:val="auto"/>
        </w:rPr>
      </w:pPr>
    </w:p>
    <w:p>
      <w:pPr>
        <w:ind w:left="280"/>
        <w:spacing w:after="0"/>
        <w:tabs>
          <w:tab w:leader="none" w:pos="1280" w:val="left"/>
        </w:tabs>
        <w:rPr>
          <w:sz w:val="20"/>
          <w:szCs w:val="20"/>
          <w:color w:val="auto"/>
        </w:rPr>
      </w:pPr>
      <w:r>
        <w:rPr>
          <w:rFonts w:ascii="Arial" w:cs="Arial" w:eastAsia="Arial" w:hAnsi="Arial"/>
          <w:sz w:val="22"/>
          <w:szCs w:val="22"/>
          <w:color w:val="auto"/>
        </w:rPr>
        <w:t>24.1</w:t>
      </w:r>
      <w:r>
        <w:rPr>
          <w:sz w:val="20"/>
          <w:szCs w:val="20"/>
          <w:color w:val="auto"/>
        </w:rPr>
        <w:tab/>
      </w:r>
      <w:r>
        <w:rPr>
          <w:rFonts w:ascii="Arial" w:cs="Arial" w:eastAsia="Arial" w:hAnsi="Arial"/>
          <w:sz w:val="19"/>
          <w:szCs w:val="19"/>
          <w:color w:val="auto"/>
        </w:rPr>
        <w:t>Power of Attorney (included on signature page)</w:t>
      </w:r>
    </w:p>
    <w:p>
      <w:pPr>
        <w:spacing w:after="0" w:line="24" w:lineRule="exact"/>
        <w:rPr>
          <w:sz w:val="20"/>
          <w:szCs w:val="20"/>
          <w:color w:val="auto"/>
        </w:rPr>
      </w:pPr>
    </w:p>
    <w:p>
      <w:pPr>
        <w:ind w:firstLine="332"/>
        <w:spacing w:after="0" w:line="258" w:lineRule="auto"/>
        <w:tabs>
          <w:tab w:leader="none" w:pos="59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Incorporated by reference to Exhibit 10.92 to the Company's Quarterly Report on Form 10-Q for the quarterly period ended March 5, 2015 filed with the Commission on April 10, 2015.</w:t>
      </w:r>
    </w:p>
    <w:p>
      <w:pPr>
        <w:spacing w:after="0" w:line="1" w:lineRule="exact"/>
        <w:rPr>
          <w:rFonts w:ascii="Arial" w:cs="Arial" w:eastAsia="Arial" w:hAnsi="Arial"/>
          <w:sz w:val="18"/>
          <w:szCs w:val="18"/>
          <w:color w:val="auto"/>
        </w:rPr>
      </w:pPr>
    </w:p>
    <w:p>
      <w:pPr>
        <w:ind w:right="540" w:firstLine="324"/>
        <w:spacing w:after="0" w:line="261" w:lineRule="auto"/>
        <w:rPr>
          <w:rFonts w:ascii="Arial" w:cs="Arial" w:eastAsia="Arial" w:hAnsi="Arial"/>
          <w:sz w:val="18"/>
          <w:szCs w:val="18"/>
          <w:color w:val="auto"/>
        </w:rPr>
      </w:pPr>
      <w:r>
        <w:rPr>
          <w:rFonts w:ascii="Arial" w:cs="Arial" w:eastAsia="Arial" w:hAnsi="Arial"/>
          <w:sz w:val="18"/>
          <w:szCs w:val="18"/>
          <w:color w:val="auto"/>
        </w:rPr>
        <w:t>** Incorporated by reference to Exhibit 4.2 to the Company's Registration Statement on Form S-8 (Registration No. 333-148357) filed with the Commission on December 27, 2007.</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585"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22"/>
          <w:szCs w:val="22"/>
          <w:b w:val="1"/>
          <w:bCs w:val="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April 17, 2015</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Micron Technology, Inc.</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8000 South Federal Way</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Boise, ID 83707-0006</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60" w:lineRule="exact"/>
        <w:rPr>
          <w:sz w:val="20"/>
          <w:szCs w:val="20"/>
          <w:color w:val="auto"/>
        </w:rPr>
      </w:pPr>
    </w:p>
    <w:p>
      <w:pPr>
        <w:ind w:right="20" w:firstLine="324"/>
        <w:spacing w:after="0" w:line="247" w:lineRule="auto"/>
        <w:rPr>
          <w:sz w:val="20"/>
          <w:szCs w:val="20"/>
          <w:color w:val="auto"/>
        </w:rPr>
      </w:pPr>
      <w:r>
        <w:rPr>
          <w:rFonts w:ascii="Arial" w:cs="Arial" w:eastAsia="Arial" w:hAnsi="Arial"/>
          <w:sz w:val="22"/>
          <w:szCs w:val="22"/>
          <w:color w:val="auto"/>
        </w:rPr>
        <w:t>We have examined the Registration Statement on Form S-8 to be filed by you with the Securities and Exchange Commission on or about April 17, 2015 (the "Registration Statement") in connection with the registration under the Securities Act of 1933, as amended, of 30,000,000 shares of your Common Stock, par value $0.10 per share (the "Shares"), reserved for issuance under the Micron Technology, Inc. Amended and Restated 2007 Equity Incentive Plan (the "Plan"). As your legal counsel, we have examined the proceedings taken and are familiar with the proceedings proposed to be taken by you in connection with the sale and issuance of the Shares under the Plan.</w:t>
      </w:r>
    </w:p>
    <w:p>
      <w:pPr>
        <w:spacing w:after="0" w:line="234" w:lineRule="exact"/>
        <w:rPr>
          <w:sz w:val="20"/>
          <w:szCs w:val="20"/>
          <w:color w:val="auto"/>
        </w:rPr>
      </w:pPr>
    </w:p>
    <w:p>
      <w:pPr>
        <w:ind w:right="40" w:firstLine="405"/>
        <w:spacing w:after="0" w:line="297" w:lineRule="auto"/>
        <w:rPr>
          <w:sz w:val="20"/>
          <w:szCs w:val="20"/>
          <w:color w:val="auto"/>
        </w:rPr>
      </w:pPr>
      <w:r>
        <w:rPr>
          <w:rFonts w:ascii="Arial" w:cs="Arial" w:eastAsia="Arial" w:hAnsi="Arial"/>
          <w:sz w:val="19"/>
          <w:szCs w:val="19"/>
          <w:color w:val="auto"/>
        </w:rPr>
        <w:t>It is our opinion that, upon completion of the proceedings to be taken, or contemplated by us as your counsel to be taken by you, prior to issuance of the Shares pursuant to the Registration Statement and the Plan, and upon completion of the proceedings being taken in order to permit such transactions to be carried out in accordance with the securities laws of the various states where required, the Shares, when issued and sold in the manner referred to in the Plan and the agreements which accompany the Plan, and in accordance with the Company's Certificate of Incorporation, will be legally and validly issued, fully paid and nonassessable.</w:t>
      </w:r>
    </w:p>
    <w:p>
      <w:pPr>
        <w:spacing w:after="0" w:line="188" w:lineRule="exact"/>
        <w:rPr>
          <w:sz w:val="20"/>
          <w:szCs w:val="20"/>
          <w:color w:val="auto"/>
        </w:rPr>
      </w:pPr>
    </w:p>
    <w:p>
      <w:pPr>
        <w:ind w:right="340" w:firstLine="324"/>
        <w:spacing w:after="0" w:line="343" w:lineRule="auto"/>
        <w:rPr>
          <w:sz w:val="20"/>
          <w:szCs w:val="20"/>
          <w:color w:val="auto"/>
        </w:rPr>
      </w:pPr>
      <w:r>
        <w:rPr>
          <w:rFonts w:ascii="Arial" w:cs="Arial" w:eastAsia="Arial" w:hAnsi="Arial"/>
          <w:sz w:val="19"/>
          <w:szCs w:val="19"/>
          <w:color w:val="auto"/>
        </w:rPr>
        <w:t>We consent to the use of this opinion as an exhibit to the Registration Statement and further consent to the use of our name wherever appearing in the Registration Statement, including the Prospectus constituting a part thereof, and amendments thereto.</w:t>
      </w:r>
    </w:p>
    <w:p>
      <w:pPr>
        <w:spacing w:after="0" w:line="145"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Very truly yours,</w:t>
      </w:r>
    </w:p>
    <w:p>
      <w:pPr>
        <w:spacing w:after="0" w:line="260" w:lineRule="exact"/>
        <w:rPr>
          <w:sz w:val="20"/>
          <w:szCs w:val="20"/>
          <w:color w:val="auto"/>
        </w:rPr>
      </w:pPr>
    </w:p>
    <w:p>
      <w:pPr>
        <w:ind w:left="3980"/>
        <w:spacing w:after="0"/>
        <w:rPr>
          <w:sz w:val="20"/>
          <w:szCs w:val="20"/>
          <w:color w:val="auto"/>
        </w:rPr>
      </w:pPr>
      <w:r>
        <w:rPr>
          <w:rFonts w:ascii="Arial" w:cs="Arial" w:eastAsia="Arial" w:hAnsi="Arial"/>
          <w:sz w:val="22"/>
          <w:szCs w:val="22"/>
          <w:i w:val="1"/>
          <w:iCs w:val="1"/>
          <w:color w:val="auto"/>
        </w:rPr>
        <w:t>/s/ Wilson Sonsini Goodrich &amp; Rosati</w:t>
      </w:r>
    </w:p>
    <w:p>
      <w:pPr>
        <w:spacing w:after="0" w:line="26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WILSON SONSINI GOODRICH &amp; ROSATI,</w:t>
      </w:r>
    </w:p>
    <w:p>
      <w:pPr>
        <w:spacing w:after="0" w:line="22"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Professional Corporation</w:t>
      </w:r>
    </w:p>
    <w:p>
      <w:pPr>
        <w:sectPr>
          <w:pgSz w:w="11900" w:h="16838" w:orient="portrait"/>
          <w:cols w:equalWidth="0" w:num="1">
            <w:col w:w="11420"/>
          </w:cols>
          <w:pgMar w:left="240" w:top="62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22"/>
          <w:szCs w:val="22"/>
          <w:b w:val="1"/>
          <w:bCs w:val="1"/>
          <w:color w:val="auto"/>
        </w:rPr>
        <w:t>EXHIBIT 23.1</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CONSENT OF INDEPENDENT REGISTERED PUBLIC ACCOUNTING FIRM</w:t>
      </w:r>
    </w:p>
    <w:p>
      <w:pPr>
        <w:spacing w:after="0" w:line="200" w:lineRule="exact"/>
        <w:rPr>
          <w:sz w:val="20"/>
          <w:szCs w:val="20"/>
          <w:color w:val="auto"/>
        </w:rPr>
      </w:pPr>
    </w:p>
    <w:p>
      <w:pPr>
        <w:spacing w:after="0" w:line="317" w:lineRule="exact"/>
        <w:rPr>
          <w:sz w:val="20"/>
          <w:szCs w:val="20"/>
          <w:color w:val="auto"/>
        </w:rPr>
      </w:pPr>
    </w:p>
    <w:p>
      <w:pPr>
        <w:ind w:right="380"/>
        <w:spacing w:after="0" w:line="312" w:lineRule="auto"/>
        <w:rPr>
          <w:sz w:val="20"/>
          <w:szCs w:val="20"/>
          <w:color w:val="auto"/>
        </w:rPr>
      </w:pPr>
      <w:r>
        <w:rPr>
          <w:rFonts w:ascii="Arial" w:cs="Arial" w:eastAsia="Arial" w:hAnsi="Arial"/>
          <w:sz w:val="19"/>
          <w:szCs w:val="19"/>
          <w:color w:val="auto"/>
        </w:rPr>
        <w:t>We hereby consent to the incorporation by reference in this Registration Statement on Form S-8 of our report dated October 27, 2014 relating to the financial statements, financial statement schedules and the effectiveness of internal control over financial reporting, which appears in Micron Technology, Inc.'s Annual Report on Form 10-K for the year ended August 28, 2014.</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/s/PricewaterhouseCoopers LLP</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San Jose, 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April 17, 2015</w:t>
      </w:r>
    </w:p>
    <w:sectPr>
      <w:pgSz w:w="11900" w:h="16838" w:orient="portrait"/>
      <w:cols w:equalWidth="0" w:num="1">
        <w:col w:w="11420"/>
      </w:cols>
      <w:pgMar w:left="240" w:top="6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lowerLetter"/>
      <w:start w:val="1"/>
    </w:lvl>
    <w:lvl w:ilvl="1">
      <w:lvlJc w:val="left"/>
      <w:lvlText w:val="(%2)"/>
      <w:numFmt w:val="decimal"/>
      <w:start w:val="2"/>
    </w:lvl>
  </w:abstractNum>
  <w:abstractNum w:abstractNumId="6">
    <w:nsid w:val="79E2A9E3"/>
    <w:multiLevelType w:val="hybridMultilevel"/>
    <w:lvl w:ilvl="0">
      <w:lvlJc w:val="left"/>
      <w:lvlText w:val="(%1)"/>
      <w:numFmt w:val="lowerLetter"/>
      <w:start w:val="2"/>
    </w:lvl>
    <w:lvl w:ilvl="1">
      <w:lvlJc w:val="left"/>
      <w:lvlText w:val="%2"/>
      <w:numFmt w:val="decimal"/>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2019-12-05T21:51:29Z</dcterms:created>
  <dcterms:modified xsi:type="dcterms:W3CDTF">2019-12-05T21:51:29Z</dcterms:modified>
</cp:coreProperties>
</file>