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4025900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23495</wp:posOffset>
            </wp:positionV>
            <wp:extent cx="6990715" cy="564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64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7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4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Acquisition resulted from the vesting of an equal number of Restricted Stock Units.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Withholding of shares of common stock to satisfy tax withholding obligations in connection with the vesting of a previously granted award.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3. Restricted stock units award vested 25% on January 19, 2023, and 6.25% of the total restricted stock units award vested, or will vest, quarterly thereafter.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07/19/2023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-3484880</wp:posOffset>
            </wp:positionV>
            <wp:extent cx="29210" cy="2232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3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400" w:firstLine="5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2023-07-19T16:44:41Z</dcterms:created>
  <dcterms:modified xsi:type="dcterms:W3CDTF">2023-07-19T16:44:41Z</dcterms:modified>
</cp:coreProperties>
</file>