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1, 2015</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40005</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6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42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Delaware</w:t>
            </w:r>
          </w:p>
        </w:tc>
        <w:tc>
          <w:tcPr>
            <w:tcW w:w="3300" w:type="dxa"/>
            <w:vAlign w:val="bottom"/>
          </w:tcPr>
          <w:p>
            <w:pPr>
              <w:jc w:val="right"/>
              <w:ind w:right="1310"/>
              <w:spacing w:after="0"/>
              <w:rPr>
                <w:sz w:val="20"/>
                <w:szCs w:val="20"/>
                <w:color w:val="auto"/>
              </w:rPr>
            </w:pPr>
            <w:r>
              <w:rPr>
                <w:rFonts w:ascii="Arial" w:cs="Arial" w:eastAsia="Arial" w:hAnsi="Arial"/>
                <w:sz w:val="18"/>
                <w:szCs w:val="18"/>
                <w:b w:val="1"/>
                <w:bCs w:val="1"/>
                <w:color w:val="auto"/>
              </w:rPr>
              <w:t>1-10658</w:t>
            </w:r>
          </w:p>
        </w:tc>
        <w:tc>
          <w:tcPr>
            <w:tcW w:w="3720" w:type="dxa"/>
            <w:vAlign w:val="bottom"/>
          </w:tcPr>
          <w:p>
            <w:pPr>
              <w:jc w:val="right"/>
              <w:ind w:right="125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jc w:val="center"/>
              <w:ind w:right="50"/>
              <w:spacing w:after="0"/>
              <w:rPr>
                <w:sz w:val="20"/>
                <w:szCs w:val="20"/>
                <w:color w:val="auto"/>
              </w:rPr>
            </w:pPr>
            <w:r>
              <w:rPr>
                <w:rFonts w:ascii="Arial" w:cs="Arial" w:eastAsia="Arial" w:hAnsi="Arial"/>
                <w:sz w:val="18"/>
                <w:szCs w:val="18"/>
                <w:color w:val="auto"/>
                <w:w w:val="93"/>
              </w:rPr>
              <w:t>(State or other jurisdiction of incorporation)</w:t>
            </w:r>
          </w:p>
        </w:tc>
        <w:tc>
          <w:tcPr>
            <w:tcW w:w="330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3720" w:type="dxa"/>
            <w:vAlign w:val="bottom"/>
          </w:tcPr>
          <w:p>
            <w:pPr>
              <w:jc w:val="right"/>
              <w:ind w:right="330"/>
              <w:spacing w:after="0"/>
              <w:rPr>
                <w:sz w:val="20"/>
                <w:szCs w:val="20"/>
                <w:color w:val="auto"/>
              </w:rPr>
            </w:pPr>
            <w:r>
              <w:rPr>
                <w:rFonts w:ascii="Arial" w:cs="Arial" w:eastAsia="Arial" w:hAnsi="Arial"/>
                <w:sz w:val="18"/>
                <w:szCs w:val="18"/>
                <w:color w:val="auto"/>
              </w:rPr>
              <w:t>(I.R.S. Employer Identification No.)</w:t>
            </w:r>
          </w:p>
        </w:tc>
      </w:tr>
    </w:tbl>
    <w:p>
      <w:pPr>
        <w:spacing w:after="0" w:line="387" w:lineRule="exact"/>
        <w:rPr>
          <w:sz w:val="24"/>
          <w:szCs w:val="24"/>
          <w:color w:val="auto"/>
        </w:rPr>
      </w:pPr>
    </w:p>
    <w:p>
      <w:pPr>
        <w:jc w:val="center"/>
        <w:ind w:left="260"/>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left="26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34290</wp:posOffset>
            </wp:positionV>
            <wp:extent cx="2564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4"/>
          <w:szCs w:val="24"/>
          <w:color w:val="auto"/>
        </w:rPr>
      </w:pPr>
    </w:p>
    <w:p>
      <w:pPr>
        <w:jc w:val="center"/>
        <w:ind w:left="26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0" w:lineRule="exact"/>
        <w:rPr>
          <w:sz w:val="24"/>
          <w:szCs w:val="24"/>
          <w:color w:val="auto"/>
        </w:rPr>
      </w:pPr>
    </w:p>
    <w:p>
      <w:pPr>
        <w:spacing w:after="0" w:line="214"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2131695</wp:posOffset>
            </wp:positionH>
            <wp:positionV relativeFrom="paragraph">
              <wp:posOffset>34290</wp:posOffset>
            </wp:positionV>
            <wp:extent cx="32848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7"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5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452120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469265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Definitive Material Agreement</w:t>
      </w:r>
    </w:p>
    <w:p>
      <w:pPr>
        <w:spacing w:after="0" w:line="2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September 1, 2015, Micron Technology, Inc. (“MTI”), Micron Semiconductor Asia Pte. Ltd., a wholly owned subsidiary of MTI (“MSA” and, together with MTI, collectively, “Micron”), and Intel Corporation (“Intel”) entered into a (1) supply agreement (the “Amended and Restated Supply Agreement”) that amends and restates the existing supply agreement, dated as of January 31, 2014, among MTI, MSA and Intel (the “Existing Supply Agreement”), (2) new supply agreement (the “Supplemental Supply Agreement”) that supplements the supply under the Amended and Restated Supply Agreement, and (3) new supply agreement (the “Wafer Supply Agreement” and, together with the Amended and Restated Supply Agreement and the Supplemental Supply Agreement, the “Supply Agreements”). Each of the Supply Agreements provide that, during their respective terms, Micron will supply to Intel, and Intel will be required to purchase, a minimum quantity of certain 3D NAND flash memory products that are manufactured using particular process technology nodes jointly developed by Micron and Intel.</w:t>
      </w:r>
    </w:p>
    <w:p>
      <w:pPr>
        <w:spacing w:after="0" w:line="192"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Under the Amended and Restated Supply Agreement, the price for 3D NAND flash memory products sold to Intel is determined on a cost-plus basis, where cost is determined in a manner generally consistent with the Existing Supply Agreement. The term of the Amended and Restated Supply Agreement is for three years following the date when 3D NAND flash memory product is qualified to be manufactured at Micron’s Singapore facility.</w:t>
      </w:r>
    </w:p>
    <w:p>
      <w:pPr>
        <w:spacing w:after="0" w:line="166" w:lineRule="exact"/>
        <w:rPr>
          <w:sz w:val="20"/>
          <w:szCs w:val="20"/>
          <w:color w:val="auto"/>
        </w:rPr>
      </w:pPr>
    </w:p>
    <w:p>
      <w:pPr>
        <w:jc w:val="both"/>
        <w:ind w:right="580" w:firstLine="324"/>
        <w:spacing w:after="0" w:line="286" w:lineRule="auto"/>
        <w:rPr>
          <w:sz w:val="20"/>
          <w:szCs w:val="20"/>
          <w:color w:val="auto"/>
        </w:rPr>
      </w:pPr>
      <w:r>
        <w:rPr>
          <w:rFonts w:ascii="Arial" w:cs="Arial" w:eastAsia="Arial" w:hAnsi="Arial"/>
          <w:sz w:val="17"/>
          <w:szCs w:val="17"/>
          <w:color w:val="auto"/>
        </w:rPr>
        <w:t>Under the Supplemental Supply Agreement, the price for 3D NAND flash memory products sold to Intel is determined on a cost-plus basis. The Supplemental Supply Agreement provides that Micron will supply Intel with a specified amount of 3D NAND flash memory products for three years following the date when 3D NAND flash memory product is qualified to be manufactured at Micron’s Singapore facility.</w:t>
      </w:r>
    </w:p>
    <w:p>
      <w:pPr>
        <w:spacing w:after="0" w:line="166"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Under the Wafer Supply Agreement, the price for 3D NAND flash memory products sold to Intel is determined on a cost-plus basis. The Wafer Supply Agreement provides that Micron will supply Intel with a specified amount of 3D NAND flash memory products each week for a period of one year.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party has the right to terminate any of the Supply Agreements upon certain material breaches by the other party.</w:t>
      </w:r>
    </w:p>
    <w:p>
      <w:pPr>
        <w:sectPr>
          <w:pgSz w:w="11900" w:h="16838" w:orient="portrait"/>
          <w:cols w:equalWidth="0" w:num="1">
            <w:col w:w="11340"/>
          </w:cols>
          <w:pgMar w:left="240" w:top="742" w:right="31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960" w:type="dxa"/>
            <w:vAlign w:val="bottom"/>
            <w:gridSpan w:val="2"/>
          </w:tcPr>
          <w:p>
            <w:pPr>
              <w:ind w:left="1680"/>
              <w:spacing w:after="0"/>
              <w:rPr>
                <w:sz w:val="20"/>
                <w:szCs w:val="20"/>
                <w:color w:val="auto"/>
              </w:rPr>
            </w:pPr>
            <w:r>
              <w:rPr>
                <w:rFonts w:ascii="Arial" w:cs="Arial" w:eastAsia="Arial" w:hAnsi="Arial"/>
                <w:sz w:val="18"/>
                <w:szCs w:val="18"/>
                <w:b w:val="1"/>
                <w:bCs w:val="1"/>
                <w:color w:val="auto"/>
              </w:rPr>
              <w:t>MICRON TECHNOLOGY, INC.</w:t>
            </w:r>
          </w:p>
        </w:tc>
      </w:tr>
      <w:tr>
        <w:trPr>
          <w:trHeight w:val="86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220"/>
              <w:spacing w:after="0"/>
              <w:rPr>
                <w:sz w:val="20"/>
                <w:szCs w:val="20"/>
                <w:color w:val="auto"/>
              </w:rPr>
            </w:pPr>
            <w:r>
              <w:rPr>
                <w:rFonts w:ascii="Arial" w:cs="Arial" w:eastAsia="Arial" w:hAnsi="Arial"/>
                <w:sz w:val="18"/>
                <w:szCs w:val="18"/>
                <w:color w:val="auto"/>
              </w:rPr>
              <w:t>September 8, 2015</w:t>
            </w:r>
          </w:p>
        </w:tc>
        <w:tc>
          <w:tcPr>
            <w:tcW w:w="2620" w:type="dxa"/>
            <w:vAlign w:val="bottom"/>
          </w:tcPr>
          <w:p>
            <w:pPr>
              <w:ind w:left="16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Ernie Maddock</w:t>
            </w:r>
          </w:p>
        </w:tc>
      </w:tr>
      <w:tr>
        <w:trPr>
          <w:trHeight w:val="27"/>
        </w:trPr>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Name:</w:t>
            </w:r>
          </w:p>
        </w:tc>
        <w:tc>
          <w:tcPr>
            <w:tcW w:w="4340" w:type="dxa"/>
            <w:vAlign w:val="bottom"/>
          </w:tcPr>
          <w:p>
            <w:pPr>
              <w:ind w:left="20"/>
              <w:spacing w:after="0"/>
              <w:rPr>
                <w:sz w:val="20"/>
                <w:szCs w:val="20"/>
                <w:color w:val="auto"/>
              </w:rPr>
            </w:pPr>
            <w:r>
              <w:rPr>
                <w:rFonts w:ascii="Arial" w:cs="Arial" w:eastAsia="Arial" w:hAnsi="Arial"/>
                <w:sz w:val="18"/>
                <w:szCs w:val="18"/>
                <w:color w:val="auto"/>
              </w:rPr>
              <w:t>Ernie Maddock</w:t>
            </w:r>
          </w:p>
        </w:tc>
      </w:tr>
      <w:tr>
        <w:trPr>
          <w:trHeight w:val="256"/>
        </w:trPr>
        <w:tc>
          <w:tcPr>
            <w:tcW w:w="6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of Finance</w:t>
            </w:r>
          </w:p>
        </w:tc>
      </w:tr>
    </w:tbl>
    <w:p>
      <w:pPr>
        <w:spacing w:after="0" w:line="1" w:lineRule="exact"/>
        <w:rPr>
          <w:sz w:val="20"/>
          <w:szCs w:val="20"/>
          <w:color w:val="auto"/>
        </w:rPr>
      </w:pPr>
    </w:p>
    <w:sectPr>
      <w:pgSz w:w="11900" w:h="16838" w:orient="portrait"/>
      <w:cols w:equalWidth="0" w:num="1">
        <w:col w:w="11140"/>
      </w:cols>
      <w:pgMar w:left="240" w:top="58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2019-12-05T21:16:32Z</dcterms:created>
  <dcterms:modified xsi:type="dcterms:W3CDTF">2019-12-05T21:16:32Z</dcterms:modified>
</cp:coreProperties>
</file>