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20,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December 20, 2007, Micron Technology, Inc. announced its financial results for the quarter ended November 29, 2007.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is pursuing a number of initiatives beginning in the fourth quarter of fiscal 2007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w:t>
      </w:r>
    </w:p>
    <w:p>
      <w:pPr>
        <w:spacing w:after="0" w:line="19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first quarter of fiscal 2008 and the fourth quarter of fiscal 2007, the Company recorded restructure charges of $13 million and $19 million, respectively, consisting primarily of employee severance and related costs resulting from a reduction in the Company’s workforce. In addition, in the first quarter of fiscal 2008, the Company recorded a charge to write down to their estimated fair values certain facilities expected to be sold. The Company anticipates that it will incur some level of restructure charges through the end of fiscal 2008 as it continues to implement these initiatives, but is currently unable to estimate the aggregate amount of the charges.</w:t>
      </w:r>
    </w:p>
    <w:p>
      <w:pPr>
        <w:spacing w:after="0" w:line="21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This Current Report on Form 8-K contains forward-looking statements regarding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20, 2007</w:t>
            </w:r>
          </w:p>
        </w:tc>
      </w:tr>
      <w:tr>
        <w:trPr>
          <w:trHeight w:val="1725"/>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60" w:type="dxa"/>
            <w:vAlign w:val="bottom"/>
          </w:tcPr>
          <w:p>
            <w:pPr>
              <w:spacing w:after="0"/>
              <w:rPr>
                <w:sz w:val="20"/>
                <w:szCs w:val="20"/>
                <w:color w:val="auto"/>
              </w:rPr>
            </w:pPr>
            <w:r>
              <w:rPr>
                <w:rFonts w:ascii="Arial" w:cs="Arial" w:eastAsia="Arial" w:hAnsi="Arial"/>
                <w:sz w:val="18"/>
                <w:szCs w:val="18"/>
                <w:color w:val="auto"/>
              </w:rPr>
              <w:t>Date:  December 20, 2007</w:t>
            </w:r>
          </w:p>
        </w:tc>
        <w:tc>
          <w:tcPr>
            <w:tcW w:w="3320" w:type="dxa"/>
            <w:vAlign w:val="bottom"/>
          </w:tcPr>
          <w:p>
            <w:pPr>
              <w:ind w:left="24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Roderic W. Lewis</w:t>
            </w:r>
          </w:p>
        </w:tc>
      </w:tr>
      <w:tr>
        <w:trPr>
          <w:trHeight w:val="202"/>
        </w:trPr>
        <w:tc>
          <w:tcPr>
            <w:tcW w:w="4460" w:type="dxa"/>
            <w:vAlign w:val="bottom"/>
          </w:tcPr>
          <w:p>
            <w:pPr>
              <w:spacing w:after="0"/>
              <w:rPr>
                <w:sz w:val="17"/>
                <w:szCs w:val="17"/>
                <w:color w:val="auto"/>
              </w:rPr>
            </w:pPr>
          </w:p>
        </w:tc>
        <w:tc>
          <w:tcPr>
            <w:tcW w:w="332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Roderic W. Lewic</w:t>
            </w:r>
          </w:p>
        </w:tc>
      </w:tr>
      <w:tr>
        <w:trPr>
          <w:trHeight w:val="216"/>
        </w:trPr>
        <w:tc>
          <w:tcPr>
            <w:tcW w:w="4460" w:type="dxa"/>
            <w:vAlign w:val="bottom"/>
          </w:tcPr>
          <w:p>
            <w:pPr>
              <w:spacing w:after="0"/>
              <w:rPr>
                <w:sz w:val="18"/>
                <w:szCs w:val="18"/>
                <w:color w:val="auto"/>
              </w:rPr>
            </w:pPr>
          </w:p>
        </w:tc>
        <w:tc>
          <w:tcPr>
            <w:tcW w:w="3320" w:type="dxa"/>
            <w:vAlign w:val="bottom"/>
          </w:tcPr>
          <w:p>
            <w:pPr>
              <w:ind w:left="24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w w:val="93"/>
              </w:rPr>
              <w:t>Vice President of Legal Affairs, General Counsel</w:t>
            </w:r>
          </w:p>
        </w:tc>
      </w:tr>
      <w:tr>
        <w:trPr>
          <w:trHeight w:val="230"/>
        </w:trPr>
        <w:tc>
          <w:tcPr>
            <w:tcW w:w="4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and Corporate Secretary</w:t>
            </w:r>
          </w:p>
        </w:tc>
      </w:tr>
      <w:tr>
        <w:trPr>
          <w:trHeight w:val="1334"/>
        </w:trPr>
        <w:tc>
          <w:tcPr>
            <w:tcW w:w="44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DECEMBER 20,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20, 2007</w:t>
      </w:r>
    </w:p>
    <w:p>
      <w:pPr>
        <w:sectPr>
          <w:pgSz w:w="11900" w:h="16838" w:orient="portrait"/>
          <w:cols w:equalWidth="0" w:num="1">
            <w:col w:w="9879"/>
          </w:cols>
          <w:pgMar w:left="58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3080" w:type="dxa"/>
            <w:vAlign w:val="bottom"/>
          </w:tcPr>
          <w:p>
            <w:pPr>
              <w:spacing w:after="0"/>
              <w:rPr>
                <w:sz w:val="22"/>
                <w:szCs w:val="22"/>
                <w:color w:val="auto"/>
              </w:rPr>
            </w:pPr>
          </w:p>
        </w:tc>
      </w:tr>
      <w:tr>
        <w:trPr>
          <w:trHeight w:val="452"/>
        </w:trPr>
        <w:tc>
          <w:tcPr>
            <w:tcW w:w="1480" w:type="dxa"/>
            <w:vAlign w:val="bottom"/>
          </w:tcPr>
          <w:p>
            <w:pPr>
              <w:spacing w:after="0"/>
              <w:rPr>
                <w:sz w:val="20"/>
                <w:szCs w:val="20"/>
                <w:color w:val="auto"/>
              </w:rPr>
            </w:pPr>
            <w:r>
              <w:rPr>
                <w:rFonts w:ascii="Arial" w:cs="Arial" w:eastAsia="Arial" w:hAnsi="Arial"/>
                <w:sz w:val="20"/>
                <w:szCs w:val="20"/>
                <w:color w:val="auto"/>
              </w:rPr>
              <w:t>Contacts:</w:t>
            </w:r>
          </w:p>
        </w:tc>
        <w:tc>
          <w:tcPr>
            <w:tcW w:w="3640" w:type="dxa"/>
            <w:vAlign w:val="bottom"/>
          </w:tcPr>
          <w:p>
            <w:pPr>
              <w:ind w:left="720"/>
              <w:spacing w:after="0"/>
              <w:rPr>
                <w:sz w:val="20"/>
                <w:szCs w:val="20"/>
                <w:color w:val="auto"/>
              </w:rPr>
            </w:pPr>
            <w:r>
              <w:rPr>
                <w:rFonts w:ascii="Arial" w:cs="Arial" w:eastAsia="Arial" w:hAnsi="Arial"/>
                <w:sz w:val="20"/>
                <w:szCs w:val="20"/>
                <w:color w:val="auto"/>
              </w:rPr>
              <w:t>Kipp A. Bedard</w:t>
            </w:r>
          </w:p>
        </w:tc>
        <w:tc>
          <w:tcPr>
            <w:tcW w:w="3080" w:type="dxa"/>
            <w:vAlign w:val="bottom"/>
          </w:tcPr>
          <w:p>
            <w:pPr>
              <w:ind w:left="1120"/>
              <w:spacing w:after="0"/>
              <w:rPr>
                <w:sz w:val="20"/>
                <w:szCs w:val="20"/>
                <w:color w:val="auto"/>
              </w:rPr>
            </w:pPr>
            <w:r>
              <w:rPr>
                <w:rFonts w:ascii="Arial" w:cs="Arial" w:eastAsia="Arial" w:hAnsi="Arial"/>
                <w:sz w:val="20"/>
                <w:szCs w:val="20"/>
                <w:color w:val="auto"/>
              </w:rPr>
              <w:t>Daniel Francisco</w:t>
            </w:r>
          </w:p>
        </w:tc>
      </w:tr>
      <w:tr>
        <w:trPr>
          <w:trHeight w:val="230"/>
        </w:trPr>
        <w:tc>
          <w:tcPr>
            <w:tcW w:w="1480" w:type="dxa"/>
            <w:vAlign w:val="bottom"/>
          </w:tcPr>
          <w:p>
            <w:pPr>
              <w:spacing w:after="0"/>
              <w:rPr>
                <w:sz w:val="19"/>
                <w:szCs w:val="19"/>
                <w:color w:val="auto"/>
              </w:rPr>
            </w:pPr>
          </w:p>
        </w:tc>
        <w:tc>
          <w:tcPr>
            <w:tcW w:w="3640" w:type="dxa"/>
            <w:vAlign w:val="bottom"/>
          </w:tcPr>
          <w:p>
            <w:pPr>
              <w:ind w:left="720"/>
              <w:spacing w:after="0"/>
              <w:rPr>
                <w:sz w:val="20"/>
                <w:szCs w:val="20"/>
                <w:color w:val="auto"/>
              </w:rPr>
            </w:pPr>
            <w:r>
              <w:rPr>
                <w:rFonts w:ascii="Arial" w:cs="Arial" w:eastAsia="Arial" w:hAnsi="Arial"/>
                <w:sz w:val="20"/>
                <w:szCs w:val="20"/>
                <w:color w:val="auto"/>
              </w:rPr>
              <w:t>Investor Relations</w:t>
            </w:r>
          </w:p>
        </w:tc>
        <w:tc>
          <w:tcPr>
            <w:tcW w:w="3080" w:type="dxa"/>
            <w:vAlign w:val="bottom"/>
          </w:tcPr>
          <w:p>
            <w:pPr>
              <w:ind w:left="1120"/>
              <w:spacing w:after="0"/>
              <w:rPr>
                <w:sz w:val="20"/>
                <w:szCs w:val="20"/>
                <w:color w:val="auto"/>
              </w:rPr>
            </w:pPr>
            <w:r>
              <w:rPr>
                <w:rFonts w:ascii="Arial" w:cs="Arial" w:eastAsia="Arial" w:hAnsi="Arial"/>
                <w:sz w:val="20"/>
                <w:szCs w:val="20"/>
                <w:color w:val="auto"/>
              </w:rPr>
              <w:t>Media Relations</w:t>
            </w:r>
          </w:p>
        </w:tc>
      </w:tr>
      <w:tr>
        <w:trPr>
          <w:trHeight w:val="230"/>
        </w:trPr>
        <w:tc>
          <w:tcPr>
            <w:tcW w:w="1480" w:type="dxa"/>
            <w:vAlign w:val="bottom"/>
          </w:tcPr>
          <w:p>
            <w:pPr>
              <w:spacing w:after="0"/>
              <w:rPr>
                <w:sz w:val="19"/>
                <w:szCs w:val="19"/>
                <w:color w:val="auto"/>
              </w:rPr>
            </w:pPr>
          </w:p>
        </w:tc>
        <w:tc>
          <w:tcPr>
            <w:tcW w:w="3640" w:type="dxa"/>
            <w:vAlign w:val="bottom"/>
          </w:tcPr>
          <w:p>
            <w:pPr>
              <w:ind w:left="720"/>
              <w:spacing w:after="0"/>
              <w:rPr>
                <w:sz w:val="20"/>
                <w:szCs w:val="20"/>
                <w:color w:val="auto"/>
              </w:rPr>
            </w:pPr>
            <w:r>
              <w:rPr>
                <w:rFonts w:ascii="Arial" w:cs="Arial" w:eastAsia="Arial" w:hAnsi="Arial"/>
                <w:sz w:val="20"/>
                <w:szCs w:val="20"/>
                <w:color w:val="auto"/>
              </w:rPr>
              <w:t>kbedard@micron.com</w:t>
            </w:r>
          </w:p>
        </w:tc>
        <w:tc>
          <w:tcPr>
            <w:tcW w:w="3080" w:type="dxa"/>
            <w:vAlign w:val="bottom"/>
          </w:tcPr>
          <w:p>
            <w:pPr>
              <w:ind w:left="1120"/>
              <w:spacing w:after="0"/>
              <w:rPr>
                <w:sz w:val="20"/>
                <w:szCs w:val="20"/>
                <w:color w:val="auto"/>
              </w:rPr>
            </w:pPr>
            <w:r>
              <w:rPr>
                <w:rFonts w:ascii="Arial" w:cs="Arial" w:eastAsia="Arial" w:hAnsi="Arial"/>
                <w:sz w:val="20"/>
                <w:szCs w:val="20"/>
                <w:color w:val="auto"/>
                <w:w w:val="90"/>
              </w:rPr>
              <w:t>dfrancisco@micron.com</w:t>
            </w:r>
          </w:p>
        </w:tc>
      </w:tr>
      <w:tr>
        <w:trPr>
          <w:trHeight w:val="250"/>
        </w:trPr>
        <w:tc>
          <w:tcPr>
            <w:tcW w:w="1480" w:type="dxa"/>
            <w:vAlign w:val="bottom"/>
          </w:tcPr>
          <w:p>
            <w:pPr>
              <w:spacing w:after="0"/>
              <w:rPr>
                <w:sz w:val="21"/>
                <w:szCs w:val="21"/>
                <w:color w:val="auto"/>
              </w:rPr>
            </w:pPr>
          </w:p>
        </w:tc>
        <w:tc>
          <w:tcPr>
            <w:tcW w:w="3640" w:type="dxa"/>
            <w:vAlign w:val="bottom"/>
          </w:tcPr>
          <w:p>
            <w:pPr>
              <w:ind w:left="720"/>
              <w:spacing w:after="0"/>
              <w:rPr>
                <w:sz w:val="20"/>
                <w:szCs w:val="20"/>
                <w:color w:val="auto"/>
              </w:rPr>
            </w:pPr>
            <w:r>
              <w:rPr>
                <w:rFonts w:ascii="Arial" w:cs="Arial" w:eastAsia="Arial" w:hAnsi="Arial"/>
                <w:sz w:val="20"/>
                <w:szCs w:val="20"/>
                <w:color w:val="auto"/>
              </w:rPr>
              <w:t>(208) 368-4400</w:t>
            </w:r>
          </w:p>
        </w:tc>
        <w:tc>
          <w:tcPr>
            <w:tcW w:w="3080" w:type="dxa"/>
            <w:vAlign w:val="bottom"/>
          </w:tcPr>
          <w:p>
            <w:pPr>
              <w:ind w:left="1120"/>
              <w:spacing w:after="0"/>
              <w:rPr>
                <w:sz w:val="20"/>
                <w:szCs w:val="20"/>
                <w:color w:val="auto"/>
              </w:rPr>
            </w:pPr>
            <w:r>
              <w:rPr>
                <w:rFonts w:ascii="Arial" w:cs="Arial" w:eastAsia="Arial" w:hAnsi="Arial"/>
                <w:sz w:val="20"/>
                <w:szCs w:val="20"/>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MICRON TECHNOLOGY, INC., REPORTS RESULTS FOR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QUARTER OF FISCAL 2008</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BOISE, Idaho</w:t>
      </w:r>
      <w:r>
        <w:rPr>
          <w:rFonts w:ascii="Arial" w:cs="Arial" w:eastAsia="Arial" w:hAnsi="Arial"/>
          <w:sz w:val="20"/>
          <w:szCs w:val="20"/>
          <w:color w:val="auto"/>
        </w:rPr>
        <w:t>, December 20, 2007 – Micron Technology, Inc., (NYSE: MU) today announced results of operations for the company’s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fiscal 2008, which ended November 29, 2007. For the first quarter of fiscal 2008, the company incurred a net loss of $262 million, or $0.34 per diluted share, on net sales of $1.5 billion. These results compare to a net loss of $158 million, or $0.21 per diluted share, on net sales of $1.4 billion for the fourth quarter of fiscal 2007.</w:t>
      </w:r>
    </w:p>
    <w:p>
      <w:pPr>
        <w:spacing w:after="0" w:line="217" w:lineRule="exact"/>
        <w:rPr>
          <w:sz w:val="20"/>
          <w:szCs w:val="20"/>
          <w:color w:val="auto"/>
        </w:rPr>
      </w:pPr>
    </w:p>
    <w:p>
      <w:pPr>
        <w:ind w:right="20" w:firstLine="324"/>
        <w:spacing w:after="0" w:line="256" w:lineRule="auto"/>
        <w:rPr>
          <w:sz w:val="20"/>
          <w:szCs w:val="20"/>
          <w:color w:val="auto"/>
        </w:rPr>
      </w:pPr>
      <w:r>
        <w:rPr>
          <w:rFonts w:ascii="Arial" w:cs="Arial" w:eastAsia="Arial" w:hAnsi="Arial"/>
          <w:sz w:val="19"/>
          <w:szCs w:val="19"/>
          <w:color w:val="auto"/>
        </w:rPr>
        <w:t>The company’s growth in revenue in the first quarter compared to the previous quarter was primarily driven by significant sales volume increases in memory products (for both DRAM and NAND Flash). Sales of CMOS image sensors products in the first quarter of fiscal 2008 also increased approximately 15 percent compared to the previous quarter as a result of a higher level of unit sales. Megabit sales volume for DRAM and NAND Flash memory products increased approximately 25 percent and 60 percent, respectively, comparing the first quarter to the previous quarter, primarily as a result of higher levels of production and strong demand. However, the company’s first quarter results continued to be significantly affected by industry supply/demand dynamics. Average selling prices decreased approximately 20 percent for DRAM and 30 percent for NAND Flash memory products compared to the already low prices realized in the fourth quarter of fiscal 2007. Primarily due to prevailing market conditions, the company recorded a $62 million write-down of its finished goods and work in process inventories for memory products to reduce their carrying values to their estimated market values. This write-down is included in the company’s reported cost of goods sold for the first quarter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right="20" w:firstLine="324"/>
        <w:spacing w:after="0" w:line="259" w:lineRule="auto"/>
        <w:rPr>
          <w:sz w:val="20"/>
          <w:szCs w:val="20"/>
          <w:color w:val="auto"/>
        </w:rPr>
      </w:pPr>
      <w:r>
        <w:rPr>
          <w:rFonts w:ascii="Arial" w:cs="Arial" w:eastAsia="Arial" w:hAnsi="Arial"/>
          <w:sz w:val="19"/>
          <w:szCs w:val="19"/>
          <w:color w:val="auto"/>
        </w:rPr>
        <w:t>Despite the write-down, the company achieved a decrease in cost of goods sold per megabit in the first quarter of fiscal 2008 of approximately 10 percent and 15 percent for DRAM and NAND Flash memory products, respectively. Higher levels of production and lower manufacturing costs in the first quarter of fiscal 2008 compared to the fourth quarter of fiscal 2007 were a result of the company’s acceleration of industry-leading process technology, transitions to higher density memory products and significant improvements and growth in the company’s 300mm operations. The company continues to ramp production of 300mm NAND wafers at its IM Flash joint venture fab in Lehi, Utah and 300mm DRAM wafers at its TECH Semiconductor operation in Singapore.</w:t>
      </w:r>
    </w:p>
    <w:p>
      <w:pPr>
        <w:spacing w:after="0" w:line="206" w:lineRule="exact"/>
        <w:rPr>
          <w:sz w:val="20"/>
          <w:szCs w:val="20"/>
          <w:color w:val="auto"/>
        </w:rPr>
      </w:pPr>
    </w:p>
    <w:p>
      <w:pPr>
        <w:ind w:right="20" w:firstLine="324"/>
        <w:spacing w:after="0" w:line="263" w:lineRule="auto"/>
        <w:rPr>
          <w:sz w:val="20"/>
          <w:szCs w:val="20"/>
          <w:color w:val="auto"/>
        </w:rPr>
      </w:pPr>
      <w:r>
        <w:rPr>
          <w:rFonts w:ascii="Arial" w:cs="Arial" w:eastAsia="Arial" w:hAnsi="Arial"/>
          <w:sz w:val="19"/>
          <w:szCs w:val="19"/>
          <w:color w:val="auto"/>
        </w:rPr>
        <w:t>The company ended the first quarter with more than $2 billion in cash and investments. The company had capital expenditures of approximately $885 million during the first quarter and received $150 million in cash contributions from Intel Corporation, a partner in the IM Flash joint ventures. The company estimates capital expenditures aggregating between $2.5 billion and $3 billion for the 2008 fiscal year, of which approximately $500 million is estimated to be funded by contributions from joint venture partners.</w:t>
      </w:r>
    </w:p>
    <w:p>
      <w:pPr>
        <w:spacing w:after="0" w:line="204"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auto"/>
        </w:rPr>
        <w:t>The company will host a conference call today at 2:30 p.m. MST to discuss its financial results. The call, audio and slides will be available online at www.micron.com. A webcast replay will be available on the company’s Web site until December 20, 2008. A taped audio replay of the conference call will also be available at (706) 645-9291 (conference number: 27073959) beginning at 5:30 p.m. MST today and continuing until 5:30 p.m. MST on December 27, 2007.</w:t>
      </w:r>
    </w:p>
    <w:p>
      <w:pPr>
        <w:spacing w:after="0" w:line="21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SUMMARY</w:t>
      </w:r>
    </w:p>
    <w:p>
      <w:pPr>
        <w:jc w:val="center"/>
        <w:spacing w:after="0"/>
        <w:rPr>
          <w:sz w:val="20"/>
          <w:szCs w:val="20"/>
          <w:color w:val="auto"/>
        </w:rPr>
      </w:pPr>
      <w:r>
        <w:rPr>
          <w:rFonts w:ascii="Arial" w:cs="Arial" w:eastAsia="Arial" w:hAnsi="Arial"/>
          <w:sz w:val="20"/>
          <w:szCs w:val="20"/>
          <w:b w:val="1"/>
          <w:bCs w:val="1"/>
          <w:color w:val="auto"/>
        </w:rPr>
        <w:t>(Amounts 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1"/>
              </w:rPr>
              <w:t>1st Qtr.</w:t>
            </w:r>
          </w:p>
        </w:tc>
        <w:tc>
          <w:tcPr>
            <w:tcW w:w="1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2"/>
              </w:rPr>
              <w:t>4th Qtr.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1"/>
              </w:rPr>
              <w:t>1st Qtr.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8"/>
              </w:rPr>
              <w:t>Nov. 29,</w:t>
            </w:r>
          </w:p>
        </w:tc>
        <w:tc>
          <w:tcPr>
            <w:tcW w:w="1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9"/>
              </w:rPr>
              <w:t>Aug.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8"/>
              </w:rPr>
              <w:t>Nov. 30,</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89"/>
              </w:rPr>
              <w:t>2007</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1,535</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1,437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Cost of goods sold (1)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1,530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1,264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1,088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Gross margin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112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0"/>
                <w:szCs w:val="20"/>
                <w:color w:val="auto"/>
              </w:rPr>
              <w:t>163</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(income) expense (2)</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Restructure (3)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(260)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Interest income (expense),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Other non-operating income (expense)</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Income tax (provision) (4)</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(7)</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Noncontrolling interests in net income</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(3)</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(262)</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(158)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Earnings (loss) per share: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Basic</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(0.34)</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(0.21)</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(0.34)</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(0.21)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Number of shares used in per share calculations: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Basic</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0"/>
                <w:szCs w:val="20"/>
                <w:color w:val="auto"/>
              </w:rPr>
              <w:t>771.9</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770.9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767.0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771.9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770.9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779.6</w:t>
            </w: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7260" w:type="dxa"/>
            <w:vAlign w:val="bottom"/>
            <w:gridSpan w:val="2"/>
          </w:tcPr>
          <w:p>
            <w:pPr>
              <w:spacing w:after="0"/>
              <w:rPr>
                <w:sz w:val="20"/>
                <w:szCs w:val="20"/>
                <w:color w:val="auto"/>
              </w:rPr>
            </w:pPr>
            <w:r>
              <w:rPr>
                <w:rFonts w:ascii="Arial" w:cs="Arial" w:eastAsia="Arial" w:hAnsi="Arial"/>
                <w:sz w:val="20"/>
                <w:szCs w:val="20"/>
                <w:b w:val="1"/>
                <w:bCs w:val="1"/>
                <w:color w:val="auto"/>
              </w:rPr>
              <w:t>CONSOLIDATED FINANCIAL SUMMARY, Continued</w:t>
            </w: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As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Nov. 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Aug. 30,</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Cash and short-term investments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2,031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Receivables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1,067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994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Inventories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Total current assets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4,652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5,234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8,576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Goodwill</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515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14,498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14,818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1,317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Current portion of long-term debt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281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Total current liabilities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1,852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Long-term debt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1,936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1,987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Noncontrolling interests in subsidiaries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2,760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2,607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Total shareholders’ equity</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7,501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7,752</w:t>
            </w:r>
          </w:p>
        </w:tc>
        <w:tc>
          <w:tcPr>
            <w:tcW w:w="0" w:type="dxa"/>
            <w:vAlign w:val="bottom"/>
          </w:tcPr>
          <w:p>
            <w:pPr>
              <w:spacing w:after="0"/>
              <w:rPr>
                <w:sz w:val="1"/>
                <w:szCs w:val="1"/>
                <w:color w:val="auto"/>
              </w:rPr>
            </w:pPr>
          </w:p>
        </w:tc>
      </w:tr>
      <w:tr>
        <w:trPr>
          <w:trHeight w:val="672"/>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Nov. 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8"/>
              </w:rPr>
              <w:t>Nov. 30,</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operating activities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276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Net cash used for investing activities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(406)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(used for) financing activities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Expenditures for property, plant and equipment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(765)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(1,099)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20"/>
                <w:szCs w:val="20"/>
                <w:color w:val="auto"/>
              </w:rPr>
              <w:t>Cash received from noncontrolling interests</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Payments on equipment purchase contracts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240" w:type="dxa"/>
            <w:vAlign w:val="bottom"/>
          </w:tcPr>
          <w:p>
            <w:pPr>
              <w:spacing w:after="0"/>
              <w:rPr>
                <w:sz w:val="20"/>
                <w:szCs w:val="20"/>
                <w:color w:val="auto"/>
              </w:rPr>
            </w:pPr>
            <w:r>
              <w:rPr>
                <w:rFonts w:ascii="Arial" w:cs="Arial" w:eastAsia="Arial" w:hAnsi="Arial"/>
                <w:sz w:val="20"/>
                <w:szCs w:val="20"/>
                <w:color w:val="auto"/>
              </w:rPr>
              <w:t>Noncash equipment acquisitions on contracts payable and capital leases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left="340" w:hanging="324"/>
        <w:spacing w:after="0" w:line="25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results for the first quarter of fiscal 2008 and the fourth quarter of fiscal 2007 include charges of $62 million and $20 million, respectively, to write down the carrying value of work in process and finished goods inventories of memory products to their estimated fair market values.</w:t>
      </w:r>
    </w:p>
    <w:p>
      <w:pPr>
        <w:spacing w:after="0" w:line="213" w:lineRule="exact"/>
        <w:rPr>
          <w:rFonts w:ascii="Arial" w:cs="Arial" w:eastAsia="Arial" w:hAnsi="Arial"/>
          <w:sz w:val="20"/>
          <w:szCs w:val="20"/>
          <w:color w:val="auto"/>
        </w:rPr>
      </w:pPr>
    </w:p>
    <w:p>
      <w:pPr>
        <w:jc w:val="both"/>
        <w:ind w:left="340" w:hanging="324"/>
        <w:spacing w:after="0" w:line="27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expense for the first quarter of fiscal 2008 includes $38 million in receipts from the U.S. government in connection with anti-dumping tariffs, losses of $27 million from changes in currency exchange rates and gains of $10 million on disposals of semiconductor equipment. Other operating (income) expense for the fourth quarter of fiscal 2007 includes gains of $18 million from disposals of semiconductor equipment and losses of $11 million from changes in currency exchange rates. Other operating income for the first quarter of fiscal 2007 includes a gain of $30 million from the sale of certain intellectual property to Toshiba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both"/>
        <w:ind w:left="324" w:hanging="324"/>
        <w:spacing w:after="0" w:line="259" w:lineRule="auto"/>
        <w:tabs>
          <w:tab w:leader="none" w:pos="324"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the fourth quarter of fiscal 2007, the company announced it was pursuing a number of initiatives to drive greater cost efficiencies and revenue growth across its operations. During the first quarter of fiscal 2008 and the fourth quarter of fiscal 2007, the company recorded restructure charges of $13 million and $19 million, respectively, consisting primarily of employee severance and related costs resulting from a reduction in the company’s workforce. In addition, in the first quarter of fiscal 2008, the company recorded a charge to write down to their estimated fair values certain facilities expected to be sold. At the end of the first quarter of fiscal 2008, liabilities for unpaid portions of the restructure charge were approximately $4 million.</w:t>
      </w:r>
    </w:p>
    <w:p>
      <w:pPr>
        <w:spacing w:after="0" w:line="205" w:lineRule="exact"/>
        <w:rPr>
          <w:rFonts w:ascii="Arial" w:cs="Arial" w:eastAsia="Arial" w:hAnsi="Arial"/>
          <w:sz w:val="19"/>
          <w:szCs w:val="19"/>
          <w:color w:val="auto"/>
        </w:rPr>
      </w:pPr>
    </w:p>
    <w:p>
      <w:pPr>
        <w:jc w:val="both"/>
        <w:ind w:left="324" w:right="20" w:hanging="324"/>
        <w:spacing w:after="0" w:line="250" w:lineRule="auto"/>
        <w:tabs>
          <w:tab w:leader="none" w:pos="324"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Income taxes for 2008 and 2007 primarily reflect taxes on the company’s non-U.S. operations and U.S. alternative minimum tax. The company has a valuation allowance for its net deferred tax asset associated with its U.S. operations. Tax attributable to U.S. operations in 2008 and 2007 were substantially offset by changes in the valuation allowance.</w:t>
      </w:r>
    </w:p>
    <w:sectPr>
      <w:pgSz w:w="11900" w:h="16838" w:orient="portrait"/>
      <w:cols w:equalWidth="0" w:num="1">
        <w:col w:w="11404"/>
      </w:cols>
      <w:pgMar w:left="256" w:top="6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2019-12-13T13:05:46Z</dcterms:created>
  <dcterms:modified xsi:type="dcterms:W3CDTF">2019-12-13T13:05:46Z</dcterms:modified>
</cp:coreProperties>
</file>