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242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426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87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01/23/2024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87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565"/>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5"/>
              <w:spacing w:after="0"/>
              <w:rPr>
                <w:sz w:val="20"/>
                <w:szCs w:val="20"/>
                <w:color w:val="auto"/>
              </w:rPr>
            </w:pPr>
            <w:r>
              <w:rPr>
                <w:rFonts w:ascii="Times New Roman" w:cs="Times New Roman" w:eastAsia="Times New Roman" w:hAnsi="Times New Roman"/>
                <w:sz w:val="17"/>
                <w:szCs w:val="17"/>
                <w:color w:val="0000FF"/>
              </w:rPr>
              <w:t>01/23/2024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3"/>
                <w:vertAlign w:val="subscript"/>
              </w:rPr>
              <w:t>M</w:t>
            </w:r>
            <w:r>
              <w:rPr>
                <w:rFonts w:ascii="Times New Roman" w:cs="Times New Roman" w:eastAsia="Times New Roman" w:hAnsi="Times New Roman"/>
                <w:sz w:val="11"/>
                <w:szCs w:val="11"/>
                <w:color w:val="008000"/>
                <w:w w:val="93"/>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7,000</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649,251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5"/>
              <w:spacing w:after="0"/>
              <w:rPr>
                <w:sz w:val="20"/>
                <w:szCs w:val="20"/>
                <w:color w:val="auto"/>
              </w:rPr>
            </w:pPr>
            <w:r>
              <w:rPr>
                <w:rFonts w:ascii="Times New Roman" w:cs="Times New Roman" w:eastAsia="Times New Roman" w:hAnsi="Times New Roman"/>
                <w:sz w:val="17"/>
                <w:szCs w:val="17"/>
                <w:color w:val="0000FF"/>
              </w:rPr>
              <w:t>01/23/2024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6,665</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87.36</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642,586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5"/>
              <w:spacing w:after="0"/>
              <w:rPr>
                <w:sz w:val="20"/>
                <w:szCs w:val="20"/>
                <w:color w:val="auto"/>
              </w:rPr>
            </w:pPr>
            <w:r>
              <w:rPr>
                <w:rFonts w:ascii="Times New Roman" w:cs="Times New Roman" w:eastAsia="Times New Roman" w:hAnsi="Times New Roman"/>
                <w:sz w:val="17"/>
                <w:szCs w:val="17"/>
                <w:color w:val="0000FF"/>
              </w:rPr>
              <w:t>01/23/2024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335</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88.41</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642,251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5"/>
              <w:spacing w:after="0"/>
              <w:rPr>
                <w:sz w:val="20"/>
                <w:szCs w:val="20"/>
                <w:color w:val="auto"/>
              </w:rPr>
            </w:pPr>
            <w:r>
              <w:rPr>
                <w:rFonts w:ascii="Times New Roman" w:cs="Times New Roman" w:eastAsia="Times New Roman" w:hAnsi="Times New Roman"/>
                <w:sz w:val="17"/>
                <w:szCs w:val="17"/>
                <w:color w:val="0000FF"/>
              </w:rPr>
              <w:t>01/23/2024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G</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161,306</w:t>
            </w:r>
            <w:r>
              <w:rPr>
                <w:rFonts w:ascii="Times New Roman" w:cs="Times New Roman" w:eastAsia="Times New Roman" w:hAnsi="Times New Roman"/>
                <w:sz w:val="21"/>
                <w:szCs w:val="21"/>
                <w:color w:val="008000"/>
                <w:w w:val="94"/>
                <w:vertAlign w:val="superscript"/>
              </w:rPr>
              <w:t>(4)</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803,557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5"/>
              <w:spacing w:after="0"/>
              <w:rPr>
                <w:sz w:val="20"/>
                <w:szCs w:val="20"/>
                <w:color w:val="auto"/>
              </w:rPr>
            </w:pPr>
            <w:r>
              <w:rPr>
                <w:rFonts w:ascii="Times New Roman" w:cs="Times New Roman" w:eastAsia="Times New Roman" w:hAnsi="Times New Roman"/>
                <w:sz w:val="17"/>
                <w:szCs w:val="17"/>
                <w:color w:val="0000FF"/>
              </w:rPr>
              <w:t>01/23/2024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G</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161,306</w:t>
            </w:r>
            <w:r>
              <w:rPr>
                <w:rFonts w:ascii="Times New Roman" w:cs="Times New Roman" w:eastAsia="Times New Roman" w:hAnsi="Times New Roman"/>
                <w:sz w:val="21"/>
                <w:szCs w:val="21"/>
                <w:color w:val="008000"/>
                <w:w w:val="94"/>
                <w:vertAlign w:val="superscript"/>
              </w:rPr>
              <w:t>(4)</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371,629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(5)</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01/23/2024</w:t>
            </w:r>
          </w:p>
        </w:tc>
        <w:tc>
          <w:tcPr>
            <w:tcW w:w="1100" w:type="dxa"/>
            <w:vAlign w:val="bottom"/>
          </w:tcPr>
          <w:p>
            <w:pPr>
              <w:spacing w:after="0"/>
              <w:rPr>
                <w:sz w:val="16"/>
                <w:szCs w:val="16"/>
                <w:color w:val="auto"/>
              </w:rPr>
            </w:pPr>
          </w:p>
        </w:tc>
        <w:tc>
          <w:tcPr>
            <w:tcW w:w="8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354,284</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$86.945 to $87.845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$88.37 to $89.00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transferred from a grantor retained annuity trust to a revocable trust. All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01/24/2024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2024-01-24T18:12:34Z</dcterms:created>
  <dcterms:modified xsi:type="dcterms:W3CDTF">2024-01-24T18:12:34Z</dcterms:modified>
</cp:coreProperties>
</file>