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UNITED STATES</w:t>
      </w: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SECURITIES AND EXCHANGE COMMISSION</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FORM 8-K</w:t>
      </w:r>
    </w:p>
    <w:p>
      <w:pPr>
        <w:pStyle w:val="TextBody"/>
        <w:bidi w:val="0"/>
        <w:spacing w:lineRule="auto" w:line="288" w:before="240" w:after="283"/>
        <w:jc w:val="center"/>
        <w:rPr>
          <w:rFonts w:ascii="Arial Narrow;sans-serif" w:hAnsi="Arial Narrow;sans-serif"/>
          <w:b/>
          <w:color w:val="000000"/>
          <w:sz w:val="24"/>
        </w:rPr>
      </w:pPr>
      <w:r>
        <w:rPr>
          <w:rFonts w:ascii="Arial Narrow;sans-serif" w:hAnsi="Arial Narrow;sans-serif"/>
          <w:b/>
          <w:color w:val="000000"/>
          <w:sz w:val="24"/>
        </w:rPr>
        <w:t>CURRENT REPORT</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September 30, 2026 </w:t>
      </w:r>
    </w:p>
    <w:p>
      <w:pPr>
        <w:pStyle w:val="TextBody"/>
        <w:bidi w:val="0"/>
        <w:spacing w:lineRule="auto" w:line="288" w:before="0" w:after="0"/>
        <w:jc w:val="center"/>
        <w:rPr/>
      </w:pPr>
      <w:r>
        <w:rPr>
          <w:rFonts w:ascii="Arial Narrow;sans-serif" w:hAnsi="Arial Narrow;sans-serif"/>
          <w:b w:val="false"/>
          <w:color w:val="000000"/>
          <w:sz w:val="20"/>
        </w:rPr>
        <w:t>Date of Report (date of earliest event reported)</w:t>
      </w:r>
      <w:r>
        <w:rPr>
          <w:color w:val="000000"/>
        </w:rPr>
        <w:t xml:space="preserve"> </w:t>
      </w:r>
    </w:p>
    <w:p>
      <w:pPr>
        <w:pStyle w:val="TextBody"/>
        <w:bidi w:val="0"/>
        <w:spacing w:before="0" w:after="0"/>
        <w:jc w:val="center"/>
        <w:rPr/>
      </w:pPr>
      <w:r>
        <w:rPr/>
        <w:drawing>
          <wp:inline distT="0" distB="0" distL="0" distR="0">
            <wp:extent cx="18288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381000"/>
                    </a:xfrm>
                    <a:prstGeom prst="rect">
                      <a:avLst/>
                    </a:prstGeom>
                  </pic:spPr>
                </pic:pic>
              </a:graphicData>
            </a:graphic>
          </wp:inline>
        </w:drawing>
      </w:r>
      <w:bookmarkStart w:id="0" w:name="i-1"/>
      <w:bookmarkEnd w:id="0"/>
    </w:p>
    <w:tbl>
      <w:tblPr>
        <w:tblW w:w="3809" w:type="dxa"/>
        <w:jc w:val="center"/>
        <w:tblInd w:w="0" w:type="dxa"/>
        <w:tblLayout w:type="fixed"/>
        <w:tblCellMar>
          <w:top w:w="28" w:type="dxa"/>
          <w:left w:w="28" w:type="dxa"/>
          <w:bottom w:w="28" w:type="dxa"/>
          <w:right w:w="28" w:type="dxa"/>
        </w:tblCellMar>
      </w:tblPr>
      <w:tblGrid>
        <w:gridCol w:w="1220"/>
        <w:gridCol w:w="1071"/>
        <w:gridCol w:w="1518"/>
      </w:tblGrid>
      <w:tr>
        <w:trPr/>
        <w:tc>
          <w:tcPr>
            <w:tcW w:w="122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32"/>
              </w:rPr>
            </w:pPr>
            <w:r>
              <w:rPr>
                <w:rFonts w:ascii="Arial Narrow;sans-serif" w:hAnsi="Arial Narrow;sans-serif"/>
                <w:b/>
                <w:color w:val="000000"/>
                <w:sz w:val="32"/>
              </w:rPr>
              <w:t>MICRON TECHNOLOGY, INC.</w:t>
            </w:r>
          </w:p>
        </w:tc>
      </w:tr>
      <w:tr>
        <w:trPr/>
        <w:tc>
          <w:tcPr>
            <w:tcW w:w="3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(Exact name of registrant as specified in its charter)</w:t>
            </w:r>
          </w:p>
        </w:tc>
      </w:tr>
    </w:tbl>
    <w:tbl>
      <w:tblPr>
        <w:tblW w:w="8333" w:type="dxa"/>
        <w:jc w:val="center"/>
        <w:tblInd w:w="0" w:type="dxa"/>
        <w:tblLayout w:type="fixed"/>
        <w:tblCellMar>
          <w:top w:w="28" w:type="dxa"/>
          <w:left w:w="28" w:type="dxa"/>
          <w:bottom w:w="28" w:type="dxa"/>
          <w:right w:w="28" w:type="dxa"/>
        </w:tblCellMar>
      </w:tblPr>
      <w:tblGrid>
        <w:gridCol w:w="1144"/>
        <w:gridCol w:w="1006"/>
        <w:gridCol w:w="1015"/>
        <w:gridCol w:w="109"/>
        <w:gridCol w:w="109"/>
        <w:gridCol w:w="109"/>
        <w:gridCol w:w="672"/>
        <w:gridCol w:w="672"/>
        <w:gridCol w:w="680"/>
        <w:gridCol w:w="109"/>
        <w:gridCol w:w="109"/>
        <w:gridCol w:w="109"/>
        <w:gridCol w:w="726"/>
        <w:gridCol w:w="726"/>
        <w:gridCol w:w="1038"/>
      </w:tblGrid>
      <w:tr>
        <w:trPr/>
        <w:tc>
          <w:tcPr>
            <w:tcW w:w="11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1-10658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75-1618004</w:t>
            </w:r>
          </w:p>
        </w:tc>
      </w:tr>
      <w:tr>
        <w:trPr/>
        <w:tc>
          <w:tcPr>
            <w:tcW w:w="3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(State or other jurisdiction of incorporation)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(Commission 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(IRS Employer Identification No.)</w:t>
            </w:r>
          </w:p>
        </w:tc>
      </w:tr>
    </w:tbl>
    <w:tbl>
      <w:tblPr>
        <w:tblW w:w="3899" w:type="dxa"/>
        <w:jc w:val="center"/>
        <w:tblInd w:w="0" w:type="dxa"/>
        <w:tblLayout w:type="fixed"/>
        <w:tblCellMar>
          <w:top w:w="28" w:type="dxa"/>
          <w:left w:w="28" w:type="dxa"/>
          <w:bottom w:w="28" w:type="dxa"/>
          <w:right w:w="28" w:type="dxa"/>
        </w:tblCellMar>
      </w:tblPr>
      <w:tblGrid>
        <w:gridCol w:w="1247"/>
        <w:gridCol w:w="1094"/>
        <w:gridCol w:w="1558"/>
      </w:tblGrid>
      <w:tr>
        <w:trPr/>
        <w:tc>
          <w:tcPr>
            <w:tcW w:w="124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8000 South Federal Way</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Boise, Idaho 83716-9632</w:t>
            </w:r>
          </w:p>
        </w:tc>
      </w:tr>
      <w:tr>
        <w:trPr/>
        <w:tc>
          <w:tcPr>
            <w:tcW w:w="3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(Address of principal executive offices and Zip Code)</w:t>
            </w:r>
          </w:p>
        </w:tc>
      </w:tr>
    </w:tbl>
    <w:tbl>
      <w:tblPr>
        <w:tblW w:w="3945" w:type="dxa"/>
        <w:jc w:val="center"/>
        <w:tblInd w:w="0" w:type="dxa"/>
        <w:tblLayout w:type="fixed"/>
        <w:tblCellMar>
          <w:top w:w="28" w:type="dxa"/>
          <w:left w:w="28" w:type="dxa"/>
          <w:bottom w:w="28" w:type="dxa"/>
          <w:right w:w="28" w:type="dxa"/>
        </w:tblCellMar>
      </w:tblPr>
      <w:tblGrid>
        <w:gridCol w:w="1263"/>
        <w:gridCol w:w="1107"/>
        <w:gridCol w:w="1575"/>
      </w:tblGrid>
      <w:tr>
        <w:trPr/>
        <w:tc>
          <w:tcPr>
            <w:tcW w:w="126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(208) 368-4000</w:t>
            </w:r>
          </w:p>
        </w:tc>
      </w:tr>
      <w:tr>
        <w:trPr/>
        <w:tc>
          <w:tcPr>
            <w:tcW w:w="3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Securities registered pursuant to Section 12(b) of the Act:</w:t>
      </w:r>
    </w:p>
    <w:tbl>
      <w:tblPr>
        <w:tblW w:w="8767" w:type="dxa"/>
        <w:jc w:val="left"/>
        <w:tblInd w:w="0" w:type="dxa"/>
        <w:tblLayout w:type="fixed"/>
        <w:tblCellMar>
          <w:top w:w="28" w:type="dxa"/>
          <w:left w:w="28" w:type="dxa"/>
          <w:bottom w:w="28" w:type="dxa"/>
          <w:right w:w="28" w:type="dxa"/>
        </w:tblCellMar>
      </w:tblPr>
      <w:tblGrid>
        <w:gridCol w:w="1138"/>
        <w:gridCol w:w="999"/>
        <w:gridCol w:w="1012"/>
        <w:gridCol w:w="109"/>
        <w:gridCol w:w="109"/>
        <w:gridCol w:w="109"/>
        <w:gridCol w:w="444"/>
        <w:gridCol w:w="444"/>
        <w:gridCol w:w="446"/>
        <w:gridCol w:w="109"/>
        <w:gridCol w:w="109"/>
        <w:gridCol w:w="109"/>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Name of each exchange on which registered</w:t>
            </w:r>
          </w:p>
        </w:tc>
      </w:tr>
      <w:tr>
        <w:trPr/>
        <w:tc>
          <w:tcPr>
            <w:tcW w:w="3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Common Stock, par value $0.10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Nasdaq Global Select Market</w:t>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Emerging growth company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534" w:type="dxa"/>
        <w:jc w:val="left"/>
        <w:tblInd w:w="0" w:type="dxa"/>
        <w:tblLayout w:type="fixed"/>
        <w:tblCellMar>
          <w:top w:w="28" w:type="dxa"/>
          <w:left w:w="28" w:type="dxa"/>
          <w:bottom w:w="28" w:type="dxa"/>
          <w:right w:w="28" w:type="dxa"/>
        </w:tblCellMar>
      </w:tblPr>
      <w:tblGrid>
        <w:gridCol w:w="368"/>
        <w:gridCol w:w="324"/>
        <w:gridCol w:w="328"/>
        <w:gridCol w:w="1322"/>
        <w:gridCol w:w="1322"/>
        <w:gridCol w:w="1870"/>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2.02.</w:t>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Results of Operations and Financial Condition.</w:t>
            </w:r>
          </w:p>
        </w:tc>
      </w:tr>
    </w:tbl>
    <w:p>
      <w:pPr>
        <w:pStyle w:val="TextBody"/>
        <w:bidi w:val="0"/>
        <w:spacing w:before="0" w:after="0"/>
        <w:ind w:left="0" w:right="0" w:firstLine="36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On September 30, 2026, Micron Technology, Inc. (the "Company", "we" or "our") announced the financial results for our fourth quarter and full year of fiscal 2026 ended September 3, 2026. The full text of the press release issued in connection with the announcement is attached as Exhibit 99.1 to this Current Report on Form 8-K.</w:t>
      </w:r>
    </w:p>
    <w:p>
      <w:pPr>
        <w:pStyle w:val="TextBody"/>
        <w:bidi w:val="0"/>
        <w:spacing w:before="0" w:after="0"/>
        <w:ind w:left="0" w:right="0" w:firstLine="36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information in Item 2.02 and Exhibit 99.1 of this Current Report on Form 8-K shall not be deemed "filed" for the purposes of Section 18 of the Securities Exchange Act of 1934, as amended (the "Exchange Act"), or otherwise subject to the liabilities of that section. The information in Item 2.02 and Exhibit 99.1 of this Current Report on Form 8-K shall not be incorporated by reference into any filing or other document pursuant to the Securities Act of 1933, as amended, or the Exchange Act, except as shall be expressly set forth by specific reference in such filing or document.</w:t>
      </w:r>
    </w:p>
    <w:tbl>
      <w:tblPr>
        <w:tblW w:w="4410" w:type="dxa"/>
        <w:jc w:val="left"/>
        <w:tblInd w:w="0" w:type="dxa"/>
        <w:tblLayout w:type="fixed"/>
        <w:tblCellMar>
          <w:top w:w="28" w:type="dxa"/>
          <w:left w:w="28" w:type="dxa"/>
          <w:bottom w:w="28" w:type="dxa"/>
          <w:right w:w="28" w:type="dxa"/>
        </w:tblCellMar>
      </w:tblPr>
      <w:tblGrid>
        <w:gridCol w:w="368"/>
        <w:gridCol w:w="324"/>
        <w:gridCol w:w="328"/>
        <w:gridCol w:w="992"/>
        <w:gridCol w:w="992"/>
        <w:gridCol w:w="1406"/>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9.01.</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Statements and Exhibits.</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 Exhibits.</w:t>
            </w:r>
          </w:p>
        </w:tc>
      </w:tr>
    </w:tbl>
    <w:p>
      <w:pPr>
        <w:pStyle w:val="TextBody"/>
        <w:bidi w:val="0"/>
        <w:spacing w:before="0" w:after="0"/>
        <w:jc w:val="left"/>
        <w:rPr/>
      </w:pPr>
      <w:r>
        <w:rPr/>
      </w:r>
    </w:p>
    <w:tbl>
      <w:tblPr>
        <w:tblW w:w="8441" w:type="dxa"/>
        <w:jc w:val="left"/>
        <w:tblInd w:w="0" w:type="dxa"/>
        <w:tblLayout w:type="fixed"/>
        <w:tblCellMar>
          <w:top w:w="28" w:type="dxa"/>
          <w:left w:w="28" w:type="dxa"/>
          <w:bottom w:w="28" w:type="dxa"/>
          <w:right w:w="28" w:type="dxa"/>
        </w:tblCellMar>
      </w:tblPr>
      <w:tblGrid>
        <w:gridCol w:w="418"/>
        <w:gridCol w:w="367"/>
        <w:gridCol w:w="370"/>
        <w:gridCol w:w="109"/>
        <w:gridCol w:w="109"/>
        <w:gridCol w:w="109"/>
        <w:gridCol w:w="2037"/>
        <w:gridCol w:w="2037"/>
        <w:gridCol w:w="2885"/>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2026q4ex991-pressrelease.htm">
              <w:r>
                <w:rPr>
                  <w:rStyle w:val="InternetLink"/>
                  <w:rFonts w:ascii="Arial;sans-serif" w:hAnsi="Arial;sans-serif"/>
                  <w:b w:val="false"/>
                  <w:color w:val="BD03F7"/>
                  <w:sz w:val="20"/>
                  <w:u w:val="single"/>
                </w:rPr>
                <w:t>Press Release issued on September 30, 2026</w:t>
              </w:r>
            </w:hyperlink>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8504" w:type="dxa"/>
        <w:jc w:val="left"/>
        <w:tblInd w:w="0" w:type="dxa"/>
        <w:tblLayout w:type="fixed"/>
        <w:tblCellMar>
          <w:top w:w="28" w:type="dxa"/>
          <w:left w:w="28" w:type="dxa"/>
          <w:bottom w:w="28" w:type="dxa"/>
          <w:right w:w="28" w:type="dxa"/>
        </w:tblCellMar>
      </w:tblPr>
      <w:tblGrid>
        <w:gridCol w:w="211"/>
        <w:gridCol w:w="186"/>
        <w:gridCol w:w="188"/>
        <w:gridCol w:w="619"/>
        <w:gridCol w:w="619"/>
        <w:gridCol w:w="621"/>
        <w:gridCol w:w="445"/>
        <w:gridCol w:w="445"/>
        <w:gridCol w:w="445"/>
        <w:gridCol w:w="1375"/>
        <w:gridCol w:w="1375"/>
        <w:gridCol w:w="197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MICRON TECHNOLOGY,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30, 2026</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Mark Murphy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Murphy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99.1</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FOR IMMEDIATE RELEASE</w:t>
      </w:r>
    </w:p>
    <w:p>
      <w:pPr>
        <w:pStyle w:val="TextBody"/>
        <w:bidi w:val="0"/>
        <w:spacing w:lineRule="auto" w:line="288" w:before="0" w:after="0"/>
        <w:jc w:val="left"/>
        <w:rPr>
          <w:color w:val="000000"/>
        </w:rPr>
      </w:pPr>
      <w:r>
        <w:rPr>
          <w:color w:val="000000"/>
        </w:rPr>
        <w:t>    </w:t>
      </w:r>
    </w:p>
    <w:tbl>
      <w:tblPr>
        <w:tblW w:w="5402" w:type="dxa"/>
        <w:jc w:val="left"/>
        <w:tblInd w:w="0" w:type="dxa"/>
        <w:tblLayout w:type="fixed"/>
        <w:tblCellMar>
          <w:top w:w="28" w:type="dxa"/>
          <w:left w:w="28" w:type="dxa"/>
          <w:bottom w:w="28" w:type="dxa"/>
          <w:right w:w="28" w:type="dxa"/>
        </w:tblCellMar>
      </w:tblPr>
      <w:tblGrid>
        <w:gridCol w:w="347"/>
        <w:gridCol w:w="306"/>
        <w:gridCol w:w="307"/>
        <w:gridCol w:w="1058"/>
        <w:gridCol w:w="705"/>
        <w:gridCol w:w="578"/>
        <w:gridCol w:w="797"/>
        <w:gridCol w:w="623"/>
        <w:gridCol w:w="681"/>
      </w:tblGrid>
      <w:tr>
        <w:trPr/>
        <w:tc>
          <w:tcPr>
            <w:tcW w:w="3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Contacts:</w:t>
            </w:r>
          </w:p>
        </w:tc>
        <w:tc>
          <w:tcPr>
            <w:tcW w:w="23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Satya Kumar</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 Plungy</w:t>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Investor Relations</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Media Relations</w:t>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BD03F7"/>
                <w:sz w:val="20"/>
                <w:u w:val="single"/>
              </w:rPr>
            </w:pPr>
            <w:r>
              <w:rPr>
                <w:rFonts w:ascii="Arial;sans-serif" w:hAnsi="Arial;sans-serif"/>
                <w:b w:val="false"/>
                <w:color w:val="BD03F7"/>
                <w:sz w:val="20"/>
                <w:u w:val="single"/>
              </w:rPr>
              <w:t>satyakumar@micron.com</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BD03F7"/>
                <w:sz w:val="20"/>
                <w:u w:val="single"/>
              </w:rPr>
            </w:pPr>
            <w:r>
              <w:rPr>
                <w:rFonts w:ascii="Arial;sans-serif" w:hAnsi="Arial;sans-serif"/>
                <w:b w:val="false"/>
                <w:color w:val="BD03F7"/>
                <w:sz w:val="20"/>
                <w:u w:val="single"/>
              </w:rPr>
              <w:t>mplungy@micron.com</w:t>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(408) 450-6199</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(408) 203-2910</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MICRON TECHNOLOGY, INC. REPORTS RECORD FISCAL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FOURTH-QUARTER AND FULL-YEAR 2026 RESULTS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i/>
          <w:color w:val="000000"/>
          <w:sz w:val="20"/>
        </w:rPr>
      </w:pPr>
      <w:r>
        <w:rPr>
          <w:rFonts w:ascii="Arial;sans-serif" w:hAnsi="Arial;sans-serif"/>
          <w:b/>
          <w:i/>
          <w:color w:val="000000"/>
          <w:sz w:val="20"/>
        </w:rPr>
        <w:t>AI-driven demand and strong operational execution position Micron for a record fiscal 2027</w:t>
      </w:r>
    </w:p>
    <w:p>
      <w:pPr>
        <w:pStyle w:val="TextBody"/>
        <w:bidi w:val="0"/>
        <w:spacing w:before="0" w:after="0"/>
        <w:ind w:left="0" w:right="0" w:firstLine="360"/>
        <w:jc w:val="center"/>
        <w:rPr/>
      </w:pPr>
      <w:r>
        <w:rPr/>
      </w:r>
    </w:p>
    <w:p>
      <w:pPr>
        <w:pStyle w:val="TextBody"/>
        <w:bidi w:val="0"/>
        <w:spacing w:lineRule="auto" w:line="288" w:before="0" w:after="0"/>
        <w:jc w:val="left"/>
        <w:rPr/>
      </w:pPr>
      <w:r>
        <w:rPr>
          <w:rFonts w:ascii="Arial;sans-serif" w:hAnsi="Arial;sans-serif"/>
          <w:b/>
          <w:color w:val="000000"/>
          <w:sz w:val="20"/>
        </w:rPr>
        <w:t>BOISE, Idaho,</w:t>
      </w:r>
      <w:r>
        <w:rPr>
          <w:color w:val="000000"/>
        </w:rPr>
        <w:t xml:space="preserve"> </w:t>
      </w:r>
      <w:r>
        <w:rPr>
          <w:rFonts w:ascii="Arial;sans-serif" w:hAnsi="Arial;sans-serif"/>
          <w:b w:val="false"/>
          <w:color w:val="000000"/>
          <w:sz w:val="20"/>
        </w:rPr>
        <w:t>September 30, 2026 – Micron Technology, Inc. (Nasdaq: MU) today announced results for its fourth quarter and full year of fiscal 2026, which ended September 3,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color w:val="000000"/>
          <w:sz w:val="20"/>
        </w:rPr>
      </w:pPr>
      <w:r>
        <w:rPr>
          <w:rFonts w:ascii="Arial;sans-serif" w:hAnsi="Arial;sans-serif"/>
          <w:b/>
          <w:color w:val="000000"/>
          <w:sz w:val="20"/>
        </w:rPr>
        <w:t>Fiscal Q4 2026 Highlights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Revenue of $54.23 billion versus $41.46 billion for the prior quarter and $11.32 billion for the same period last year</w:t>
      </w:r>
    </w:p>
    <w:p>
      <w:pPr>
        <w:pStyle w:val="TextBody"/>
        <w:bidi w:val="0"/>
        <w:spacing w:lineRule="auto" w:line="288" w:before="0" w:after="0"/>
        <w:ind w:left="0" w:right="0" w:firstLine="360"/>
        <w:jc w:val="left"/>
        <w:rPr/>
      </w:pPr>
      <w:r>
        <w:rPr>
          <w:color w:val="000000"/>
        </w:rPr>
        <w:t>•</w:t>
      </w:r>
      <w:r>
        <w:rPr>
          <w:rFonts w:ascii="Arial;sans-serif" w:hAnsi="Arial;sans-serif"/>
          <w:b w:val="false"/>
          <w:color w:val="000000"/>
          <w:sz w:val="20"/>
        </w:rPr>
        <w:t>GAAP net income of $37.70 billion, or $32.87 per diluted share</w:t>
      </w:r>
    </w:p>
    <w:p>
      <w:pPr>
        <w:pStyle w:val="TextBody"/>
        <w:bidi w:val="0"/>
        <w:spacing w:lineRule="auto" w:line="288" w:before="0" w:after="0"/>
        <w:ind w:left="0" w:right="0" w:firstLine="360"/>
        <w:jc w:val="left"/>
        <w:rPr/>
      </w:pPr>
      <w:r>
        <w:rPr>
          <w:color w:val="000000"/>
        </w:rPr>
        <w:t>•</w:t>
      </w:r>
      <w:r>
        <w:rPr>
          <w:rFonts w:ascii="Arial;sans-serif" w:hAnsi="Arial;sans-serif"/>
          <w:b w:val="false"/>
          <w:color w:val="000000"/>
          <w:sz w:val="20"/>
        </w:rPr>
        <w:t>Non-GAAP net income of $38.40 billion, or $33.42 per diluted share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Operating cash flow of $43.97 billion versus $25.39 billion for the prior quarter and $5.73 billion for the same period last year</w:t>
      </w:r>
    </w:p>
    <w:p>
      <w:pPr>
        <w:pStyle w:val="TextBody"/>
        <w:bidi w:val="0"/>
        <w:spacing w:lineRule="auto" w:line="288" w:before="0" w:after="0"/>
        <w:ind w:left="0" w:right="0" w:firstLine="360"/>
        <w:jc w:val="left"/>
        <w:rPr>
          <w:rFonts w:ascii="Arial;sans-serif" w:hAnsi="Arial;sans-serif"/>
          <w:b/>
          <w:color w:val="000000"/>
          <w:sz w:val="20"/>
        </w:rPr>
      </w:pPr>
      <w:r>
        <w:rPr>
          <w:rFonts w:ascii="Arial;sans-serif" w:hAnsi="Arial;sans-serif"/>
          <w:b/>
          <w:color w:val="000000"/>
          <w:sz w:val="20"/>
        </w:rPr>
        <w:t>Fiscal 2026 Highlights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Revenue of $133.19 billion versus $37.38 billion for the prior year</w:t>
      </w:r>
    </w:p>
    <w:p>
      <w:pPr>
        <w:pStyle w:val="TextBody"/>
        <w:bidi w:val="0"/>
        <w:spacing w:lineRule="auto" w:line="288" w:before="0" w:after="0"/>
        <w:ind w:left="0" w:right="0" w:firstLine="360"/>
        <w:jc w:val="left"/>
        <w:rPr/>
      </w:pPr>
      <w:r>
        <w:rPr>
          <w:color w:val="000000"/>
        </w:rPr>
        <w:t>•</w:t>
      </w:r>
      <w:r>
        <w:rPr>
          <w:rFonts w:ascii="Arial;sans-serif" w:hAnsi="Arial;sans-serif"/>
          <w:b w:val="false"/>
          <w:color w:val="000000"/>
          <w:sz w:val="20"/>
        </w:rPr>
        <w:t>GAAP net income of $84.97 billion, or $74.33 per diluted share</w:t>
      </w:r>
    </w:p>
    <w:p>
      <w:pPr>
        <w:pStyle w:val="TextBody"/>
        <w:bidi w:val="0"/>
        <w:spacing w:lineRule="auto" w:line="288" w:before="0" w:after="0"/>
        <w:ind w:left="0" w:right="0" w:firstLine="360"/>
        <w:jc w:val="left"/>
        <w:rPr/>
      </w:pPr>
      <w:r>
        <w:rPr>
          <w:color w:val="000000"/>
        </w:rPr>
        <w:t>•</w:t>
      </w:r>
      <w:r>
        <w:rPr>
          <w:rFonts w:ascii="Arial;sans-serif" w:hAnsi="Arial;sans-serif"/>
          <w:b w:val="false"/>
          <w:color w:val="000000"/>
          <w:sz w:val="20"/>
        </w:rPr>
        <w:t>Non-GAAP net income of $86.76 billion, or $75.52 per diluted share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Operating cash flow of $89.68 billion versus $17.53 billion for the prior year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Micron delivered record fiscal 2026 results, and we expect an even stronger fiscal 2027,” said Sanjay Mehrotra, Chairman and CEO of Micron Technology. “AI is becoming Super Intelligence (SI), and memory enhances this intelligence and the competitiveness of our customers’ platforms. We are increasing our investments in technology, products and manufacturing to help drive SI forward with our customers, and our Strategic Customer Agreements provide added confidence in the durability of Micron’s financial performance.”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734" w:type="dxa"/>
        <w:jc w:val="center"/>
        <w:tblInd w:w="0" w:type="dxa"/>
        <w:tblLayout w:type="fixed"/>
        <w:tblCellMar>
          <w:top w:w="28" w:type="dxa"/>
          <w:left w:w="28" w:type="dxa"/>
          <w:bottom w:w="28" w:type="dxa"/>
          <w:right w:w="28" w:type="dxa"/>
        </w:tblCellMar>
      </w:tblPr>
      <w:tblGrid>
        <w:gridCol w:w="1035"/>
        <w:gridCol w:w="911"/>
        <w:gridCol w:w="918"/>
        <w:gridCol w:w="196"/>
        <w:gridCol w:w="646"/>
        <w:gridCol w:w="241"/>
        <w:gridCol w:w="196"/>
        <w:gridCol w:w="646"/>
        <w:gridCol w:w="241"/>
        <w:gridCol w:w="196"/>
        <w:gridCol w:w="646"/>
        <w:gridCol w:w="241"/>
        <w:gridCol w:w="109"/>
        <w:gridCol w:w="109"/>
        <w:gridCol w:w="109"/>
        <w:gridCol w:w="196"/>
        <w:gridCol w:w="646"/>
        <w:gridCol w:w="241"/>
        <w:gridCol w:w="196"/>
        <w:gridCol w:w="646"/>
        <w:gridCol w:w="241"/>
        <w:gridCol w:w="196"/>
        <w:gridCol w:w="646"/>
        <w:gridCol w:w="286"/>
      </w:tblGrid>
      <w:tr>
        <w:trPr/>
        <w:tc>
          <w:tcPr>
            <w:tcW w:w="103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73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Quarterly Financial Results</w:t>
            </w:r>
          </w:p>
        </w:tc>
      </w:tr>
      <w:tr>
        <w:trPr/>
        <w:tc>
          <w:tcPr>
            <w:tcW w:w="28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 millions, except per share amounts)</w:t>
            </w:r>
          </w:p>
        </w:tc>
        <w:tc>
          <w:tcPr>
            <w:tcW w:w="324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GAAP</w:t>
            </w:r>
            <w:r>
              <w:rPr>
                <w:rFonts w:ascii="Arial Narrow;sans-serif" w:hAnsi="Arial Narrow;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Non-GAAP</w:t>
            </w:r>
            <w:r>
              <w:rPr>
                <w:rFonts w:ascii="Arial Narrow;sans-serif" w:hAnsi="Arial Narrow;sans-serif"/>
                <w:b/>
                <w:color w:val="000000"/>
                <w:sz w:val="13"/>
              </w:rPr>
              <w:t>(2)</w:t>
            </w:r>
          </w:p>
        </w:tc>
      </w:tr>
      <w:tr>
        <w:trPr/>
        <w:tc>
          <w:tcPr>
            <w:tcW w:w="2864" w:type="dxa"/>
            <w:gridSpan w:val="3"/>
            <w:vMerge w:val="continue"/>
            <w:tcBorders/>
            <w:tcMar>
              <w:top w:w="0" w:type="dxa"/>
              <w:left w:w="0" w:type="dxa"/>
              <w:bottom w:w="0" w:type="dxa"/>
              <w:right w:w="0" w:type="dxa"/>
            </w:tcMar>
            <w:vAlign w:val="center"/>
          </w:tcPr>
          <w:p>
            <w:pPr>
              <w:pStyle w:val="Normal"/>
              <w:bidi w:val="0"/>
              <w:jc w:val="left"/>
              <w:rPr/>
            </w:pPr>
            <w:r>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FQ4-26</w:t>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FQ3-26</w:t>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FQ4-25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FQ4-26</w:t>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FQ3-26</w:t>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FQ4-25</w:t>
            </w:r>
          </w:p>
        </w:tc>
      </w:tr>
      <w:tr>
        <w:trPr/>
        <w:tc>
          <w:tcPr>
            <w:tcW w:w="2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w:t>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54,229 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41,456 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11,315 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54,229 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41,456 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11,315 </w:t>
            </w:r>
          </w:p>
        </w:tc>
        <w:tc>
          <w:tcPr>
            <w:tcW w:w="2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47,047 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47,204 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Percent of revenue</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86.8 </w:t>
            </w:r>
          </w:p>
        </w:tc>
        <w:tc>
          <w:tcPr>
            <w:tcW w:w="24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84.6 </w:t>
            </w:r>
          </w:p>
        </w:tc>
        <w:tc>
          <w:tcPr>
            <w:tcW w:w="24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44.7 </w:t>
            </w:r>
          </w:p>
        </w:tc>
        <w:tc>
          <w:tcPr>
            <w:tcW w:w="24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87.0 </w:t>
            </w:r>
          </w:p>
        </w:tc>
        <w:tc>
          <w:tcPr>
            <w:tcW w:w="24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84.9 </w:t>
            </w:r>
          </w:p>
        </w:tc>
        <w:tc>
          <w:tcPr>
            <w:tcW w:w="24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45.7 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43,751 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33,318 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3,654 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44,636 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33,681 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3,955 </w:t>
            </w:r>
          </w:p>
        </w:tc>
        <w:tc>
          <w:tcPr>
            <w:tcW w:w="2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Percent of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80.7 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80.4 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32.3 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82.3 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81.2 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35.0 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r>
      <w:tr>
        <w:trPr/>
        <w:tc>
          <w:tcPr>
            <w:tcW w:w="28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37,701 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28,243 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3,201 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38,398 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28,857 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3,469 </w:t>
            </w:r>
          </w:p>
        </w:tc>
        <w:tc>
          <w:tcPr>
            <w:tcW w:w="2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 earnings per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tbl>
      <w:tblPr>
        <w:tblW w:w="7748" w:type="dxa"/>
        <w:jc w:val="left"/>
        <w:tblInd w:w="0" w:type="dxa"/>
        <w:tblLayout w:type="fixed"/>
        <w:tblCellMar>
          <w:top w:w="28" w:type="dxa"/>
          <w:left w:w="28" w:type="dxa"/>
          <w:bottom w:w="28" w:type="dxa"/>
          <w:right w:w="28" w:type="dxa"/>
        </w:tblCellMar>
      </w:tblPr>
      <w:tblGrid>
        <w:gridCol w:w="1035"/>
        <w:gridCol w:w="911"/>
        <w:gridCol w:w="918"/>
        <w:gridCol w:w="196"/>
        <w:gridCol w:w="736"/>
        <w:gridCol w:w="241"/>
        <w:gridCol w:w="196"/>
        <w:gridCol w:w="646"/>
        <w:gridCol w:w="241"/>
        <w:gridCol w:w="109"/>
        <w:gridCol w:w="109"/>
        <w:gridCol w:w="109"/>
        <w:gridCol w:w="196"/>
        <w:gridCol w:w="736"/>
        <w:gridCol w:w="241"/>
        <w:gridCol w:w="196"/>
        <w:gridCol w:w="646"/>
        <w:gridCol w:w="286"/>
      </w:tblGrid>
      <w:tr>
        <w:trPr/>
        <w:tc>
          <w:tcPr>
            <w:tcW w:w="103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74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Annual Financial Results</w:t>
            </w:r>
          </w:p>
        </w:tc>
      </w:tr>
      <w:tr>
        <w:trPr/>
        <w:tc>
          <w:tcPr>
            <w:tcW w:w="28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 millions, except per share amounts)</w:t>
            </w:r>
          </w:p>
        </w:tc>
        <w:tc>
          <w:tcPr>
            <w:tcW w:w="2256"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GAAP</w:t>
            </w:r>
            <w:r>
              <w:rPr>
                <w:rFonts w:ascii="Arial Narrow;sans-serif" w:hAnsi="Arial Narrow;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Non-GAAP</w:t>
            </w:r>
            <w:r>
              <w:rPr>
                <w:rFonts w:ascii="Arial Narrow;sans-serif" w:hAnsi="Arial Narrow;sans-serif"/>
                <w:b/>
                <w:color w:val="000000"/>
                <w:sz w:val="13"/>
              </w:rPr>
              <w:t>(2)</w:t>
            </w:r>
          </w:p>
        </w:tc>
      </w:tr>
      <w:tr>
        <w:trPr/>
        <w:tc>
          <w:tcPr>
            <w:tcW w:w="2864" w:type="dxa"/>
            <w:gridSpan w:val="3"/>
            <w:vMerge w:val="continue"/>
            <w:tcBorders/>
            <w:tcMar>
              <w:top w:w="0" w:type="dxa"/>
              <w:left w:w="0" w:type="dxa"/>
              <w:bottom w:w="0" w:type="dxa"/>
              <w:right w:w="0" w:type="dxa"/>
            </w:tcMar>
            <w:vAlign w:val="center"/>
          </w:tcPr>
          <w:p>
            <w:pPr>
              <w:pStyle w:val="Normal"/>
              <w:bidi w:val="0"/>
              <w:jc w:val="left"/>
              <w:rPr/>
            </w:pPr>
            <w:r>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FY-26</w:t>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FY-25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FY-26</w:t>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FY-25</w:t>
            </w:r>
          </w:p>
        </w:tc>
      </w:tr>
      <w:tr>
        <w:trPr/>
        <w:tc>
          <w:tcPr>
            <w:tcW w:w="2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w:t>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133,188 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37,378 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133,188 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37,378 </w:t>
            </w:r>
          </w:p>
        </w:tc>
        <w:tc>
          <w:tcPr>
            <w:tcW w:w="2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107,504 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108,032 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Percent of revenue</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80.7 </w:t>
            </w:r>
          </w:p>
        </w:tc>
        <w:tc>
          <w:tcPr>
            <w:tcW w:w="24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39.8 </w:t>
            </w:r>
          </w:p>
        </w:tc>
        <w:tc>
          <w:tcPr>
            <w:tcW w:w="24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81.1 </w:t>
            </w:r>
          </w:p>
        </w:tc>
        <w:tc>
          <w:tcPr>
            <w:tcW w:w="24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40.9 </w:t>
            </w:r>
          </w:p>
        </w:tc>
        <w:tc>
          <w:tcPr>
            <w:tcW w:w="28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99,340 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9,770 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101,191 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10,846 </w:t>
            </w:r>
          </w:p>
        </w:tc>
        <w:tc>
          <w:tcPr>
            <w:tcW w:w="2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74.6 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26.1 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76.0 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29.0 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i/>
                <w:color w:val="000000"/>
                <w:sz w:val="20"/>
              </w:rPr>
            </w:pPr>
            <w:r>
              <w:rPr>
                <w:rFonts w:ascii="Arial Narrow;sans-serif" w:hAnsi="Arial Narrow;sans-serif"/>
                <w:b w:val="false"/>
                <w:i/>
                <w:color w:val="000000"/>
                <w:sz w:val="20"/>
              </w:rPr>
              <w:t>%</w:t>
            </w:r>
          </w:p>
        </w:tc>
      </w:tr>
      <w:tr>
        <w:trPr/>
        <w:tc>
          <w:tcPr>
            <w:tcW w:w="28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84,969 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8,539 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86,758 </w:t>
            </w:r>
          </w:p>
        </w:tc>
        <w:tc>
          <w:tcPr>
            <w:tcW w:w="24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9,470 </w:t>
            </w:r>
          </w:p>
        </w:tc>
        <w:tc>
          <w:tcPr>
            <w:tcW w:w="2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 earnings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Investments in capital expenditures, net</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were $10.77 billion for the fourth quarter of 2026 and $27.37 billion for the full year of 2026. Adjusted free cash flow</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was $33.20 billion for the fourth quarter of 2026 and $62.31 billion for the full year of 2026. Micron ended the year with cash, marketable investments, and restricted cash of $73.48 billion. On September 30, 2026, Micron’s Board of Directors declared a quarterly dividend of $0.15 per share, payable in cash on October 29, 2026, to shareholders of record as of the close of business on October 14, 2026.</w:t>
      </w:r>
    </w:p>
    <w:p>
      <w:pPr>
        <w:pStyle w:val="TextBody"/>
        <w:bidi w:val="0"/>
        <w:spacing w:before="0" w:after="0"/>
        <w:jc w:val="left"/>
        <w:rPr/>
      </w:pPr>
      <w:r>
        <w:rPr/>
      </w:r>
    </w:p>
    <w:tbl>
      <w:tblPr>
        <w:tblW w:w="7849" w:type="dxa"/>
        <w:jc w:val="left"/>
        <w:tblInd w:w="0" w:type="dxa"/>
        <w:tblLayout w:type="fixed"/>
        <w:tblCellMar>
          <w:top w:w="28" w:type="dxa"/>
          <w:left w:w="28" w:type="dxa"/>
          <w:bottom w:w="28" w:type="dxa"/>
          <w:right w:w="28" w:type="dxa"/>
        </w:tblCellMar>
      </w:tblPr>
      <w:tblGrid>
        <w:gridCol w:w="1238"/>
        <w:gridCol w:w="1087"/>
        <w:gridCol w:w="1095"/>
        <w:gridCol w:w="271"/>
        <w:gridCol w:w="893"/>
        <w:gridCol w:w="333"/>
        <w:gridCol w:w="271"/>
        <w:gridCol w:w="893"/>
        <w:gridCol w:w="333"/>
        <w:gridCol w:w="271"/>
        <w:gridCol w:w="769"/>
        <w:gridCol w:w="395"/>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849" w:type="dxa"/>
            <w:gridSpan w:val="12"/>
            <w:tcBorders/>
            <w:tcMar>
              <w:top w:w="0" w:type="dxa"/>
              <w:left w:w="0" w:type="dxa"/>
              <w:bottom w:w="0" w:type="dxa"/>
              <w:right w:w="0" w:type="dxa"/>
            </w:tcMar>
            <w:vAlign w:val="center"/>
          </w:tcPr>
          <w:p>
            <w:pPr>
              <w:pStyle w:val="TableContents"/>
              <w:bidi w:val="0"/>
              <w:spacing w:lineRule="auto" w:line="240" w:before="0" w:after="60"/>
              <w:jc w:val="left"/>
              <w:rPr>
                <w:rFonts w:ascii="Arial;sans-serif" w:hAnsi="Arial;sans-serif"/>
                <w:b/>
                <w:color w:val="000000"/>
                <w:sz w:val="24"/>
              </w:rPr>
            </w:pPr>
            <w:r>
              <w:rPr>
                <w:rFonts w:ascii="Arial;sans-serif" w:hAnsi="Arial;sans-serif"/>
                <w:b/>
                <w:color w:val="000000"/>
                <w:sz w:val="24"/>
              </w:rPr>
              <w:t>Quarterly Business Unit Financial Results</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FQ4-26</w:t>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FQ3-26</w:t>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FQ4-25</w:t>
            </w:r>
          </w:p>
        </w:tc>
      </w:tr>
      <w:tr>
        <w:trPr/>
        <w:tc>
          <w:tcPr>
            <w:tcW w:w="3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Cloud Memory Business Unit</w:t>
            </w:r>
          </w:p>
        </w:tc>
        <w:tc>
          <w:tcPr>
            <w:tcW w:w="149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16,283 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13,769 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4,543 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Gross margin</w:t>
            </w:r>
          </w:p>
        </w:tc>
        <w:tc>
          <w:tcPr>
            <w:tcW w:w="116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83 </w:t>
            </w:r>
          </w:p>
        </w:tc>
        <w:tc>
          <w:tcPr>
            <w:tcW w:w="333"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16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83 </w:t>
            </w:r>
          </w:p>
        </w:tc>
        <w:tc>
          <w:tcPr>
            <w:tcW w:w="333"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4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59 </w:t>
            </w:r>
          </w:p>
        </w:tc>
        <w:tc>
          <w:tcPr>
            <w:tcW w:w="395"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margin </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2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Core Data Center Business Unit</w:t>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Revenue</w:t>
            </w:r>
          </w:p>
        </w:tc>
        <w:tc>
          <w:tcPr>
            <w:tcW w:w="27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3"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18,002 </w:t>
            </w:r>
          </w:p>
        </w:tc>
        <w:tc>
          <w:tcPr>
            <w:tcW w:w="33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3"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11,524 </w:t>
            </w:r>
          </w:p>
        </w:tc>
        <w:tc>
          <w:tcPr>
            <w:tcW w:w="33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1,577 </w:t>
            </w:r>
          </w:p>
        </w:tc>
        <w:tc>
          <w:tcPr>
            <w:tcW w:w="39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Gross margin</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margin</w:t>
            </w:r>
          </w:p>
        </w:tc>
        <w:tc>
          <w:tcPr>
            <w:tcW w:w="116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85 </w:t>
            </w:r>
          </w:p>
        </w:tc>
        <w:tc>
          <w:tcPr>
            <w:tcW w:w="333"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16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83 </w:t>
            </w:r>
          </w:p>
        </w:tc>
        <w:tc>
          <w:tcPr>
            <w:tcW w:w="333"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4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25 </w:t>
            </w:r>
          </w:p>
        </w:tc>
        <w:tc>
          <w:tcPr>
            <w:tcW w:w="395"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Mobile and Client Business Unit</w:t>
            </w:r>
          </w:p>
        </w:tc>
        <w:tc>
          <w:tcPr>
            <w:tcW w:w="149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13,114 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11,521 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3,760 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Gross margin</w:t>
            </w:r>
          </w:p>
        </w:tc>
        <w:tc>
          <w:tcPr>
            <w:tcW w:w="116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90 </w:t>
            </w:r>
          </w:p>
        </w:tc>
        <w:tc>
          <w:tcPr>
            <w:tcW w:w="333"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16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87 </w:t>
            </w:r>
          </w:p>
        </w:tc>
        <w:tc>
          <w:tcPr>
            <w:tcW w:w="333"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4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36 </w:t>
            </w:r>
          </w:p>
        </w:tc>
        <w:tc>
          <w:tcPr>
            <w:tcW w:w="395"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margin</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2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Automotive and Embedded Business Unit</w:t>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Revenue</w:t>
            </w:r>
          </w:p>
        </w:tc>
        <w:tc>
          <w:tcPr>
            <w:tcW w:w="27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3"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6,824 </w:t>
            </w:r>
          </w:p>
        </w:tc>
        <w:tc>
          <w:tcPr>
            <w:tcW w:w="33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3"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4,634 </w:t>
            </w:r>
          </w:p>
        </w:tc>
        <w:tc>
          <w:tcPr>
            <w:tcW w:w="33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1,434 </w:t>
            </w:r>
          </w:p>
        </w:tc>
        <w:tc>
          <w:tcPr>
            <w:tcW w:w="39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Gross margin</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20"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margin</w:t>
            </w:r>
          </w:p>
        </w:tc>
        <w:tc>
          <w:tcPr>
            <w:tcW w:w="116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79 </w:t>
            </w:r>
          </w:p>
        </w:tc>
        <w:tc>
          <w:tcPr>
            <w:tcW w:w="333"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16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75 </w:t>
            </w:r>
          </w:p>
        </w:tc>
        <w:tc>
          <w:tcPr>
            <w:tcW w:w="333"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4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20 </w:t>
            </w:r>
          </w:p>
        </w:tc>
        <w:tc>
          <w:tcPr>
            <w:tcW w:w="395"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Business Outlook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Micron’s guidance for the first quarter of 2027:</w:t>
      </w:r>
    </w:p>
    <w:tbl>
      <w:tblPr>
        <w:tblW w:w="6154" w:type="dxa"/>
        <w:jc w:val="left"/>
        <w:tblInd w:w="0" w:type="dxa"/>
        <w:tblLayout w:type="fixed"/>
        <w:tblCellMar>
          <w:top w:w="28" w:type="dxa"/>
          <w:left w:w="28" w:type="dxa"/>
          <w:bottom w:w="28" w:type="dxa"/>
          <w:right w:w="28" w:type="dxa"/>
        </w:tblCellMar>
      </w:tblPr>
      <w:tblGrid>
        <w:gridCol w:w="726"/>
        <w:gridCol w:w="640"/>
        <w:gridCol w:w="644"/>
        <w:gridCol w:w="664"/>
        <w:gridCol w:w="664"/>
        <w:gridCol w:w="667"/>
        <w:gridCol w:w="109"/>
        <w:gridCol w:w="597"/>
        <w:gridCol w:w="597"/>
        <w:gridCol w:w="846"/>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FQ1-27</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GAAP</w:t>
            </w:r>
            <w:r>
              <w:rPr>
                <w:rFonts w:ascii="Arial Narrow;sans-serif" w:hAnsi="Arial Narrow;sans-serif"/>
                <w:b/>
                <w:color w:val="000000"/>
                <w:sz w:val="13"/>
              </w:rPr>
              <w:t>(1)</w:t>
            </w:r>
            <w:r>
              <w:rPr>
                <w:color w:val="000000"/>
              </w:rPr>
              <w:t xml:space="preserve"> </w:t>
            </w:r>
            <w:r>
              <w:rPr>
                <w:rFonts w:ascii="Arial Narrow;sans-serif" w:hAnsi="Arial Narrow;sans-serif"/>
                <w:b/>
                <w:color w:val="000000"/>
                <w:sz w:val="20"/>
              </w:rPr>
              <w:t>Outlook</w:t>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Non-GAAP</w:t>
            </w:r>
            <w:r>
              <w:rPr>
                <w:rFonts w:ascii="Arial Narrow;sans-serif" w:hAnsi="Arial Narrow;sans-serif"/>
                <w:b/>
                <w:color w:val="000000"/>
                <w:sz w:val="13"/>
              </w:rPr>
              <w:t>(2)</w:t>
            </w:r>
            <w:r>
              <w:rPr>
                <w:color w:val="000000"/>
              </w:rPr>
              <w:t xml:space="preserve"> </w:t>
            </w:r>
            <w:r>
              <w:rPr>
                <w:rFonts w:ascii="Arial Narrow;sans-serif" w:hAnsi="Arial Narrow;sans-serif"/>
                <w:b/>
                <w:color w:val="000000"/>
                <w:sz w:val="20"/>
              </w:rPr>
              <w:t>Outlook</w:t>
            </w:r>
          </w:p>
        </w:tc>
      </w:tr>
      <w:tr>
        <w:trPr/>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DDDDDD"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Revenue</w:t>
            </w:r>
          </w:p>
        </w:tc>
        <w:tc>
          <w:tcPr>
            <w:tcW w:w="19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 billion ± $1.5 billion</w:t>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 billion ± $1.5 billion</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Gross margin</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Approximately 85.95%</w:t>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Approximately 86.25%</w:t>
            </w:r>
          </w:p>
        </w:tc>
      </w:tr>
      <w:tr>
        <w:trPr/>
        <w:tc>
          <w:tcPr>
            <w:tcW w:w="2010" w:type="dxa"/>
            <w:gridSpan w:val="3"/>
            <w:tcBorders/>
            <w:shd w:fill="DDDDDD"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9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Approximately $2.31 billion</w:t>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Approximately $2.06 billion</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Diluted earnings per share</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$37.84 ± $1.00</w:t>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$38.15 ± $1.00</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Further information regarding Micron’s business outlook is included in the prepared remarks and slides, which have been posted at </w:t>
      </w:r>
      <w:r>
        <w:rPr>
          <w:rFonts w:ascii="Arial;sans-serif" w:hAnsi="Arial;sans-serif"/>
          <w:b w:val="false"/>
          <w:color w:val="BD03F7"/>
          <w:sz w:val="20"/>
          <w:u w:val="single"/>
        </w:rPr>
        <w:t>investors.micron.com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Product Highlights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We began sampling the industry's first 512GB ultra dense high-capacity DDR5 RDIMM modules capable of speeds up to 9,200 MT/s.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We have completed multiple customer qualifications of our 1-gamma based, 8,800 MT/s high-speed server RDIMM modules.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Our industry leading server LPDDR SOCAMM portfolio revenue more than doubled sequentially in the fourth quarter of 2026.</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Our 7600 PCIe Gen 5 and 9650 PCIe Gen 6 SSD high-performance products are now shipping to market-leading customers for KV-cache applications.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Our 6600 ION SSD achieved a strong volume ramp in the fourth quarter of 2026.</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We are now shipping 6-channel 1-gamma LPDDR5X for flagship mobile devices.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We have secured design wins with every Tier 1 OEM customer for AI workstation product.</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Our 4600 SSD secured additional qualifications with leading PC OEMs.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We began sampling 1-gamma based LPDDR6 products to multiple physical AI markets.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Webcast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Micron will host a conference call on Wednesday, September 30, 2026 at 2:30 p.m. Mountain Time to discuss its fourth-quarter and full-year financial results and provide forward-looking guidance for its first quarter. A live webcast of the call will be available online at </w:t>
      </w:r>
      <w:r>
        <w:rPr>
          <w:rFonts w:ascii="Arial;sans-serif" w:hAnsi="Arial;sans-serif"/>
          <w:b w:val="false"/>
          <w:color w:val="BD03F7"/>
          <w:sz w:val="20"/>
          <w:u w:val="single"/>
        </w:rPr>
        <w:t>investors.micron.com</w:t>
      </w:r>
      <w:r>
        <w:rPr>
          <w:rFonts w:ascii="Arial;sans-serif" w:hAnsi="Arial;sans-serif"/>
          <w:b w:val="false"/>
          <w:color w:val="000000"/>
          <w:sz w:val="20"/>
        </w:rPr>
        <w:t xml:space="preserve">. A webcast replay will be available for one year after the call.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encourage you to visit our website at micron.com throughout the quarter for the most current information on the company, including information on financial conferences that we may be attending. You can also follow us on LinkedIn, X (@MicronTech) and YouTube (@MicronTechnology).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Micron Technology, Inc.</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Micron Technology, Inc. is a global leader in semiconductor memory and storage, powering AI and compute-intensive applications from cloud to edge. With a relentless focus on our customers, technology and product leadership, and manufacturing and operational excellence, Micron’s comprehensive portfolio of high-performance DRAM, NAND and NOR solutions deliver the speed, efficiency, and scale today’s workloads demand, accelerating intelligence to enrich life for all. To learn more about Micron Technology, Inc. (Nasdaq: MU), visit </w:t>
      </w:r>
      <w:r>
        <w:rPr>
          <w:rFonts w:ascii="Arial;sans-serif" w:hAnsi="Arial;sans-serif"/>
          <w:b w:val="false"/>
          <w:color w:val="BD03F7"/>
          <w:sz w:val="20"/>
          <w:u w:val="single"/>
        </w:rPr>
        <w:t>micron.com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2026 Micron Technology, Inc. All rights reserved. Micron, the Micron logo, and all other Micron trademarks are the property of Micron Technology, Inc. All other trademarks are the property of their respective owners.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This press release contains forward-looking statements regarding our industry, our strategic position, our customers, including customer demand, our investments and the goals for such investments, our business opportunity, our products and technology, and our financial and operating performance, including our guidance for the first quarter.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w:t>
      </w:r>
      <w:r>
        <w:rPr>
          <w:rFonts w:ascii="Arial;sans-serif" w:hAnsi="Arial;sans-serif"/>
          <w:b w:val="false"/>
          <w:color w:val="BD03F7"/>
          <w:sz w:val="20"/>
          <w:u w:val="single"/>
        </w:rPr>
        <w:t>investors.micron.com/risk-factor</w:t>
      </w:r>
      <w:r>
        <w:rPr>
          <w:rFonts w:ascii="Arial;sans-serif" w:hAnsi="Arial;sans-serif"/>
          <w:b w:val="false"/>
          <w:color w:val="000000"/>
          <w:sz w:val="20"/>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3"/>
        </w:rPr>
        <w:t>(1)</w:t>
      </w:r>
      <w:r>
        <w:rPr>
          <w:rFonts w:ascii="Arial;sans-serif" w:hAnsi="Arial;sans-serif"/>
          <w:b w:val="false"/>
          <w:color w:val="000000"/>
          <w:sz w:val="20"/>
        </w:rPr>
        <w:t>GAAP represents U.S. Generally Accepted Accounting Principles.</w:t>
      </w:r>
    </w:p>
    <w:p>
      <w:pPr>
        <w:pStyle w:val="TextBody"/>
        <w:bidi w:val="0"/>
        <w:spacing w:lineRule="auto" w:line="288" w:before="0" w:after="0"/>
        <w:ind w:left="0" w:right="0" w:hanging="360"/>
        <w:jc w:val="left"/>
        <w:rPr/>
      </w:pPr>
      <w:r>
        <w:rPr>
          <w:rFonts w:ascii="Arial;sans-serif" w:hAnsi="Arial;sans-serif"/>
          <w:b w:val="false"/>
          <w:color w:val="000000"/>
          <w:sz w:val="13"/>
        </w:rPr>
        <w:t>(2)</w:t>
      </w:r>
      <w:r>
        <w:rPr>
          <w:rFonts w:ascii="Arial;sans-serif" w:hAnsi="Arial;sans-serif"/>
          <w:b w:val="false"/>
          <w:color w:val="000000"/>
          <w:sz w:val="20"/>
        </w:rPr>
        <w:t>Non-GAAP represents GAAP excluding the impact of certain activities, which management excludes in analyzing our operating results and understanding trends in our earnings; adjusted free cash flow; investments in capital expenditures, net; and business outlook. Further information regarding Micron’s use of non-GAAP measures and reconciliations between GAAP and non-GAAP measures are included within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MICRON TECHNOLOGY,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amounts)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9079" w:type="dxa"/>
        <w:jc w:val="center"/>
        <w:tblInd w:w="0" w:type="dxa"/>
        <w:tblLayout w:type="fixed"/>
        <w:tblCellMar>
          <w:top w:w="28" w:type="dxa"/>
          <w:left w:w="28" w:type="dxa"/>
          <w:bottom w:w="28" w:type="dxa"/>
          <w:right w:w="28" w:type="dxa"/>
        </w:tblCellMar>
      </w:tblPr>
      <w:tblGrid>
        <w:gridCol w:w="1416"/>
        <w:gridCol w:w="1248"/>
        <w:gridCol w:w="1250"/>
        <w:gridCol w:w="232"/>
        <w:gridCol w:w="764"/>
        <w:gridCol w:w="129"/>
        <w:gridCol w:w="196"/>
        <w:gridCol w:w="646"/>
        <w:gridCol w:w="109"/>
        <w:gridCol w:w="198"/>
        <w:gridCol w:w="652"/>
        <w:gridCol w:w="110"/>
        <w:gridCol w:w="212"/>
        <w:gridCol w:w="796"/>
        <w:gridCol w:w="117"/>
        <w:gridCol w:w="197"/>
        <w:gridCol w:w="652"/>
        <w:gridCol w:w="155"/>
      </w:tblGrid>
      <w:tr>
        <w:trPr/>
        <w:tc>
          <w:tcPr>
            <w:tcW w:w="141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4th Qtr.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3rd Qtr.</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4th Qtr.</w:t>
            </w:r>
          </w:p>
        </w:tc>
        <w:tc>
          <w:tcPr>
            <w:tcW w:w="2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w:t>
              <w:br/>
              <w:t>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May 28,</w:t>
              <w:br/>
              <w:t>2026</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w:t>
              <w:br/>
              <w:t>2026</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r>
      <w:tr>
        <w:trPr/>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w:t>
            </w:r>
          </w:p>
        </w:tc>
        <w:tc>
          <w:tcPr>
            <w:tcW w:w="23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54,229 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41,456 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11,315 </w:t>
            </w:r>
          </w:p>
        </w:tc>
        <w:tc>
          <w:tcPr>
            <w:tcW w:w="11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133,188 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37,378 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Cost of goods sold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margin</w:t>
            </w:r>
          </w:p>
        </w:tc>
        <w:tc>
          <w:tcPr>
            <w:tcW w:w="996"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47,047 </w:t>
            </w:r>
          </w:p>
        </w:tc>
        <w:tc>
          <w:tcPr>
            <w:tcW w:w="129"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35,056 </w:t>
            </w:r>
          </w:p>
        </w:tc>
        <w:tc>
          <w:tcPr>
            <w:tcW w:w="109"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5,054 </w:t>
            </w:r>
          </w:p>
        </w:tc>
        <w:tc>
          <w:tcPr>
            <w:tcW w:w="110"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107,504 </w:t>
            </w:r>
          </w:p>
        </w:tc>
        <w:tc>
          <w:tcPr>
            <w:tcW w:w="117"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14,873 </w:t>
            </w:r>
          </w:p>
        </w:tc>
        <w:tc>
          <w:tcPr>
            <w:tcW w:w="155"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Research and development</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1,913 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1,316 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1,047 </w:t>
            </w:r>
          </w:p>
        </w:tc>
        <w:tc>
          <w:tcPr>
            <w:tcW w:w="11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5,650 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3,798 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(income) expense, net</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39 </w:t>
            </w:r>
          </w:p>
        </w:tc>
        <w:tc>
          <w:tcPr>
            <w:tcW w:w="11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43,751 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99,340 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income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w:t>
            </w:r>
          </w:p>
        </w:tc>
        <w:tc>
          <w:tcPr>
            <w:tcW w:w="11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(477)</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non-operating income (expense),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44,238 </w:t>
            </w:r>
          </w:p>
        </w:tc>
        <w:tc>
          <w:tcPr>
            <w:tcW w:w="129"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33,212 </w:t>
            </w:r>
          </w:p>
        </w:tc>
        <w:tc>
          <w:tcPr>
            <w:tcW w:w="109"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3,631 </w:t>
            </w:r>
          </w:p>
        </w:tc>
        <w:tc>
          <w:tcPr>
            <w:tcW w:w="110"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99,671 </w:t>
            </w:r>
          </w:p>
        </w:tc>
        <w:tc>
          <w:tcPr>
            <w:tcW w:w="117"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9,654 </w:t>
            </w:r>
          </w:p>
        </w:tc>
        <w:tc>
          <w:tcPr>
            <w:tcW w:w="155"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(provision) benefit</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(6,583)</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(4,978)</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w:t>
            </w:r>
          </w:p>
        </w:tc>
        <w:tc>
          <w:tcPr>
            <w:tcW w:w="11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(14,761)</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(1,124)</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Equity in net income (loss) of equity method investees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232" w:type="dxa"/>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37,701 </w:t>
            </w:r>
          </w:p>
        </w:tc>
        <w:tc>
          <w:tcPr>
            <w:tcW w:w="129"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28,243 </w:t>
            </w:r>
          </w:p>
        </w:tc>
        <w:tc>
          <w:tcPr>
            <w:tcW w:w="109"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3,201 </w:t>
            </w:r>
          </w:p>
        </w:tc>
        <w:tc>
          <w:tcPr>
            <w:tcW w:w="110"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6" w:type="dxa"/>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84,969 </w:t>
            </w:r>
          </w:p>
        </w:tc>
        <w:tc>
          <w:tcPr>
            <w:tcW w:w="117"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8,539 </w:t>
            </w:r>
          </w:p>
        </w:tc>
        <w:tc>
          <w:tcPr>
            <w:tcW w:w="155"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w:t>
            </w:r>
          </w:p>
        </w:tc>
        <w:tc>
          <w:tcPr>
            <w:tcW w:w="11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32.87 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24.67 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2.83 </w:t>
            </w:r>
          </w:p>
        </w:tc>
        <w:tc>
          <w:tcPr>
            <w:tcW w:w="11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74.33 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7.59 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Number of shares used in per share calculations</w:t>
            </w:r>
          </w:p>
        </w:tc>
        <w:tc>
          <w:tcPr>
            <w:tcW w:w="11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1,147 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1,131 </w:t>
            </w:r>
          </w:p>
        </w:tc>
        <w:tc>
          <w:tcPr>
            <w:tcW w:w="11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1,143 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MICRON TECHNOLOGY,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6740" w:type="dxa"/>
        <w:jc w:val="center"/>
        <w:tblInd w:w="0" w:type="dxa"/>
        <w:tblLayout w:type="fixed"/>
        <w:tblCellMar>
          <w:top w:w="28" w:type="dxa"/>
          <w:left w:w="28" w:type="dxa"/>
          <w:bottom w:w="28" w:type="dxa"/>
          <w:right w:w="28" w:type="dxa"/>
        </w:tblCellMar>
      </w:tblPr>
      <w:tblGrid>
        <w:gridCol w:w="1291"/>
        <w:gridCol w:w="1135"/>
        <w:gridCol w:w="1144"/>
        <w:gridCol w:w="212"/>
        <w:gridCol w:w="796"/>
        <w:gridCol w:w="117"/>
        <w:gridCol w:w="196"/>
        <w:gridCol w:w="736"/>
        <w:gridCol w:w="109"/>
        <w:gridCol w:w="197"/>
        <w:gridCol w:w="652"/>
        <w:gridCol w:w="155"/>
      </w:tblGrid>
      <w:tr>
        <w:trPr/>
        <w:tc>
          <w:tcPr>
            <w:tcW w:w="129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 of</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w:t>
              <w:br/>
              <w:t>2026</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May 28,</w:t>
              <w:br/>
              <w:t>2026</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r>
      <w:tr>
        <w:trPr/>
        <w:tc>
          <w:tcPr>
            <w:tcW w:w="35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1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equivalents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Short-term investments</w:t>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5,070 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1,027 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665 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Receivables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Inventories</w:t>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10,372 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8,567 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8,355 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current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assets</w:t>
            </w:r>
          </w:p>
        </w:tc>
        <w:tc>
          <w:tcPr>
            <w:tcW w:w="1008"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91,070 </w:t>
            </w:r>
          </w:p>
        </w:tc>
        <w:tc>
          <w:tcPr>
            <w:tcW w:w="117"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66,737 </w:t>
            </w:r>
          </w:p>
        </w:tc>
        <w:tc>
          <w:tcPr>
            <w:tcW w:w="109"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28,841 </w:t>
            </w:r>
          </w:p>
        </w:tc>
        <w:tc>
          <w:tcPr>
            <w:tcW w:w="155"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marketable investments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plant, and equipment</w:t>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63,310 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56,426 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46,590 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10,339 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5,693 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4,588 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195,888 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134,112 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82,798 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 and equity</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Accounts payable and accrued expenses</w:t>
            </w:r>
          </w:p>
        </w:tc>
        <w:tc>
          <w:tcPr>
            <w:tcW w:w="21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22,605 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15,521 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9,649 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debt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current liabilities</w:t>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4,386 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1,245 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liabilities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27,482 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11,454 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w:t>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4,688 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14,017 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Noncurrent unearned government incentives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Noncurrent customer contract liabilities</w:t>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12,895 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liabilities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008"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57,510 </w:t>
            </w:r>
          </w:p>
        </w:tc>
        <w:tc>
          <w:tcPr>
            <w:tcW w:w="117"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33,388 </w:t>
            </w:r>
          </w:p>
        </w:tc>
        <w:tc>
          <w:tcPr>
            <w:tcW w:w="109"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28,633 </w:t>
            </w:r>
          </w:p>
        </w:tc>
        <w:tc>
          <w:tcPr>
            <w:tcW w:w="155"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Commitments and contingencies</w:t>
            </w:r>
          </w:p>
        </w:tc>
        <w:tc>
          <w:tcPr>
            <w:tcW w:w="11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Shareholders’ equity</w:t>
            </w:r>
          </w:p>
        </w:tc>
        <w:tc>
          <w:tcPr>
            <w:tcW w:w="11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Common stock</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Additional capital</w:t>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14,974 </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14,442 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13,339 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Retained earnings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131,851 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Treasury stock</w:t>
            </w:r>
          </w:p>
        </w:tc>
        <w:tc>
          <w:tcPr>
            <w:tcW w:w="10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(8,502)</w:t>
            </w:r>
          </w:p>
        </w:tc>
        <w:tc>
          <w:tcPr>
            <w:tcW w:w="11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(8,502)</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(7,852)</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income (loss)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equity</w:t>
            </w:r>
          </w:p>
        </w:tc>
        <w:tc>
          <w:tcPr>
            <w:tcW w:w="1008"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138,378 </w:t>
            </w:r>
          </w:p>
        </w:tc>
        <w:tc>
          <w:tcPr>
            <w:tcW w:w="117"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100,724 </w:t>
            </w:r>
          </w:p>
        </w:tc>
        <w:tc>
          <w:tcPr>
            <w:tcW w:w="109"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54,165 </w:t>
            </w:r>
          </w:p>
        </w:tc>
        <w:tc>
          <w:tcPr>
            <w:tcW w:w="155"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equity</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195,888 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134,112 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82,798 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MICRON TECHNOLOGY,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left"/>
        <w:rPr/>
      </w:pPr>
      <w:r>
        <w:rPr/>
      </w:r>
    </w:p>
    <w:tbl>
      <w:tblPr>
        <w:tblW w:w="8744" w:type="dxa"/>
        <w:jc w:val="center"/>
        <w:tblInd w:w="0" w:type="dxa"/>
        <w:tblLayout w:type="fixed"/>
        <w:tblCellMar>
          <w:top w:w="28" w:type="dxa"/>
          <w:left w:w="28" w:type="dxa"/>
          <w:bottom w:w="28" w:type="dxa"/>
          <w:right w:w="28" w:type="dxa"/>
        </w:tblCellMar>
      </w:tblPr>
      <w:tblGrid>
        <w:gridCol w:w="2396"/>
        <w:gridCol w:w="2106"/>
        <w:gridCol w:w="2113"/>
        <w:gridCol w:w="232"/>
        <w:gridCol w:w="764"/>
        <w:gridCol w:w="129"/>
        <w:gridCol w:w="217"/>
        <w:gridCol w:w="617"/>
        <w:gridCol w:w="170"/>
      </w:tblGrid>
      <w:tr>
        <w:trPr/>
        <w:tc>
          <w:tcPr>
            <w:tcW w:w="2396"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For the year ended</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w:t>
              <w:br/>
              <w:t>2026</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r>
      <w:tr>
        <w:trPr/>
        <w:tc>
          <w:tcPr>
            <w:tcW w:w="6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from operating activities</w:t>
            </w:r>
          </w:p>
        </w:tc>
        <w:tc>
          <w:tcPr>
            <w:tcW w:w="11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84,969 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Adjustments to reconcile net income to net cash provided by operating activities:</w:t>
            </w:r>
          </w:p>
        </w:tc>
        <w:tc>
          <w:tcPr>
            <w:tcW w:w="11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expense and amortization of intangible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Stock-based compensation</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1,333 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972 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Change in operating assets and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Receivables</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(25,206)</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(1,776)</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Inventories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Accounts payable and accrued expenses</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8,707 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862 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current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liabilities</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9,633 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w:t>
            </w:r>
          </w:p>
        </w:tc>
        <w:tc>
          <w:tcPr>
            <w:tcW w:w="996"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89,675 </w:t>
            </w:r>
          </w:p>
        </w:tc>
        <w:tc>
          <w:tcPr>
            <w:tcW w:w="129"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D1D2D4"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17,525 </w:t>
            </w:r>
          </w:p>
        </w:tc>
        <w:tc>
          <w:tcPr>
            <w:tcW w:w="170" w:type="dxa"/>
            <w:tcBorders>
              <w:top w:val="single" w:sz="8" w:space="0" w:color="000000"/>
            </w:tcBorders>
            <w:shd w:fill="D1D2D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from investing activities</w:t>
            </w:r>
          </w:p>
        </w:tc>
        <w:tc>
          <w:tcPr>
            <w:tcW w:w="11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Purchases of available-for-sale securities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Expenditures for property, plant, and equipment</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(30,712)</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(15,857)</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Purchases of non-marketable equity securities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Proceeds from government incentives</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3,316 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2,005 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Proceeds from maturities and sales of available-for-sale securities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for investing activities</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(61,641)</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(14,087)</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from financing activities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Proceeds from customer contract liability deposits</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12,747 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Proceeds from issuance of debt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Repayments of debt</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(10,043)</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(4,619)</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Repurchases of common stock - withholdings on employee equity awards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Repurchases of common stock - repurchase program</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(650)</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 of dividends to shareholders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(used for) financing activities</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(850)</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Effect of changes in currency exchange rates on cash, cash equivalents, and restricted cash</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increase in cash, cash equivalents, and restricted cash</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cash equivalents, and restricted cash at beginning of period</w:t>
            </w:r>
          </w:p>
        </w:tc>
        <w:tc>
          <w:tcPr>
            <w:tcW w:w="99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9,646 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7,052 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cash equivalents, and restricted cash at end of period</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38,391 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9,646 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MICRON TECHNOLOGY, INC.</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RECONCILIATION OF GAAP TO NON-GAAP MEASURES</w:t>
      </w:r>
    </w:p>
    <w:p>
      <w:pPr>
        <w:pStyle w:val="TextBody"/>
        <w:bidi w:val="0"/>
        <w:spacing w:lineRule="auto" w:line="288"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1865"/>
        <w:gridCol w:w="1601"/>
        <w:gridCol w:w="1606"/>
        <w:gridCol w:w="228"/>
        <w:gridCol w:w="753"/>
        <w:gridCol w:w="127"/>
        <w:gridCol w:w="196"/>
        <w:gridCol w:w="646"/>
        <w:gridCol w:w="109"/>
        <w:gridCol w:w="216"/>
        <w:gridCol w:w="614"/>
        <w:gridCol w:w="119"/>
        <w:gridCol w:w="210"/>
        <w:gridCol w:w="790"/>
        <w:gridCol w:w="116"/>
        <w:gridCol w:w="196"/>
        <w:gridCol w:w="651"/>
        <w:gridCol w:w="162"/>
      </w:tblGrid>
      <w:tr>
        <w:trPr/>
        <w:tc>
          <w:tcPr>
            <w:tcW w:w="186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4th Qtr.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3rd Qtr.</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4th Qtr.</w:t>
            </w:r>
          </w:p>
        </w:tc>
        <w:tc>
          <w:tcPr>
            <w:tcW w:w="21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w:t>
            </w:r>
          </w:p>
        </w:tc>
      </w:tr>
      <w:tr>
        <w:trPr/>
        <w:tc>
          <w:tcPr>
            <w:tcW w:w="5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w:t>
              <w:br/>
              <w:t>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May 28,</w:t>
              <w:br/>
              <w:t>2026</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w:t>
              <w:br/>
              <w:t>2026</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r>
      <w:tr>
        <w:trPr/>
        <w:tc>
          <w:tcPr>
            <w:tcW w:w="5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GAAP gross margin</w:t>
            </w:r>
          </w:p>
        </w:tc>
        <w:tc>
          <w:tcPr>
            <w:tcW w:w="228"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3"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47,047 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35,056 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5,054 </w:t>
            </w:r>
          </w:p>
        </w:tc>
        <w:tc>
          <w:tcPr>
            <w:tcW w:w="11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0"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107,504 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14,873 </w:t>
            </w:r>
          </w:p>
        </w:tc>
        <w:tc>
          <w:tcPr>
            <w:tcW w:w="16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8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4 </w:t>
            </w:r>
          </w:p>
        </w:tc>
        <w:tc>
          <w:tcPr>
            <w:tcW w:w="16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Non-GAAP gross margin</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47,204 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5,169 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108,032 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15,286 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GAAP operating expenses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w:t>
            </w:r>
          </w:p>
        </w:tc>
        <w:tc>
          <w:tcPr>
            <w:tcW w:w="98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w:t>
            </w:r>
          </w:p>
        </w:tc>
        <w:tc>
          <w:tcPr>
            <w:tcW w:w="11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w:t>
            </w:r>
          </w:p>
        </w:tc>
        <w:tc>
          <w:tcPr>
            <w:tcW w:w="16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Patent license charges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8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w:t>
            </w:r>
          </w:p>
        </w:tc>
        <w:tc>
          <w:tcPr>
            <w:tcW w:w="11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w:t>
            </w:r>
          </w:p>
        </w:tc>
        <w:tc>
          <w:tcPr>
            <w:tcW w:w="16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Non-GAAP operating expenses</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6,841 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4,440 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GAAP operating income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43,751 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99,340 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w:t>
            </w:r>
          </w:p>
        </w:tc>
        <w:tc>
          <w:tcPr>
            <w:tcW w:w="98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262 </w:t>
            </w:r>
          </w:p>
        </w:tc>
        <w:tc>
          <w:tcPr>
            <w:tcW w:w="11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1,282 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975 </w:t>
            </w:r>
          </w:p>
        </w:tc>
        <w:tc>
          <w:tcPr>
            <w:tcW w:w="16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Patent license charges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8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39 </w:t>
            </w:r>
          </w:p>
        </w:tc>
        <w:tc>
          <w:tcPr>
            <w:tcW w:w="11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44 </w:t>
            </w:r>
          </w:p>
        </w:tc>
        <w:tc>
          <w:tcPr>
            <w:tcW w:w="16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Non-GAAP operating income</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44,636 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33,681 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101,191 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10,846 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color w:val="000000"/>
                <w:sz w:val="20"/>
              </w:rPr>
            </w:pPr>
            <w:r>
              <w:rPr>
                <w:rFonts w:ascii="Arial Narrow;sans-serif" w:hAnsi="Arial Narrow;sans-serif"/>
                <w:b/>
                <w:color w:val="000000"/>
                <w:sz w:val="20"/>
              </w:rPr>
              <w:t>GAAP net income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84,969 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w:t>
            </w:r>
          </w:p>
        </w:tc>
        <w:tc>
          <w:tcPr>
            <w:tcW w:w="98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262 </w:t>
            </w:r>
          </w:p>
        </w:tc>
        <w:tc>
          <w:tcPr>
            <w:tcW w:w="11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1,282 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975 </w:t>
            </w:r>
          </w:p>
        </w:tc>
        <w:tc>
          <w:tcPr>
            <w:tcW w:w="16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Patent license charges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on debt prepayments</w:t>
            </w:r>
          </w:p>
        </w:tc>
        <w:tc>
          <w:tcPr>
            <w:tcW w:w="98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1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59 </w:t>
            </w:r>
          </w:p>
        </w:tc>
        <w:tc>
          <w:tcPr>
            <w:tcW w:w="16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Estimated tax effects of above and other tax adjustments</w:t>
            </w:r>
          </w:p>
        </w:tc>
        <w:tc>
          <w:tcPr>
            <w:tcW w:w="98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w:t>
            </w:r>
          </w:p>
        </w:tc>
        <w:tc>
          <w:tcPr>
            <w:tcW w:w="11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(554)</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w:t>
            </w:r>
          </w:p>
        </w:tc>
        <w:tc>
          <w:tcPr>
            <w:tcW w:w="16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Non-GAAP net income</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38,398 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86,758 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9,470 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color w:val="000000"/>
                <w:sz w:val="20"/>
              </w:rPr>
            </w:pPr>
            <w:r>
              <w:rPr>
                <w:rFonts w:ascii="Arial Narrow;sans-serif" w:hAnsi="Arial Narrow;sans-serif"/>
                <w:b/>
                <w:color w:val="000000"/>
                <w:sz w:val="20"/>
              </w:rPr>
              <w:t>GAAP weighted-average common shares outstanding - Diluted</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Adjustment for stock-based compensation</w:t>
            </w:r>
          </w:p>
        </w:tc>
        <w:tc>
          <w:tcPr>
            <w:tcW w:w="98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11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18 </w:t>
            </w:r>
          </w:p>
        </w:tc>
        <w:tc>
          <w:tcPr>
            <w:tcW w:w="16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color w:val="000000"/>
                <w:sz w:val="20"/>
              </w:rPr>
            </w:pPr>
            <w:r>
              <w:rPr>
                <w:rFonts w:ascii="Arial Narrow;sans-serif" w:hAnsi="Arial Narrow;sans-serif"/>
                <w:b/>
                <w:color w:val="000000"/>
                <w:sz w:val="20"/>
              </w:rPr>
              <w:t>Non-GAAP weighted-average common shares outstanding - Diluted</w:t>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1,149 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color w:val="000000"/>
                <w:sz w:val="20"/>
              </w:rPr>
            </w:pPr>
            <w:r>
              <w:rPr>
                <w:rFonts w:ascii="Arial Narrow;sans-serif" w:hAnsi="Arial Narrow;sans-serif"/>
                <w:b/>
                <w:color w:val="000000"/>
                <w:sz w:val="20"/>
              </w:rPr>
              <w:t>GAAP diluted earnings per share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D1D2D4"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Effects of the above adjustments</w:t>
            </w:r>
          </w:p>
        </w:tc>
        <w:tc>
          <w:tcPr>
            <w:tcW w:w="98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0.55 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0.44 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0.20 </w:t>
            </w:r>
          </w:p>
        </w:tc>
        <w:tc>
          <w:tcPr>
            <w:tcW w:w="11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16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color w:val="000000"/>
                <w:sz w:val="20"/>
              </w:rPr>
            </w:pPr>
            <w:r>
              <w:rPr>
                <w:rFonts w:ascii="Arial Narrow;sans-serif" w:hAnsi="Arial Narrow;sans-serif"/>
                <w:b/>
                <w:color w:val="000000"/>
                <w:sz w:val="20"/>
              </w:rPr>
              <w:t>Non-GAAP diluted earnings per share</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33.42 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75.52 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8.29 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RECONCILIATION OF GAAP TO NON-GAAP MEASURES, Continued</w:t>
      </w:r>
    </w:p>
    <w:p>
      <w:pPr>
        <w:pStyle w:val="TextBody"/>
        <w:bidi w:val="0"/>
        <w:spacing w:before="0" w:after="0"/>
        <w:ind w:left="0" w:right="0" w:firstLine="360"/>
        <w:jc w:val="center"/>
        <w:rPr/>
      </w:pPr>
      <w:r>
        <w:rPr/>
      </w:r>
    </w:p>
    <w:tbl>
      <w:tblPr>
        <w:tblW w:w="9153" w:type="dxa"/>
        <w:jc w:val="center"/>
        <w:tblInd w:w="0" w:type="dxa"/>
        <w:tblLayout w:type="fixed"/>
        <w:tblCellMar>
          <w:top w:w="28" w:type="dxa"/>
          <w:left w:w="28" w:type="dxa"/>
          <w:bottom w:w="28" w:type="dxa"/>
          <w:right w:w="28" w:type="dxa"/>
        </w:tblCellMar>
      </w:tblPr>
      <w:tblGrid>
        <w:gridCol w:w="1441"/>
        <w:gridCol w:w="1271"/>
        <w:gridCol w:w="1277"/>
        <w:gridCol w:w="232"/>
        <w:gridCol w:w="764"/>
        <w:gridCol w:w="129"/>
        <w:gridCol w:w="196"/>
        <w:gridCol w:w="646"/>
        <w:gridCol w:w="109"/>
        <w:gridCol w:w="218"/>
        <w:gridCol w:w="620"/>
        <w:gridCol w:w="121"/>
        <w:gridCol w:w="232"/>
        <w:gridCol w:w="764"/>
        <w:gridCol w:w="129"/>
        <w:gridCol w:w="197"/>
        <w:gridCol w:w="652"/>
        <w:gridCol w:w="155"/>
      </w:tblGrid>
      <w:tr>
        <w:trPr/>
        <w:tc>
          <w:tcPr>
            <w:tcW w:w="144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4th Qtr.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3rd Qtr.</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4th Qtr.</w:t>
            </w:r>
          </w:p>
        </w:tc>
        <w:tc>
          <w:tcPr>
            <w:tcW w:w="2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w:t>
              <w:br/>
              <w:t>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May 28,</w:t>
              <w:br/>
              <w:t>2026</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w:t>
              <w:br/>
              <w:t>2026</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r>
      <w:tr>
        <w:trPr/>
        <w:tc>
          <w:tcPr>
            <w:tcW w:w="3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color w:val="000000"/>
                <w:sz w:val="20"/>
              </w:rPr>
            </w:pPr>
            <w:r>
              <w:rPr>
                <w:rFonts w:ascii="Arial Narrow;sans-serif" w:hAnsi="Arial Narrow;sans-serif"/>
                <w:b/>
                <w:color w:val="000000"/>
                <w:sz w:val="20"/>
              </w:rPr>
              <w:t>GAAP net cash provided by operating activities</w:t>
            </w:r>
          </w:p>
        </w:tc>
        <w:tc>
          <w:tcPr>
            <w:tcW w:w="23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43,973 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5,730 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89,675 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17,525 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Expenditures for property, plant, and equipment</w:t>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(11,110)</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(5,658)</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(30,712)</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(15,857)</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Proceeds from sales of property, plant, and equipment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Proceeds from government incentives</w:t>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3,316 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2,005 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Investments in capital expenditures, net</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(10,774)</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(4,927)</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(27,367)</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(13,804)</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color w:val="000000"/>
                <w:sz w:val="20"/>
              </w:rPr>
            </w:pPr>
            <w:r>
              <w:rPr>
                <w:rFonts w:ascii="Arial Narrow;sans-serif" w:hAnsi="Arial Narrow;sans-serif"/>
                <w:b/>
                <w:color w:val="000000"/>
                <w:sz w:val="20"/>
              </w:rPr>
              <w:t>Adjusted free cash flow</w:t>
            </w:r>
          </w:p>
        </w:tc>
        <w:tc>
          <w:tcPr>
            <w:tcW w:w="23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33,199 </w:t>
            </w:r>
          </w:p>
        </w:tc>
        <w:tc>
          <w:tcPr>
            <w:tcW w:w="1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18,304 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2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803 </w:t>
            </w:r>
          </w:p>
        </w:tc>
        <w:tc>
          <w:tcPr>
            <w:tcW w:w="1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62,308 </w:t>
            </w:r>
          </w:p>
        </w:tc>
        <w:tc>
          <w:tcPr>
            <w:tcW w:w="1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3,721 </w:t>
            </w:r>
          </w:p>
        </w:tc>
        <w:tc>
          <w:tcPr>
            <w:tcW w:w="15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tables above reconcile GAAP to non-GAAP measures of gross margin, operating expenses, operating income, net income, diluted shares, diluted earnings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as applicable in analyzing our operating results and understanding trends in our earnings: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Stock-based compensation;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Gains and losses from settlements;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Gains and losses from debt prepayments;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Restructure and asset impairments;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estimated tax effects of above, non-cash changes in net deferred income taxes, assessments of tax exposures, certain tax matters related to prior fiscal periods, and significant changes in tax law. The divergence between our GAAP and non-GAAP income tax (provision) benefit relates to the difference in our GAAP and non-GAAP estimated annual effective tax rates, which are computed separately.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Non-GAAP diluted shares are adjusted for the impact of additional shares resulting from the exclusion of stock-based compensation from non-GAAP income.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MICRON TECHNOLOGY,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GAAP TO NON-GAAP OUTLOOK</w:t>
      </w:r>
    </w:p>
    <w:p>
      <w:pPr>
        <w:pStyle w:val="TextBody"/>
        <w:bidi w:val="0"/>
        <w:spacing w:before="0" w:after="0"/>
        <w:jc w:val="center"/>
        <w:rPr/>
      </w:pPr>
      <w:r>
        <w:rPr/>
      </w:r>
    </w:p>
    <w:tbl>
      <w:tblPr>
        <w:tblW w:w="8375" w:type="dxa"/>
        <w:jc w:val="center"/>
        <w:tblInd w:w="0" w:type="dxa"/>
        <w:tblLayout w:type="fixed"/>
        <w:tblCellMar>
          <w:top w:w="28" w:type="dxa"/>
          <w:left w:w="28" w:type="dxa"/>
          <w:bottom w:w="28" w:type="dxa"/>
          <w:right w:w="28" w:type="dxa"/>
        </w:tblCellMar>
      </w:tblPr>
      <w:tblGrid>
        <w:gridCol w:w="518"/>
        <w:gridCol w:w="458"/>
        <w:gridCol w:w="461"/>
        <w:gridCol w:w="230"/>
        <w:gridCol w:w="230"/>
        <w:gridCol w:w="230"/>
        <w:gridCol w:w="664"/>
        <w:gridCol w:w="664"/>
        <w:gridCol w:w="667"/>
        <w:gridCol w:w="109"/>
        <w:gridCol w:w="109"/>
        <w:gridCol w:w="109"/>
        <w:gridCol w:w="273"/>
        <w:gridCol w:w="273"/>
        <w:gridCol w:w="399"/>
        <w:gridCol w:w="204"/>
        <w:gridCol w:w="204"/>
        <w:gridCol w:w="206"/>
        <w:gridCol w:w="109"/>
        <w:gridCol w:w="109"/>
        <w:gridCol w:w="109"/>
        <w:gridCol w:w="596"/>
        <w:gridCol w:w="596"/>
        <w:gridCol w:w="848"/>
      </w:tblGrid>
      <w:tr>
        <w:trPr/>
        <w:tc>
          <w:tcPr>
            <w:tcW w:w="51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FQ1-27</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GAAP 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Non-GAAP Outlook</w:t>
            </w:r>
          </w:p>
        </w:tc>
      </w:tr>
      <w:tr>
        <w:trPr/>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6"/>
            <w:tcBorders/>
            <w:shd w:fill="D1D2D4"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Revenue</w:t>
            </w:r>
          </w:p>
        </w:tc>
        <w:tc>
          <w:tcPr>
            <w:tcW w:w="199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 billion ± $1.5 billion</w:t>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 billion ± $1.5 billion</w:t>
            </w:r>
          </w:p>
        </w:tc>
      </w:tr>
      <w:tr>
        <w:trPr/>
        <w:tc>
          <w:tcPr>
            <w:tcW w:w="2127"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Gross margin</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Approximately 85.95%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0.30 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Approximately 86.25%</w:t>
            </w:r>
          </w:p>
        </w:tc>
      </w:tr>
      <w:tr>
        <w:trPr/>
        <w:tc>
          <w:tcPr>
            <w:tcW w:w="2127" w:type="dxa"/>
            <w:gridSpan w:val="6"/>
            <w:tcBorders/>
            <w:shd w:fill="D1D2D4"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99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Approximately $2.31 billion</w:t>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 million</w:t>
            </w:r>
          </w:p>
        </w:tc>
        <w:tc>
          <w:tcPr>
            <w:tcW w:w="6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w:t>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Approximately $2.06 billion</w:t>
            </w:r>
          </w:p>
        </w:tc>
      </w:tr>
      <w:tr>
        <w:trPr/>
        <w:tc>
          <w:tcPr>
            <w:tcW w:w="212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Diluted earnings per share</w:t>
            </w:r>
            <w:r>
              <w:rPr>
                <w:rFonts w:ascii="Arial Narrow;sans-serif" w:hAnsi="Arial Narrow;sans-serif"/>
                <w:b w:val="false"/>
                <w:color w:val="000000"/>
                <w:sz w:val="13"/>
              </w:rPr>
              <w:t>(1)</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$37.84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$0.31</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 B,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$38.15 ± $1.00</w:t>
            </w:r>
          </w:p>
        </w:tc>
      </w:tr>
    </w:tbl>
    <w:tbl>
      <w:tblPr>
        <w:tblW w:w="6769" w:type="dxa"/>
        <w:jc w:val="center"/>
        <w:tblInd w:w="0" w:type="dxa"/>
        <w:tblLayout w:type="fixed"/>
        <w:tblCellMar>
          <w:top w:w="28" w:type="dxa"/>
          <w:left w:w="28" w:type="dxa"/>
          <w:bottom w:w="28" w:type="dxa"/>
          <w:right w:w="28" w:type="dxa"/>
        </w:tblCellMar>
      </w:tblPr>
      <w:tblGrid>
        <w:gridCol w:w="374"/>
        <w:gridCol w:w="329"/>
        <w:gridCol w:w="329"/>
        <w:gridCol w:w="667"/>
        <w:gridCol w:w="667"/>
        <w:gridCol w:w="677"/>
        <w:gridCol w:w="219"/>
        <w:gridCol w:w="219"/>
        <w:gridCol w:w="219"/>
        <w:gridCol w:w="219"/>
        <w:gridCol w:w="219"/>
        <w:gridCol w:w="219"/>
        <w:gridCol w:w="219"/>
        <w:gridCol w:w="219"/>
        <w:gridCol w:w="219"/>
        <w:gridCol w:w="219"/>
        <w:gridCol w:w="219"/>
        <w:gridCol w:w="219"/>
        <w:gridCol w:w="109"/>
        <w:gridCol w:w="109"/>
        <w:gridCol w:w="109"/>
        <w:gridCol w:w="196"/>
        <w:gridCol w:w="421"/>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Non-GAAP Adjustments</w:t>
            </w:r>
          </w:p>
          <w:p>
            <w:pPr>
              <w:pStyle w:val="TableContents"/>
              <w:bidi w:val="0"/>
              <w:spacing w:lineRule="auto" w:line="240" w:before="0" w:after="0"/>
              <w:jc w:val="left"/>
              <w:rPr>
                <w:rFonts w:ascii="Arial Narrow;sans-serif" w:hAnsi="Arial Narrow;sans-serif"/>
                <w:b w:val="false"/>
                <w:i/>
                <w:color w:val="000000"/>
                <w:sz w:val="20"/>
              </w:rPr>
            </w:pPr>
            <w:r>
              <w:rPr>
                <w:rFonts w:ascii="Arial Narrow;sans-serif" w:hAnsi="Arial Narrow;sans-serif"/>
                <w:b w:val="false"/>
                <w:i/>
                <w:color w:val="000000"/>
                <w:sz w:val="20"/>
              </w:rPr>
              <w:t>(in millions)</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D1D2D4"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A</w:t>
            </w:r>
          </w:p>
        </w:tc>
        <w:tc>
          <w:tcPr>
            <w:tcW w:w="4639" w:type="dxa"/>
            <w:gridSpan w:val="15"/>
            <w:tcBorders/>
            <w:shd w:fill="D1D2D4"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Stock-based compensation – cost of goods sold</w:t>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B</w:t>
            </w:r>
          </w:p>
        </w:tc>
        <w:tc>
          <w:tcPr>
            <w:tcW w:w="4639" w:type="dxa"/>
            <w:gridSpan w:val="15"/>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Stock-based compensation –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D1D2D4"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B</w:t>
            </w:r>
          </w:p>
        </w:tc>
        <w:tc>
          <w:tcPr>
            <w:tcW w:w="4639" w:type="dxa"/>
            <w:gridSpan w:val="15"/>
            <w:tcBorders/>
            <w:shd w:fill="D1D2D4"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Stock-based compensation – selling, general, and administrative</w:t>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C</w:t>
            </w:r>
          </w:p>
        </w:tc>
        <w:tc>
          <w:tcPr>
            <w:tcW w:w="463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effects of the above items and other 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1D2D4"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bottom w:val="double" w:sz="8" w:space="0" w:color="000000"/>
            </w:tcBorders>
            <w:shd w:fill="D1D2D4"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362 </w:t>
            </w:r>
          </w:p>
        </w:tc>
        <w:tc>
          <w:tcPr>
            <w:tcW w:w="154" w:type="dxa"/>
            <w:tcBorders>
              <w:top w:val="single" w:sz="8" w:space="0" w:color="000000"/>
              <w:bottom w:val="double" w:sz="8" w:space="0" w:color="000000"/>
            </w:tcBorders>
            <w:shd w:fill="D1D2D4"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pPr>
      <w:r>
        <w:rPr>
          <w:rFonts w:ascii="Arial;sans-serif" w:hAnsi="Arial;sans-serif"/>
          <w:b w:val="false"/>
          <w:color w:val="000000"/>
          <w:sz w:val="13"/>
        </w:rPr>
        <w:t>(1)</w:t>
      </w:r>
      <w:r>
        <w:rPr>
          <w:rFonts w:ascii="Arial;sans-serif" w:hAnsi="Arial;sans-serif"/>
          <w:b w:val="false"/>
          <w:color w:val="000000"/>
          <w:sz w:val="20"/>
        </w:rPr>
        <w:t>GAAP earnings per share and non-GAAP earnings per share based on approximately 1.15 billion diluted shares.</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3408</Words>
  <Characters>18715</Characters>
  <CharactersWithSpaces>21525</CharactersWithSpaces>
  <Paragraphs>1077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