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18,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6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October 18, 2021, Micron Technology, Inc. (“Micron” or “we”) entered into an underwriting agreement with Barclays Capital Inc., Credit Agricole Securities (USA) Inc., Mizuho Securities USA LLC, Wells Fargo Securities, LLC, HSBC Securities (USA) Inc., and Morgan Stanley &amp; Co. LLC, as representatives of the several underwriters named therein (the “Underwriters”), relating to the issuance and sale by Micron of $1,000,000,000 aggregate principal amount of 2.703% senior notes due 2032, $500,000,000 aggregate principal amount of 3.366% senior notes due 2041, and $500,000,000 aggregate principal amount of 3.477% senior notes due 2051 in a public offering pursuant to a registration statement on Form S-3 (File No. 333-249838), including the prospectus contained therein, filed with the Securities and Exchange Commission under the Securities Act of 1933, as amended, a preliminary prospectus supplement dated October 18, 2021 and a free writing prospectus dated October 18, 2021. The transaction is scheduled to close on November 1, 2021.</w:t>
      </w:r>
    </w:p>
    <w:p>
      <w:pPr>
        <w:spacing w:after="0" w:line="23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Underwriting Agreement includes customary representations, warranties and covenants by Micron. Under the terms of the Underwriting Agreement, Micron has agreed to indemnify the Underwriters against certain liabilities.</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description of the Underwriting Agreement contained herein is qualified in its entirety by reference to the Underwriting Agreement filed as Exhibit 1.1 to this Current Report on Form 8-K and incorporated herein by reference.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34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(d) Exhibits.</w:t>
            </w:r>
          </w:p>
        </w:tc>
      </w:tr>
      <w:tr>
        <w:trPr>
          <w:trHeight w:val="338"/>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2"/>
        </w:trPr>
        <w:tc>
          <w:tcPr>
            <w:tcW w:w="1340" w:type="dxa"/>
            <w:vAlign w:val="bottom"/>
          </w:tcPr>
          <w:p>
            <w:pPr>
              <w:jc w:val="right"/>
              <w:ind w:right="450"/>
              <w:spacing w:after="0" w:line="18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5"/>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Underwriting Agreement, dated October 18, 2021, by and among Micron Technology, Inc., Barclays Capital Inc., Credit</w:t>
              </w:r>
            </w:hyperlink>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Agricole Securities (USA) Inc., Mizuho Securities USA LLC, Wells Fargo Securities, LLC, HSBC Securities (USA) Inc.,</w:t>
              </w:r>
            </w:hyperlink>
          </w:p>
        </w:tc>
        <w:tc>
          <w:tcPr>
            <w:tcW w:w="20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and Morgan Stanley &amp; Co. LLC, as representatives of the several underwriters on Schedule I attached thereto</w:t>
              </w:r>
            </w:hyperlink>
          </w:p>
        </w:tc>
        <w:tc>
          <w:tcPr>
            <w:tcW w:w="640" w:type="dxa"/>
            <w:vAlign w:val="bottom"/>
            <w:tcBorders>
              <w:top w:val="single" w:sz="8" w:color="0000FF"/>
            </w:tcBorders>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250"/>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684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800" w:type="dxa"/>
            <w:vAlign w:val="bottom"/>
          </w:tcPr>
          <w:p>
            <w:pPr>
              <w:spacing w:after="0"/>
              <w:rPr>
                <w:sz w:val="20"/>
                <w:szCs w:val="20"/>
                <w:color w:val="auto"/>
              </w:rPr>
            </w:pPr>
            <w:r>
              <w:rPr>
                <w:rFonts w:ascii="Arial" w:cs="Arial" w:eastAsia="Arial" w:hAnsi="Arial"/>
                <w:sz w:val="18"/>
                <w:szCs w:val="18"/>
                <w:color w:val="auto"/>
              </w:rPr>
              <w:t>Date:   October 19, 2021</w:t>
            </w:r>
          </w:p>
        </w:tc>
        <w:tc>
          <w:tcPr>
            <w:tcW w:w="2580" w:type="dxa"/>
            <w:vAlign w:val="bottom"/>
          </w:tcPr>
          <w:p>
            <w:pPr>
              <w:ind w:left="168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800" w:type="dxa"/>
            <w:vAlign w:val="bottom"/>
          </w:tcPr>
          <w:p>
            <w:pPr>
              <w:spacing w:after="0"/>
              <w:rPr>
                <w:sz w:val="19"/>
                <w:szCs w:val="19"/>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800" w:type="dxa"/>
            <w:vAlign w:val="bottom"/>
          </w:tcPr>
          <w:p>
            <w:pPr>
              <w:spacing w:after="0"/>
              <w:rPr>
                <w:sz w:val="19"/>
                <w:szCs w:val="19"/>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1.1</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MICRON TECHNOLOGY,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$1,000,000,000 2.703% SENIOR NOTES DUE 2032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$500,000,000 3.366% SENIOR NOTES DUE 2041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$500,000,000 3.477% SENIOR NOTES DUE 2051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October 18, 2021</w:t>
      </w:r>
    </w:p>
    <w:p>
      <w:pPr>
        <w:sectPr>
          <w:pgSz w:w="11900" w:h="16838" w:orient="portrait"/>
          <w:cols w:equalWidth="0" w:num="1">
            <w:col w:w="11240"/>
          </w:cols>
          <w:pgMar w:left="320" w:top="1408" w:right="339" w:bottom="1440" w:gutter="0" w:footer="0" w:header="0"/>
        </w:sectPr>
      </w:pPr>
    </w:p>
    <w:bookmarkStart w:id="4" w:name="page5"/>
    <w:bookmarkEnd w:id="4"/>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October 18, 2021</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Barclays Capital Inc.</w:t>
      </w:r>
    </w:p>
    <w:p>
      <w:pPr>
        <w:spacing w:after="0"/>
        <w:rPr>
          <w:sz w:val="20"/>
          <w:szCs w:val="20"/>
          <w:color w:val="auto"/>
        </w:rPr>
      </w:pPr>
      <w:r>
        <w:rPr>
          <w:rFonts w:ascii="Arial" w:cs="Arial" w:eastAsia="Arial" w:hAnsi="Arial"/>
          <w:sz w:val="20"/>
          <w:szCs w:val="20"/>
          <w:color w:val="auto"/>
        </w:rPr>
        <w:t>Credit Agricole Securities (USA) Inc.</w:t>
      </w:r>
    </w:p>
    <w:p>
      <w:pPr>
        <w:spacing w:after="0"/>
        <w:rPr>
          <w:sz w:val="20"/>
          <w:szCs w:val="20"/>
          <w:color w:val="auto"/>
        </w:rPr>
      </w:pPr>
      <w:r>
        <w:rPr>
          <w:rFonts w:ascii="Arial" w:cs="Arial" w:eastAsia="Arial" w:hAnsi="Arial"/>
          <w:sz w:val="20"/>
          <w:szCs w:val="20"/>
          <w:color w:val="auto"/>
        </w:rPr>
        <w:t>Mizuho Securities USA LLC</w:t>
      </w:r>
    </w:p>
    <w:p>
      <w:pPr>
        <w:spacing w:after="0"/>
        <w:rPr>
          <w:sz w:val="20"/>
          <w:szCs w:val="20"/>
          <w:color w:val="auto"/>
        </w:rPr>
      </w:pPr>
      <w:r>
        <w:rPr>
          <w:rFonts w:ascii="Arial" w:cs="Arial" w:eastAsia="Arial" w:hAnsi="Arial"/>
          <w:sz w:val="20"/>
          <w:szCs w:val="20"/>
          <w:color w:val="auto"/>
        </w:rPr>
        <w:t>Wells Fargo Securities, LLC</w:t>
      </w:r>
    </w:p>
    <w:p>
      <w:pPr>
        <w:spacing w:after="0"/>
        <w:rPr>
          <w:sz w:val="20"/>
          <w:szCs w:val="20"/>
          <w:color w:val="auto"/>
        </w:rPr>
      </w:pPr>
      <w:r>
        <w:rPr>
          <w:rFonts w:ascii="Arial" w:cs="Arial" w:eastAsia="Arial" w:hAnsi="Arial"/>
          <w:sz w:val="20"/>
          <w:szCs w:val="20"/>
          <w:color w:val="auto"/>
        </w:rPr>
        <w:t>HSBC Securities (USA) Inc.</w:t>
      </w:r>
    </w:p>
    <w:p>
      <w:pPr>
        <w:spacing w:after="0"/>
        <w:rPr>
          <w:sz w:val="20"/>
          <w:szCs w:val="20"/>
          <w:color w:val="auto"/>
        </w:rPr>
      </w:pPr>
      <w:r>
        <w:rPr>
          <w:rFonts w:ascii="Arial" w:cs="Arial" w:eastAsia="Arial" w:hAnsi="Arial"/>
          <w:sz w:val="20"/>
          <w:szCs w:val="20"/>
          <w:color w:val="auto"/>
        </w:rPr>
        <w:t>Morgan Stanley &amp; Co. LLC</w:t>
      </w:r>
    </w:p>
    <w:p>
      <w:pPr>
        <w:spacing w:after="0"/>
        <w:rPr>
          <w:sz w:val="20"/>
          <w:szCs w:val="20"/>
          <w:color w:val="auto"/>
        </w:rPr>
      </w:pPr>
      <w:r>
        <w:rPr>
          <w:rFonts w:ascii="Arial" w:cs="Arial" w:eastAsia="Arial" w:hAnsi="Arial"/>
          <w:sz w:val="20"/>
          <w:szCs w:val="20"/>
          <w:color w:val="auto"/>
        </w:rPr>
        <w:t>As Representatives of the</w:t>
      </w:r>
    </w:p>
    <w:p>
      <w:pPr>
        <w:spacing w:after="0"/>
        <w:rPr>
          <w:sz w:val="20"/>
          <w:szCs w:val="20"/>
          <w:color w:val="auto"/>
        </w:rPr>
      </w:pPr>
      <w:r>
        <w:rPr>
          <w:rFonts w:ascii="Arial" w:cs="Arial" w:eastAsia="Arial" w:hAnsi="Arial"/>
          <w:sz w:val="20"/>
          <w:szCs w:val="20"/>
          <w:color w:val="auto"/>
        </w:rPr>
        <w:t>other several Underwriters listed</w:t>
      </w:r>
    </w:p>
    <w:p>
      <w:pPr>
        <w:spacing w:after="0"/>
        <w:rPr>
          <w:sz w:val="20"/>
          <w:szCs w:val="20"/>
          <w:color w:val="auto"/>
        </w:rPr>
      </w:pPr>
      <w:r>
        <w:rPr>
          <w:rFonts w:ascii="Arial" w:cs="Arial" w:eastAsia="Arial" w:hAnsi="Arial"/>
          <w:sz w:val="20"/>
          <w:szCs w:val="20"/>
          <w:color w:val="auto"/>
        </w:rPr>
        <w:t>in Schedule I hereto</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 Barclays Capital Inc.</w:t>
      </w:r>
    </w:p>
    <w:p>
      <w:pPr>
        <w:spacing w:after="0"/>
        <w:rPr>
          <w:sz w:val="20"/>
          <w:szCs w:val="20"/>
          <w:color w:val="auto"/>
        </w:rPr>
      </w:pPr>
      <w:r>
        <w:rPr>
          <w:rFonts w:ascii="Arial" w:cs="Arial" w:eastAsia="Arial" w:hAnsi="Arial"/>
          <w:sz w:val="20"/>
          <w:szCs w:val="20"/>
          <w:color w:val="auto"/>
        </w:rPr>
        <w:t>745 Seventh Avenue</w:t>
      </w:r>
    </w:p>
    <w:p>
      <w:pPr>
        <w:spacing w:after="0"/>
        <w:rPr>
          <w:sz w:val="20"/>
          <w:szCs w:val="20"/>
          <w:color w:val="auto"/>
        </w:rPr>
      </w:pPr>
      <w:r>
        <w:rPr>
          <w:rFonts w:ascii="Arial" w:cs="Arial" w:eastAsia="Arial" w:hAnsi="Arial"/>
          <w:sz w:val="20"/>
          <w:szCs w:val="20"/>
          <w:color w:val="auto"/>
        </w:rPr>
        <w:t>New York, New York 10019</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Credit Agricole Securities (USA) Inc.</w:t>
      </w:r>
    </w:p>
    <w:p>
      <w:pPr>
        <w:spacing w:after="0"/>
        <w:rPr>
          <w:sz w:val="20"/>
          <w:szCs w:val="20"/>
          <w:color w:val="auto"/>
        </w:rPr>
      </w:pPr>
      <w:r>
        <w:rPr>
          <w:rFonts w:ascii="Arial" w:cs="Arial" w:eastAsia="Arial" w:hAnsi="Arial"/>
          <w:sz w:val="20"/>
          <w:szCs w:val="20"/>
          <w:color w:val="auto"/>
        </w:rPr>
        <w:t>1301 Avenue of the Americas</w:t>
      </w:r>
    </w:p>
    <w:p>
      <w:pPr>
        <w:spacing w:after="0"/>
        <w:rPr>
          <w:sz w:val="20"/>
          <w:szCs w:val="20"/>
          <w:color w:val="auto"/>
        </w:rPr>
      </w:pPr>
      <w:r>
        <w:rPr>
          <w:rFonts w:ascii="Arial" w:cs="Arial" w:eastAsia="Arial" w:hAnsi="Arial"/>
          <w:sz w:val="20"/>
          <w:szCs w:val="20"/>
          <w:color w:val="auto"/>
        </w:rPr>
        <w:t>New York, New York 10019</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 Mizuho Securities USA LLC</w:t>
      </w:r>
    </w:p>
    <w:p>
      <w:pPr>
        <w:spacing w:after="0"/>
        <w:rPr>
          <w:sz w:val="20"/>
          <w:szCs w:val="20"/>
          <w:color w:val="auto"/>
        </w:rPr>
      </w:pPr>
      <w:r>
        <w:rPr>
          <w:rFonts w:ascii="Arial" w:cs="Arial" w:eastAsia="Arial" w:hAnsi="Arial"/>
          <w:sz w:val="20"/>
          <w:szCs w:val="20"/>
          <w:color w:val="auto"/>
        </w:rPr>
        <w:t>1271 Avenue of the Americas</w:t>
      </w:r>
    </w:p>
    <w:p>
      <w:pPr>
        <w:spacing w:after="0"/>
        <w:rPr>
          <w:sz w:val="20"/>
          <w:szCs w:val="20"/>
          <w:color w:val="auto"/>
        </w:rPr>
      </w:pPr>
      <w:r>
        <w:rPr>
          <w:rFonts w:ascii="Arial" w:cs="Arial" w:eastAsia="Arial" w:hAnsi="Arial"/>
          <w:sz w:val="20"/>
          <w:szCs w:val="20"/>
          <w:color w:val="auto"/>
        </w:rPr>
        <w:t>New York, New York 10020</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 Wells Fargo Securities, LLC</w:t>
      </w:r>
    </w:p>
    <w:p>
      <w:pPr>
        <w:spacing w:after="0"/>
        <w:rPr>
          <w:sz w:val="20"/>
          <w:szCs w:val="20"/>
          <w:color w:val="auto"/>
        </w:rPr>
      </w:pPr>
      <w:r>
        <w:rPr>
          <w:rFonts w:ascii="Arial" w:cs="Arial" w:eastAsia="Arial" w:hAnsi="Arial"/>
          <w:sz w:val="20"/>
          <w:szCs w:val="20"/>
          <w:color w:val="auto"/>
        </w:rPr>
        <w:t>550 South Tryon Street, 5th Floor</w:t>
      </w:r>
    </w:p>
    <w:p>
      <w:pPr>
        <w:spacing w:after="0"/>
        <w:rPr>
          <w:sz w:val="20"/>
          <w:szCs w:val="20"/>
          <w:color w:val="auto"/>
        </w:rPr>
      </w:pPr>
      <w:r>
        <w:rPr>
          <w:rFonts w:ascii="Arial" w:cs="Arial" w:eastAsia="Arial" w:hAnsi="Arial"/>
          <w:sz w:val="20"/>
          <w:szCs w:val="20"/>
          <w:color w:val="auto"/>
        </w:rPr>
        <w:t>Charlotte, North Carolina 28202</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 HSBC Securities (USA) Inc.</w:t>
      </w:r>
    </w:p>
    <w:p>
      <w:pPr>
        <w:spacing w:after="0"/>
        <w:rPr>
          <w:sz w:val="20"/>
          <w:szCs w:val="20"/>
          <w:color w:val="auto"/>
        </w:rPr>
      </w:pPr>
      <w:r>
        <w:rPr>
          <w:rFonts w:ascii="Arial" w:cs="Arial" w:eastAsia="Arial" w:hAnsi="Arial"/>
          <w:sz w:val="20"/>
          <w:szCs w:val="20"/>
          <w:color w:val="auto"/>
        </w:rPr>
        <w:t>452 5th Avenue</w:t>
      </w:r>
    </w:p>
    <w:p>
      <w:pPr>
        <w:spacing w:after="0"/>
        <w:rPr>
          <w:sz w:val="20"/>
          <w:szCs w:val="20"/>
          <w:color w:val="auto"/>
        </w:rPr>
      </w:pPr>
      <w:r>
        <w:rPr>
          <w:rFonts w:ascii="Arial" w:cs="Arial" w:eastAsia="Arial" w:hAnsi="Arial"/>
          <w:sz w:val="20"/>
          <w:szCs w:val="20"/>
          <w:color w:val="auto"/>
        </w:rPr>
        <w:t>New York, New York 10018</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 Morgan Stanley &amp; Co. LLC</w:t>
      </w:r>
    </w:p>
    <w:p>
      <w:pPr>
        <w:spacing w:after="0"/>
        <w:rPr>
          <w:sz w:val="20"/>
          <w:szCs w:val="20"/>
          <w:color w:val="auto"/>
        </w:rPr>
      </w:pPr>
      <w:r>
        <w:rPr>
          <w:rFonts w:ascii="Arial" w:cs="Arial" w:eastAsia="Arial" w:hAnsi="Arial"/>
          <w:sz w:val="20"/>
          <w:szCs w:val="20"/>
          <w:color w:val="auto"/>
        </w:rPr>
        <w:t>1585 Broadway, 29th Floor</w:t>
      </w:r>
    </w:p>
    <w:p>
      <w:pPr>
        <w:spacing w:after="0"/>
        <w:rPr>
          <w:sz w:val="20"/>
          <w:szCs w:val="20"/>
          <w:color w:val="auto"/>
        </w:rPr>
      </w:pPr>
      <w:r>
        <w:rPr>
          <w:rFonts w:ascii="Arial" w:cs="Arial" w:eastAsia="Arial" w:hAnsi="Arial"/>
          <w:sz w:val="20"/>
          <w:szCs w:val="20"/>
          <w:color w:val="auto"/>
        </w:rPr>
        <w:t>New York, New York 10036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Micron Technology,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to issue and sell to the several underwriters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listed in Schedule I hereto (the “</w:t>
      </w:r>
      <w:r>
        <w:rPr>
          <w:rFonts w:ascii="Arial" w:cs="Arial" w:eastAsia="Arial" w:hAnsi="Arial"/>
          <w:sz w:val="20"/>
          <w:szCs w:val="20"/>
          <w:b w:val="1"/>
          <w:bCs w:val="1"/>
          <w:color w:val="auto"/>
        </w:rPr>
        <w:t>Underwriters</w:t>
      </w:r>
      <w:r>
        <w:rPr>
          <w:rFonts w:ascii="Arial" w:cs="Arial" w:eastAsia="Arial" w:hAnsi="Arial"/>
          <w:sz w:val="20"/>
          <w:szCs w:val="20"/>
          <w:color w:val="auto"/>
        </w:rPr>
        <w:t>”), for whom you are acting as representatives (the “</w:t>
      </w:r>
      <w:r>
        <w:rPr>
          <w:rFonts w:ascii="Arial" w:cs="Arial" w:eastAsia="Arial" w:hAnsi="Arial"/>
          <w:sz w:val="20"/>
          <w:szCs w:val="20"/>
          <w:b w:val="1"/>
          <w:bCs w:val="1"/>
          <w:color w:val="auto"/>
        </w:rPr>
        <w:t>Representatives</w:t>
      </w:r>
      <w:r>
        <w:rPr>
          <w:rFonts w:ascii="Arial" w:cs="Arial" w:eastAsia="Arial" w:hAnsi="Arial"/>
          <w:sz w:val="20"/>
          <w:szCs w:val="20"/>
          <w:color w:val="auto"/>
        </w:rPr>
        <w:t>”),</w:t>
      </w:r>
    </w:p>
    <w:p>
      <w:pPr>
        <w:spacing w:after="0"/>
        <w:rPr>
          <w:sz w:val="20"/>
          <w:szCs w:val="20"/>
          <w:color w:val="auto"/>
        </w:rPr>
      </w:pPr>
      <w:r>
        <w:rPr>
          <w:rFonts w:ascii="Arial" w:cs="Arial" w:eastAsia="Arial" w:hAnsi="Arial"/>
          <w:sz w:val="19"/>
          <w:szCs w:val="19"/>
          <w:color w:val="auto"/>
        </w:rPr>
        <w:t>$1,000,000,000 principal amount of its 2.703% Senior Notes due 2032 (the “</w:t>
      </w:r>
      <w:r>
        <w:rPr>
          <w:rFonts w:ascii="Arial" w:cs="Arial" w:eastAsia="Arial" w:hAnsi="Arial"/>
          <w:sz w:val="19"/>
          <w:szCs w:val="19"/>
          <w:b w:val="1"/>
          <w:bCs w:val="1"/>
          <w:color w:val="auto"/>
        </w:rPr>
        <w:t>2032 Notes</w:t>
      </w:r>
      <w:r>
        <w:rPr>
          <w:rFonts w:ascii="Arial" w:cs="Arial" w:eastAsia="Arial" w:hAnsi="Arial"/>
          <w:sz w:val="19"/>
          <w:szCs w:val="19"/>
          <w:color w:val="auto"/>
        </w:rPr>
        <w:t>”), $500,000,000 principal amount of its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3.366% Senior Notes due 2041 (the “</w:t>
      </w:r>
      <w:r>
        <w:rPr>
          <w:rFonts w:ascii="Arial" w:cs="Arial" w:eastAsia="Arial" w:hAnsi="Arial"/>
          <w:sz w:val="20"/>
          <w:szCs w:val="20"/>
          <w:b w:val="1"/>
          <w:bCs w:val="1"/>
          <w:color w:val="auto"/>
        </w:rPr>
        <w:t>2041 Notes</w:t>
      </w:r>
      <w:r>
        <w:rPr>
          <w:rFonts w:ascii="Arial" w:cs="Arial" w:eastAsia="Arial" w:hAnsi="Arial"/>
          <w:sz w:val="20"/>
          <w:szCs w:val="20"/>
          <w:color w:val="auto"/>
        </w:rPr>
        <w:t>”) and $500,000,000 principal amount of its 3.477% Senior Notes due 2051</w:t>
      </w: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2051 Notes</w:t>
      </w:r>
      <w:r>
        <w:rPr>
          <w:rFonts w:ascii="Arial" w:cs="Arial" w:eastAsia="Arial" w:hAnsi="Arial"/>
          <w:sz w:val="20"/>
          <w:szCs w:val="20"/>
          <w:color w:val="auto"/>
        </w:rPr>
        <w:t>” and, together with the 2032 Notes and the 2041 Notes, the “</w:t>
      </w:r>
      <w:r>
        <w:rPr>
          <w:rFonts w:ascii="Arial" w:cs="Arial" w:eastAsia="Arial" w:hAnsi="Arial"/>
          <w:sz w:val="20"/>
          <w:szCs w:val="20"/>
          <w:b w:val="1"/>
          <w:bCs w:val="1"/>
          <w:color w:val="auto"/>
        </w:rPr>
        <w:t>Securities</w:t>
      </w:r>
      <w:r>
        <w:rPr>
          <w:rFonts w:ascii="Arial" w:cs="Arial" w:eastAsia="Arial" w:hAnsi="Arial"/>
          <w:sz w:val="20"/>
          <w:szCs w:val="20"/>
          <w:color w:val="auto"/>
        </w:rPr>
        <w:t>”). The Securities will be issued</w:t>
      </w:r>
    </w:p>
    <w:p>
      <w:pPr>
        <w:spacing w:after="0"/>
        <w:rPr>
          <w:sz w:val="20"/>
          <w:szCs w:val="20"/>
          <w:color w:val="auto"/>
        </w:rPr>
      </w:pPr>
      <w:r>
        <w:rPr>
          <w:rFonts w:ascii="Arial" w:cs="Arial" w:eastAsia="Arial" w:hAnsi="Arial"/>
          <w:sz w:val="20"/>
          <w:szCs w:val="20"/>
          <w:color w:val="auto"/>
        </w:rPr>
        <w:t>pursuant to a base indenture,</w:t>
      </w:r>
    </w:p>
    <w:p>
      <w:pPr>
        <w:sectPr>
          <w:pgSz w:w="11900" w:h="16838" w:orient="portrait"/>
          <w:cols w:equalWidth="0" w:num="1">
            <w:col w:w="11240"/>
          </w:cols>
          <w:pgMar w:left="320" w:top="1440" w:right="339" w:bottom="1440" w:gutter="0" w:footer="0" w:header="0"/>
        </w:sectPr>
      </w:pPr>
    </w:p>
    <w:bookmarkStart w:id="5" w:name="page6"/>
    <w:bookmarkEnd w:id="5"/>
    <w:p>
      <w:pPr>
        <w:ind w:right="120"/>
        <w:spacing w:after="0" w:line="255" w:lineRule="auto"/>
        <w:rPr>
          <w:sz w:val="20"/>
          <w:szCs w:val="20"/>
          <w:color w:val="auto"/>
        </w:rPr>
      </w:pPr>
      <w:r>
        <w:rPr>
          <w:rFonts w:ascii="Arial" w:cs="Arial" w:eastAsia="Arial" w:hAnsi="Arial"/>
          <w:sz w:val="20"/>
          <w:szCs w:val="20"/>
          <w:color w:val="auto"/>
        </w:rPr>
        <w:t>dated as of February 6, 2019 between the Company and U.S. Bank National Association, as trustee (the “</w:t>
      </w:r>
      <w:r>
        <w:rPr>
          <w:rFonts w:ascii="Arial" w:cs="Arial" w:eastAsia="Arial" w:hAnsi="Arial"/>
          <w:sz w:val="20"/>
          <w:szCs w:val="20"/>
          <w:b w:val="1"/>
          <w:bCs w:val="1"/>
          <w:color w:val="auto"/>
        </w:rPr>
        <w:t>Trustee</w:t>
      </w:r>
      <w:r>
        <w:rPr>
          <w:rFonts w:ascii="Arial" w:cs="Arial" w:eastAsia="Arial" w:hAnsi="Arial"/>
          <w:sz w:val="20"/>
          <w:szCs w:val="20"/>
          <w:color w:val="auto"/>
        </w:rPr>
        <w:t>”), as supplemented by a fourth supplemental indenture thereto (collectively, the “</w:t>
      </w:r>
      <w:r>
        <w:rPr>
          <w:rFonts w:ascii="Arial" w:cs="Arial" w:eastAsia="Arial" w:hAnsi="Arial"/>
          <w:sz w:val="20"/>
          <w:szCs w:val="20"/>
          <w:b w:val="1"/>
          <w:bCs w:val="1"/>
          <w:color w:val="auto"/>
        </w:rPr>
        <w:t>Indenture</w:t>
      </w:r>
      <w:r>
        <w:rPr>
          <w:rFonts w:ascii="Arial" w:cs="Arial" w:eastAsia="Arial" w:hAnsi="Arial"/>
          <w:sz w:val="20"/>
          <w:szCs w:val="20"/>
          <w:color w:val="auto"/>
        </w:rPr>
        <w:t>”), to be dated as of the Closing Date (as defined below).</w:t>
      </w:r>
    </w:p>
    <w:p>
      <w:pPr>
        <w:spacing w:after="0" w:line="22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In connection with the sale of the Securities, the Company has prepared and filed with the Securities and Exchange Commission (the “</w:t>
      </w:r>
      <w:r>
        <w:rPr>
          <w:rFonts w:ascii="Arial" w:cs="Arial" w:eastAsia="Arial" w:hAnsi="Arial"/>
          <w:sz w:val="20"/>
          <w:szCs w:val="20"/>
          <w:b w:val="1"/>
          <w:bCs w:val="1"/>
          <w:color w:val="auto"/>
        </w:rPr>
        <w:t>Commission</w:t>
      </w:r>
      <w:r>
        <w:rPr>
          <w:rFonts w:ascii="Arial" w:cs="Arial" w:eastAsia="Arial" w:hAnsi="Arial"/>
          <w:sz w:val="20"/>
          <w:szCs w:val="20"/>
          <w:color w:val="auto"/>
        </w:rPr>
        <w:t>”) under the Securities Act of 1933, as amended, and the rules and regulations of the Commission thereunder (collectively, the “</w:t>
      </w:r>
      <w:r>
        <w:rPr>
          <w:rFonts w:ascii="Arial" w:cs="Arial" w:eastAsia="Arial" w:hAnsi="Arial"/>
          <w:sz w:val="20"/>
          <w:szCs w:val="20"/>
          <w:b w:val="1"/>
          <w:bCs w:val="1"/>
          <w:color w:val="auto"/>
        </w:rPr>
        <w:t>Securities Act</w:t>
      </w:r>
      <w:r>
        <w:rPr>
          <w:rFonts w:ascii="Arial" w:cs="Arial" w:eastAsia="Arial" w:hAnsi="Arial"/>
          <w:sz w:val="20"/>
          <w:szCs w:val="20"/>
          <w:color w:val="auto"/>
        </w:rPr>
        <w:t>”), a registration statement on Form S-3 (File No. 333-249838) including a prospectus, relating to the securities identified therein that may be issued by the Company from time to time.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20"/>
          <w:szCs w:val="20"/>
          <w:b w:val="1"/>
          <w:bCs w:val="1"/>
          <w:color w:val="auto"/>
        </w:rPr>
        <w:t>Rule 430</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 is referred to herein as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 and as used herein, the term “</w:t>
      </w:r>
      <w:r>
        <w:rPr>
          <w:rFonts w:ascii="Arial" w:cs="Arial" w:eastAsia="Arial" w:hAnsi="Arial"/>
          <w:sz w:val="20"/>
          <w:szCs w:val="20"/>
          <w:b w:val="1"/>
          <w:bCs w:val="1"/>
          <w:color w:val="auto"/>
        </w:rPr>
        <w:t>Preliminary Prospectus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preliminary prospectus supplement of the Company, dated October 18, 2021, relating to the Securities, and filed with the Commission pursuant to Rule 424(b) under the Securities Act together with the prospectus included in the Registration Statement at the time of its effectiveness that omitted Rule 430 Information, and the term “</w:t>
      </w:r>
      <w:r>
        <w:rPr>
          <w:rFonts w:ascii="Arial" w:cs="Arial" w:eastAsia="Arial" w:hAnsi="Arial"/>
          <w:sz w:val="20"/>
          <w:szCs w:val="20"/>
          <w:b w:val="1"/>
          <w:bCs w:val="1"/>
          <w:color w:val="auto"/>
        </w:rPr>
        <w:t>Prospectus</w:t>
      </w:r>
      <w:r>
        <w:rPr>
          <w:rFonts w:ascii="Arial" w:cs="Arial" w:eastAsia="Arial" w:hAnsi="Arial"/>
          <w:sz w:val="20"/>
          <w:szCs w:val="20"/>
          <w:color w:val="auto"/>
        </w:rPr>
        <w:t>” means the final prospectus relating to the Securities in the form first furnished to the Underwriters (or made available upon request of purchasers pursuant to Rule 173 under the Securities Act) for use in connection with confirmation of sales of the Securities. Any reference in this underwriting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cs="Arial" w:eastAsia="Arial" w:hAnsi="Arial"/>
          <w:sz w:val="20"/>
          <w:szCs w:val="20"/>
          <w:b w:val="1"/>
          <w:bCs w:val="1"/>
          <w:color w:val="auto"/>
        </w:rPr>
        <w:t>amend</w:t>
      </w:r>
      <w:r>
        <w:rPr>
          <w:rFonts w:ascii="Arial" w:cs="Arial" w:eastAsia="Arial" w:hAnsi="Arial"/>
          <w:sz w:val="20"/>
          <w:szCs w:val="20"/>
          <w:color w:val="auto"/>
        </w:rPr>
        <w:t>”, “</w:t>
      </w:r>
      <w:r>
        <w:rPr>
          <w:rFonts w:ascii="Arial" w:cs="Arial" w:eastAsia="Arial" w:hAnsi="Arial"/>
          <w:sz w:val="20"/>
          <w:szCs w:val="20"/>
          <w:b w:val="1"/>
          <w:bCs w:val="1"/>
          <w:color w:val="auto"/>
        </w:rPr>
        <w:t>amendment</w:t>
      </w:r>
      <w:r>
        <w:rPr>
          <w:rFonts w:ascii="Arial" w:cs="Arial" w:eastAsia="Arial" w:hAnsi="Arial"/>
          <w:sz w:val="20"/>
          <w:szCs w:val="20"/>
          <w:color w:val="auto"/>
        </w:rPr>
        <w:t>” or “</w:t>
      </w:r>
      <w:r>
        <w:rPr>
          <w:rFonts w:ascii="Arial" w:cs="Arial" w:eastAsia="Arial" w:hAnsi="Arial"/>
          <w:sz w:val="20"/>
          <w:szCs w:val="20"/>
          <w:b w:val="1"/>
          <w:bCs w:val="1"/>
          <w:color w:val="auto"/>
        </w:rPr>
        <w:t>supplement</w:t>
      </w:r>
      <w:r>
        <w:rPr>
          <w:rFonts w:ascii="Arial" w:cs="Arial" w:eastAsia="Arial" w:hAnsi="Arial"/>
          <w:sz w:val="20"/>
          <w:szCs w:val="20"/>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20"/>
          <w:szCs w:val="20"/>
          <w:b w:val="1"/>
          <w:bCs w:val="1"/>
          <w:color w:val="auto"/>
        </w:rPr>
        <w:t>Exchange Act</w:t>
      </w:r>
      <w:r>
        <w:rPr>
          <w:rFonts w:ascii="Arial" w:cs="Arial" w:eastAsia="Arial" w:hAnsi="Arial"/>
          <w:sz w:val="20"/>
          <w:szCs w:val="20"/>
          <w:color w:val="auto"/>
        </w:rPr>
        <w:t>”) that are deemed to be incorporated by reference therein. Capitalized terms used but not defined herein shall have the meanings given to such terms in the Registration Statement and the Prospectus.</w:t>
      </w:r>
    </w:p>
    <w:p>
      <w:pPr>
        <w:spacing w:after="0" w:line="25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At or prior to the Applicable Time (as defined below), the Company had prepared the following information (collectively, the “</w:t>
      </w:r>
      <w:r>
        <w:rPr>
          <w:rFonts w:ascii="Arial" w:cs="Arial" w:eastAsia="Arial" w:hAnsi="Arial"/>
          <w:sz w:val="20"/>
          <w:szCs w:val="20"/>
          <w:b w:val="1"/>
          <w:bCs w:val="1"/>
          <w:color w:val="auto"/>
        </w:rPr>
        <w:t>Time of Sale Information</w:t>
      </w:r>
      <w:r>
        <w:rPr>
          <w:rFonts w:ascii="Arial" w:cs="Arial" w:eastAsia="Arial" w:hAnsi="Arial"/>
          <w:sz w:val="20"/>
          <w:szCs w:val="20"/>
          <w:color w:val="auto"/>
        </w:rPr>
        <w:t>”): a Preliminary Prospectus dated October 18, 2021, and each “</w:t>
      </w:r>
      <w:r>
        <w:rPr>
          <w:rFonts w:ascii="Arial" w:cs="Arial" w:eastAsia="Arial" w:hAnsi="Arial"/>
          <w:sz w:val="20"/>
          <w:szCs w:val="20"/>
          <w:b w:val="1"/>
          <w:bCs w:val="1"/>
          <w:color w:val="auto"/>
        </w:rPr>
        <w:t>free-writing prospectus</w:t>
      </w:r>
      <w:r>
        <w:rPr>
          <w:rFonts w:ascii="Arial" w:cs="Arial" w:eastAsia="Arial" w:hAnsi="Arial"/>
          <w:sz w:val="20"/>
          <w:szCs w:val="20"/>
          <w:color w:val="auto"/>
        </w:rPr>
        <w:t>” (as defined pursuant to Rule 405 under the Securities Act) listed on Schedule II hereto. “</w:t>
      </w:r>
      <w:r>
        <w:rPr>
          <w:rFonts w:ascii="Arial" w:cs="Arial" w:eastAsia="Arial" w:hAnsi="Arial"/>
          <w:sz w:val="20"/>
          <w:szCs w:val="20"/>
          <w:b w:val="1"/>
          <w:bCs w:val="1"/>
          <w:color w:val="auto"/>
        </w:rPr>
        <w:t>Applicable Time</w:t>
      </w:r>
      <w:r>
        <w:rPr>
          <w:rFonts w:ascii="Arial" w:cs="Arial" w:eastAsia="Arial" w:hAnsi="Arial"/>
          <w:sz w:val="20"/>
          <w:szCs w:val="20"/>
          <w:color w:val="auto"/>
        </w:rPr>
        <w:t>” means 4:45 p.m., New York City time, on October 18, 2021.</w:t>
      </w:r>
    </w:p>
    <w:p>
      <w:pPr>
        <w:spacing w:after="0" w:line="21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The Company represents and warrants to, and agrees with, you that:</w:t>
      </w:r>
    </w:p>
    <w:p>
      <w:pPr>
        <w:spacing w:after="0" w:line="262" w:lineRule="exact"/>
        <w:rPr>
          <w:rFonts w:ascii="Arial" w:cs="Arial" w:eastAsia="Arial" w:hAnsi="Arial"/>
          <w:sz w:val="20"/>
          <w:szCs w:val="20"/>
          <w:color w:val="auto"/>
        </w:rPr>
      </w:pPr>
    </w:p>
    <w:p>
      <w:pPr>
        <w:ind w:left="660" w:right="80" w:firstLine="644"/>
        <w:spacing w:after="0"/>
        <w:tabs>
          <w:tab w:leader="none" w:pos="1955" w:val="left"/>
        </w:tabs>
        <w:numPr>
          <w:ilvl w:val="1"/>
          <w:numId w:val="2"/>
        </w:numPr>
        <w:rPr>
          <w:rFonts w:ascii="Arial" w:cs="Arial" w:eastAsia="Arial" w:hAnsi="Arial"/>
          <w:sz w:val="20"/>
          <w:szCs w:val="20"/>
          <w:color w:val="auto"/>
        </w:rPr>
      </w:pPr>
      <w:r>
        <w:rPr>
          <w:rFonts w:ascii="Arial" w:cs="Arial" w:eastAsia="Arial" w:hAnsi="Arial"/>
          <w:sz w:val="20"/>
          <w:szCs w:val="20"/>
          <w:color w:val="auto"/>
        </w:rPr>
        <w:t>No order preventing or suspending the use of any Preliminary Prospectus has been issued by the Commission, and the Preliminary Prospectus included in the Time of Sale Information,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80"/>
          </w:cols>
          <w:pgMar w:left="320" w:top="1408" w:right="399" w:bottom="1440" w:gutter="0" w:footer="0" w:header="0"/>
        </w:sectPr>
      </w:pPr>
    </w:p>
    <w:bookmarkStart w:id="6" w:name="page7"/>
    <w:bookmarkEnd w:id="6"/>
    <w:p>
      <w:pPr>
        <w:ind w:right="520"/>
        <w:spacing w:after="0" w:line="241" w:lineRule="auto"/>
        <w:rPr>
          <w:sz w:val="20"/>
          <w:szCs w:val="20"/>
          <w:color w:val="auto"/>
        </w:rPr>
      </w:pPr>
      <w:r>
        <w:rPr>
          <w:rFonts w:ascii="Arial" w:cs="Arial" w:eastAsia="Arial" w:hAnsi="Arial"/>
          <w:sz w:val="20"/>
          <w:szCs w:val="20"/>
          <w:color w:val="auto"/>
        </w:rPr>
        <w:t>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237" w:lineRule="exact"/>
        <w:rPr>
          <w:sz w:val="20"/>
          <w:szCs w:val="20"/>
          <w:color w:val="auto"/>
        </w:rPr>
      </w:pPr>
    </w:p>
    <w:p>
      <w:pPr>
        <w:ind w:firstLine="644"/>
        <w:spacing w:after="0"/>
        <w:tabs>
          <w:tab w:leader="none" w:pos="1295"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Time of Sale Information,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Time of Sale Information, it being understood and agreed that the only such information furnished by any Underwriter consists of the information described as such in Section 8(b)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238" w:lineRule="exact"/>
        <w:rPr>
          <w:rFonts w:ascii="Arial" w:cs="Arial" w:eastAsia="Arial" w:hAnsi="Arial"/>
          <w:sz w:val="20"/>
          <w:szCs w:val="20"/>
          <w:color w:val="auto"/>
        </w:rPr>
      </w:pPr>
    </w:p>
    <w:p>
      <w:pPr>
        <w:ind w:right="20" w:firstLine="644"/>
        <w:spacing w:after="0" w:line="253" w:lineRule="auto"/>
        <w:tabs>
          <w:tab w:leader="none" w:pos="1284"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t>
      </w:r>
      <w:r>
        <w:rPr>
          <w:rFonts w:ascii="Arial" w:cs="Arial" w:eastAsia="Arial" w:hAnsi="Arial"/>
          <w:sz w:val="19"/>
          <w:szCs w:val="19"/>
          <w:b w:val="1"/>
          <w:bCs w:val="1"/>
          <w:color w:val="auto"/>
        </w:rPr>
        <w:t>written</w:t>
      </w:r>
      <w:r>
        <w:rPr>
          <w:rFonts w:ascii="Arial" w:cs="Arial" w:eastAsia="Arial" w:hAnsi="Arial"/>
          <w:sz w:val="19"/>
          <w:szCs w:val="19"/>
          <w:color w:val="auto"/>
        </w:rPr>
        <w:t xml:space="preserve"> </w:t>
      </w:r>
      <w:r>
        <w:rPr>
          <w:rFonts w:ascii="Arial" w:cs="Arial" w:eastAsia="Arial" w:hAnsi="Arial"/>
          <w:sz w:val="19"/>
          <w:szCs w:val="19"/>
          <w:b w:val="1"/>
          <w:bCs w:val="1"/>
          <w:color w:val="auto"/>
        </w:rPr>
        <w:t>communication</w:t>
      </w:r>
      <w:r>
        <w:rPr>
          <w:rFonts w:ascii="Arial" w:cs="Arial" w:eastAsia="Arial" w:hAnsi="Arial"/>
          <w:sz w:val="19"/>
          <w:szCs w:val="19"/>
          <w:color w:val="auto"/>
        </w:rPr>
        <w:t>” (as defined in Rule 405 under the Securities Act) that constitutes an offer to sell or solicitation of an</w:t>
      </w:r>
      <w:r>
        <w:rPr>
          <w:rFonts w:ascii="Arial" w:cs="Arial" w:eastAsia="Arial" w:hAnsi="Arial"/>
          <w:sz w:val="19"/>
          <w:szCs w:val="19"/>
          <w:b w:val="1"/>
          <w:bCs w:val="1"/>
          <w:color w:val="auto"/>
        </w:rPr>
        <w:t xml:space="preserve"> </w:t>
      </w:r>
      <w:r>
        <w:rPr>
          <w:rFonts w:ascii="Arial" w:cs="Arial" w:eastAsia="Arial" w:hAnsi="Arial"/>
          <w:sz w:val="19"/>
          <w:szCs w:val="19"/>
          <w:color w:val="auto"/>
        </w:rPr>
        <w:t>offer to buy the Securities (each such communication by the Company or its agents and representatives (other than a communication referred to in clause (i) below) an “</w:t>
      </w:r>
      <w:r>
        <w:rPr>
          <w:rFonts w:ascii="Arial" w:cs="Arial" w:eastAsia="Arial" w:hAnsi="Arial"/>
          <w:sz w:val="19"/>
          <w:szCs w:val="19"/>
          <w:b w:val="1"/>
          <w:bCs w:val="1"/>
          <w:color w:val="auto"/>
        </w:rPr>
        <w:t>Issuer Free Writing Prospectus</w:t>
      </w:r>
      <w:r>
        <w:rPr>
          <w:rFonts w:ascii="Arial" w:cs="Arial" w:eastAsia="Arial" w:hAnsi="Arial"/>
          <w:sz w:val="19"/>
          <w:szCs w:val="19"/>
          <w:color w:val="auto"/>
        </w:rPr>
        <w:t>”) other than (i) any document not constituting a prospectus pursuant to Section 2(a)(10)(a) of the Securities Act or Rule 134 under the Securities Act or (ii) the documents listed on Schedule II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Time of Sale Information and, when taken together with any other Issuer Free Writing Prospectus, the Preliminary Prospectus accompanying or delivered prior to the first delivery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8(b)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60"/>
          </w:cols>
          <w:pgMar w:left="980" w:top="1432" w:right="359" w:bottom="1440" w:gutter="0" w:footer="0" w:header="0"/>
        </w:sectPr>
      </w:pPr>
    </w:p>
    <w:bookmarkStart w:id="7" w:name="page8"/>
    <w:bookmarkEnd w:id="7"/>
    <w:p>
      <w:pPr>
        <w:ind w:left="-460" w:right="20" w:firstLine="644"/>
        <w:spacing w:after="0" w:line="254" w:lineRule="auto"/>
        <w:tabs>
          <w:tab w:leader="none" w:pos="835"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Registration Statement is an “</w:t>
      </w:r>
      <w:r>
        <w:rPr>
          <w:rFonts w:ascii="Arial" w:cs="Arial" w:eastAsia="Arial" w:hAnsi="Arial"/>
          <w:sz w:val="19"/>
          <w:szCs w:val="19"/>
          <w:b w:val="1"/>
          <w:bCs w:val="1"/>
          <w:color w:val="auto"/>
        </w:rPr>
        <w:t>automatic shelf registration statement</w:t>
      </w:r>
      <w:r>
        <w:rPr>
          <w:rFonts w:ascii="Arial" w:cs="Arial" w:eastAsia="Arial" w:hAnsi="Arial"/>
          <w:sz w:val="19"/>
          <w:szCs w:val="19"/>
          <w:color w:val="auto"/>
        </w:rPr>
        <w: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post-effective amendment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9"/>
          <w:szCs w:val="19"/>
          <w:b w:val="1"/>
          <w:bCs w:val="1"/>
          <w:color w:val="auto"/>
        </w:rPr>
        <w:t>Trust Indenture Act</w:t>
      </w:r>
      <w:r>
        <w:rPr>
          <w:rFonts w:ascii="Arial" w:cs="Arial" w:eastAsia="Arial" w:hAnsi="Arial"/>
          <w:sz w:val="19"/>
          <w:szCs w:val="19"/>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460" w:firstLine="644"/>
        <w:spacing w:after="0"/>
        <w:tabs>
          <w:tab w:leader="none" w:pos="835"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documents incorporated by reference in each of the Registration Statement, the Prospectus and the Time of Sale Information, when they became effective or were filed with the Commission, as the case may be, conformed in all material respects to the requirements of the Securities Act or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238" w:lineRule="exact"/>
        <w:rPr>
          <w:rFonts w:ascii="Arial" w:cs="Arial" w:eastAsia="Arial" w:hAnsi="Arial"/>
          <w:sz w:val="20"/>
          <w:szCs w:val="20"/>
          <w:color w:val="auto"/>
        </w:rPr>
      </w:pPr>
    </w:p>
    <w:p>
      <w:pPr>
        <w:ind w:left="-460" w:right="140" w:firstLine="644"/>
        <w:spacing w:after="0" w:line="243" w:lineRule="auto"/>
        <w:tabs>
          <w:tab w:leader="none" w:pos="83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has been duly incorporated, is validly existing as a corporation under the laws of the jurisdiction of its incorporation, has the corporate power and authority to own its property and to conduct its business as described in the Registration Statement, the Time of Sale Information and the Prospectus and is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00"/>
          </w:cols>
          <w:pgMar w:left="1440" w:top="1408" w:right="359" w:bottom="1440" w:gutter="0" w:footer="0" w:header="0"/>
        </w:sectPr>
      </w:pPr>
    </w:p>
    <w:bookmarkStart w:id="8" w:name="page9"/>
    <w:bookmarkEnd w:id="8"/>
    <w:p>
      <w:pPr>
        <w:ind w:left="4"/>
        <w:spacing w:after="0" w:line="241" w:lineRule="auto"/>
        <w:rPr>
          <w:sz w:val="20"/>
          <w:szCs w:val="20"/>
          <w:color w:val="auto"/>
        </w:rPr>
      </w:pPr>
      <w:r>
        <w:rPr>
          <w:rFonts w:ascii="Arial" w:cs="Arial" w:eastAsia="Arial" w:hAnsi="Arial"/>
          <w:sz w:val="20"/>
          <w:szCs w:val="20"/>
          <w:color w:val="auto"/>
        </w:rPr>
        <w:t>qualified to transact business in each jurisdiction in which the conduct of its business or its ownership or leasing of property requires such qualification, except where the failure to be so qualified, individually or in the aggregate, would not reasonably be expected to result in a Material Adverse Effect (as defined below). The Company is in good standing in each jurisdiction identified on Schedule III hereto.</w:t>
      </w:r>
    </w:p>
    <w:p>
      <w:pPr>
        <w:spacing w:after="0" w:line="237" w:lineRule="exact"/>
        <w:rPr>
          <w:sz w:val="20"/>
          <w:szCs w:val="20"/>
          <w:color w:val="auto"/>
        </w:rPr>
      </w:pPr>
    </w:p>
    <w:p>
      <w:pPr>
        <w:ind w:left="1304" w:hanging="656"/>
        <w:spacing w:after="0"/>
        <w:tabs>
          <w:tab w:leader="none" w:pos="1304" w:val="left"/>
        </w:tabs>
        <w:numPr>
          <w:ilvl w:val="1"/>
          <w:numId w:val="5"/>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242" w:lineRule="exact"/>
        <w:rPr>
          <w:rFonts w:ascii="Arial" w:cs="Arial" w:eastAsia="Arial" w:hAnsi="Arial"/>
          <w:sz w:val="20"/>
          <w:szCs w:val="20"/>
          <w:color w:val="auto"/>
        </w:rPr>
      </w:pPr>
    </w:p>
    <w:p>
      <w:pPr>
        <w:ind w:left="4" w:right="180" w:firstLine="644"/>
        <w:spacing w:after="0"/>
        <w:tabs>
          <w:tab w:leader="none" w:pos="1299"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20"/>
          <w:szCs w:val="20"/>
          <w:b w:val="1"/>
          <w:bCs w:val="1"/>
          <w:color w:val="auto"/>
        </w:rPr>
        <w:t>Enforceability</w:t>
      </w:r>
      <w:r>
        <w:rPr>
          <w:rFonts w:ascii="Arial" w:cs="Arial" w:eastAsia="Arial" w:hAnsi="Arial"/>
          <w:sz w:val="20"/>
          <w:szCs w:val="20"/>
          <w:color w:val="auto"/>
        </w:rPr>
        <w:t xml:space="preserve"> </w:t>
      </w:r>
      <w:r>
        <w:rPr>
          <w:rFonts w:ascii="Arial" w:cs="Arial" w:eastAsia="Arial" w:hAnsi="Arial"/>
          <w:sz w:val="20"/>
          <w:szCs w:val="20"/>
          <w:b w:val="1"/>
          <w:bCs w:val="1"/>
          <w:color w:val="auto"/>
        </w:rPr>
        <w:t>Exceptions</w:t>
      </w:r>
      <w:r>
        <w:rPr>
          <w:rFonts w:ascii="Arial" w:cs="Arial" w:eastAsia="Arial" w:hAnsi="Arial"/>
          <w:sz w:val="20"/>
          <w:szCs w:val="20"/>
          <w:color w:val="auto"/>
        </w:rPr>
        <w:t>”), and will be entitled to the benefits of the Indenture.</w:t>
      </w:r>
    </w:p>
    <w:p>
      <w:pPr>
        <w:spacing w:after="0" w:line="239" w:lineRule="exact"/>
        <w:rPr>
          <w:rFonts w:ascii="Arial" w:cs="Arial" w:eastAsia="Arial" w:hAnsi="Arial"/>
          <w:sz w:val="20"/>
          <w:szCs w:val="20"/>
          <w:color w:val="auto"/>
        </w:rPr>
      </w:pPr>
    </w:p>
    <w:p>
      <w:pPr>
        <w:ind w:left="4" w:firstLine="644"/>
        <w:spacing w:after="0"/>
        <w:tabs>
          <w:tab w:leader="none" w:pos="1287"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Indenture has been duly qualified under the Trust Indenture Act and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Registration Statement, the Time of Sale Information and the Prospectus. The Indenture will conform in all material respects to the requirements of the Trust Indenture Act.</w:t>
      </w:r>
    </w:p>
    <w:p>
      <w:pPr>
        <w:spacing w:after="0" w:line="240" w:lineRule="exact"/>
        <w:rPr>
          <w:rFonts w:ascii="Arial" w:cs="Arial" w:eastAsia="Arial" w:hAnsi="Arial"/>
          <w:sz w:val="20"/>
          <w:szCs w:val="20"/>
          <w:color w:val="auto"/>
        </w:rPr>
      </w:pPr>
    </w:p>
    <w:p>
      <w:pPr>
        <w:ind w:left="4" w:right="80" w:firstLine="644"/>
        <w:spacing w:after="0" w:line="252" w:lineRule="auto"/>
        <w:tabs>
          <w:tab w:leader="none" w:pos="1287"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execution and delivery by the Company of, and the performance by the Company of its obligations under, this Agreement, the Indenture and the Securities will not conflict with or result in a breach of or violation of any of the terms or provisions of or constitute a default under any agreement or other instrument binding upon the Company or any of its “significant subsidiaries” (as defined in Regulation S-X promulgated under the Securities Act; each a “</w:t>
      </w:r>
      <w:r>
        <w:rPr>
          <w:rFonts w:ascii="Arial" w:cs="Arial" w:eastAsia="Arial" w:hAnsi="Arial"/>
          <w:sz w:val="19"/>
          <w:szCs w:val="19"/>
          <w:b w:val="1"/>
          <w:bCs w:val="1"/>
          <w:color w:val="auto"/>
        </w:rPr>
        <w:t>Significant Subsidiary</w:t>
      </w:r>
      <w:r>
        <w:rPr>
          <w:rFonts w:ascii="Arial" w:cs="Arial" w:eastAsia="Arial" w:hAnsi="Arial"/>
          <w:sz w:val="19"/>
          <w:szCs w:val="19"/>
          <w:color w:val="auto"/>
        </w:rPr>
        <w:t>” and collectively, the “</w:t>
      </w:r>
      <w:r>
        <w:rPr>
          <w:rFonts w:ascii="Arial" w:cs="Arial" w:eastAsia="Arial" w:hAnsi="Arial"/>
          <w:sz w:val="19"/>
          <w:szCs w:val="19"/>
          <w:b w:val="1"/>
          <w:bCs w:val="1"/>
          <w:color w:val="auto"/>
        </w:rPr>
        <w:t>Significant Subsidiaries</w:t>
      </w:r>
      <w:r>
        <w:rPr>
          <w:rFonts w:ascii="Arial" w:cs="Arial" w:eastAsia="Arial" w:hAnsi="Arial"/>
          <w:sz w:val="19"/>
          <w:szCs w:val="19"/>
          <w:color w:val="auto"/>
        </w:rPr>
        <w:t>”), except where such breach, violation or default would not have a Material Adverse Effect on the Company’s ability to perform its obligations under this Agreement, the Indenture or the Securities, nor will such action result in any violation of (i) the provisions of the certificate of incorporation or by-laws of the Company or (ii) any judgment, order or decree of any governmental body, agency or court having jurisdiction over the Company or any Significant Subsidiary or, to the Company’s knowledge, any applicable statute, except in the case of (ii) above, where such violation would not have a Material Adverse Effect on the Company’s ability to perform its obligations under this Agreement, the Indenture or the Securities; and no consent, approval, authorization or order of, or qualification with, any governmental body or agency is required for the performance by the Company of its obligations under this Agreement, the Indenture and the Securities, except for those</w:t>
      </w:r>
    </w:p>
    <w:p>
      <w:pPr>
        <w:spacing w:after="0" w:line="1" w:lineRule="exact"/>
        <w:rPr>
          <w:rFonts w:ascii="Arial" w:cs="Arial" w:eastAsia="Arial" w:hAnsi="Arial"/>
          <w:sz w:val="19"/>
          <w:szCs w:val="19"/>
          <w:color w:val="auto"/>
        </w:rPr>
      </w:pPr>
    </w:p>
    <w:p>
      <w:pPr>
        <w:ind w:left="304" w:hanging="304"/>
        <w:spacing w:after="0"/>
        <w:tabs>
          <w:tab w:leader="none" w:pos="30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that have been, or will have been prior to the Closing Date, obtained and (2) as may be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32" w:right="339" w:bottom="1440" w:gutter="0" w:footer="0" w:header="0"/>
        </w:sectPr>
      </w:pPr>
    </w:p>
    <w:bookmarkStart w:id="9" w:name="page10"/>
    <w:bookmarkEnd w:id="9"/>
    <w:p>
      <w:pPr>
        <w:ind w:right="280"/>
        <w:spacing w:after="0" w:line="243" w:lineRule="auto"/>
        <w:rPr>
          <w:sz w:val="20"/>
          <w:szCs w:val="20"/>
          <w:color w:val="auto"/>
        </w:rPr>
      </w:pPr>
      <w:r>
        <w:rPr>
          <w:rFonts w:ascii="Arial" w:cs="Arial" w:eastAsia="Arial" w:hAnsi="Arial"/>
          <w:sz w:val="20"/>
          <w:szCs w:val="20"/>
          <w:color w:val="auto"/>
        </w:rPr>
        <w:t>securities or Blue Sky laws of the various states in connection with the offer and sale of the Securities, except, in each case, where the failure to obtain such consents, individually or in the aggregate, would not have a Material Adverse Effect on the offering of the Securities.</w:t>
      </w:r>
    </w:p>
    <w:p>
      <w:pPr>
        <w:spacing w:after="0" w:line="233" w:lineRule="exact"/>
        <w:rPr>
          <w:sz w:val="20"/>
          <w:szCs w:val="20"/>
          <w:color w:val="auto"/>
        </w:rPr>
      </w:pPr>
    </w:p>
    <w:p>
      <w:pPr>
        <w:ind w:right="420" w:firstLine="644"/>
        <w:spacing w:after="0" w:line="241" w:lineRule="auto"/>
        <w:tabs>
          <w:tab w:leader="none" w:pos="128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Registration Statement and Time of Sale Information.</w:t>
      </w:r>
    </w:p>
    <w:p>
      <w:pPr>
        <w:spacing w:after="0" w:line="237" w:lineRule="exact"/>
        <w:rPr>
          <w:rFonts w:ascii="Arial" w:cs="Arial" w:eastAsia="Arial" w:hAnsi="Arial"/>
          <w:sz w:val="20"/>
          <w:szCs w:val="20"/>
          <w:color w:val="auto"/>
        </w:rPr>
      </w:pPr>
    </w:p>
    <w:p>
      <w:pPr>
        <w:ind w:right="80" w:firstLine="644"/>
        <w:spacing w:after="0"/>
        <w:tabs>
          <w:tab w:leader="none" w:pos="1283" w:val="left"/>
        </w:tabs>
        <w:numPr>
          <w:ilvl w:val="0"/>
          <w:numId w:val="7"/>
        </w:numPr>
        <w:rPr>
          <w:rFonts w:ascii="Arial" w:cs="Arial" w:eastAsia="Arial" w:hAnsi="Arial"/>
          <w:sz w:val="20"/>
          <w:szCs w:val="20"/>
          <w:color w:val="auto"/>
        </w:rPr>
      </w:pPr>
      <w:r>
        <w:rPr>
          <w:rFonts w:ascii="Arial" w:cs="Arial" w:eastAsia="Arial" w:hAnsi="Arial"/>
          <w:sz w:val="20"/>
          <w:szCs w:val="20"/>
          <w:color w:val="auto"/>
        </w:rPr>
        <w:t>Other than as set forth in the Registration Statement, Time of Sale Information and Prospectus, (i) there are no legal or governmental proceedings (“</w:t>
      </w:r>
      <w:r>
        <w:rPr>
          <w:rFonts w:ascii="Arial" w:cs="Arial" w:eastAsia="Arial" w:hAnsi="Arial"/>
          <w:sz w:val="20"/>
          <w:szCs w:val="20"/>
          <w:b w:val="1"/>
          <w:bCs w:val="1"/>
          <w:color w:val="auto"/>
        </w:rPr>
        <w:t>Actions</w:t>
      </w:r>
      <w:r>
        <w:rPr>
          <w:rFonts w:ascii="Arial" w:cs="Arial" w:eastAsia="Arial" w:hAnsi="Arial"/>
          <w:sz w:val="20"/>
          <w:szCs w:val="20"/>
          <w:color w:val="auto"/>
        </w:rPr>
        <w:t>”)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20"/>
          <w:szCs w:val="20"/>
          <w:b w:val="1"/>
          <w:bCs w:val="1"/>
          <w:color w:val="auto"/>
        </w:rPr>
        <w:t>Material Adverse Effect</w:t>
      </w:r>
      <w:r>
        <w:rPr>
          <w:rFonts w:ascii="Arial" w:cs="Arial" w:eastAsia="Arial" w:hAnsi="Arial"/>
          <w:sz w:val="20"/>
          <w:szCs w:val="20"/>
          <w:color w:val="auto"/>
        </w:rPr>
        <w:t>”); and (ii) to the Company’s knowledge, no such Actions are threatened by governmental authorities or by others.</w:t>
      </w:r>
    </w:p>
    <w:p>
      <w:pPr>
        <w:spacing w:after="0" w:line="240" w:lineRule="exact"/>
        <w:rPr>
          <w:rFonts w:ascii="Arial" w:cs="Arial" w:eastAsia="Arial" w:hAnsi="Arial"/>
          <w:sz w:val="20"/>
          <w:szCs w:val="20"/>
          <w:color w:val="auto"/>
        </w:rPr>
      </w:pPr>
    </w:p>
    <w:p>
      <w:pPr>
        <w:ind w:right="160" w:firstLine="644"/>
        <w:spacing w:after="0" w:line="243" w:lineRule="auto"/>
        <w:tabs>
          <w:tab w:leader="none" w:pos="1296"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statements set forth in each of the Time of Sale Information and the Final Prospectus under the caption “Description of the Notes,” insofar as they purport to constitute a summary of the terms of the Indenture and the Securities, fairly summarize such terms in all material respects.</w:t>
      </w:r>
    </w:p>
    <w:p>
      <w:pPr>
        <w:spacing w:after="0" w:line="232" w:lineRule="exact"/>
        <w:rPr>
          <w:rFonts w:ascii="Arial" w:cs="Arial" w:eastAsia="Arial" w:hAnsi="Arial"/>
          <w:sz w:val="20"/>
          <w:szCs w:val="20"/>
          <w:color w:val="auto"/>
        </w:rPr>
      </w:pPr>
    </w:p>
    <w:p>
      <w:pPr>
        <w:ind w:right="320" w:firstLine="644"/>
        <w:spacing w:after="0" w:line="241" w:lineRule="auto"/>
        <w:tabs>
          <w:tab w:leader="none" w:pos="1295" w:val="left"/>
        </w:tabs>
        <w:numPr>
          <w:ilvl w:val="0"/>
          <w:numId w:val="7"/>
        </w:numPr>
        <w:rPr>
          <w:rFonts w:ascii="Arial" w:cs="Arial" w:eastAsia="Arial" w:hAnsi="Arial"/>
          <w:sz w:val="20"/>
          <w:szCs w:val="20"/>
          <w:color w:val="auto"/>
        </w:rPr>
      </w:pPr>
      <w:r>
        <w:rPr>
          <w:rFonts w:ascii="Arial" w:cs="Arial" w:eastAsia="Arial" w:hAnsi="Arial"/>
          <w:sz w:val="20"/>
          <w:szCs w:val="20"/>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237" w:lineRule="exact"/>
        <w:rPr>
          <w:rFonts w:ascii="Arial" w:cs="Arial" w:eastAsia="Arial" w:hAnsi="Arial"/>
          <w:sz w:val="20"/>
          <w:szCs w:val="20"/>
          <w:color w:val="auto"/>
        </w:rPr>
      </w:pPr>
    </w:p>
    <w:p>
      <w:pPr>
        <w:ind w:firstLine="644"/>
        <w:spacing w:after="0" w:line="255" w:lineRule="auto"/>
        <w:tabs>
          <w:tab w:leader="none" w:pos="1295"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Registration Statement, Time of Sale Information and Prospectus, the Company’s internal control over financial reporting and the Company’s internal control over financial reporting was effective as of September 2, 2021 and the Company is not aware of any material weaknesses in its internal control over financial reporting.</w:t>
      </w:r>
    </w:p>
    <w:p>
      <w:pPr>
        <w:spacing w:after="0" w:line="221" w:lineRule="exact"/>
        <w:rPr>
          <w:rFonts w:ascii="Arial" w:cs="Arial" w:eastAsia="Arial" w:hAnsi="Arial"/>
          <w:sz w:val="19"/>
          <w:szCs w:val="19"/>
          <w:color w:val="auto"/>
        </w:rPr>
      </w:pPr>
    </w:p>
    <w:p>
      <w:pPr>
        <w:ind w:right="60" w:firstLine="644"/>
        <w:spacing w:after="0" w:line="241" w:lineRule="auto"/>
        <w:tabs>
          <w:tab w:leader="none" w:pos="1295"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0"/>
          </w:cols>
          <w:pgMar w:left="980" w:top="1432" w:right="339" w:bottom="1440" w:gutter="0" w:footer="0" w:header="0"/>
        </w:sectPr>
      </w:pPr>
    </w:p>
    <w:bookmarkStart w:id="10" w:name="page11"/>
    <w:bookmarkEnd w:id="10"/>
    <w:p>
      <w:pPr>
        <w:ind w:right="540"/>
        <w:spacing w:after="0" w:line="246" w:lineRule="auto"/>
        <w:rPr>
          <w:sz w:val="20"/>
          <w:szCs w:val="20"/>
          <w:color w:val="auto"/>
        </w:rPr>
      </w:pPr>
      <w:r>
        <w:rPr>
          <w:rFonts w:ascii="Arial" w:cs="Arial" w:eastAsia="Arial" w:hAnsi="Arial"/>
          <w:sz w:val="20"/>
          <w:szCs w:val="20"/>
          <w:color w:val="auto"/>
        </w:rPr>
        <w:t>by others within those entities; and such disclosure controls and procedures were effective as of the quarter ended September 2, 2021.</w:t>
      </w:r>
    </w:p>
    <w:p>
      <w:pPr>
        <w:spacing w:after="0" w:line="231" w:lineRule="exact"/>
        <w:rPr>
          <w:sz w:val="20"/>
          <w:szCs w:val="20"/>
          <w:color w:val="auto"/>
        </w:rPr>
      </w:pPr>
    </w:p>
    <w:p>
      <w:pPr>
        <w:ind w:right="80" w:firstLine="644"/>
        <w:spacing w:after="0" w:line="241" w:lineRule="auto"/>
        <w:tabs>
          <w:tab w:leader="none" w:pos="1295"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maintains a system of internal accounting controls sufficient to provide reasonable assurance that the interactive data in eXtensible Business Reporting Language included or incorporated by reference in each of the Registration Statement, Time of Sale Information and Prospectus is accurate and prepared in accordance with the Commission’s rules and guidelines applicable thereto.</w:t>
      </w:r>
    </w:p>
    <w:p>
      <w:pPr>
        <w:spacing w:after="0" w:line="237" w:lineRule="exact"/>
        <w:rPr>
          <w:rFonts w:ascii="Arial" w:cs="Arial" w:eastAsia="Arial" w:hAnsi="Arial"/>
          <w:sz w:val="20"/>
          <w:szCs w:val="20"/>
          <w:color w:val="auto"/>
        </w:rPr>
      </w:pPr>
    </w:p>
    <w:p>
      <w:pPr>
        <w:ind w:right="60" w:firstLine="644"/>
        <w:spacing w:after="0"/>
        <w:tabs>
          <w:tab w:leader="none" w:pos="1291" w:val="left"/>
        </w:tabs>
        <w:numPr>
          <w:ilvl w:val="0"/>
          <w:numId w:val="8"/>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any director or officer, nor, to the Company’s knowledge, any affiliate, employee, agent or representative of the Company or of any of its subsidiaries or affiliates, (i)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20"/>
          <w:szCs w:val="20"/>
          <w:b w:val="1"/>
          <w:bCs w:val="1"/>
          <w:color w:val="auto"/>
        </w:rPr>
        <w:t>government official</w:t>
      </w:r>
      <w:r>
        <w:rPr>
          <w:rFonts w:ascii="Arial" w:cs="Arial" w:eastAsia="Arial" w:hAnsi="Arial"/>
          <w:sz w:val="20"/>
          <w:szCs w:val="20"/>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 any jurisdiction in which the Company or any of its subsidiaries conducts business; and the Company and its subsidiaries have conducted their businesses in compliance with applicable anti-corruption laws and have instituted and maintain policies and procedures designed to promote and achieve continued compliance with such laws.</w:t>
      </w:r>
    </w:p>
    <w:p>
      <w:pPr>
        <w:spacing w:after="0" w:line="236" w:lineRule="exact"/>
        <w:rPr>
          <w:rFonts w:ascii="Arial" w:cs="Arial" w:eastAsia="Arial" w:hAnsi="Arial"/>
          <w:sz w:val="20"/>
          <w:szCs w:val="20"/>
          <w:color w:val="auto"/>
        </w:rPr>
      </w:pPr>
    </w:p>
    <w:p>
      <w:pPr>
        <w:ind w:firstLine="644"/>
        <w:spacing w:after="0"/>
        <w:tabs>
          <w:tab w:leader="none" w:pos="128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20"/>
          <w:szCs w:val="20"/>
          <w:b w:val="1"/>
          <w:bCs w:val="1"/>
          <w:color w:val="auto"/>
        </w:rPr>
        <w:t>Anti-Money Laundering</w:t>
      </w:r>
      <w:r>
        <w:rPr>
          <w:rFonts w:ascii="Arial" w:cs="Arial" w:eastAsia="Arial" w:hAnsi="Arial"/>
          <w:sz w:val="20"/>
          <w:szCs w:val="20"/>
          <w:color w:val="auto"/>
        </w:rPr>
        <w:t xml:space="preserve"> </w:t>
      </w:r>
      <w:r>
        <w:rPr>
          <w:rFonts w:ascii="Arial" w:cs="Arial" w:eastAsia="Arial" w:hAnsi="Arial"/>
          <w:sz w:val="20"/>
          <w:szCs w:val="20"/>
          <w:b w:val="1"/>
          <w:bCs w:val="1"/>
          <w:color w:val="auto"/>
        </w:rPr>
        <w:t>Laws</w:t>
      </w:r>
      <w:r>
        <w:rPr>
          <w:rFonts w:ascii="Arial" w:cs="Arial" w:eastAsia="Arial" w:hAnsi="Arial"/>
          <w:sz w:val="20"/>
          <w:szCs w:val="20"/>
          <w:color w:val="auto"/>
        </w:rPr>
        <w:t>”), and no action, suit or proceeding by or before any court or governmental agency, authority or body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arbitrator involving the Company or any of its subsidiaries with respect to the Anti-Money Laundering Laws is pending or, to the knowledge of the Company, threatened.</w:t>
      </w:r>
    </w:p>
    <w:p>
      <w:pPr>
        <w:spacing w:after="0" w:line="238" w:lineRule="exact"/>
        <w:rPr>
          <w:rFonts w:ascii="Arial" w:cs="Arial" w:eastAsia="Arial" w:hAnsi="Arial"/>
          <w:sz w:val="20"/>
          <w:szCs w:val="20"/>
          <w:color w:val="auto"/>
        </w:rPr>
      </w:pPr>
    </w:p>
    <w:p>
      <w:pPr>
        <w:ind w:right="360" w:firstLine="644"/>
        <w:spacing w:after="0" w:line="246" w:lineRule="auto"/>
        <w:tabs>
          <w:tab w:leader="none" w:pos="1294" w:val="left"/>
        </w:tabs>
        <w:numPr>
          <w:ilvl w:val="0"/>
          <w:numId w:val="8"/>
        </w:numPr>
        <w:rPr>
          <w:rFonts w:ascii="Arial" w:cs="Arial" w:eastAsia="Arial" w:hAnsi="Arial"/>
          <w:sz w:val="20"/>
          <w:szCs w:val="20"/>
          <w:color w:val="auto"/>
        </w:rPr>
      </w:pPr>
      <w:r>
        <w:rPr>
          <w:rFonts w:ascii="Arial" w:cs="Arial" w:eastAsia="Arial" w:hAnsi="Arial"/>
          <w:sz w:val="20"/>
          <w:szCs w:val="20"/>
          <w:color w:val="auto"/>
        </w:rPr>
        <w:t>(i) Neither the Company nor any of its subsidiaries, nor any director, officer, or employee thereof, is an individual or entity (“</w:t>
      </w:r>
      <w:r>
        <w:rPr>
          <w:rFonts w:ascii="Arial" w:cs="Arial" w:eastAsia="Arial" w:hAnsi="Arial"/>
          <w:sz w:val="20"/>
          <w:szCs w:val="20"/>
          <w:b w:val="1"/>
          <w:bCs w:val="1"/>
          <w:color w:val="auto"/>
        </w:rPr>
        <w:t>Person</w:t>
      </w:r>
      <w:r>
        <w:rPr>
          <w:rFonts w:ascii="Arial" w:cs="Arial" w:eastAsia="Arial" w:hAnsi="Arial"/>
          <w:sz w:val="20"/>
          <w:szCs w:val="20"/>
          <w:color w:val="auto"/>
        </w:rPr>
        <w:t>”) that is, or is owned or controlled by a Person that is:</w:t>
      </w:r>
    </w:p>
    <w:p>
      <w:pPr>
        <w:spacing w:after="0" w:line="206" w:lineRule="exact"/>
        <w:rPr>
          <w:rFonts w:ascii="Arial" w:cs="Arial" w:eastAsia="Arial" w:hAnsi="Arial"/>
          <w:sz w:val="20"/>
          <w:szCs w:val="20"/>
          <w:color w:val="auto"/>
        </w:rPr>
      </w:pPr>
    </w:p>
    <w:p>
      <w:pPr>
        <w:ind w:left="640" w:right="980" w:firstLine="1300"/>
        <w:spacing w:after="0" w:line="271" w:lineRule="auto"/>
        <w:tabs>
          <w:tab w:leader="none" w:pos="2578"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subject of any sanctions (“</w:t>
      </w:r>
      <w:r>
        <w:rPr>
          <w:rFonts w:ascii="Arial" w:cs="Arial" w:eastAsia="Arial" w:hAnsi="Arial"/>
          <w:sz w:val="20"/>
          <w:szCs w:val="20"/>
          <w:b w:val="1"/>
          <w:bCs w:val="1"/>
          <w:color w:val="auto"/>
        </w:rPr>
        <w:t>Sanctions</w:t>
      </w:r>
      <w:r>
        <w:rPr>
          <w:rFonts w:ascii="Arial" w:cs="Arial" w:eastAsia="Arial" w:hAnsi="Arial"/>
          <w:sz w:val="20"/>
          <w:szCs w:val="20"/>
          <w:color w:val="auto"/>
        </w:rPr>
        <w:t>”) administered or enforced by the U.S. Department of Treasury’s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40"/>
          </w:cols>
          <w:pgMar w:left="980" w:top="1432" w:right="379" w:bottom="1440" w:gutter="0" w:footer="0" w:header="0"/>
        </w:sectPr>
      </w:pPr>
    </w:p>
    <w:bookmarkStart w:id="11" w:name="page12"/>
    <w:bookmarkEnd w:id="11"/>
    <w:p>
      <w:pPr>
        <w:ind w:left="1280" w:right="240"/>
        <w:spacing w:after="0" w:line="243" w:lineRule="auto"/>
        <w:rPr>
          <w:sz w:val="20"/>
          <w:szCs w:val="20"/>
          <w:color w:val="auto"/>
        </w:rPr>
      </w:pPr>
      <w:r>
        <w:rPr>
          <w:rFonts w:ascii="Arial" w:cs="Arial" w:eastAsia="Arial" w:hAnsi="Arial"/>
          <w:sz w:val="20"/>
          <w:szCs w:val="20"/>
          <w:color w:val="auto"/>
        </w:rPr>
        <w:t>U.S. Department of State (including without limitation, the designation as a “specially designated national” or “blocked person”), the United Nations Security Council, the European Union or Her Majesty’s Treasury or other relevant sanctions authority, nor</w:t>
      </w:r>
    </w:p>
    <w:p>
      <w:pPr>
        <w:spacing w:after="0" w:line="233" w:lineRule="exact"/>
        <w:rPr>
          <w:sz w:val="20"/>
          <w:szCs w:val="20"/>
          <w:color w:val="auto"/>
        </w:rPr>
      </w:pPr>
    </w:p>
    <w:p>
      <w:pPr>
        <w:jc w:val="both"/>
        <w:ind w:left="1280" w:right="600" w:firstLine="1300"/>
        <w:spacing w:after="0" w:line="272" w:lineRule="auto"/>
        <w:tabs>
          <w:tab w:leader="none" w:pos="3218" w:val="left"/>
        </w:tabs>
        <w:numPr>
          <w:ilvl w:val="3"/>
          <w:numId w:val="9"/>
        </w:numPr>
        <w:rPr>
          <w:rFonts w:ascii="Arial" w:cs="Arial" w:eastAsia="Arial" w:hAnsi="Arial"/>
          <w:sz w:val="19"/>
          <w:szCs w:val="19"/>
          <w:color w:val="auto"/>
        </w:rPr>
      </w:pPr>
      <w:r>
        <w:rPr>
          <w:rFonts w:ascii="Arial" w:cs="Arial" w:eastAsia="Arial" w:hAnsi="Arial"/>
          <w:sz w:val="19"/>
          <w:szCs w:val="19"/>
          <w:color w:val="auto"/>
        </w:rPr>
        <w:t>located, organized or resident in a country or territory that is the subject of Sanctions (including, without limitation, Crimea, Cuba, Iran, North Korea and Syria) (each, a “</w:t>
      </w:r>
      <w:r>
        <w:rPr>
          <w:rFonts w:ascii="Arial" w:cs="Arial" w:eastAsia="Arial" w:hAnsi="Arial"/>
          <w:sz w:val="19"/>
          <w:szCs w:val="19"/>
          <w:b w:val="1"/>
          <w:bCs w:val="1"/>
          <w:color w:val="auto"/>
        </w:rPr>
        <w:t>Sanctioned Country</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ind w:left="1280" w:right="120" w:firstLine="652"/>
        <w:spacing w:after="0" w:line="246" w:lineRule="auto"/>
        <w:tabs>
          <w:tab w:leader="none" w:pos="2566" w:val="left"/>
        </w:tabs>
        <w:numPr>
          <w:ilvl w:val="2"/>
          <w:numId w:val="10"/>
        </w:numPr>
        <w:rPr>
          <w:rFonts w:ascii="Arial" w:cs="Arial" w:eastAsia="Arial" w:hAnsi="Arial"/>
          <w:sz w:val="20"/>
          <w:szCs w:val="20"/>
          <w:color w:val="auto"/>
        </w:rPr>
      </w:pPr>
      <w:r>
        <w:rPr>
          <w:rFonts w:ascii="Arial" w:cs="Arial" w:eastAsia="Arial" w:hAnsi="Arial"/>
          <w:sz w:val="20"/>
          <w:szCs w:val="20"/>
          <w:color w:val="auto"/>
        </w:rPr>
        <w:t>The Company will not, directly or indirectly, use the proceeds of the offering, or lend, contribute or otherwise make available such proceeds to any subsidiary, joint venture partner or other Person:</w:t>
      </w:r>
    </w:p>
    <w:p>
      <w:pPr>
        <w:spacing w:after="0" w:line="230" w:lineRule="exact"/>
        <w:rPr>
          <w:rFonts w:ascii="Arial" w:cs="Arial" w:eastAsia="Arial" w:hAnsi="Arial"/>
          <w:sz w:val="20"/>
          <w:szCs w:val="20"/>
          <w:color w:val="auto"/>
        </w:rPr>
      </w:pPr>
    </w:p>
    <w:p>
      <w:pPr>
        <w:ind w:left="1280" w:right="440" w:firstLine="1300"/>
        <w:spacing w:after="0" w:line="246" w:lineRule="auto"/>
        <w:tabs>
          <w:tab w:leader="none" w:pos="3218" w:val="left"/>
        </w:tabs>
        <w:numPr>
          <w:ilvl w:val="3"/>
          <w:numId w:val="10"/>
        </w:numPr>
        <w:rPr>
          <w:rFonts w:ascii="Arial" w:cs="Arial" w:eastAsia="Arial" w:hAnsi="Arial"/>
          <w:sz w:val="20"/>
          <w:szCs w:val="20"/>
          <w:color w:val="auto"/>
        </w:rPr>
      </w:pPr>
      <w:r>
        <w:rPr>
          <w:rFonts w:ascii="Arial" w:cs="Arial" w:eastAsia="Arial" w:hAnsi="Arial"/>
          <w:sz w:val="20"/>
          <w:szCs w:val="20"/>
          <w:color w:val="auto"/>
        </w:rPr>
        <w:t>to fund or facilitate any activities or business of or with any Person or in any country or territory that, at the time of such funding or facilitation, is the subject of Sanctions; or</w:t>
      </w:r>
    </w:p>
    <w:p>
      <w:pPr>
        <w:spacing w:after="0" w:line="230" w:lineRule="exact"/>
        <w:rPr>
          <w:rFonts w:ascii="Arial" w:cs="Arial" w:eastAsia="Arial" w:hAnsi="Arial"/>
          <w:sz w:val="20"/>
          <w:szCs w:val="20"/>
          <w:color w:val="auto"/>
        </w:rPr>
      </w:pPr>
    </w:p>
    <w:p>
      <w:pPr>
        <w:ind w:left="1280" w:right="80" w:firstLine="1300"/>
        <w:spacing w:after="0" w:line="246" w:lineRule="auto"/>
        <w:tabs>
          <w:tab w:leader="none" w:pos="3218" w:val="left"/>
        </w:tabs>
        <w:numPr>
          <w:ilvl w:val="3"/>
          <w:numId w:val="10"/>
        </w:numPr>
        <w:rPr>
          <w:rFonts w:ascii="Arial" w:cs="Arial" w:eastAsia="Arial" w:hAnsi="Arial"/>
          <w:sz w:val="20"/>
          <w:szCs w:val="20"/>
          <w:color w:val="auto"/>
        </w:rPr>
      </w:pPr>
      <w:r>
        <w:rPr>
          <w:rFonts w:ascii="Arial" w:cs="Arial" w:eastAsia="Arial" w:hAnsi="Arial"/>
          <w:sz w:val="20"/>
          <w:szCs w:val="20"/>
          <w:color w:val="auto"/>
        </w:rPr>
        <w:t>in any other manner that will result in a violation of Sanctions by any Person (including any Person participating in the offering, whether as underwriter, advisor, investor or otherwise).</w:t>
      </w:r>
    </w:p>
    <w:p>
      <w:pPr>
        <w:spacing w:after="0" w:line="230" w:lineRule="exact"/>
        <w:rPr>
          <w:rFonts w:ascii="Arial" w:cs="Arial" w:eastAsia="Arial" w:hAnsi="Arial"/>
          <w:sz w:val="20"/>
          <w:szCs w:val="20"/>
          <w:color w:val="auto"/>
        </w:rPr>
      </w:pPr>
    </w:p>
    <w:p>
      <w:pPr>
        <w:ind w:left="1280" w:right="80" w:firstLine="652"/>
        <w:spacing w:after="0" w:line="246" w:lineRule="auto"/>
        <w:tabs>
          <w:tab w:leader="none" w:pos="2569" w:val="left"/>
        </w:tabs>
        <w:numPr>
          <w:ilvl w:val="2"/>
          <w:numId w:val="10"/>
        </w:numPr>
        <w:rPr>
          <w:rFonts w:ascii="Arial" w:cs="Arial" w:eastAsia="Arial" w:hAnsi="Arial"/>
          <w:sz w:val="20"/>
          <w:szCs w:val="20"/>
          <w:color w:val="auto"/>
        </w:rPr>
      </w:pPr>
      <w:r>
        <w:rPr>
          <w:rFonts w:ascii="Arial" w:cs="Arial" w:eastAsia="Arial" w:hAnsi="Arial"/>
          <w:sz w:val="20"/>
          <w:szCs w:val="20"/>
          <w:color w:val="auto"/>
        </w:rPr>
        <w:t>The Company and its subsidiaries are not now knowingly engaged in any dealings or transactions with any Person, or in any country or territory that is the subject of Sanctions.</w:t>
      </w:r>
    </w:p>
    <w:p>
      <w:pPr>
        <w:spacing w:after="0" w:line="230" w:lineRule="exact"/>
        <w:rPr>
          <w:rFonts w:ascii="Arial" w:cs="Arial" w:eastAsia="Arial" w:hAnsi="Arial"/>
          <w:sz w:val="20"/>
          <w:szCs w:val="20"/>
          <w:color w:val="auto"/>
        </w:rPr>
      </w:pPr>
    </w:p>
    <w:p>
      <w:pPr>
        <w:jc w:val="both"/>
        <w:ind w:left="640" w:right="100" w:firstLine="644"/>
        <w:spacing w:after="0" w:line="241" w:lineRule="auto"/>
        <w:tabs>
          <w:tab w:leader="none" w:pos="1935"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interactive data in eXtensible Business Reporting Language included or incorporated by reference in each of the Registration Statement, Time of Sale Information and Prospectus fairly presents the information called for in all material respects and has been prepared in accordance with the Commission’s rules and guidelines applicable thereto.</w:t>
      </w:r>
    </w:p>
    <w:p>
      <w:pPr>
        <w:spacing w:after="0" w:line="237" w:lineRule="exact"/>
        <w:rPr>
          <w:rFonts w:ascii="Arial" w:cs="Arial" w:eastAsia="Arial" w:hAnsi="Arial"/>
          <w:sz w:val="20"/>
          <w:szCs w:val="20"/>
          <w:color w:val="auto"/>
        </w:rPr>
      </w:pPr>
    </w:p>
    <w:p>
      <w:pPr>
        <w:ind w:left="640" w:firstLine="644"/>
        <w:spacing w:after="0" w:line="243" w:lineRule="auto"/>
        <w:tabs>
          <w:tab w:leader="none" w:pos="1924"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Company has not taken, directly or indirectly, without giving effect to activities by any Underwriter, any action designed to or that could reasonably be expected to cause or result in any stabilization or manipulation of the price of the Securities.</w:t>
      </w:r>
    </w:p>
    <w:p>
      <w:pPr>
        <w:spacing w:after="0" w:line="232" w:lineRule="exact"/>
        <w:rPr>
          <w:rFonts w:ascii="Arial" w:cs="Arial" w:eastAsia="Arial" w:hAnsi="Arial"/>
          <w:sz w:val="20"/>
          <w:szCs w:val="20"/>
          <w:color w:val="auto"/>
        </w:rPr>
      </w:pPr>
    </w:p>
    <w:p>
      <w:pPr>
        <w:ind w:left="640" w:right="40" w:firstLine="644"/>
        <w:spacing w:after="0"/>
        <w:tabs>
          <w:tab w:leader="none" w:pos="1927"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At the time of filing the Registration Statement and any post-effective amendments thereto, at the earliest time thereafter that the Company or any offering participant made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offer (within the meaning of Rule 164(h)(2) under the Securities Act) of the Securities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fees within the time period required by such rule (without giving effect to the proviso therein) and in any event prior to the Closing Date.</w:t>
      </w:r>
    </w:p>
    <w:p>
      <w:pPr>
        <w:spacing w:after="0" w:line="219" w:lineRule="exact"/>
        <w:rPr>
          <w:rFonts w:ascii="Arial" w:cs="Arial" w:eastAsia="Arial" w:hAnsi="Arial"/>
          <w:sz w:val="20"/>
          <w:szCs w:val="20"/>
          <w:color w:val="auto"/>
        </w:rPr>
      </w:pPr>
    </w:p>
    <w:p>
      <w:pPr>
        <w:ind w:left="-20" w:right="360" w:firstLine="656"/>
        <w:spacing w:after="0" w:line="253" w:lineRule="auto"/>
        <w:tabs>
          <w:tab w:leader="none" w:pos="1265"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Agreements to Sell and Purchase</w:t>
      </w:r>
      <w:r>
        <w:rPr>
          <w:rFonts w:ascii="Arial" w:cs="Arial" w:eastAsia="Arial" w:hAnsi="Arial"/>
          <w:sz w:val="20"/>
          <w:szCs w:val="20"/>
          <w:color w:val="auto"/>
        </w:rPr>
        <w:t>. The Company hereby agrees to issue and sell to the several Underwriters,</w:t>
      </w:r>
      <w:r>
        <w:rPr>
          <w:rFonts w:ascii="Arial" w:cs="Arial" w:eastAsia="Arial" w:hAnsi="Arial"/>
          <w:sz w:val="20"/>
          <w:szCs w:val="20"/>
          <w:i w:val="1"/>
          <w:iCs w:val="1"/>
          <w:color w:val="auto"/>
        </w:rPr>
        <w:t xml:space="preserve"> </w:t>
      </w:r>
      <w:r>
        <w:rPr>
          <w:rFonts w:ascii="Arial" w:cs="Arial" w:eastAsia="Arial" w:hAnsi="Arial"/>
          <w:sz w:val="20"/>
          <w:szCs w:val="20"/>
          <w:color w:val="auto"/>
        </w:rPr>
        <w:t>and each Underwriter, upon the basis of the representations and warranties herein contained, but subject to the conditions hereinafter stated,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00"/>
          </w:cols>
          <w:pgMar w:left="340" w:top="1432" w:right="359" w:bottom="1440" w:gutter="0" w:footer="0" w:header="0"/>
        </w:sectPr>
      </w:pPr>
    </w:p>
    <w:bookmarkStart w:id="12" w:name="page13"/>
    <w:bookmarkEnd w:id="12"/>
    <w:p>
      <w:pPr>
        <w:ind w:right="160"/>
        <w:spacing w:after="0"/>
        <w:rPr>
          <w:sz w:val="20"/>
          <w:szCs w:val="20"/>
          <w:color w:val="auto"/>
        </w:rPr>
      </w:pPr>
      <w:r>
        <w:rPr>
          <w:rFonts w:ascii="Arial" w:cs="Arial" w:eastAsia="Arial" w:hAnsi="Arial"/>
          <w:sz w:val="20"/>
          <w:szCs w:val="20"/>
          <w:color w:val="auto"/>
        </w:rPr>
        <w:t>severally and not jointly, to purchase from the Company the respective principal amounts of 2032 Notes, 2041 Notes and 2051 Notes, as applicable, set forth in Schedule I hereto opposite its name at a purchase price of (a) in the case of the 2032 Notes, 99.600% of the principal amount thereof (the “</w:t>
      </w:r>
      <w:r>
        <w:rPr>
          <w:rFonts w:ascii="Arial" w:cs="Arial" w:eastAsia="Arial" w:hAnsi="Arial"/>
          <w:sz w:val="20"/>
          <w:szCs w:val="20"/>
          <w:b w:val="1"/>
          <w:bCs w:val="1"/>
          <w:color w:val="auto"/>
        </w:rPr>
        <w:t>2032 Purchase Price</w:t>
      </w:r>
      <w:r>
        <w:rPr>
          <w:rFonts w:ascii="Arial" w:cs="Arial" w:eastAsia="Arial" w:hAnsi="Arial"/>
          <w:sz w:val="20"/>
          <w:szCs w:val="20"/>
          <w:color w:val="auto"/>
        </w:rPr>
        <w:t>”), (b) in the case of the 2041 Notes, 99.450% of the principal amount thereof (the “</w:t>
      </w:r>
      <w:r>
        <w:rPr>
          <w:rFonts w:ascii="Arial" w:cs="Arial" w:eastAsia="Arial" w:hAnsi="Arial"/>
          <w:sz w:val="20"/>
          <w:szCs w:val="20"/>
          <w:b w:val="1"/>
          <w:bCs w:val="1"/>
          <w:color w:val="auto"/>
        </w:rPr>
        <w:t>2041 Purchase Price</w:t>
      </w:r>
      <w:r>
        <w:rPr>
          <w:rFonts w:ascii="Arial" w:cs="Arial" w:eastAsia="Arial" w:hAnsi="Arial"/>
          <w:sz w:val="20"/>
          <w:szCs w:val="20"/>
          <w:color w:val="auto"/>
        </w:rPr>
        <w:t>”) and (c) in the case of the 2051 Notes, 99.300% of the principal amount thereof (the “</w:t>
      </w:r>
      <w:r>
        <w:rPr>
          <w:rFonts w:ascii="Arial" w:cs="Arial" w:eastAsia="Arial" w:hAnsi="Arial"/>
          <w:sz w:val="20"/>
          <w:szCs w:val="20"/>
          <w:b w:val="1"/>
          <w:bCs w:val="1"/>
          <w:color w:val="auto"/>
        </w:rPr>
        <w:t>2051 Purchase Price</w:t>
      </w:r>
      <w:r>
        <w:rPr>
          <w:rFonts w:ascii="Arial" w:cs="Arial" w:eastAsia="Arial" w:hAnsi="Arial"/>
          <w:sz w:val="20"/>
          <w:szCs w:val="20"/>
          <w:color w:val="auto"/>
        </w:rPr>
        <w:t>” and each of the 2032 Purchase Price, 2041 Purchase Price and 2051 Purchase Price, as applicable, the “</w:t>
      </w:r>
      <w:r>
        <w:rPr>
          <w:rFonts w:ascii="Arial" w:cs="Arial" w:eastAsia="Arial" w:hAnsi="Arial"/>
          <w:sz w:val="20"/>
          <w:szCs w:val="20"/>
          <w:b w:val="1"/>
          <w:bCs w:val="1"/>
          <w:color w:val="auto"/>
        </w:rPr>
        <w:t>Purchase Price</w:t>
      </w:r>
      <w:r>
        <w:rPr>
          <w:rFonts w:ascii="Arial" w:cs="Arial" w:eastAsia="Arial" w:hAnsi="Arial"/>
          <w:sz w:val="20"/>
          <w:szCs w:val="20"/>
          <w:color w:val="auto"/>
        </w:rPr>
        <w:t>”), plus accrued interest, if any, from November 1, 2021 to the Closing Date.</w:t>
      </w:r>
    </w:p>
    <w:p>
      <w:pPr>
        <w:spacing w:after="0" w:line="220" w:lineRule="exact"/>
        <w:rPr>
          <w:sz w:val="20"/>
          <w:szCs w:val="20"/>
          <w:color w:val="auto"/>
        </w:rPr>
      </w:pPr>
    </w:p>
    <w:p>
      <w:pPr>
        <w:ind w:right="260" w:firstLine="656"/>
        <w:spacing w:after="0" w:line="246" w:lineRule="auto"/>
        <w:tabs>
          <w:tab w:leader="none" w:pos="12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Terms of Offering</w:t>
      </w:r>
      <w:r>
        <w:rPr>
          <w:rFonts w:ascii="Arial" w:cs="Arial" w:eastAsia="Arial" w:hAnsi="Arial"/>
          <w:sz w:val="20"/>
          <w:szCs w:val="20"/>
          <w:color w:val="auto"/>
        </w:rPr>
        <w:t>. You have advised the Company that the Underwriters intend to make a public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as soon after the Registration Statement and this Agreement have become effective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211" w:lineRule="exact"/>
        <w:rPr>
          <w:rFonts w:ascii="Arial" w:cs="Arial" w:eastAsia="Arial" w:hAnsi="Arial"/>
          <w:sz w:val="20"/>
          <w:szCs w:val="20"/>
          <w:color w:val="auto"/>
        </w:rPr>
      </w:pPr>
    </w:p>
    <w:p>
      <w:pPr>
        <w:ind w:right="20" w:firstLine="656"/>
        <w:spacing w:after="0" w:line="245" w:lineRule="auto"/>
        <w:tabs>
          <w:tab w:leader="none" w:pos="12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Payment and Delivery</w:t>
      </w:r>
      <w:r>
        <w:rPr>
          <w:rFonts w:ascii="Arial" w:cs="Arial" w:eastAsia="Arial" w:hAnsi="Arial"/>
          <w:sz w:val="20"/>
          <w:szCs w:val="20"/>
          <w:color w:val="auto"/>
        </w:rPr>
        <w:t>. Payment for the Securities shall be made to the Company in Federal or other funds</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immediately available to the account specified by the Company to you at the office of Wilson Sonsini Goodrich &amp; Rosati, Professional Corporation, 650 Page Mill Road, Palo Alto, California, at approximately 7:00 a.m., California time, on November 1, 2021,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20"/>
          <w:szCs w:val="20"/>
          <w:b w:val="1"/>
          <w:bCs w:val="1"/>
          <w:color w:val="auto"/>
        </w:rPr>
        <w:t>Closing</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w:t>
      </w:r>
    </w:p>
    <w:p>
      <w:pPr>
        <w:spacing w:after="0" w:line="231" w:lineRule="exact"/>
        <w:rPr>
          <w:sz w:val="20"/>
          <w:szCs w:val="20"/>
          <w:color w:val="auto"/>
        </w:rPr>
      </w:pPr>
    </w:p>
    <w:p>
      <w:pPr>
        <w:jc w:val="both"/>
        <w:ind w:right="80" w:firstLine="648"/>
        <w:spacing w:after="0" w:line="258" w:lineRule="auto"/>
        <w:rPr>
          <w:sz w:val="20"/>
          <w:szCs w:val="20"/>
          <w:color w:val="auto"/>
        </w:rPr>
      </w:pPr>
      <w:r>
        <w:rPr>
          <w:rFonts w:ascii="Arial" w:cs="Arial" w:eastAsia="Arial" w:hAnsi="Arial"/>
          <w:sz w:val="19"/>
          <w:szCs w:val="19"/>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Underwriters, with any transfer taxes payable in connection with the transfer of the Securities to the Underwriters duly paid, against payment of the Purchase Price therefor.</w:t>
      </w:r>
    </w:p>
    <w:p>
      <w:pPr>
        <w:spacing w:after="0" w:line="202" w:lineRule="exact"/>
        <w:rPr>
          <w:sz w:val="20"/>
          <w:szCs w:val="20"/>
          <w:color w:val="auto"/>
        </w:rPr>
      </w:pPr>
    </w:p>
    <w:p>
      <w:pPr>
        <w:ind w:right="180" w:firstLine="656"/>
        <w:spacing w:after="0" w:line="253" w:lineRule="auto"/>
        <w:tabs>
          <w:tab w:leader="none" w:pos="1285"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Conditions to the Underwriters’ Obligations</w:t>
      </w:r>
      <w:r>
        <w:rPr>
          <w:rFonts w:ascii="Arial" w:cs="Arial" w:eastAsia="Arial" w:hAnsi="Arial"/>
          <w:sz w:val="20"/>
          <w:szCs w:val="20"/>
          <w:color w:val="auto"/>
        </w:rPr>
        <w:t>. The several obligations of the Underwriters to purchase and pay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Securities on the Closing Date is subject to the performance by the Company of its covenants and other obligations hereunder and to the following additional conditions:</w:t>
      </w:r>
    </w:p>
    <w:p>
      <w:pPr>
        <w:spacing w:after="0" w:line="224" w:lineRule="exact"/>
        <w:rPr>
          <w:rFonts w:ascii="Arial" w:cs="Arial" w:eastAsia="Arial" w:hAnsi="Arial"/>
          <w:sz w:val="20"/>
          <w:szCs w:val="20"/>
          <w:color w:val="auto"/>
        </w:rPr>
      </w:pPr>
    </w:p>
    <w:p>
      <w:pPr>
        <w:ind w:left="660" w:firstLine="644"/>
        <w:spacing w:after="0" w:line="256" w:lineRule="auto"/>
        <w:tabs>
          <w:tab w:leader="none" w:pos="1955" w:val="left"/>
        </w:tabs>
        <w:numPr>
          <w:ilvl w:val="1"/>
          <w:numId w:val="14"/>
        </w:numPr>
        <w:rPr>
          <w:rFonts w:ascii="Arial" w:cs="Arial" w:eastAsia="Arial" w:hAnsi="Arial"/>
          <w:sz w:val="19"/>
          <w:szCs w:val="19"/>
          <w:color w:val="auto"/>
        </w:rPr>
      </w:pPr>
      <w:r>
        <w:rPr>
          <w:rFonts w:ascii="Arial" w:cs="Arial" w:eastAsia="Arial" w:hAnsi="Arial"/>
          <w:sz w:val="19"/>
          <w:szCs w:val="19"/>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6(a) hereof; and all requests by the Commission for additional information shall have been complied with to the reasonable satisfaction of the Representatives.</w:t>
      </w:r>
    </w:p>
    <w:p>
      <w:pPr>
        <w:spacing w:after="0" w:line="221" w:lineRule="exact"/>
        <w:rPr>
          <w:rFonts w:ascii="Arial" w:cs="Arial" w:eastAsia="Arial" w:hAnsi="Arial"/>
          <w:sz w:val="19"/>
          <w:szCs w:val="19"/>
          <w:color w:val="auto"/>
        </w:rPr>
      </w:pPr>
    </w:p>
    <w:p>
      <w:pPr>
        <w:ind w:left="660" w:right="280" w:firstLine="644"/>
        <w:spacing w:after="0" w:line="246" w:lineRule="auto"/>
        <w:tabs>
          <w:tab w:leader="none" w:pos="1955"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representations and warranties of the Company contained herein (x) if qualified as to materiality or Material Adverse Effect, shall be true and correct and (y)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32" w:right="359" w:bottom="1440" w:gutter="0" w:footer="0" w:header="0"/>
        </w:sectPr>
      </w:pPr>
    </w:p>
    <w:bookmarkStart w:id="13" w:name="page14"/>
    <w:bookmarkEnd w:id="13"/>
    <w:p>
      <w:pPr>
        <w:spacing w:after="0" w:line="241" w:lineRule="auto"/>
        <w:rPr>
          <w:sz w:val="20"/>
          <w:szCs w:val="20"/>
          <w:color w:val="auto"/>
        </w:rPr>
      </w:pPr>
      <w:r>
        <w:rPr>
          <w:rFonts w:ascii="Arial" w:cs="Arial" w:eastAsia="Arial" w:hAnsi="Arial"/>
          <w:sz w:val="20"/>
          <w:szCs w:val="20"/>
          <w:color w:val="auto"/>
        </w:rPr>
        <w:t>all other cases are true and correct in all material respects on the date hereof and on and as of the Closing Date; and the statements of the Company and its officers made in any certificates delivered pursuant to this Agreement shall be true and correct in all material respects (other than representations and warranties qualified by materiality, in which case such representations shall be true and correct in all respects) on and as of the Closing Date.</w:t>
      </w:r>
    </w:p>
    <w:p>
      <w:pPr>
        <w:spacing w:after="0" w:line="237" w:lineRule="exact"/>
        <w:rPr>
          <w:sz w:val="20"/>
          <w:szCs w:val="20"/>
          <w:color w:val="auto"/>
        </w:rPr>
      </w:pPr>
    </w:p>
    <w:p>
      <w:pPr>
        <w:ind w:left="1280" w:hanging="636"/>
        <w:spacing w:after="0"/>
        <w:tabs>
          <w:tab w:leader="none" w:pos="12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Subsequent to the execution and delivery of this Agreement and prior to the Closing Date:</w:t>
      </w:r>
    </w:p>
    <w:p>
      <w:pPr>
        <w:spacing w:after="0" w:line="242" w:lineRule="exact"/>
        <w:rPr>
          <w:rFonts w:ascii="Arial" w:cs="Arial" w:eastAsia="Arial" w:hAnsi="Arial"/>
          <w:sz w:val="20"/>
          <w:szCs w:val="20"/>
          <w:color w:val="auto"/>
        </w:rPr>
      </w:pPr>
    </w:p>
    <w:p>
      <w:pPr>
        <w:ind w:left="640" w:right="240" w:firstLine="652"/>
        <w:spacing w:after="0" w:line="258" w:lineRule="auto"/>
        <w:tabs>
          <w:tab w:leader="none" w:pos="1923"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and</w:t>
      </w:r>
    </w:p>
    <w:p>
      <w:pPr>
        <w:spacing w:after="0" w:line="221" w:lineRule="exact"/>
        <w:rPr>
          <w:rFonts w:ascii="Arial" w:cs="Arial" w:eastAsia="Arial" w:hAnsi="Arial"/>
          <w:sz w:val="19"/>
          <w:szCs w:val="19"/>
          <w:color w:val="auto"/>
        </w:rPr>
      </w:pPr>
    </w:p>
    <w:p>
      <w:pPr>
        <w:ind w:left="640" w:firstLine="652"/>
        <w:spacing w:after="0"/>
        <w:tabs>
          <w:tab w:leader="none" w:pos="192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Information (excluding any amendment or supplement thereto) and the Prospectus (excluding any amendment or supplement thereto) that, in your judgment, is material and adverse and that makes it, in your judgment, impracticable to market the Securities on the terms and in the manner contemplated in this Agreement, the Time of Sale Information and the Prospectus.</w:t>
      </w:r>
    </w:p>
    <w:p>
      <w:pPr>
        <w:spacing w:after="0" w:line="239" w:lineRule="exact"/>
        <w:rPr>
          <w:rFonts w:ascii="Arial" w:cs="Arial" w:eastAsia="Arial" w:hAnsi="Arial"/>
          <w:sz w:val="20"/>
          <w:szCs w:val="20"/>
          <w:color w:val="auto"/>
        </w:rPr>
      </w:pPr>
    </w:p>
    <w:p>
      <w:pPr>
        <w:ind w:firstLine="644"/>
        <w:spacing w:after="0"/>
        <w:tabs>
          <w:tab w:leader="none" w:pos="12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 certificate, dated the Closing Date and signed by the chief executive officer, the chief financial officer or the corporate vice president, corporate finance of the Company, to the effect set forth in Section 5(c)(i)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Registration Statement and Time of Sale Information, there has been no material adverse change in the financial condition, earnings, business or properties of the Company and its subsidiaries, taken as a whole, except as set forth or contemplated in the Registration Statement and Time of Sale Information.</w:t>
      </w:r>
    </w:p>
    <w:p>
      <w:pPr>
        <w:spacing w:after="0" w:line="238" w:lineRule="exact"/>
        <w:rPr>
          <w:sz w:val="20"/>
          <w:szCs w:val="20"/>
          <w:color w:val="auto"/>
        </w:rPr>
      </w:pPr>
    </w:p>
    <w:p>
      <w:pPr>
        <w:ind w:right="1000" w:firstLine="648"/>
        <w:spacing w:after="0" w:line="246" w:lineRule="auto"/>
        <w:rPr>
          <w:sz w:val="20"/>
          <w:szCs w:val="20"/>
          <w:color w:val="auto"/>
        </w:rPr>
      </w:pPr>
      <w:r>
        <w:rPr>
          <w:rFonts w:ascii="Arial" w:cs="Arial" w:eastAsia="Arial" w:hAnsi="Arial"/>
          <w:sz w:val="20"/>
          <w:szCs w:val="20"/>
          <w:color w:val="auto"/>
        </w:rPr>
        <w:t>The officer signing and delivering such certificate may rely upon the best of his or her knowledge as to proceedings threatened.</w:t>
      </w:r>
    </w:p>
    <w:p>
      <w:pPr>
        <w:spacing w:after="0" w:line="231" w:lineRule="exact"/>
        <w:rPr>
          <w:sz w:val="20"/>
          <w:szCs w:val="20"/>
          <w:color w:val="auto"/>
        </w:rPr>
      </w:pPr>
    </w:p>
    <w:p>
      <w:pPr>
        <w:ind w:right="620" w:firstLine="644"/>
        <w:spacing w:after="0" w:line="246" w:lineRule="auto"/>
        <w:tabs>
          <w:tab w:leader="none" w:pos="12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an opinion of Wilson Sonsini Goodrich &amp; Rosati, Professional Corporation, outside counsel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60"/>
          </w:cols>
          <w:pgMar w:left="980" w:top="1432" w:right="359" w:bottom="1440" w:gutter="0" w:footer="0" w:header="0"/>
        </w:sectPr>
      </w:pPr>
    </w:p>
    <w:bookmarkStart w:id="14" w:name="page15"/>
    <w:bookmarkEnd w:id="14"/>
    <w:p>
      <w:pPr>
        <w:ind w:left="4" w:right="20"/>
        <w:spacing w:after="0" w:line="246" w:lineRule="auto"/>
        <w:rPr>
          <w:sz w:val="20"/>
          <w:szCs w:val="20"/>
          <w:color w:val="auto"/>
        </w:rPr>
      </w:pPr>
      <w:r>
        <w:rPr>
          <w:rFonts w:ascii="Arial" w:cs="Arial" w:eastAsia="Arial" w:hAnsi="Arial"/>
          <w:sz w:val="20"/>
          <w:szCs w:val="20"/>
          <w:color w:val="auto"/>
        </w:rPr>
        <w:t>Company, dated the Closing Date, to the effect set forth in Exhibit A. Such opinion shall be rendered to the Underwriters at the request of the Company and shall so state therein.</w:t>
      </w:r>
    </w:p>
    <w:p>
      <w:pPr>
        <w:spacing w:after="0" w:line="231" w:lineRule="exact"/>
        <w:rPr>
          <w:sz w:val="20"/>
          <w:szCs w:val="20"/>
          <w:color w:val="auto"/>
        </w:rPr>
      </w:pPr>
    </w:p>
    <w:p>
      <w:pPr>
        <w:ind w:left="4" w:right="160" w:firstLine="644"/>
        <w:spacing w:after="0" w:line="246" w:lineRule="auto"/>
        <w:tabs>
          <w:tab w:leader="none" w:pos="1298"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an opinion of Joel L. Poppen, the Company’s General Counsel, dated the Closing Date, to the effect set forth in Exhibit B.</w:t>
      </w:r>
    </w:p>
    <w:p>
      <w:pPr>
        <w:spacing w:after="0" w:line="230" w:lineRule="exact"/>
        <w:rPr>
          <w:rFonts w:ascii="Arial" w:cs="Arial" w:eastAsia="Arial" w:hAnsi="Arial"/>
          <w:sz w:val="20"/>
          <w:szCs w:val="20"/>
          <w:color w:val="auto"/>
        </w:rPr>
      </w:pPr>
    </w:p>
    <w:p>
      <w:pPr>
        <w:jc w:val="both"/>
        <w:ind w:left="4" w:firstLine="644"/>
        <w:spacing w:after="0" w:line="272" w:lineRule="auto"/>
        <w:tabs>
          <w:tab w:leader="none" w:pos="1299"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Underwriters shall have received on the Closing Date an opinion of Simpson Thacher &amp; Bartlett LLP, counsel for the Underwriters, dated the Closing Date, in form and substance reasonably satisfactory to the Underwriters.</w:t>
      </w:r>
    </w:p>
    <w:p>
      <w:pPr>
        <w:spacing w:after="0" w:line="206" w:lineRule="exact"/>
        <w:rPr>
          <w:rFonts w:ascii="Arial" w:cs="Arial" w:eastAsia="Arial" w:hAnsi="Arial"/>
          <w:sz w:val="19"/>
          <w:szCs w:val="19"/>
          <w:color w:val="auto"/>
        </w:rPr>
      </w:pPr>
    </w:p>
    <w:p>
      <w:pPr>
        <w:ind w:left="4" w:right="60" w:firstLine="644"/>
        <w:spacing w:after="0"/>
        <w:tabs>
          <w:tab w:leader="none" w:pos="129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w:t>
      </w:r>
      <w:r>
        <w:rPr>
          <w:rFonts w:ascii="Arial" w:cs="Arial" w:eastAsia="Arial" w:hAnsi="Arial"/>
          <w:sz w:val="20"/>
          <w:szCs w:val="20"/>
          <w:b w:val="1"/>
          <w:bCs w:val="1"/>
          <w:color w:val="auto"/>
        </w:rPr>
        <w:t>comfort letters</w:t>
      </w:r>
      <w:r>
        <w:rPr>
          <w:rFonts w:ascii="Arial" w:cs="Arial" w:eastAsia="Arial" w:hAnsi="Arial"/>
          <w:sz w:val="20"/>
          <w:szCs w:val="20"/>
          <w:color w:val="auto"/>
        </w:rPr>
        <w:t>” to underwriters with respect to the financial statements and certain financial information contained in or incorporated by reference into the Registration Statement, Time of Sale Information and Prospectus; provided that the letter delivered on the Closing Date shall use a “cut-off date” not earlier than October 28, 2021.</w:t>
      </w:r>
    </w:p>
    <w:p>
      <w:pPr>
        <w:spacing w:after="0" w:line="239" w:lineRule="exact"/>
        <w:rPr>
          <w:rFonts w:ascii="Arial" w:cs="Arial" w:eastAsia="Arial" w:hAnsi="Arial"/>
          <w:sz w:val="20"/>
          <w:szCs w:val="20"/>
          <w:color w:val="auto"/>
        </w:rPr>
      </w:pPr>
    </w:p>
    <w:p>
      <w:pPr>
        <w:ind w:left="4" w:right="40" w:firstLine="644"/>
        <w:spacing w:after="0" w:line="241" w:lineRule="auto"/>
        <w:tabs>
          <w:tab w:leader="none" w:pos="1287" w:val="left"/>
        </w:tabs>
        <w:numPr>
          <w:ilvl w:val="1"/>
          <w:numId w:val="17"/>
        </w:numPr>
        <w:rPr>
          <w:rFonts w:ascii="Arial" w:cs="Arial" w:eastAsia="Arial" w:hAnsi="Arial"/>
          <w:sz w:val="20"/>
          <w:szCs w:val="20"/>
          <w:color w:val="auto"/>
        </w:rPr>
      </w:pPr>
      <w:r>
        <w:rPr>
          <w:rFonts w:ascii="Arial" w:cs="Arial" w:eastAsia="Arial" w:hAnsi="Arial"/>
          <w:sz w:val="20"/>
          <w:szCs w:val="20"/>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Covenants of the Company</w:t>
      </w:r>
      <w:r>
        <w:rPr>
          <w:rFonts w:ascii="Arial" w:cs="Arial" w:eastAsia="Arial" w:hAnsi="Arial"/>
          <w:sz w:val="20"/>
          <w:szCs w:val="20"/>
          <w:color w:val="auto"/>
        </w:rPr>
        <w:t>. The Company covenants with each Underwriter as follows:</w:t>
      </w:r>
    </w:p>
    <w:p>
      <w:pPr>
        <w:spacing w:after="0" w:line="262" w:lineRule="exact"/>
        <w:rPr>
          <w:rFonts w:ascii="Arial" w:cs="Arial" w:eastAsia="Arial" w:hAnsi="Arial"/>
          <w:sz w:val="20"/>
          <w:szCs w:val="20"/>
          <w:color w:val="auto"/>
        </w:rPr>
      </w:pPr>
    </w:p>
    <w:p>
      <w:pPr>
        <w:ind w:left="4" w:right="20" w:firstLine="644"/>
        <w:spacing w:after="0"/>
        <w:tabs>
          <w:tab w:leader="none" w:pos="1299"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Company will file the final Prospectus with the Commission within the time periods specified by Rule 424(b) and Rule 430A, 430B or 430C under the Securities Act, will file any Issuer Free Writing Prospectus (including the term sheet substantially in the form of Annex A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or as soon as reasonably practicable thereafter, in such quantities as the Representatives may reasonably request. The Company will pay the registration fees for this offering within the time period required by Rule 456(b)(1) under the Securities Act (without giving effect to the proviso therein) and in any event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04"/>
          </w:cols>
          <w:pgMar w:left="976" w:top="1432" w:right="419" w:bottom="1440" w:gutter="0" w:footer="0" w:header="0"/>
        </w:sectPr>
      </w:pPr>
    </w:p>
    <w:bookmarkStart w:id="15" w:name="page16"/>
    <w:bookmarkEnd w:id="15"/>
    <w:p>
      <w:pPr>
        <w:spacing w:after="0" w:line="235" w:lineRule="exact"/>
        <w:rPr>
          <w:sz w:val="20"/>
          <w:szCs w:val="20"/>
          <w:color w:val="auto"/>
        </w:rPr>
      </w:pPr>
    </w:p>
    <w:p>
      <w:pPr>
        <w:ind w:left="-460" w:right="40" w:firstLine="644"/>
        <w:spacing w:after="0"/>
        <w:tabs>
          <w:tab w:leader="none" w:pos="83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will deliver, without charge, (i) to the Representatives, a signed copy of the Registration Statement (including exhibits thereto and documents incorporated by reference);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238" w:lineRule="exact"/>
        <w:rPr>
          <w:rFonts w:ascii="Arial" w:cs="Arial" w:eastAsia="Arial" w:hAnsi="Arial"/>
          <w:sz w:val="20"/>
          <w:szCs w:val="20"/>
          <w:color w:val="auto"/>
        </w:rPr>
      </w:pPr>
    </w:p>
    <w:p>
      <w:pPr>
        <w:ind w:left="-460" w:right="20" w:firstLine="644"/>
        <w:spacing w:after="0"/>
        <w:tabs>
          <w:tab w:leader="none" w:pos="8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 except as may be required by applicable law.</w:t>
      </w:r>
    </w:p>
    <w:p>
      <w:pPr>
        <w:spacing w:after="0" w:line="239" w:lineRule="exact"/>
        <w:rPr>
          <w:rFonts w:ascii="Arial" w:cs="Arial" w:eastAsia="Arial" w:hAnsi="Arial"/>
          <w:sz w:val="20"/>
          <w:szCs w:val="20"/>
          <w:color w:val="auto"/>
        </w:rPr>
      </w:pPr>
    </w:p>
    <w:p>
      <w:pPr>
        <w:jc w:val="both"/>
        <w:ind w:left="-460" w:right="120" w:firstLine="644"/>
        <w:spacing w:after="0" w:line="262" w:lineRule="auto"/>
        <w:tabs>
          <w:tab w:leader="none" w:pos="835"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Company will not take any action that would result in an Underwriter or the Company being required to file with the Commission pursuant to Rule 433(d) under the Securities Act a free writing prospectus prepared by or on behalf of the Underwriters that the Underwriters otherwise would not have been required to file thereunder.</w:t>
      </w:r>
    </w:p>
    <w:p>
      <w:pPr>
        <w:spacing w:after="0" w:line="215" w:lineRule="exact"/>
        <w:rPr>
          <w:rFonts w:ascii="Arial" w:cs="Arial" w:eastAsia="Arial" w:hAnsi="Arial"/>
          <w:sz w:val="19"/>
          <w:szCs w:val="19"/>
          <w:color w:val="auto"/>
        </w:rPr>
      </w:pPr>
    </w:p>
    <w:p>
      <w:pPr>
        <w:ind w:left="-460" w:firstLine="644"/>
        <w:spacing w:after="0"/>
        <w:tabs>
          <w:tab w:leader="none" w:pos="835"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Prior to the completion of the distribution of the Securities by the Underwriters contemplated hereby, the Company will advise the Representatives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Time of Sale Information or the Prospectus or the initiation or threatening of any proceeding for that purpose or pursuant to Section 8A of the Securities Act; (vi) of the occurrence of any event or development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20"/>
          </w:cols>
          <w:pgMar w:left="1440" w:top="1440" w:right="339" w:bottom="1440" w:gutter="0" w:footer="0" w:header="0"/>
        </w:sectPr>
      </w:pPr>
    </w:p>
    <w:bookmarkStart w:id="16" w:name="page17"/>
    <w:bookmarkEnd w:id="16"/>
    <w:p>
      <w:pPr>
        <w:spacing w:after="0" w:line="254" w:lineRule="auto"/>
        <w:rPr>
          <w:sz w:val="20"/>
          <w:szCs w:val="20"/>
          <w:color w:val="auto"/>
        </w:rPr>
      </w:pPr>
      <w:r>
        <w:rPr>
          <w:rFonts w:ascii="Arial" w:cs="Arial" w:eastAsia="Arial" w:hAnsi="Arial"/>
          <w:sz w:val="19"/>
          <w:szCs w:val="19"/>
          <w:color w:val="auto"/>
        </w:rPr>
        <w:t>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or the Prospectus or suspending any such qualification of the Securities and, if any such order is issued, will obtain as soon as possible the withdrawal thereof.</w:t>
      </w:r>
    </w:p>
    <w:p>
      <w:pPr>
        <w:spacing w:after="0" w:line="227" w:lineRule="exact"/>
        <w:rPr>
          <w:sz w:val="20"/>
          <w:szCs w:val="20"/>
          <w:color w:val="auto"/>
        </w:rPr>
      </w:pPr>
    </w:p>
    <w:p>
      <w:pPr>
        <w:ind w:firstLine="644"/>
        <w:spacing w:after="0" w:line="239" w:lineRule="auto"/>
        <w:tabs>
          <w:tab w:leader="none" w:pos="1294"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existing when the Time of Sale Information is delivered to a purchaser, not misleading or (ii) it is necessary to amend or supplement the Time of Sale Information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the Time of Sale Information as so amended or supplemented will not, in the light of the circumstances, be misleading or so that the Time of Sale Information will comply with applicable law.</w:t>
      </w:r>
    </w:p>
    <w:p>
      <w:pPr>
        <w:spacing w:after="0" w:line="253" w:lineRule="exact"/>
        <w:rPr>
          <w:rFonts w:ascii="Arial" w:cs="Arial" w:eastAsia="Arial" w:hAnsi="Arial"/>
          <w:sz w:val="20"/>
          <w:szCs w:val="20"/>
          <w:color w:val="auto"/>
        </w:rPr>
      </w:pPr>
    </w:p>
    <w:p>
      <w:pPr>
        <w:jc w:val="both"/>
        <w:ind w:right="80" w:firstLine="644"/>
        <w:spacing w:after="0" w:line="241" w:lineRule="auto"/>
        <w:tabs>
          <w:tab w:leader="none" w:pos="12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will endeavor to qualify the Securities for offer and sale under the securities or Blue Sky laws of such jurisdictions within the United States and Canada as the Underwriters shall reasonably request in writing prior to the Closing Date, provided that in connection therewith the Company shall not be required to qualify as a foreign corporation or to file a general consent to service of process in any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560"/>
          </w:cols>
          <w:pgMar w:left="980" w:top="1432"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subject itself to taxation in respect of doing business in any jurisdiction in which it is otherwise not so subject.</w:t>
      </w:r>
    </w:p>
    <w:p>
      <w:pPr>
        <w:spacing w:after="0" w:line="243" w:lineRule="exact"/>
        <w:rPr>
          <w:sz w:val="20"/>
          <w:szCs w:val="20"/>
          <w:color w:val="auto"/>
        </w:rPr>
      </w:pPr>
    </w:p>
    <w:p>
      <w:pPr>
        <w:ind w:right="120" w:firstLine="644"/>
        <w:spacing w:after="0"/>
        <w:tabs>
          <w:tab w:leader="none" w:pos="129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will make generally available to its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Rule 158 of the Commission promulgated thereunder; provided that the Company will be deemed to have furnished such statements to its security holders and the Representatives to the extent they are filed on the Commission’s Electronic Data Gathering, Analysis and Retrieval (EDGAR) System.</w:t>
      </w:r>
    </w:p>
    <w:p>
      <w:pPr>
        <w:spacing w:after="0" w:line="240" w:lineRule="exact"/>
        <w:rPr>
          <w:rFonts w:ascii="Arial" w:cs="Arial" w:eastAsia="Arial" w:hAnsi="Arial"/>
          <w:sz w:val="20"/>
          <w:szCs w:val="20"/>
          <w:color w:val="auto"/>
        </w:rPr>
      </w:pPr>
    </w:p>
    <w:p>
      <w:pPr>
        <w:ind w:firstLine="644"/>
        <w:spacing w:after="0" w:line="252" w:lineRule="auto"/>
        <w:tabs>
          <w:tab w:leader="none" w:pos="1283" w:val="left"/>
        </w:tabs>
        <w:numPr>
          <w:ilvl w:val="0"/>
          <w:numId w:val="21"/>
        </w:numPr>
        <w:rPr>
          <w:rFonts w:ascii="Arial" w:cs="Arial" w:eastAsia="Arial" w:hAnsi="Arial"/>
          <w:sz w:val="19"/>
          <w:szCs w:val="19"/>
          <w:color w:val="auto"/>
        </w:rPr>
      </w:pPr>
      <w:r>
        <w:rPr>
          <w:rFonts w:ascii="Arial" w:cs="Arial" w:eastAsia="Arial" w:hAnsi="Arial"/>
          <w:sz w:val="19"/>
          <w:szCs w:val="19"/>
          <w:color w:val="auto"/>
        </w:rPr>
        <w:t>Whether or not the transactions contemplated in this Agreement are consummated or this Agreement is terminated, the Company will pay or cause to be paid all expenses incident to the performance of its obligations under this Agreement, including: (i) the fees, disbursements and expenses of the Company’s counsel and the Company’s accountants in connection with the registration and sale of the Securities under the Securities Act and all other fees or expenses in connection with the preparation and filing under the Securities Act of the Registration Statement, the Preliminary Prospectus, any Issuer Free Writing Prospectus, any Time of Sale Information and the Prospectus prepared by or on behalf of, used by, or referred to by the Company and any exhibits, amendments and supplements to any of the foregoing, including all filing fees payable to the Commission relating to the Securities (within the time required by Rule 456(b)(1), if applicable), all printing costs associated therewith, and the mailing and delivering of copies thereof to the Underwriters, in the quantities herein above specified, (ii) all costs and expenses related to the transfer and delivery of the Securities to the Underwriters,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including filing fees and the reasonable fees and disbursements of counsel for the Underwriters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560"/>
          </w:cols>
          <w:pgMar w:left="980" w:top="1432" w:right="359" w:bottom="1440" w:gutter="0" w:footer="0" w:header="0"/>
        </w:sectPr>
      </w:pPr>
    </w:p>
    <w:bookmarkStart w:id="18" w:name="page19"/>
    <w:bookmarkEnd w:id="18"/>
    <w:p>
      <w:pPr>
        <w:ind w:left="640" w:right="120"/>
        <w:spacing w:after="0" w:line="243" w:lineRule="auto"/>
        <w:rPr>
          <w:sz w:val="20"/>
          <w:szCs w:val="20"/>
          <w:color w:val="auto"/>
        </w:rPr>
      </w:pPr>
      <w:r>
        <w:rPr>
          <w:rFonts w:ascii="Arial" w:cs="Arial" w:eastAsia="Arial" w:hAnsi="Arial"/>
          <w:sz w:val="20"/>
          <w:szCs w:val="20"/>
          <w:color w:val="auto"/>
        </w:rPr>
        <w:t>Section, Section 8, and the last paragraph of Section 10, the Underwriters will pay all of their costs and expenses, including fees and disbursements of their counsel, transfer taxes payable on resale of any of the Securities by them and any advertising expenses connected with any offers they may make.</w:t>
      </w:r>
    </w:p>
    <w:p>
      <w:pPr>
        <w:spacing w:after="0" w:line="233" w:lineRule="exact"/>
        <w:rPr>
          <w:sz w:val="20"/>
          <w:szCs w:val="20"/>
          <w:color w:val="auto"/>
        </w:rPr>
      </w:pPr>
    </w:p>
    <w:p>
      <w:pPr>
        <w:ind w:left="640" w:right="520" w:firstLine="644"/>
        <w:spacing w:after="0" w:line="243" w:lineRule="auto"/>
        <w:tabs>
          <w:tab w:leader="none" w:pos="1923"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will use the net proceeds received by it from the sale of the Securities pursuant to this Agreement in the manner specified in each of the Registration Statement, the Time of Sale Information and the Prospectus under the caption “Use of Proceeds.”</w:t>
      </w:r>
    </w:p>
    <w:p>
      <w:pPr>
        <w:spacing w:after="0" w:line="232" w:lineRule="exact"/>
        <w:rPr>
          <w:rFonts w:ascii="Arial" w:cs="Arial" w:eastAsia="Arial" w:hAnsi="Arial"/>
          <w:sz w:val="20"/>
          <w:szCs w:val="20"/>
          <w:color w:val="auto"/>
        </w:rPr>
      </w:pPr>
    </w:p>
    <w:p>
      <w:pPr>
        <w:ind w:left="640" w:right="100" w:firstLine="644"/>
        <w:spacing w:after="0" w:line="241" w:lineRule="auto"/>
        <w:tabs>
          <w:tab w:leader="none" w:pos="1924"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shall not, without giving effect to the activities by the Underwriters, take any action designed to or that could reasonably be expected to cause or result in any prohibited stabilization or any manipulation of the price of the Securities and will not take any action prohibited by Regulation M under the Exchange Act in connection with the distribution of the Securities contemplated hereby.</w:t>
      </w:r>
    </w:p>
    <w:p>
      <w:pPr>
        <w:spacing w:after="0" w:line="237" w:lineRule="exact"/>
        <w:rPr>
          <w:rFonts w:ascii="Arial" w:cs="Arial" w:eastAsia="Arial" w:hAnsi="Arial"/>
          <w:sz w:val="20"/>
          <w:szCs w:val="20"/>
          <w:color w:val="auto"/>
        </w:rPr>
      </w:pPr>
    </w:p>
    <w:p>
      <w:pPr>
        <w:ind w:left="640" w:right="300" w:firstLine="644"/>
        <w:spacing w:after="0" w:line="243" w:lineRule="auto"/>
        <w:tabs>
          <w:tab w:leader="none" w:pos="1923"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will, pursuant to reasonable procedures developed in good faith, retain copies of each Issuer Free Writing Prospectus that is not filed with the Commission in accordance with Rule 433 under the Securities Act.</w:t>
      </w:r>
    </w:p>
    <w:p>
      <w:pPr>
        <w:spacing w:after="0" w:line="232" w:lineRule="exact"/>
        <w:rPr>
          <w:rFonts w:ascii="Arial" w:cs="Arial" w:eastAsia="Arial" w:hAnsi="Arial"/>
          <w:sz w:val="20"/>
          <w:szCs w:val="20"/>
          <w:color w:val="auto"/>
        </w:rPr>
      </w:pPr>
    </w:p>
    <w:p>
      <w:pPr>
        <w:ind w:left="640" w:right="140" w:firstLine="644"/>
        <w:spacing w:after="0" w:line="241" w:lineRule="auto"/>
        <w:tabs>
          <w:tab w:leader="none" w:pos="1936"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agrees that, without the prior written consent of the Representatives, it will not, during the period beginning on the date hereof and continuing to and including the Closing Date, offer, sell, contract to sell or otherwise dispose of any debt securities of the Company or warrants to purchase debt securities of the Company (other than the sale of the Securities under this Agreement).</w:t>
      </w:r>
    </w:p>
    <w:p>
      <w:pPr>
        <w:spacing w:after="0" w:line="237" w:lineRule="exact"/>
        <w:rPr>
          <w:rFonts w:ascii="Arial" w:cs="Arial" w:eastAsia="Arial" w:hAnsi="Arial"/>
          <w:sz w:val="20"/>
          <w:szCs w:val="20"/>
          <w:color w:val="auto"/>
        </w:rPr>
      </w:pPr>
    </w:p>
    <w:p>
      <w:pPr>
        <w:ind w:left="640" w:right="240" w:firstLine="644"/>
        <w:spacing w:after="0" w:line="246" w:lineRule="auto"/>
        <w:tabs>
          <w:tab w:leader="none" w:pos="1935"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shall use its commercially reasonable efforts to make the Securities eligible for clearance and settlement through The Depository Trust Company.</w:t>
      </w:r>
    </w:p>
    <w:p>
      <w:pPr>
        <w:spacing w:after="0" w:line="210" w:lineRule="exact"/>
        <w:rPr>
          <w:rFonts w:ascii="Arial" w:cs="Arial" w:eastAsia="Arial" w:hAnsi="Arial"/>
          <w:sz w:val="20"/>
          <w:szCs w:val="20"/>
          <w:color w:val="auto"/>
        </w:rPr>
      </w:pPr>
    </w:p>
    <w:p>
      <w:pPr>
        <w:ind w:left="1280" w:hanging="644"/>
        <w:spacing w:after="0"/>
        <w:tabs>
          <w:tab w:leader="none" w:pos="128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Certain Agreements of the Underwriters</w:t>
      </w:r>
      <w:r>
        <w:rPr>
          <w:rFonts w:ascii="Arial" w:cs="Arial" w:eastAsia="Arial" w:hAnsi="Arial"/>
          <w:sz w:val="20"/>
          <w:szCs w:val="20"/>
          <w:color w:val="auto"/>
        </w:rPr>
        <w:t>. Each Underwriter hereby represents and agrees that:</w:t>
      </w:r>
    </w:p>
    <w:p>
      <w:pPr>
        <w:spacing w:after="0" w:line="263" w:lineRule="exact"/>
        <w:rPr>
          <w:sz w:val="20"/>
          <w:szCs w:val="20"/>
          <w:color w:val="auto"/>
        </w:rPr>
      </w:pPr>
    </w:p>
    <w:p>
      <w:pPr>
        <w:ind w:left="-20" w:firstLine="656"/>
        <w:spacing w:after="0"/>
        <w:tabs>
          <w:tab w:leader="none" w:pos="925" w:val="left"/>
        </w:tabs>
        <w:numPr>
          <w:ilvl w:val="0"/>
          <w:numId w:val="24"/>
        </w:numPr>
        <w:rPr>
          <w:rFonts w:ascii="Arial" w:cs="Arial" w:eastAsia="Arial" w:hAnsi="Arial"/>
          <w:sz w:val="20"/>
          <w:szCs w:val="20"/>
          <w:color w:val="auto"/>
        </w:rPr>
      </w:pPr>
      <w:r>
        <w:rPr>
          <w:rFonts w:ascii="Arial" w:cs="Arial" w:eastAsia="Arial" w:hAnsi="Arial"/>
          <w:sz w:val="20"/>
          <w:szCs w:val="20"/>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Schedule II or prepared pursuant to Section 1(c) or Section 6(c)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20"/>
          <w:szCs w:val="20"/>
          <w:b w:val="1"/>
          <w:bCs w:val="1"/>
          <w:color w:val="auto"/>
        </w:rPr>
        <w:t>Underwriter Free Writing Prospectus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ind w:left="-20" w:right="60" w:firstLine="656"/>
        <w:spacing w:after="0" w:line="262" w:lineRule="auto"/>
        <w:tabs>
          <w:tab w:leader="none" w:pos="92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Underwriters may use a term sheet substantially in the form of that referred to in 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40" w:top="1432" w:right="339" w:bottom="1440" w:gutter="0" w:footer="0" w:header="0"/>
        </w:sectPr>
      </w:pPr>
    </w:p>
    <w:bookmarkStart w:id="19" w:name="page20"/>
    <w:bookmarkEnd w:id="19"/>
    <w:p>
      <w:pPr>
        <w:ind w:right="440"/>
        <w:spacing w:after="0" w:line="253" w:lineRule="auto"/>
        <w:rPr>
          <w:sz w:val="20"/>
          <w:szCs w:val="20"/>
          <w:color w:val="auto"/>
        </w:rPr>
      </w:pPr>
      <w:r>
        <w:rPr>
          <w:rFonts w:ascii="Arial" w:cs="Arial" w:eastAsia="Arial" w:hAnsi="Arial"/>
          <w:sz w:val="20"/>
          <w:szCs w:val="20"/>
          <w:color w:val="auto"/>
        </w:rPr>
        <w:t xml:space="preserve">hereto without the consent of the Company;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Underwriter using such term sheet shall notify the Company, and provide a copy of such term sheet to the Company, prior to, or substantially concurrently with, the first use of such term sheet.</w:t>
      </w:r>
    </w:p>
    <w:p>
      <w:pPr>
        <w:spacing w:after="0" w:line="224" w:lineRule="exact"/>
        <w:rPr>
          <w:sz w:val="20"/>
          <w:szCs w:val="20"/>
          <w:color w:val="auto"/>
        </w:rPr>
      </w:pPr>
    </w:p>
    <w:p>
      <w:pPr>
        <w:ind w:right="40" w:firstLine="656"/>
        <w:spacing w:after="0" w:line="246" w:lineRule="auto"/>
        <w:tabs>
          <w:tab w:leader="none" w:pos="9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211" w:lineRule="exact"/>
        <w:rPr>
          <w:sz w:val="20"/>
          <w:szCs w:val="20"/>
          <w:color w:val="auto"/>
        </w:rPr>
      </w:pPr>
    </w:p>
    <w:p>
      <w:pPr>
        <w:ind w:firstLine="656"/>
        <w:spacing w:after="0" w:line="241" w:lineRule="auto"/>
        <w:tabs>
          <w:tab w:leader="none" w:pos="1285"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Indemnity and Contribution</w:t>
      </w:r>
      <w:r>
        <w:rPr>
          <w:rFonts w:ascii="Arial" w:cs="Arial" w:eastAsia="Arial" w:hAnsi="Arial"/>
          <w:sz w:val="20"/>
          <w:szCs w:val="20"/>
          <w:color w:val="auto"/>
        </w:rPr>
        <w:t>. (a) The Company agrees to indemnify and hold harmless each Underwriter, the</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officers, employees 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(ii) any untrue statement or alleged untrue statement of a material fact contained in the Preliminary Prospectus (or any amendment or supplement thereto), Prospectus (or any amendment or supplement thereto), any Issuer Free Writing Prospectus, any “issuer information” filed or required to be filed pursuant to Rule 433(d), any “road show” as defined in Rule 433(h) under the Securities Act (a “</w:t>
      </w:r>
      <w:r>
        <w:rPr>
          <w:rFonts w:ascii="Arial" w:cs="Arial" w:eastAsia="Arial" w:hAnsi="Arial"/>
          <w:sz w:val="20"/>
          <w:szCs w:val="20"/>
          <w:b w:val="1"/>
          <w:bCs w:val="1"/>
          <w:color w:val="auto"/>
        </w:rPr>
        <w:t>road show</w:t>
      </w:r>
      <w:r>
        <w:rPr>
          <w:rFonts w:ascii="Arial" w:cs="Arial" w:eastAsia="Arial" w:hAnsi="Arial"/>
          <w:sz w:val="20"/>
          <w:szCs w:val="20"/>
          <w:color w:val="auto"/>
        </w:rPr>
        <w:t>”) or any Time of Sale Information (including any Time of Sale Information that has subsequently been amended), or caused by any omission or alleged omission to state therein a material fact necessary to make the statements therein, in light of the circumstances under which they were made, not misleading, in each case except insofar as such losses, claims, damages or liabilities are caused by, any untrue statement or omission or alleged untrue statement or omission based upon any information relating to any Underwriter furnished to the Company in writing by such Underwriter through the Representatives expressly for use therein.</w:t>
      </w:r>
    </w:p>
    <w:p>
      <w:pPr>
        <w:spacing w:after="0" w:line="240" w:lineRule="exact"/>
        <w:rPr>
          <w:rFonts w:ascii="Arial" w:cs="Arial" w:eastAsia="Arial" w:hAnsi="Arial"/>
          <w:sz w:val="20"/>
          <w:szCs w:val="20"/>
          <w:color w:val="auto"/>
        </w:rPr>
      </w:pPr>
    </w:p>
    <w:p>
      <w:pPr>
        <w:ind w:right="40" w:firstLine="1304"/>
        <w:spacing w:after="0"/>
        <w:tabs>
          <w:tab w:leader="none" w:pos="1943" w:val="left"/>
        </w:tabs>
        <w:numPr>
          <w:ilvl w:val="1"/>
          <w:numId w:val="26"/>
        </w:numPr>
        <w:rPr>
          <w:rFonts w:ascii="Arial" w:cs="Arial" w:eastAsia="Arial" w:hAnsi="Arial"/>
          <w:sz w:val="20"/>
          <w:szCs w:val="20"/>
          <w:color w:val="auto"/>
        </w:rPr>
      </w:pPr>
      <w:r>
        <w:rPr>
          <w:rFonts w:ascii="Arial" w:cs="Arial" w:eastAsia="Arial" w:hAnsi="Arial"/>
          <w:sz w:val="20"/>
          <w:szCs w:val="20"/>
          <w:color w:val="auto"/>
        </w:rPr>
        <w:t>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are caused by any untrue statement or omission or alleged untrue statement or omission based upon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Time of Sale Information (including any Time of Sale Information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third sentence of the seventh paragraph, the eighth paragraph and the ninth paragraph under the caption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412" w:right="359" w:bottom="1440" w:gutter="0" w:footer="0" w:header="0"/>
        </w:sectPr>
      </w:pPr>
    </w:p>
    <w:bookmarkStart w:id="20" w:name="page21"/>
    <w:bookmarkEnd w:id="20"/>
    <w:p>
      <w:pPr>
        <w:ind w:left="-20" w:firstLine="1304"/>
        <w:spacing w:after="0" w:line="239" w:lineRule="auto"/>
        <w:tabs>
          <w:tab w:leader="none" w:pos="1912"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20"/>
          <w:szCs w:val="20"/>
          <w:b w:val="1"/>
          <w:bCs w:val="1"/>
          <w:color w:val="auto"/>
        </w:rPr>
        <w:t>indemnified party</w:t>
      </w:r>
      <w:r>
        <w:rPr>
          <w:rFonts w:ascii="Arial" w:cs="Arial" w:eastAsia="Arial" w:hAnsi="Arial"/>
          <w:sz w:val="20"/>
          <w:szCs w:val="20"/>
          <w:color w:val="auto"/>
        </w:rPr>
        <w:t>”) shall promptly notify the person against whom such indemnity may be sought (the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255" w:lineRule="exact"/>
        <w:rPr>
          <w:rFonts w:ascii="Arial" w:cs="Arial" w:eastAsia="Arial" w:hAnsi="Arial"/>
          <w:sz w:val="20"/>
          <w:szCs w:val="20"/>
          <w:color w:val="auto"/>
        </w:rPr>
      </w:pPr>
    </w:p>
    <w:p>
      <w:pPr>
        <w:ind w:left="-20" w:right="20" w:firstLine="1304"/>
        <w:spacing w:after="0"/>
        <w:tabs>
          <w:tab w:leader="none" w:pos="192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40" w:top="1432" w:right="339" w:bottom="1440" w:gutter="0" w:footer="0" w:header="0"/>
        </w:sectPr>
      </w:pPr>
    </w:p>
    <w:bookmarkStart w:id="21" w:name="page22"/>
    <w:bookmarkEnd w:id="21"/>
    <w:p>
      <w:pPr>
        <w:ind w:right="20"/>
        <w:spacing w:after="0"/>
        <w:rPr>
          <w:sz w:val="20"/>
          <w:szCs w:val="20"/>
          <w:color w:val="auto"/>
        </w:rPr>
      </w:pPr>
      <w:r>
        <w:rPr>
          <w:rFonts w:ascii="Arial" w:cs="Arial" w:eastAsia="Arial" w:hAnsi="Arial"/>
          <w:sz w:val="20"/>
          <w:szCs w:val="20"/>
          <w:color w:val="auto"/>
        </w:rPr>
        <w:t>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on the cover of the Prospectus,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239" w:lineRule="exact"/>
        <w:rPr>
          <w:sz w:val="20"/>
          <w:szCs w:val="20"/>
          <w:color w:val="auto"/>
        </w:rPr>
      </w:pPr>
    </w:p>
    <w:p>
      <w:pPr>
        <w:ind w:firstLine="1304"/>
        <w:spacing w:after="0"/>
        <w:tabs>
          <w:tab w:leader="none" w:pos="194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 and the Underwriters agree that it would not be just or equitable if contribution pursuant to Section 8 were determined by pro rata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Section 8(d) or this Section 8(e), no Underwriter shall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37"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the officers or directors of the Company or any person controlling the Company and (iii) acceptance of and payment for any of the Securities. The Underwriters’ respective obligations to contribute pursuant to this Section 8 are several in proportion to the respective principal amount of Securities they have purchased hereunder, and not joint.</w:t>
      </w:r>
    </w:p>
    <w:p>
      <w:pPr>
        <w:spacing w:after="0" w:line="220" w:lineRule="exact"/>
        <w:rPr>
          <w:sz w:val="20"/>
          <w:szCs w:val="20"/>
          <w:color w:val="auto"/>
        </w:rPr>
      </w:pPr>
    </w:p>
    <w:p>
      <w:pPr>
        <w:ind w:firstLine="656"/>
        <w:spacing w:after="0" w:line="260" w:lineRule="auto"/>
        <w:tabs>
          <w:tab w:leader="none" w:pos="1285"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Recognition of the U.S. Special Resolutions Regimes</w:t>
      </w:r>
      <w:r>
        <w:rPr>
          <w:rFonts w:ascii="Arial" w:cs="Arial" w:eastAsia="Arial" w:hAnsi="Arial"/>
          <w:sz w:val="19"/>
          <w:szCs w:val="19"/>
          <w:color w:val="auto"/>
        </w:rPr>
        <w:t>: (a) In the event that any Underwriter that is a Covered</w:t>
      </w:r>
      <w:r>
        <w:rPr>
          <w:rFonts w:ascii="Arial" w:cs="Arial" w:eastAsia="Arial" w:hAnsi="Arial"/>
          <w:sz w:val="19"/>
          <w:szCs w:val="19"/>
          <w:i w:val="1"/>
          <w:iCs w:val="1"/>
          <w:color w:val="auto"/>
        </w:rPr>
        <w:t xml:space="preserve"> </w:t>
      </w:r>
      <w:r>
        <w:rPr>
          <w:rFonts w:ascii="Arial" w:cs="Arial" w:eastAsia="Arial" w:hAnsi="Arial"/>
          <w:sz w:val="19"/>
          <w:szCs w:val="19"/>
          <w:color w:val="auto"/>
        </w:rPr>
        <w:t>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(b) In the event that any Underwriter that is a Covered Entity or a BHC Act Affiliate of such Underwriter becomes subject to a proceeding under a U.S. Special Resolution Regime,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32" w:right="339" w:bottom="1440" w:gutter="0" w:footer="0" w:header="0"/>
        </w:sectPr>
      </w:pPr>
    </w:p>
    <w:bookmarkStart w:id="22" w:name="page23"/>
    <w:bookmarkEnd w:id="22"/>
    <w:p>
      <w:pPr>
        <w:jc w:val="both"/>
        <w:ind w:right="100"/>
        <w:spacing w:after="0" w:line="243" w:lineRule="auto"/>
        <w:rPr>
          <w:sz w:val="20"/>
          <w:szCs w:val="20"/>
          <w:color w:val="auto"/>
        </w:rPr>
      </w:pPr>
      <w:r>
        <w:rPr>
          <w:rFonts w:ascii="Arial" w:cs="Arial" w:eastAsia="Arial" w:hAnsi="Arial"/>
          <w:sz w:val="20"/>
          <w:szCs w:val="20"/>
          <w:color w:val="auto"/>
        </w:rPr>
        <w:t>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33" w:lineRule="exact"/>
        <w:rPr>
          <w:sz w:val="20"/>
          <w:szCs w:val="20"/>
          <w:color w:val="auto"/>
        </w:rPr>
      </w:pPr>
    </w:p>
    <w:p>
      <w:pPr>
        <w:ind w:left="660" w:hanging="328"/>
        <w:spacing w:after="0" w:line="246" w:lineRule="auto"/>
        <w:tabs>
          <w:tab w:leader="none" w:pos="644" w:val="left"/>
        </w:tabs>
        <w:numPr>
          <w:ilvl w:val="0"/>
          <w:numId w:val="30"/>
        </w:numPr>
        <w:rPr>
          <w:rFonts w:ascii="Arial" w:cs="Arial" w:eastAsia="Arial" w:hAnsi="Arial"/>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230" w:lineRule="exact"/>
        <w:rPr>
          <w:rFonts w:ascii="Arial" w:cs="Arial" w:eastAsia="Arial" w:hAnsi="Arial"/>
          <w:sz w:val="20"/>
          <w:szCs w:val="20"/>
          <w:color w:val="auto"/>
        </w:rPr>
      </w:pPr>
    </w:p>
    <w:p>
      <w:pPr>
        <w:jc w:val="both"/>
        <w:ind w:left="660"/>
        <w:spacing w:after="0" w:line="241" w:lineRule="auto"/>
        <w:rPr>
          <w:rFonts w:ascii="Arial" w:cs="Arial" w:eastAsia="Arial" w:hAnsi="Arial"/>
          <w:sz w:val="20"/>
          <w:szCs w:val="20"/>
          <w:color w:val="auto"/>
        </w:rPr>
      </w:pPr>
      <w:r>
        <w:rPr>
          <w:rFonts w:ascii="Arial" w:cs="Arial" w:eastAsia="Arial" w:hAnsi="Arial"/>
          <w:sz w:val="20"/>
          <w:szCs w:val="20"/>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3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231"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13" w:lineRule="exact"/>
        <w:rPr>
          <w:sz w:val="20"/>
          <w:szCs w:val="20"/>
          <w:color w:val="auto"/>
        </w:rPr>
      </w:pPr>
    </w:p>
    <w:p>
      <w:pPr>
        <w:ind w:right="40" w:firstLine="656"/>
        <w:spacing w:after="0" w:line="242" w:lineRule="auto"/>
        <w:tabs>
          <w:tab w:leader="none" w:pos="1287"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Termination</w:t>
      </w:r>
      <w:r>
        <w:rPr>
          <w:rFonts w:ascii="Arial" w:cs="Arial" w:eastAsia="Arial" w:hAnsi="Arial"/>
          <w:sz w:val="20"/>
          <w:szCs w:val="20"/>
          <w:color w:val="auto"/>
        </w:rPr>
        <w:t>. The Underwriters may terminate this Agreement by notice given by you to the Company, if after the</w:t>
      </w:r>
      <w:r>
        <w:rPr>
          <w:rFonts w:ascii="Arial" w:cs="Arial" w:eastAsia="Arial" w:hAnsi="Arial"/>
          <w:sz w:val="20"/>
          <w:szCs w:val="20"/>
          <w:i w:val="1"/>
          <w:iCs w:val="1"/>
          <w:color w:val="auto"/>
        </w:rPr>
        <w:t xml:space="preserve"> </w:t>
      </w:r>
      <w:r>
        <w:rPr>
          <w:rFonts w:ascii="Arial" w:cs="Arial" w:eastAsia="Arial" w:hAnsi="Arial"/>
          <w:sz w:val="20"/>
          <w:szCs w:val="20"/>
          <w:color w:val="auto"/>
        </w:rPr>
        <w:t>execution and delivery of this Agreement and prior to the Closing Date, (i) trading generally shall have been suspended or materially limited on, or by, as the case may be, any of the New York Stock Exchange or the NASDAQ Global Market, (ii) trading of any securities of the Company shall have been suspended on the principal exchange on which such securities trade,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the Representatives’ judgment, is material and adverse and that, singly or together with any other event specified in this Section 10, makes it, in the Representatives’ judgment, impracticable or inadvisable to proceed with the offer, sale or delivery of the Securities on the terms and in the manner contemplated in this Agreement, the Time of Sale Information and the Prospectus.</w:t>
      </w:r>
    </w:p>
    <w:p>
      <w:pPr>
        <w:spacing w:after="0" w:line="237" w:lineRule="exact"/>
        <w:rPr>
          <w:sz w:val="20"/>
          <w:szCs w:val="20"/>
          <w:color w:val="auto"/>
        </w:rPr>
      </w:pPr>
    </w:p>
    <w:p>
      <w:pPr>
        <w:ind w:right="60" w:firstLine="648"/>
        <w:spacing w:after="0"/>
        <w:rPr>
          <w:sz w:val="20"/>
          <w:szCs w:val="20"/>
          <w:color w:val="auto"/>
        </w:rPr>
      </w:pPr>
      <w:r>
        <w:rPr>
          <w:rFonts w:ascii="Arial" w:cs="Arial" w:eastAsia="Arial" w:hAnsi="Arial"/>
          <w:sz w:val="20"/>
          <w:szCs w:val="20"/>
          <w:color w:val="auto"/>
        </w:rPr>
        <w:t>If this Agreement shall be terminated by the Underwriters, or any of them, (i) because of any failure or refusal on the part of the Company to comply with the terms or to fulfill any of the conditions of this Agreement, (ii) for any reason set forth in the first paragraph of this Section 10, or (iii) if for any reason the Company shall be unable to perform its obligations under this Agreement, the Company will reimburse the Underwriters or such Underwriters as have so terminated this Agreement with respect to themselves, severally, for all out of pocket expenses (including the fees and disbursements of their counsel) reasonably incurred by such Underwriters in connection with this Agreement or the offering contemplated hereunder.</w:t>
      </w:r>
    </w:p>
    <w:p>
      <w:pPr>
        <w:spacing w:after="0" w:line="220" w:lineRule="exact"/>
        <w:rPr>
          <w:sz w:val="20"/>
          <w:szCs w:val="20"/>
          <w:color w:val="auto"/>
        </w:rPr>
      </w:pPr>
    </w:p>
    <w:p>
      <w:pPr>
        <w:ind w:right="220" w:firstLine="656"/>
        <w:spacing w:after="0" w:line="267" w:lineRule="auto"/>
        <w:tabs>
          <w:tab w:leader="none" w:pos="1287"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Effectiveness; Defaulting Underwriters</w:t>
      </w:r>
      <w:r>
        <w:rPr>
          <w:rFonts w:ascii="Arial" w:cs="Arial" w:eastAsia="Arial" w:hAnsi="Arial"/>
          <w:sz w:val="20"/>
          <w:szCs w:val="20"/>
          <w:color w:val="auto"/>
        </w:rPr>
        <w:t>. This Agreement shall become effective upon the execution and delivery</w:t>
      </w:r>
      <w:r>
        <w:rPr>
          <w:rFonts w:ascii="Arial" w:cs="Arial" w:eastAsia="Arial" w:hAnsi="Arial"/>
          <w:sz w:val="20"/>
          <w:szCs w:val="20"/>
          <w:i w:val="1"/>
          <w:iCs w:val="1"/>
          <w:color w:val="auto"/>
        </w:rPr>
        <w:t xml:space="preserve"> </w:t>
      </w:r>
      <w:r>
        <w:rPr>
          <w:rFonts w:ascii="Arial" w:cs="Arial" w:eastAsia="Arial" w:hAnsi="Arial"/>
          <w:sz w:val="20"/>
          <w:szCs w:val="20"/>
          <w:color w:val="auto"/>
        </w:rPr>
        <w:t>hereof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32" w:right="339" w:bottom="1440" w:gutter="0" w:footer="0" w:header="0"/>
        </w:sectPr>
      </w:pPr>
    </w:p>
    <w:bookmarkStart w:id="23" w:name="page24"/>
    <w:bookmarkEnd w:id="23"/>
    <w:p>
      <w:pPr>
        <w:ind w:firstLine="648"/>
        <w:spacing w:after="0" w:line="239" w:lineRule="auto"/>
        <w:rPr>
          <w:sz w:val="20"/>
          <w:szCs w:val="20"/>
          <w:color w:val="auto"/>
        </w:rPr>
      </w:pPr>
      <w:r>
        <w:rPr>
          <w:rFonts w:ascii="Arial" w:cs="Arial" w:eastAsia="Arial" w:hAnsi="Arial"/>
          <w:sz w:val="20"/>
          <w:szCs w:val="20"/>
          <w:color w:val="auto"/>
        </w:rPr>
        <w:t>If, on the Closing Date, any one or more of the Underwriters shall fail or refuse to purchase Securities that it or they have agreed to purchase hereunder on such date, and the aggregate principal amount of Securities which such defaulting Underwriter or Underwriters agreed but failed or refused to purchase is not more than one 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 defaulting Underwriters, or in such other proportions as you may specify, to purchase the Securities that such defaulting Underwriter or Underwriters agreed but failed or refused to purchase on such date; provided that in no event shall the principal amount of Securities that any Underwriter has agreed to purchase pursuant to this Agreement be increased pursuant to this Section 11 by an amount in excess of one ninth of such principal amount of Securities without the written consent of such Underwriter. If, on the Closing Date any Underwriter or Underwriters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Underwriter or of the Company. In any such case either you or the Company shall have the right to postpone the Closing Date, but in no event for longer than seven days, in order that the required changes, if any, in the Registration Statement, in the Time of Sale Information,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5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Nothing contained herein shall relieve a defaulting Underwriter of any liability it may have to the Company or any non-defaulting Underwriter for damages caused by its default.</w:t>
      </w:r>
    </w:p>
    <w:p>
      <w:pPr>
        <w:spacing w:after="0" w:line="211" w:lineRule="exact"/>
        <w:rPr>
          <w:sz w:val="20"/>
          <w:szCs w:val="20"/>
          <w:color w:val="auto"/>
        </w:rPr>
      </w:pPr>
    </w:p>
    <w:p>
      <w:pPr>
        <w:ind w:right="140" w:firstLine="656"/>
        <w:spacing w:after="0" w:line="266"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(a) This Agreement, together with any contemporaneous written agreements and any prior</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agreements (to the extent not superseded by this Agreement) that relate to the offering of the Securities, represents the entire agreement between the Company and the Underwriters with respect to the preparation of the Registration Statement, Time of Sale Information and Prospectus, the conduct of the offering, and the purchase and sale of the Securities.</w:t>
      </w:r>
    </w:p>
    <w:p>
      <w:pPr>
        <w:spacing w:after="0" w:line="212" w:lineRule="exact"/>
        <w:rPr>
          <w:rFonts w:ascii="Arial" w:cs="Arial" w:eastAsia="Arial" w:hAnsi="Arial"/>
          <w:sz w:val="19"/>
          <w:szCs w:val="19"/>
          <w:color w:val="auto"/>
        </w:rPr>
      </w:pPr>
    </w:p>
    <w:p>
      <w:pPr>
        <w:ind w:left="660" w:right="200" w:firstLine="644"/>
        <w:spacing w:after="0"/>
        <w:tabs>
          <w:tab w:leader="none" w:pos="1955"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219" w:lineRule="exact"/>
        <w:rPr>
          <w:rFonts w:ascii="Arial" w:cs="Arial" w:eastAsia="Arial" w:hAnsi="Arial"/>
          <w:sz w:val="20"/>
          <w:szCs w:val="20"/>
          <w:color w:val="auto"/>
        </w:rPr>
      </w:pPr>
    </w:p>
    <w:p>
      <w:pPr>
        <w:ind w:right="300" w:firstLine="656"/>
        <w:spacing w:after="0" w:line="253" w:lineRule="auto"/>
        <w:tabs>
          <w:tab w:leader="none" w:pos="1287"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Agreement may be signed in two or more counterparts, each of which shall be an original,</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same effect as if the signatures thereto and hereto were upon the same instrument. The words “execution,” “signed,” “signature,” “delivery,” and words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32" w:right="359" w:bottom="1440" w:gutter="0" w:footer="0" w:header="0"/>
        </w:sectPr>
      </w:pPr>
    </w:p>
    <w:bookmarkStart w:id="24" w:name="page25"/>
    <w:bookmarkEnd w:id="24"/>
    <w:p>
      <w:pPr>
        <w:ind w:right="40"/>
        <w:spacing w:after="0" w:line="241" w:lineRule="auto"/>
        <w:rPr>
          <w:sz w:val="20"/>
          <w:szCs w:val="20"/>
          <w:color w:val="auto"/>
        </w:rPr>
      </w:pPr>
      <w:r>
        <w:rPr>
          <w:rFonts w:ascii="Arial" w:cs="Arial" w:eastAsia="Arial" w:hAnsi="Arial"/>
          <w:sz w:val="20"/>
          <w:szCs w:val="20"/>
          <w:color w:val="auto"/>
        </w:rPr>
        <w:t>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16" w:lineRule="exact"/>
        <w:rPr>
          <w:sz w:val="20"/>
          <w:szCs w:val="20"/>
          <w:color w:val="auto"/>
        </w:rPr>
      </w:pPr>
    </w:p>
    <w:p>
      <w:pPr>
        <w:ind w:right="160" w:firstLine="656"/>
        <w:spacing w:after="0" w:line="267" w:lineRule="auto"/>
        <w:tabs>
          <w:tab w:leader="none" w:pos="128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Applicable Law</w:t>
      </w:r>
      <w:r>
        <w:rPr>
          <w:rFonts w:ascii="Arial" w:cs="Arial" w:eastAsia="Arial" w:hAnsi="Arial"/>
          <w:sz w:val="20"/>
          <w:szCs w:val="20"/>
          <w:color w:val="auto"/>
        </w:rPr>
        <w:t>. This Agreement shall be governed by and construed in accordance with the internal laws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State of New York.</w:t>
      </w:r>
    </w:p>
    <w:p>
      <w:pPr>
        <w:spacing w:after="0" w:line="190" w:lineRule="exact"/>
        <w:rPr>
          <w:rFonts w:ascii="Arial" w:cs="Arial" w:eastAsia="Arial" w:hAnsi="Arial"/>
          <w:sz w:val="20"/>
          <w:szCs w:val="20"/>
          <w:color w:val="auto"/>
        </w:rPr>
      </w:pPr>
    </w:p>
    <w:p>
      <w:pPr>
        <w:ind w:right="120" w:firstLine="656"/>
        <w:spacing w:after="0" w:line="267" w:lineRule="auto"/>
        <w:tabs>
          <w:tab w:leader="none" w:pos="128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Headings</w:t>
      </w:r>
      <w:r>
        <w:rPr>
          <w:rFonts w:ascii="Arial" w:cs="Arial" w:eastAsia="Arial" w:hAnsi="Arial"/>
          <w:sz w:val="20"/>
          <w:szCs w:val="20"/>
          <w:color w:val="auto"/>
        </w:rPr>
        <w:t>. The headings of the sections of this Agreement have been inserted for convenience of reference only</w:t>
      </w:r>
      <w:r>
        <w:rPr>
          <w:rFonts w:ascii="Arial" w:cs="Arial" w:eastAsia="Arial" w:hAnsi="Arial"/>
          <w:sz w:val="20"/>
          <w:szCs w:val="20"/>
          <w:i w:val="1"/>
          <w:iCs w:val="1"/>
          <w:color w:val="auto"/>
        </w:rPr>
        <w:t xml:space="preserve"> </w:t>
      </w:r>
      <w:r>
        <w:rPr>
          <w:rFonts w:ascii="Arial" w:cs="Arial" w:eastAsia="Arial" w:hAnsi="Arial"/>
          <w:sz w:val="20"/>
          <w:szCs w:val="20"/>
          <w:color w:val="auto"/>
        </w:rPr>
        <w:t>and shall not be deemed a part of this Agreement.</w:t>
      </w:r>
    </w:p>
    <w:p>
      <w:pPr>
        <w:spacing w:after="0" w:line="190" w:lineRule="exact"/>
        <w:rPr>
          <w:rFonts w:ascii="Arial" w:cs="Arial" w:eastAsia="Arial" w:hAnsi="Arial"/>
          <w:sz w:val="20"/>
          <w:szCs w:val="20"/>
          <w:color w:val="auto"/>
        </w:rPr>
      </w:pPr>
    </w:p>
    <w:p>
      <w:pPr>
        <w:ind w:firstLine="656"/>
        <w:spacing w:after="0" w:line="236" w:lineRule="auto"/>
        <w:tabs>
          <w:tab w:leader="none" w:pos="128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Notices</w:t>
      </w:r>
      <w:r>
        <w:rPr>
          <w:rFonts w:ascii="Arial" w:cs="Arial" w:eastAsia="Arial" w:hAnsi="Arial"/>
          <w:sz w:val="20"/>
          <w:szCs w:val="20"/>
          <w:color w:val="auto"/>
        </w:rPr>
        <w:t>. All communications hereunder shall be in writing and effective only upon receipt (a) if to the Underwriters</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delivered, mailed or sent to you at (i) Barclays Capital, Inc., 745 Seventh Avenue, New York, New York 10019, Attention: Syndicate Registration, Fax: (646) 834-8133; (ii) Credit Agricole Securities (USA) Inc., 1301 Avenue of the Americas,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New York, New York 10019, Attention: Debt Capital Markets; (iii) Mizuho Securities USA LLC, 1271 Avenue of the Americas, New York, New York 10020, Attention: Office of the General Counsel, e-mail: legalnotices@mizuhogroup.com; (iv) Wells Fargo Securities, LLC, 550 South Tryon Street, 5th Floor, Charlotte, North Carolina 28202, Attention: Transaction Management, e-mail: tmgcapitalmarkets@wellsfargo.com; (v) HSBC Securities (USA) Inc., 452 Fifth Avenue, New York, New York 10018, Attention: Transaction Management Group, Fax: (646) 366-3229, e-mail: tmg.americas@us.hsbc.com; and (vi) Morgan Stanley &amp; Co. LLC, 1585 Broadway, New York, New York 10036, Attention: Equity Syndicate Desk; and (b) 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Erik Franks, Fax: (650) 493-6811.</w:t>
      </w:r>
    </w:p>
    <w:p>
      <w:pPr>
        <w:spacing w:after="0" w:line="226" w:lineRule="exact"/>
        <w:rPr>
          <w:rFonts w:ascii="Arial" w:cs="Arial" w:eastAsia="Arial" w:hAnsi="Arial"/>
          <w:sz w:val="20"/>
          <w:szCs w:val="20"/>
          <w:color w:val="auto"/>
        </w:rPr>
      </w:pPr>
    </w:p>
    <w:p>
      <w:pPr>
        <w:ind w:right="40" w:firstLine="656"/>
        <w:spacing w:after="0" w:line="248" w:lineRule="auto"/>
        <w:tabs>
          <w:tab w:leader="none" w:pos="128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Certain Defined Terms</w:t>
      </w:r>
      <w:r>
        <w:rPr>
          <w:rFonts w:ascii="Arial" w:cs="Arial" w:eastAsia="Arial" w:hAnsi="Arial"/>
          <w:sz w:val="20"/>
          <w:szCs w:val="20"/>
          <w:color w:val="auto"/>
        </w:rPr>
        <w:t>. For purposes of this Agreement, (a) except where otherwise expressly provided,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210" w:lineRule="exact"/>
        <w:rPr>
          <w:rFonts w:ascii="Arial" w:cs="Arial" w:eastAsia="Arial" w:hAnsi="Arial"/>
          <w:sz w:val="20"/>
          <w:szCs w:val="20"/>
          <w:color w:val="auto"/>
        </w:rPr>
      </w:pPr>
    </w:p>
    <w:p>
      <w:pPr>
        <w:jc w:val="both"/>
        <w:ind w:right="80" w:firstLine="656"/>
        <w:spacing w:after="0" w:line="248" w:lineRule="auto"/>
        <w:tabs>
          <w:tab w:leader="none" w:pos="128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Compliance with USA Patriot Act</w:t>
      </w:r>
      <w:r>
        <w:rPr>
          <w:rFonts w:ascii="Arial" w:cs="Arial" w:eastAsia="Arial" w:hAnsi="Arial"/>
          <w:sz w:val="20"/>
          <w:szCs w:val="20"/>
          <w:color w:val="auto"/>
        </w:rPr>
        <w:t>. In accordance with the requirements of the USA Patriot Act (Title III of Pub. L.</w:t>
      </w:r>
      <w:r>
        <w:rPr>
          <w:rFonts w:ascii="Arial" w:cs="Arial" w:eastAsia="Arial" w:hAnsi="Arial"/>
          <w:sz w:val="20"/>
          <w:szCs w:val="20"/>
          <w:i w:val="1"/>
          <w:iCs w:val="1"/>
          <w:color w:val="auto"/>
        </w:rPr>
        <w:t xml:space="preserve"> </w:t>
      </w:r>
      <w:r>
        <w:rPr>
          <w:rFonts w:ascii="Arial" w:cs="Arial" w:eastAsia="Arial" w:hAnsi="Arial"/>
          <w:sz w:val="20"/>
          <w:szCs w:val="20"/>
          <w:color w:val="auto"/>
        </w:rPr>
        <w:t>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20" w:top="1432" w:right="359" w:bottom="1440" w:gutter="0" w:footer="0" w:header="0"/>
        </w:sectPr>
      </w:pPr>
    </w:p>
    <w:bookmarkStart w:id="25" w:name="page26"/>
    <w:bookmarkEnd w:id="25"/>
    <w:p>
      <w:pPr>
        <w:spacing w:after="0" w:line="60"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Very truly yours,</w:t>
      </w:r>
    </w:p>
    <w:p>
      <w:pPr>
        <w:spacing w:after="0" w:line="31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MICRON TECHNOLOGY, INC.</w:t>
      </w:r>
    </w:p>
    <w:p>
      <w:pPr>
        <w:spacing w:after="0" w:line="310"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1905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Name: Greg Routin</w:t>
      </w:r>
    </w:p>
    <w:p>
      <w:pPr>
        <w:spacing w:after="0" w:line="40"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1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Barclays Capital Inc.</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Barclays Capital Inc.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James Gutow</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James Gutow</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27" w:name="page28"/>
    <w:bookmarkEnd w:id="27"/>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29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Credit Agricole Securities (USA) Inc.</w:t>
      </w:r>
    </w:p>
    <w:p>
      <w:pPr>
        <w:spacing w:after="0" w:line="3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Credit Agricole Securities (USA) Inc.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C. Travis</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David C. Travis</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28" w:name="page29"/>
    <w:bookmarkEnd w:id="28"/>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1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Mizuho Securities USA LLC</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Mizuho Securities USA LLC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Justin T. Surma</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Justin T. Surma</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29" w:name="page30"/>
    <w:bookmarkEnd w:id="29"/>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1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Wells Fargo Securities, LLC</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Wells Fargo Securities, LLC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Carolyn Hurley</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Carolyn Hurley</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30" w:name="page31"/>
    <w:bookmarkEnd w:id="30"/>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1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HSBC Securities (USA) Inc.</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HSBC Securities (USA) Inc.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Alexei Remizov</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Alexei Remizov</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31" w:name="page32"/>
    <w:bookmarkEnd w:id="31"/>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1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Morgan Stanley &amp; Co. LLC</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Acting on behalf of themselves and the several</w:t>
      </w:r>
    </w:p>
    <w:p>
      <w:pPr>
        <w:ind w:left="460"/>
        <w:spacing w:after="0"/>
        <w:rPr>
          <w:sz w:val="20"/>
          <w:szCs w:val="20"/>
          <w:color w:val="auto"/>
        </w:rPr>
      </w:pPr>
      <w:r>
        <w:rPr>
          <w:rFonts w:ascii="Arial" w:cs="Arial" w:eastAsia="Arial" w:hAnsi="Arial"/>
          <w:sz w:val="20"/>
          <w:szCs w:val="20"/>
          <w:color w:val="auto"/>
        </w:rPr>
        <w:t>Underwriters named in Schedule I hereto.</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ind w:left="20"/>
              <w:spacing w:after="0"/>
              <w:rPr>
                <w:sz w:val="20"/>
                <w:szCs w:val="20"/>
                <w:color w:val="auto"/>
              </w:rPr>
            </w:pPr>
            <w:r>
              <w:rPr>
                <w:rFonts w:ascii="Arial" w:cs="Arial" w:eastAsia="Arial" w:hAnsi="Arial"/>
                <w:sz w:val="20"/>
                <w:szCs w:val="20"/>
                <w:color w:val="auto"/>
              </w:rPr>
              <w:t>Morgan Stanley &amp; Co. LLC</w:t>
            </w:r>
          </w:p>
        </w:tc>
      </w:tr>
      <w:tr>
        <w:trPr>
          <w:trHeight w:val="80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Yurij Slyz</w:t>
            </w:r>
          </w:p>
        </w:tc>
      </w:tr>
      <w:tr>
        <w:trPr>
          <w:trHeight w:val="254"/>
        </w:trPr>
        <w:tc>
          <w:tcPr>
            <w:tcW w:w="74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Name: Yurij Slyz</w:t>
            </w:r>
          </w:p>
        </w:tc>
      </w:tr>
      <w:tr>
        <w:trPr>
          <w:trHeight w:val="270"/>
        </w:trPr>
        <w:tc>
          <w:tcPr>
            <w:tcW w:w="7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9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0119"/>
          </w:cols>
          <w:pgMar w:left="340" w:top="144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61"/>
        </w:trPr>
        <w:tc>
          <w:tcPr>
            <w:tcW w:w="46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gridSpan w:val="2"/>
          </w:tcPr>
          <w:p>
            <w:pPr>
              <w:ind w:left="1160"/>
              <w:spacing w:after="0"/>
              <w:rPr>
                <w:sz w:val="20"/>
                <w:szCs w:val="20"/>
                <w:color w:val="auto"/>
              </w:rPr>
            </w:pPr>
            <w:r>
              <w:rPr>
                <w:rFonts w:ascii="Arial" w:cs="Arial" w:eastAsia="Arial" w:hAnsi="Arial"/>
                <w:sz w:val="20"/>
                <w:szCs w:val="20"/>
                <w:b w:val="1"/>
                <w:bCs w:val="1"/>
                <w:color w:val="auto"/>
                <w:w w:val="97"/>
              </w:rPr>
              <w:t>SCHEDULE I</w:t>
            </w:r>
          </w:p>
        </w:tc>
        <w:tc>
          <w:tcPr>
            <w:tcW w:w="0" w:type="dxa"/>
            <w:vAlign w:val="bottom"/>
          </w:tcPr>
          <w:p>
            <w:pPr>
              <w:spacing w:after="0"/>
              <w:rPr>
                <w:sz w:val="1"/>
                <w:szCs w:val="1"/>
                <w:color w:val="auto"/>
              </w:rPr>
            </w:pPr>
          </w:p>
        </w:tc>
      </w:tr>
      <w:tr>
        <w:trPr>
          <w:trHeight w:val="671"/>
        </w:trPr>
        <w:tc>
          <w:tcPr>
            <w:tcW w:w="46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rPr>
              <w:t>Principal Amount of</w:t>
            </w: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Principal Amount of</w:t>
            </w: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Principal Amount of</w:t>
            </w:r>
          </w:p>
        </w:tc>
        <w:tc>
          <w:tcPr>
            <w:tcW w:w="0" w:type="dxa"/>
            <w:vAlign w:val="bottom"/>
          </w:tcPr>
          <w:p>
            <w:pPr>
              <w:spacing w:after="0"/>
              <w:rPr>
                <w:sz w:val="1"/>
                <w:szCs w:val="1"/>
                <w:color w:val="auto"/>
              </w:rPr>
            </w:pPr>
          </w:p>
        </w:tc>
      </w:tr>
      <w:tr>
        <w:trPr>
          <w:trHeight w:val="175"/>
        </w:trPr>
        <w:tc>
          <w:tcPr>
            <w:tcW w:w="462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Underwriter</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2032 Notes to be</w:t>
            </w:r>
          </w:p>
        </w:tc>
        <w:tc>
          <w:tcPr>
            <w:tcW w:w="20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2041 Notes to be</w:t>
            </w:r>
          </w:p>
        </w:tc>
        <w:tc>
          <w:tcPr>
            <w:tcW w:w="236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99"/>
              </w:rPr>
              <w:t>2051 Notes to be</w:t>
            </w:r>
          </w:p>
        </w:tc>
        <w:tc>
          <w:tcPr>
            <w:tcW w:w="0" w:type="dxa"/>
            <w:vAlign w:val="bottom"/>
          </w:tcPr>
          <w:p>
            <w:pPr>
              <w:spacing w:after="0"/>
              <w:rPr>
                <w:sz w:val="1"/>
                <w:szCs w:val="1"/>
                <w:color w:val="auto"/>
              </w:rPr>
            </w:pPr>
          </w:p>
        </w:tc>
      </w:tr>
      <w:tr>
        <w:trPr>
          <w:trHeight w:val="229"/>
        </w:trPr>
        <w:tc>
          <w:tcPr>
            <w:tcW w:w="4620" w:type="dxa"/>
            <w:vAlign w:val="bottom"/>
            <w:vMerge w:val="continue"/>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Purchased</w:t>
            </w: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Purchased</w:t>
            </w:r>
          </w:p>
        </w:tc>
        <w:tc>
          <w:tcPr>
            <w:tcW w:w="0" w:type="dxa"/>
            <w:vAlign w:val="bottom"/>
          </w:tcPr>
          <w:p>
            <w:pPr>
              <w:spacing w:after="0"/>
              <w:rPr>
                <w:sz w:val="1"/>
                <w:szCs w:val="1"/>
                <w:color w:val="auto"/>
              </w:rPr>
            </w:pPr>
          </w:p>
        </w:tc>
      </w:tr>
      <w:tr>
        <w:trPr>
          <w:trHeight w:val="480"/>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Barclays Capital Inc.</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Credit Agricole Securities (USA) Inc.</w:t>
            </w:r>
          </w:p>
        </w:tc>
        <w:tc>
          <w:tcPr>
            <w:tcW w:w="22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Mizuho Securities USA LLC</w:t>
            </w:r>
          </w:p>
        </w:tc>
        <w:tc>
          <w:tcPr>
            <w:tcW w:w="22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$60,000,000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Wells Fargo Securities, LLC</w:t>
            </w:r>
          </w:p>
        </w:tc>
        <w:tc>
          <w:tcPr>
            <w:tcW w:w="22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$60,000,000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HSBC Securities (USA) Inc.</w:t>
            </w:r>
          </w:p>
        </w:tc>
        <w:tc>
          <w:tcPr>
            <w:tcW w:w="2220" w:type="dxa"/>
            <w:vAlign w:val="bottom"/>
          </w:tcPr>
          <w:p>
            <w:pPr>
              <w:jc w:val="right"/>
              <w:spacing w:after="0"/>
              <w:rPr>
                <w:sz w:val="20"/>
                <w:szCs w:val="20"/>
                <w:color w:val="auto"/>
              </w:rPr>
            </w:pPr>
            <w:r>
              <w:rPr>
                <w:rFonts w:ascii="Arial" w:cs="Arial" w:eastAsia="Arial" w:hAnsi="Arial"/>
                <w:sz w:val="18"/>
                <w:szCs w:val="18"/>
                <w:color w:val="auto"/>
              </w:rPr>
              <w:t>$80,000,000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Morgan Stanley &amp; Co. LLC</w:t>
            </w:r>
          </w:p>
        </w:tc>
        <w:tc>
          <w:tcPr>
            <w:tcW w:w="2220" w:type="dxa"/>
            <w:vAlign w:val="bottom"/>
          </w:tcPr>
          <w:p>
            <w:pPr>
              <w:jc w:val="right"/>
              <w:spacing w:after="0"/>
              <w:rPr>
                <w:sz w:val="20"/>
                <w:szCs w:val="20"/>
                <w:color w:val="auto"/>
              </w:rPr>
            </w:pPr>
            <w:r>
              <w:rPr>
                <w:rFonts w:ascii="Arial" w:cs="Arial" w:eastAsia="Arial" w:hAnsi="Arial"/>
                <w:sz w:val="18"/>
                <w:szCs w:val="18"/>
                <w:color w:val="auto"/>
              </w:rPr>
              <w:t>$80,000,000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ANZ Securities, Inc.</w:t>
            </w:r>
          </w:p>
        </w:tc>
        <w:tc>
          <w:tcPr>
            <w:tcW w:w="22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BNP Paribas Securities Corp.</w:t>
            </w:r>
          </w:p>
        </w:tc>
        <w:tc>
          <w:tcPr>
            <w:tcW w:w="22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BofA Securities, Inc.</w:t>
            </w:r>
          </w:p>
        </w:tc>
        <w:tc>
          <w:tcPr>
            <w:tcW w:w="22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Goldman Sachs &amp; Co. LLC.</w:t>
            </w:r>
          </w:p>
        </w:tc>
        <w:tc>
          <w:tcPr>
            <w:tcW w:w="22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RBC Capital Markets, LLC.</w:t>
            </w:r>
          </w:p>
        </w:tc>
        <w:tc>
          <w:tcPr>
            <w:tcW w:w="22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Academy Securities,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Citigroup Global Markets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Credit Suisse Securities (USA) LLC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ICBC Standard Bank Plc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J.P. Morgan Securities LLC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MUFG Securities Americas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 Seelaus &amp; Co., LLC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Samuel A. Ramirez &amp; Company,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Scotia Capital (USA)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Siebert Williams Shank &amp; Co., LLC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TD Securities (USA) LLC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U.S. Bancorp Investments, Inc.</w:t>
            </w:r>
          </w:p>
        </w:tc>
        <w:tc>
          <w:tcPr>
            <w:tcW w:w="22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620" w:type="dxa"/>
            <w:vAlign w:val="bottom"/>
          </w:tcPr>
          <w:p>
            <w:pPr>
              <w:ind w:left="680"/>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rPr>
                <w:sz w:val="20"/>
                <w:szCs w:val="20"/>
                <w:color w:val="auto"/>
              </w:rPr>
            </w:pPr>
            <w:r>
              <w:rPr>
                <w:rFonts w:ascii="Arial" w:cs="Arial" w:eastAsia="Arial" w:hAnsi="Arial"/>
                <w:sz w:val="18"/>
                <w:szCs w:val="18"/>
                <w:color w:val="auto"/>
              </w:rPr>
              <w:t>$1,000,000,000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196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SCHEDULE 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Time of Sale Information</w:t>
      </w:r>
    </w:p>
    <w:p>
      <w:pPr>
        <w:spacing w:after="0" w:line="229"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Term Sheet containing the terms of the Securities, substantially in the form set forth in Annex A</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ind w:left="5480"/>
        <w:spacing w:after="0"/>
        <w:rPr>
          <w:rFonts w:ascii="Arial" w:cs="Arial" w:eastAsia="Arial" w:hAnsi="Arial"/>
          <w:sz w:val="20"/>
          <w:szCs w:val="20"/>
          <w:color w:val="auto"/>
        </w:rPr>
      </w:pPr>
      <w:r>
        <w:rPr>
          <w:rFonts w:ascii="Arial" w:cs="Arial" w:eastAsia="Arial" w:hAnsi="Arial"/>
          <w:sz w:val="20"/>
          <w:szCs w:val="20"/>
          <w:color w:val="auto"/>
        </w:rPr>
        <w:t>II-1</w:t>
      </w:r>
    </w:p>
    <w:p>
      <w:pPr>
        <w:sectPr>
          <w:pgSz w:w="11900" w:h="16838" w:orient="portrait"/>
          <w:cols w:equalWidth="0" w:num="1">
            <w:col w:w="11240"/>
          </w:cols>
          <w:pgMar w:left="320" w:top="140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SCHEDULE III</w:t>
      </w:r>
    </w:p>
    <w:p>
      <w:pPr>
        <w:spacing w:after="0" w:line="229"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Jurisdictions of Qualification of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rPr>
          <w:sz w:val="20"/>
          <w:szCs w:val="20"/>
          <w:color w:val="auto"/>
        </w:rPr>
      </w:pPr>
      <w:r>
        <w:rPr>
          <w:rFonts w:ascii="Arial" w:cs="Arial" w:eastAsia="Arial" w:hAnsi="Arial"/>
          <w:sz w:val="20"/>
          <w:szCs w:val="20"/>
          <w:color w:val="auto"/>
        </w:rPr>
        <w:t>Idaho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III-1</w:t>
      </w:r>
    </w:p>
    <w:p>
      <w:pPr>
        <w:sectPr>
          <w:pgSz w:w="11900" w:h="16838" w:orient="portrait"/>
          <w:cols w:equalWidth="0" w:num="1">
            <w:col w:w="10580"/>
          </w:cols>
          <w:pgMar w:left="980" w:top="1408" w:right="339" w:bottom="1440" w:gutter="0" w:footer="0" w:header="0"/>
        </w:sectPr>
      </w:pPr>
    </w:p>
    <w:bookmarkStart w:id="35" w:name="page36"/>
    <w:bookmarkEnd w:id="35"/>
    <w:p>
      <w:pPr>
        <w:ind w:left="10180"/>
        <w:spacing w:after="0"/>
        <w:rPr>
          <w:sz w:val="20"/>
          <w:szCs w:val="20"/>
          <w:color w:val="auto"/>
        </w:rPr>
      </w:pPr>
      <w:r>
        <w:rPr>
          <w:rFonts w:ascii="Arial" w:cs="Arial" w:eastAsia="Arial" w:hAnsi="Arial"/>
          <w:sz w:val="19"/>
          <w:szCs w:val="19"/>
          <w:b w:val="1"/>
          <w:bCs w:val="1"/>
          <w:color w:val="auto"/>
        </w:rPr>
        <w:t>EXHIBIT A</w:t>
      </w:r>
    </w:p>
    <w:p>
      <w:pPr>
        <w:spacing w:after="0" w:line="265" w:lineRule="exact"/>
        <w:rPr>
          <w:sz w:val="20"/>
          <w:szCs w:val="20"/>
          <w:color w:val="auto"/>
        </w:rPr>
      </w:pPr>
    </w:p>
    <w:p>
      <w:pPr>
        <w:jc w:val="center"/>
        <w:ind w:right="60"/>
        <w:spacing w:after="0" w:line="236" w:lineRule="auto"/>
        <w:rPr>
          <w:sz w:val="20"/>
          <w:szCs w:val="20"/>
          <w:color w:val="auto"/>
        </w:rPr>
      </w:pPr>
      <w:r>
        <w:rPr>
          <w:rFonts w:ascii="Arial" w:cs="Arial" w:eastAsia="Arial" w:hAnsi="Arial"/>
          <w:sz w:val="20"/>
          <w:szCs w:val="20"/>
          <w:color w:val="auto"/>
        </w:rPr>
        <w:t>FORM OF OPINION OF WILSON SONSINI GOODRICH &amp; ROSATI, PROFESSIONAL CORPORATION, OUTSIDE COUNSEL TO THE COMPANY</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[Exhibit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160"/>
          </w:cols>
          <w:pgMar w:left="400" w:top="140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B</w:t>
      </w: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FORM OF OPINION OF JOEL L. POPPEN, GENERAL COUNSEL OF THE COMPANY</w:t>
      </w:r>
    </w:p>
    <w:p>
      <w:pPr>
        <w:spacing w:after="0" w:line="241"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[Exhibit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0120"/>
          </w:cols>
          <w:pgMar w:left="1440" w:top="140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Annex A</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Pricing Term Sheet</w:t>
      </w:r>
    </w:p>
    <w:p>
      <w:pPr>
        <w:jc w:val="center"/>
        <w:ind w:right="1120"/>
        <w:spacing w:after="0"/>
        <w:rPr>
          <w:sz w:val="20"/>
          <w:szCs w:val="20"/>
          <w:color w:val="auto"/>
        </w:rPr>
      </w:pPr>
      <w:r>
        <w:rPr>
          <w:rFonts w:ascii="Arial" w:cs="Arial" w:eastAsia="Arial" w:hAnsi="Arial"/>
          <w:sz w:val="19"/>
          <w:szCs w:val="19"/>
          <w:color w:val="auto"/>
        </w:rPr>
        <w:t>Dated October 18, 2021</w:t>
      </w:r>
    </w:p>
    <w:p>
      <w:pPr>
        <w:spacing w:after="0" w:line="24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[Annex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C-2</w:t>
      </w:r>
    </w:p>
    <w:sectPr>
      <w:pgSz w:w="11900" w:h="16838" w:orient="portrait"/>
      <w:cols w:equalWidth="0" w:num="1">
        <w:col w:w="10120"/>
      </w:cols>
      <w:pgMar w:left="144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1)"/>
      <w:numFmt w:val="lowerLetter"/>
      <w:start w:val="2"/>
    </w:lvl>
  </w:abstractNum>
  <w:abstractNum w:abstractNumId="3">
    <w:nsid w:val="257130A3"/>
    <w:multiLevelType w:val="hybridMultilevel"/>
    <w:lvl w:ilvl="0">
      <w:lvlJc w:val="left"/>
      <w:lvlText w:val="(%1)"/>
      <w:numFmt w:val="lowerLetter"/>
      <w:start w:val="4"/>
    </w:lvl>
  </w:abstractNum>
  <w:abstractNum w:abstractNumId="4">
    <w:nsid w:val="62BBD95A"/>
    <w:multiLevelType w:val="hybridMultilevel"/>
    <w:lvl w:ilvl="0">
      <w:lvlJc w:val="left"/>
      <w:lvlText w:val="%1"/>
      <w:numFmt w:val="decimal"/>
      <w:start w:val="1"/>
    </w:lvl>
    <w:lvl w:ilvl="1">
      <w:lvlJc w:val="left"/>
      <w:lvlText w:val="(%2)"/>
      <w:numFmt w:val="lowerLetter"/>
      <w:start w:val="7"/>
    </w:lvl>
  </w:abstractNum>
  <w:abstractNum w:abstractNumId="5">
    <w:nsid w:val="436C6125"/>
    <w:multiLevelType w:val="hybridMultilevel"/>
    <w:lvl w:ilvl="0">
      <w:lvlJc w:val="left"/>
      <w:lvlText w:val="(%1)"/>
      <w:numFmt w:val="decimal"/>
      <w:start w:val="1"/>
    </w:lvl>
    <w:lvl w:ilvl="1">
      <w:lvlJc w:val="left"/>
      <w:lvlText w:val="%2"/>
      <w:numFmt w:val="lowerLetter"/>
      <w:start w:val="1"/>
    </w:lvl>
  </w:abstractNum>
  <w:abstractNum w:abstractNumId="6">
    <w:nsid w:val="628C895D"/>
    <w:multiLevelType w:val="hybridMultilevel"/>
    <w:lvl w:ilvl="0">
      <w:lvlJc w:val="left"/>
      <w:lvlText w:val="(%1)"/>
      <w:numFmt w:val="lowerLetter"/>
      <w:start w:val="11"/>
    </w:lvl>
  </w:abstractNum>
  <w:abstractNum w:abstractNumId="7">
    <w:nsid w:val="333AB105"/>
    <w:multiLevelType w:val="hybridMultilevel"/>
    <w:lvl w:ilvl="0">
      <w:lvlJc w:val="left"/>
      <w:lvlText w:val="(%1)"/>
      <w:numFmt w:val="lowerLetter"/>
      <w:start w:val="17"/>
    </w:lvl>
    <w:lvl w:ilvl="1">
      <w:lvlJc w:val="left"/>
      <w:lvlText w:val="(%2)"/>
      <w:numFmt w:val="upperLetter"/>
      <w:start w:val="1"/>
    </w:lvl>
  </w:abstractNum>
  <w:abstractNum w:abstractNumId="8">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9">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0">
    <w:nsid w:val="2D1D5AE9"/>
    <w:multiLevelType w:val="hybridMultilevel"/>
    <w:lvl w:ilvl="0">
      <w:lvlJc w:val="left"/>
      <w:lvlText w:val="%1"/>
      <w:numFmt w:val="decimal"/>
      <w:start w:val="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11">
    <w:nsid w:val="676384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
    <w:nsid w:val="75A2A8D4"/>
    <w:multiLevelType w:val="hybridMultilevel"/>
    <w:lvl w:ilvl="0">
      <w:lvlJc w:val="left"/>
      <w:lvlText w:val="%1."/>
      <w:numFmt w:val="decimal"/>
      <w:start w:val="3"/>
    </w:lvl>
  </w:abstractNum>
  <w:abstractNum w:abstractNumId="13">
    <w:nsid w:val="8EDBDAB"/>
    <w:multiLevelType w:val="hybridMultilevel"/>
    <w:lvl w:ilvl="0">
      <w:lvlJc w:val="left"/>
      <w:lvlText w:val="%1."/>
      <w:numFmt w:val="decimal"/>
      <w:start w:val="5"/>
    </w:lvl>
    <w:lvl w:ilvl="1">
      <w:lvlJc w:val="left"/>
      <w:lvlText w:val="(%2)"/>
      <w:numFmt w:val="lowerLetter"/>
      <w:start w:val="1"/>
    </w:lvl>
  </w:abstractNum>
  <w:abstractNum w:abstractNumId="14">
    <w:nsid w:val="79838CB2"/>
    <w:multiLevelType w:val="hybridMultilevel"/>
    <w:lvl w:ilvl="0">
      <w:lvlJc w:val="left"/>
      <w:lvlText w:val="(%1)"/>
      <w:numFmt w:val="lowerLetter"/>
      <w:start w:val="3"/>
    </w:lvl>
    <w:lvl w:ilvl="1">
      <w:lvlJc w:val="left"/>
      <w:lvlText w:val="(%2)"/>
      <w:numFmt w:val="lowerRoman"/>
      <w:start w:val="1"/>
    </w:lvl>
  </w:abstractNum>
  <w:abstractNum w:abstractNumId="15">
    <w:nsid w:val="4353D0CD"/>
    <w:multiLevelType w:val="hybridMultilevel"/>
    <w:lvl w:ilvl="0">
      <w:lvlJc w:val="left"/>
      <w:lvlText w:val="(%1)"/>
      <w:numFmt w:val="lowerLetter"/>
      <w:start w:val="5"/>
    </w:lvl>
  </w:abstractNum>
  <w:abstractNum w:abstractNumId="16">
    <w:nsid w:val="B03E0C6"/>
    <w:multiLevelType w:val="hybridMultilevel"/>
    <w:lvl w:ilvl="0">
      <w:lvlJc w:val="left"/>
      <w:lvlText w:val="%1"/>
      <w:numFmt w:val="decimal"/>
      <w:start w:val="1"/>
    </w:lvl>
    <w:lvl w:ilvl="1">
      <w:lvlJc w:val="left"/>
      <w:lvlText w:val="(%2)"/>
      <w:numFmt w:val="lowerLetter"/>
      <w:start w:val="6"/>
    </w:lvl>
  </w:abstractNum>
  <w:abstractNum w:abstractNumId="17">
    <w:nsid w:val="189A769B"/>
    <w:multiLevelType w:val="hybridMultilevel"/>
    <w:lvl w:ilvl="0">
      <w:lvlJc w:val="left"/>
      <w:lvlText w:val="%1."/>
      <w:numFmt w:val="decimal"/>
      <w:start w:val="6"/>
    </w:lvl>
    <w:lvl w:ilvl="1">
      <w:lvlJc w:val="left"/>
      <w:lvlText w:val="(%2)"/>
      <w:numFmt w:val="lowerLetter"/>
      <w:start w:val="1"/>
    </w:lvl>
  </w:abstractNum>
  <w:abstractNum w:abstractNumId="18">
    <w:nsid w:val="54E49EB4"/>
    <w:multiLevelType w:val="hybridMultilevel"/>
    <w:lvl w:ilvl="0">
      <w:lvlJc w:val="left"/>
      <w:lvlText w:val="(%1)"/>
      <w:numFmt w:val="lowerLetter"/>
      <w:start w:val="2"/>
    </w:lvl>
  </w:abstractNum>
  <w:abstractNum w:abstractNumId="19">
    <w:nsid w:val="71F32454"/>
    <w:multiLevelType w:val="hybridMultilevel"/>
    <w:lvl w:ilvl="0">
      <w:lvlJc w:val="left"/>
      <w:lvlText w:val="(%1)"/>
      <w:numFmt w:val="lowerLetter"/>
      <w:start w:val="6"/>
    </w:lvl>
  </w:abstractNum>
  <w:abstractNum w:abstractNumId="20">
    <w:nsid w:val="2CA88611"/>
    <w:multiLevelType w:val="hybridMultilevel"/>
    <w:lvl w:ilvl="0">
      <w:lvlJc w:val="left"/>
      <w:lvlText w:val="(%1)"/>
      <w:numFmt w:val="lowerLetter"/>
      <w:start w:val="8"/>
    </w:lvl>
  </w:abstractNum>
  <w:abstractNum w:abstractNumId="21">
    <w:nsid w:val="836C40E"/>
    <w:multiLevelType w:val="hybridMultilevel"/>
    <w:lvl w:ilvl="0">
      <w:lvlJc w:val="left"/>
      <w:lvlText w:val="%1"/>
      <w:numFmt w:val="decimal"/>
      <w:start w:val="1"/>
    </w:lvl>
    <w:lvl w:ilvl="1">
      <w:lvlJc w:val="left"/>
      <w:lvlText w:val="(%2)"/>
      <w:numFmt w:val="lowerLetter"/>
      <w:start w:val="10"/>
    </w:lvl>
  </w:abstractNum>
  <w:abstractNum w:abstractNumId="22">
    <w:nsid w:val="2901D82"/>
    <w:multiLevelType w:val="hybridMultilevel"/>
    <w:lvl w:ilvl="0">
      <w:lvlJc w:val="left"/>
      <w:lvlText w:val="%1."/>
      <w:numFmt w:val="decimal"/>
      <w:start w:val="7"/>
    </w:lvl>
    <w:lvl w:ilvl="1">
      <w:lvlJc w:val="left"/>
      <w:lvlText w:val="%2"/>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3"/>
    </w:lvl>
  </w:abstractNum>
  <w:abstractNum w:abstractNumId="25">
    <w:nsid w:val="1E7FF521"/>
    <w:multiLevelType w:val="hybridMultilevel"/>
    <w:lvl w:ilvl="0">
      <w:lvlJc w:val="left"/>
      <w:lvlText w:val="%1."/>
      <w:numFmt w:val="decimal"/>
      <w:start w:val="8"/>
    </w:lvl>
    <w:lvl w:ilvl="1">
      <w:lvlJc w:val="left"/>
      <w:lvlText w:val="(%2)"/>
      <w:numFmt w:val="lowerLetter"/>
      <w:start w:val="2"/>
    </w:lvl>
  </w:abstractNum>
  <w:abstractNum w:abstractNumId="26">
    <w:nsid w:val="7C3DBD3D"/>
    <w:multiLevelType w:val="hybridMultilevel"/>
    <w:lvl w:ilvl="0">
      <w:lvlJc w:val="left"/>
      <w:lvlText w:val="(%1)"/>
      <w:numFmt w:val="lowerLetter"/>
      <w:start w:val="3"/>
    </w:lvl>
  </w:abstractNum>
  <w:abstractNum w:abstractNumId="27">
    <w:nsid w:val="737B8DDC"/>
    <w:multiLevelType w:val="hybridMultilevel"/>
    <w:lvl w:ilvl="0">
      <w:lvlJc w:val="left"/>
      <w:lvlText w:val="(%1)"/>
      <w:numFmt w:val="lowerLetter"/>
      <w:start w:val="5"/>
    </w:lvl>
  </w:abstractNum>
  <w:abstractNum w:abstractNumId="28">
    <w:nsid w:val="6CEAF087"/>
    <w:multiLevelType w:val="hybridMultilevel"/>
    <w:lvl w:ilvl="0">
      <w:lvlJc w:val="left"/>
      <w:lvlText w:val="%1."/>
      <w:numFmt w:val="decimal"/>
      <w:start w:val="9"/>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decimal"/>
      <w:start w:val="10"/>
    </w:lvl>
  </w:abstractNum>
  <w:abstractNum w:abstractNumId="31">
    <w:nsid w:val="3006C83E"/>
    <w:multiLevelType w:val="hybridMultilevel"/>
    <w:lvl w:ilvl="0">
      <w:lvlJc w:val="left"/>
      <w:lvlText w:val="%1."/>
      <w:numFmt w:val="decimal"/>
      <w:start w:val="11"/>
    </w:lvl>
  </w:abstractNum>
  <w:abstractNum w:abstractNumId="32">
    <w:nsid w:val="614FD4A1"/>
    <w:multiLevelType w:val="hybridMultilevel"/>
    <w:lvl w:ilvl="0">
      <w:lvlJc w:val="left"/>
      <w:lvlText w:val="%1."/>
      <w:numFmt w:val="decimal"/>
      <w:start w:val="12"/>
    </w:lvl>
    <w:lvl w:ilvl="1">
      <w:lvlJc w:val="left"/>
      <w:lvlText w:val="(%2)"/>
      <w:numFmt w:val="lowerLetter"/>
      <w:start w:val="2"/>
    </w:lvl>
  </w:abstractNum>
  <w:abstractNum w:abstractNumId="33">
    <w:nsid w:val="419AC241"/>
    <w:multiLevelType w:val="hybridMultilevel"/>
    <w:lvl w:ilvl="0">
      <w:lvlJc w:val="left"/>
      <w:lvlText w:val="%1."/>
      <w:numFmt w:val="decimal"/>
      <w:start w:val="14"/>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2021-10-19T15:55:17Z</dcterms:created>
  <dcterms:modified xsi:type="dcterms:W3CDTF">2021-10-19T15:55:17Z</dcterms:modified>
</cp:coreProperties>
</file>