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ARNZEN APRIL S</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MICRON TECHNOLOGY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Borders>
              <w:top w:val="single" w:sz="8" w:color="EEEEEE"/>
            </w:tcBorders>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2940" w:type="dxa"/>
            <w:vAlign w:val="bottom"/>
            <w:gridSpan w:val="4"/>
            <w:vMerge w:val="restart"/>
          </w:tcPr>
          <w:p>
            <w:pPr>
              <w:ind w:left="160"/>
              <w:spacing w:after="0" w:line="174" w:lineRule="exact"/>
              <w:rPr>
                <w:sz w:val="20"/>
                <w:szCs w:val="20"/>
                <w:color w:val="auto"/>
              </w:rPr>
            </w:pPr>
            <w:r>
              <w:rPr>
                <w:rFonts w:ascii="Arial" w:cs="Arial" w:eastAsia="Arial" w:hAnsi="Arial"/>
                <w:sz w:val="17"/>
                <w:szCs w:val="17"/>
                <w:color w:val="0000FF"/>
              </w:rPr>
              <w:t>01/30/2023</w:t>
            </w: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65"/>
        <w:spacing w:after="0"/>
        <w:rPr>
          <w:sz w:val="20"/>
          <w:szCs w:val="20"/>
          <w:color w:val="auto"/>
        </w:rPr>
      </w:pPr>
      <w:r>
        <w:rPr>
          <w:rFonts w:ascii="Arial" w:cs="Arial" w:eastAsia="Arial" w:hAnsi="Arial"/>
          <w:sz w:val="17"/>
          <w:szCs w:val="17"/>
          <w:color w:val="0000FF"/>
        </w:rPr>
        <w:t>SVP, Chief People Officer</w:t>
      </w:r>
    </w:p>
    <w:p>
      <w:pPr>
        <w:spacing w:after="0" w:line="329"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180" w:type="dxa"/>
            <w:vAlign w:val="bottom"/>
          </w:tcPr>
          <w:p>
            <w:pPr>
              <w:ind w:left="360"/>
              <w:spacing w:after="0"/>
              <w:rPr>
                <w:sz w:val="20"/>
                <w:szCs w:val="20"/>
                <w:color w:val="auto"/>
              </w:rPr>
            </w:pPr>
            <w:r>
              <w:rPr>
                <w:rFonts w:ascii="Arial" w:cs="Arial" w:eastAsia="Arial" w:hAnsi="Arial"/>
                <w:sz w:val="17"/>
                <w:szCs w:val="17"/>
                <w:color w:val="0000FF"/>
              </w:rPr>
              <w:t>ID</w:t>
            </w:r>
          </w:p>
        </w:tc>
        <w:tc>
          <w:tcPr>
            <w:tcW w:w="1600" w:type="dxa"/>
            <w:vAlign w:val="bottom"/>
          </w:tcPr>
          <w:p>
            <w:pPr>
              <w:ind w:left="40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Arial" w:cs="Arial" w:eastAsia="Arial" w:hAnsi="Arial"/>
                <w:sz w:val="17"/>
                <w:szCs w:val="17"/>
                <w:color w:val="0000FF"/>
              </w:rPr>
              <w:t>12/02/2022</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60" w:type="dxa"/>
            <w:vAlign w:val="bottom"/>
          </w:tcPr>
          <w:p>
            <w:pPr>
              <w:ind w:left="120"/>
              <w:spacing w:after="0"/>
              <w:rPr>
                <w:sz w:val="20"/>
                <w:szCs w:val="20"/>
                <w:color w:val="auto"/>
              </w:rPr>
            </w:pPr>
            <w:r>
              <w:rPr>
                <w:rFonts w:ascii="Arial" w:cs="Arial" w:eastAsia="Arial" w:hAnsi="Arial"/>
                <w:sz w:val="13"/>
                <w:szCs w:val="13"/>
                <w:color w:val="0000FF"/>
              </w:rPr>
              <w:t>V</w:t>
            </w:r>
          </w:p>
        </w:tc>
        <w:tc>
          <w:tcPr>
            <w:tcW w:w="760" w:type="dxa"/>
            <w:vAlign w:val="bottom"/>
          </w:tcPr>
          <w:p>
            <w:pPr>
              <w:jc w:val="right"/>
              <w:ind w:right="172"/>
              <w:spacing w:after="0"/>
              <w:rPr>
                <w:sz w:val="20"/>
                <w:szCs w:val="20"/>
                <w:color w:val="auto"/>
              </w:rPr>
            </w:pPr>
            <w:r>
              <w:rPr>
                <w:rFonts w:ascii="Arial" w:cs="Arial" w:eastAsia="Arial" w:hAnsi="Arial"/>
                <w:sz w:val="17"/>
                <w:szCs w:val="17"/>
                <w:color w:val="0000FF"/>
              </w:rPr>
              <w:t>350</w:t>
            </w: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jc w:val="center"/>
              <w:ind w:righ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0000FF"/>
              </w:rPr>
              <w:t>142,480</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01/30/2023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S</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24,000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61.91</w:t>
            </w:r>
            <w:r>
              <w:rPr>
                <w:rFonts w:ascii="Arial" w:cs="Arial" w:eastAsia="Arial" w:hAnsi="Arial"/>
                <w:sz w:val="22"/>
                <w:szCs w:val="22"/>
                <w:color w:val="008000"/>
                <w:vertAlign w:val="superscript"/>
              </w:rPr>
              <w:t>(1)</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118,885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Date</w:t>
            </w:r>
          </w:p>
        </w:tc>
        <w:tc>
          <w:tcPr>
            <w:tcW w:w="36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$61.89 to $61.95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405.123 shares acquired on January 31, 2023 under the Micron Technology, Inc. Employee Stock Purchase Plan, which acquisition is exempt from reporting under Rules 16a-3(g)(1) and 16b-3(c).</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02/01/2023</w:t>
            </w:r>
          </w:p>
        </w:tc>
      </w:tr>
      <w:tr>
        <w:trPr>
          <w:trHeight w:val="233"/>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2063"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2023-02-01T16:28:19Z</dcterms:created>
  <dcterms:modified xsi:type="dcterms:W3CDTF">2023-02-01T16:28:19Z</dcterms:modified>
</cp:coreProperties>
</file>