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January 28, 2011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MICRON TECHNOLOGY,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774" w:right="359" w:bottom="1440" w:gutter="0" w:footer="0" w:header="0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1-10658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75-1618004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(I.R.S. Employer Identification No.)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980" w:space="720"/>
            <w:col w:w="2880" w:space="720"/>
            <w:col w:w="3000"/>
          </w:cols>
          <w:pgMar w:left="240" w:top="774" w:right="359" w:bottom="1440" w:gutter="0" w:footer="0" w:header="0"/>
          <w:type w:val="continuous"/>
        </w:sect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1300"/>
          </w:cols>
          <w:pgMar w:left="240" w:top="774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8000 South Federal Way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Boise, Idaho 83716-9632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(208) 368-4000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870585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774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January 28, 2011, the Company acquired Canon’s interest in TECH Semiconductor Singapore Pte. Ltd. (“TECH”), a consolidated joint venture of the Company, for US$120,603,222.00. As a result, the Company’s ownership interest in TECH increased from approximately 90.3% to 100%.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240" w:top="513" w:right="61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00" w:type="dxa"/>
            <w:vAlign w:val="bottom"/>
            <w:gridSpan w:val="2"/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MICRON TECHNOLOGY, INC.</w:t>
            </w:r>
          </w:p>
        </w:tc>
      </w:tr>
      <w:tr>
        <w:trPr>
          <w:trHeight w:val="65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January 28, 2011</w:t>
            </w:r>
          </w:p>
        </w:tc>
        <w:tc>
          <w:tcPr>
            <w:tcW w:w="3700" w:type="dxa"/>
            <w:vAlign w:val="bottom"/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/s/ Ronald C. Foster</w:t>
            </w:r>
          </w:p>
        </w:tc>
      </w:tr>
      <w:tr>
        <w:trPr>
          <w:trHeight w:val="20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28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40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Ronald C. Foster</w:t>
            </w:r>
          </w:p>
        </w:tc>
      </w:tr>
      <w:tr>
        <w:trPr>
          <w:trHeight w:val="21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of Finance and</w:t>
            </w:r>
          </w:p>
        </w:tc>
      </w:tr>
      <w:tr>
        <w:trPr>
          <w:trHeight w:val="23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70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240" w:top="729" w:right="65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2019-12-10T05:52:13Z</dcterms:created>
  <dcterms:modified xsi:type="dcterms:W3CDTF">2019-12-10T05:52:13Z</dcterms:modified>
</cp:coreProperties>
</file>