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February 5, 2013</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83" w:orient="portrait"/>
          <w:cols w:equalWidth="0" w:num="1">
            <w:col w:w="11400"/>
          </w:cols>
          <w:pgMar w:left="240" w:top="544" w:right="259" w:bottom="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0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32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1-10658</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60"/>
        <w:spacing w:after="0"/>
        <w:rPr>
          <w:sz w:val="20"/>
          <w:szCs w:val="20"/>
          <w:color w:val="auto"/>
        </w:rPr>
      </w:pPr>
      <w:r>
        <w:rPr>
          <w:rFonts w:ascii="Arial" w:cs="Arial" w:eastAsia="Arial" w:hAnsi="Arial"/>
          <w:sz w:val="18"/>
          <w:szCs w:val="18"/>
          <w:b w:val="1"/>
          <w:bCs w:val="1"/>
          <w:color w:val="auto"/>
        </w:rPr>
        <w:t>75-1618004</w:t>
      </w:r>
    </w:p>
    <w:p>
      <w:pPr>
        <w:spacing w:after="0" w:line="27" w:lineRule="exact"/>
        <w:rPr>
          <w:sz w:val="24"/>
          <w:szCs w:val="24"/>
          <w:color w:val="auto"/>
        </w:rPr>
      </w:pPr>
    </w:p>
    <w:p>
      <w:pPr>
        <w:jc w:val="center"/>
        <w:ind w:right="700"/>
        <w:spacing w:after="0"/>
        <w:rPr>
          <w:sz w:val="20"/>
          <w:szCs w:val="20"/>
          <w:color w:val="auto"/>
        </w:rPr>
      </w:pPr>
      <w:r>
        <w:rPr>
          <w:rFonts w:ascii="Arial" w:cs="Arial" w:eastAsia="Arial" w:hAnsi="Arial"/>
          <w:sz w:val="16"/>
          <w:szCs w:val="16"/>
          <w:color w:val="auto"/>
        </w:rPr>
        <w:t>(I.R.S. Employer Identification</w:t>
      </w:r>
    </w:p>
    <w:p>
      <w:pPr>
        <w:spacing w:after="0" w:line="32" w:lineRule="exact"/>
        <w:rPr>
          <w:sz w:val="24"/>
          <w:szCs w:val="24"/>
          <w:color w:val="auto"/>
        </w:rPr>
      </w:pPr>
    </w:p>
    <w:p>
      <w:pPr>
        <w:jc w:val="center"/>
        <w:ind w:right="660"/>
        <w:spacing w:after="0"/>
        <w:rPr>
          <w:sz w:val="20"/>
          <w:szCs w:val="20"/>
          <w:color w:val="auto"/>
        </w:rPr>
      </w:pPr>
      <w:r>
        <w:rPr>
          <w:rFonts w:ascii="Arial" w:cs="Arial" w:eastAsia="Arial" w:hAnsi="Arial"/>
          <w:sz w:val="18"/>
          <w:szCs w:val="18"/>
          <w:color w:val="auto"/>
        </w:rPr>
        <w:t>No.)</w:t>
      </w:r>
    </w:p>
    <w:p>
      <w:pPr>
        <w:spacing w:after="0" w:line="200" w:lineRule="exact"/>
        <w:rPr>
          <w:sz w:val="24"/>
          <w:szCs w:val="24"/>
          <w:color w:val="auto"/>
        </w:rPr>
      </w:pPr>
    </w:p>
    <w:p>
      <w:pPr>
        <w:sectPr>
          <w:pgSz w:w="11900" w:h="16883" w:orient="portrait"/>
          <w:cols w:equalWidth="0" w:num="3">
            <w:col w:w="4020" w:space="720"/>
            <w:col w:w="3000" w:space="720"/>
            <w:col w:w="2940"/>
          </w:cols>
          <w:pgMar w:left="240" w:top="544" w:right="259" w:bottom="0" w:gutter="0" w:footer="0" w:header="0"/>
          <w:type w:val="continuous"/>
        </w:sectPr>
      </w:pP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8000 South Federal Way</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(208) 368-4000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ectPr>
          <w:pgSz w:w="11900" w:h="16883" w:orient="portrait"/>
          <w:cols w:equalWidth="0" w:num="1">
            <w:col w:w="11400"/>
          </w:cols>
          <w:pgMar w:left="240" w:top="544" w:right="259" w:bottom="0" w:gutter="0" w:footer="0" w:header="0"/>
          <w:type w:val="continuous"/>
        </w:sectPr>
      </w:pPr>
    </w:p>
    <w:p>
      <w:pPr>
        <w:spacing w:after="0" w:line="234"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4"/>
          <w:szCs w:val="24"/>
          <w:color w:val="auto"/>
        </w:rPr>
      </w:pPr>
    </w:p>
    <w:p>
      <w:pPr>
        <w:ind w:firstLine="441"/>
        <w:spacing w:after="0" w:line="277" w:lineRule="auto"/>
        <w:rPr>
          <w:sz w:val="20"/>
          <w:szCs w:val="20"/>
          <w:color w:val="auto"/>
        </w:rPr>
      </w:pPr>
      <w:r>
        <w:rPr>
          <w:rFonts w:ascii="Arial" w:cs="Arial" w:eastAsia="Arial" w:hAnsi="Arial"/>
          <w:sz w:val="18"/>
          <w:szCs w:val="18"/>
          <w:color w:val="auto"/>
        </w:rPr>
        <w:t>On February 5, 2013, Micron Technology, Inc. (“Micron”) issued a press release announcing the proposed private placement of convertible senior notes due 2033. A copy of this press release is filed as Exhibit 99.1 to this report and is incorporated herein by reference.</w:t>
      </w:r>
    </w:p>
    <w:p>
      <w:pPr>
        <w:spacing w:after="0" w:line="170" w:lineRule="exact"/>
        <w:rPr>
          <w:sz w:val="24"/>
          <w:szCs w:val="24"/>
          <w:color w:val="auto"/>
        </w:rPr>
      </w:pPr>
    </w:p>
    <w:p>
      <w:pPr>
        <w:ind w:right="120" w:firstLine="441"/>
        <w:spacing w:after="0" w:line="277" w:lineRule="auto"/>
        <w:rPr>
          <w:sz w:val="20"/>
          <w:szCs w:val="20"/>
          <w:color w:val="auto"/>
        </w:rPr>
      </w:pPr>
      <w:r>
        <w:rPr>
          <w:rFonts w:ascii="Arial" w:cs="Arial" w:eastAsia="Arial" w:hAnsi="Arial"/>
          <w:sz w:val="18"/>
          <w:szCs w:val="18"/>
          <w:color w:val="auto"/>
        </w:rPr>
        <w:t>On February 6, 2013, Micron issued a press release with respect to the pricing of its offer and sale of convertible senior notes due 2033. A copy of this press release is filed as Exhibit 99.2 to this report and is incorporated herein by reference.</w:t>
      </w:r>
    </w:p>
    <w:p>
      <w:pPr>
        <w:spacing w:after="0" w:line="166" w:lineRule="exact"/>
        <w:rPr>
          <w:sz w:val="24"/>
          <w:szCs w:val="24"/>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ind w:left="980"/>
        <w:spacing w:after="0"/>
        <w:rPr>
          <w:sz w:val="20"/>
          <w:szCs w:val="20"/>
          <w:color w:val="auto"/>
        </w:rPr>
      </w:pPr>
      <w:r>
        <w:rPr>
          <w:rFonts w:ascii="Arial" w:cs="Arial" w:eastAsia="Arial" w:hAnsi="Arial"/>
          <w:sz w:val="18"/>
          <w:szCs w:val="18"/>
          <w:color w:val="auto"/>
        </w:rPr>
        <w:t>(d) Exhibits.</w:t>
      </w:r>
    </w:p>
    <w:p>
      <w:pPr>
        <w:spacing w:after="0" w:line="225" w:lineRule="exact"/>
        <w:rPr>
          <w:sz w:val="24"/>
          <w:szCs w:val="24"/>
          <w:color w:val="auto"/>
        </w:rPr>
      </w:pPr>
    </w:p>
    <w:p>
      <w:pPr>
        <w:ind w:left="1020"/>
        <w:spacing w:after="0"/>
        <w:rPr>
          <w:sz w:val="20"/>
          <w:szCs w:val="20"/>
          <w:color w:val="auto"/>
        </w:rPr>
      </w:pPr>
      <w:r>
        <w:rPr>
          <w:rFonts w:ascii="Arial" w:cs="Arial" w:eastAsia="Arial" w:hAnsi="Arial"/>
          <w:sz w:val="18"/>
          <w:szCs w:val="18"/>
          <w:color w:val="auto"/>
        </w:rPr>
        <w:t>The following exhibits are filed herewith:</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40" w:type="dxa"/>
            <w:vAlign w:val="bottom"/>
            <w:vMerge w:val="restart"/>
          </w:tcPr>
          <w:p>
            <w:pPr>
              <w:ind w:left="2740"/>
              <w:spacing w:after="0"/>
              <w:rPr>
                <w:sz w:val="20"/>
                <w:szCs w:val="20"/>
                <w:color w:val="auto"/>
              </w:rPr>
            </w:pPr>
            <w:r>
              <w:rPr>
                <w:rFonts w:ascii="Arial" w:cs="Arial" w:eastAsia="Arial" w:hAnsi="Arial"/>
                <w:sz w:val="14"/>
                <w:szCs w:val="14"/>
                <w:b w:val="1"/>
                <w:bCs w:val="1"/>
                <w:color w:val="auto"/>
                <w:w w:val="88"/>
              </w:rPr>
              <w:t>Description</w:t>
            </w:r>
          </w:p>
        </w:tc>
        <w:tc>
          <w:tcPr>
            <w:tcW w:w="0" w:type="dxa"/>
            <w:vAlign w:val="bottom"/>
          </w:tcPr>
          <w:p>
            <w:pPr>
              <w:spacing w:after="0"/>
              <w:rPr>
                <w:sz w:val="1"/>
                <w:szCs w:val="1"/>
                <w:color w:val="auto"/>
              </w:rPr>
            </w:pPr>
          </w:p>
        </w:tc>
      </w:tr>
      <w:tr>
        <w:trPr>
          <w:trHeight w:val="186"/>
        </w:trPr>
        <w:tc>
          <w:tcPr>
            <w:tcW w:w="3200" w:type="dxa"/>
            <w:vAlign w:val="bottom"/>
          </w:tcPr>
          <w:p>
            <w:pPr>
              <w:spacing w:after="0"/>
              <w:rPr>
                <w:sz w:val="20"/>
                <w:szCs w:val="20"/>
                <w:color w:val="auto"/>
              </w:rPr>
            </w:pPr>
            <w:r>
              <w:rPr>
                <w:rFonts w:ascii="Arial" w:cs="Arial" w:eastAsia="Arial" w:hAnsi="Arial"/>
                <w:sz w:val="14"/>
                <w:szCs w:val="14"/>
                <w:b w:val="1"/>
                <w:bCs w:val="1"/>
                <w:color w:val="auto"/>
              </w:rPr>
              <w:t>No.</w:t>
            </w:r>
          </w:p>
        </w:tc>
        <w:tc>
          <w:tcPr>
            <w:tcW w:w="3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00"/>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Micron Technology, Inc., dated February 5, 2013, announcing offering of convertible senior notes.</w:t>
      </w:r>
    </w:p>
    <w:p>
      <w:pPr>
        <w:spacing w:after="0" w:line="8" w:lineRule="exact"/>
        <w:rPr>
          <w:sz w:val="24"/>
          <w:szCs w:val="24"/>
          <w:color w:val="auto"/>
        </w:rPr>
      </w:pPr>
    </w:p>
    <w:p>
      <w:pPr>
        <w:ind w:left="300"/>
        <w:spacing w:after="0"/>
        <w:tabs>
          <w:tab w:leader="none" w:pos="11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Press Release of Micron Technology, Inc., dated February 6, 2013, announcing pricing of convertible senior notes offering.</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4"/>
          <w:szCs w:val="24"/>
          <w:color w:val="auto"/>
        </w:rPr>
      </w:pPr>
    </w:p>
    <w:p>
      <w:pPr>
        <w:ind w:right="4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4"/>
          <w:szCs w:val="24"/>
          <w:color w:val="auto"/>
        </w:rPr>
      </w:pPr>
    </w:p>
    <w:p>
      <w:pPr>
        <w:ind w:left="5400"/>
        <w:spacing w:after="0"/>
        <w:rPr>
          <w:sz w:val="20"/>
          <w:szCs w:val="20"/>
          <w:color w:val="auto"/>
        </w:rPr>
      </w:pPr>
      <w:r>
        <w:rPr>
          <w:rFonts w:ascii="Arial" w:cs="Arial" w:eastAsia="Arial" w:hAnsi="Arial"/>
          <w:sz w:val="18"/>
          <w:szCs w:val="18"/>
          <w:b w:val="1"/>
          <w:bCs w:val="1"/>
          <w:color w:val="auto"/>
        </w:rPr>
        <w:t>MICRON TECHNOLOGY, INC.</w:t>
      </w:r>
    </w:p>
    <w:p>
      <w:pPr>
        <w:sectPr>
          <w:pgSz w:w="11900" w:h="16883" w:orient="portrait"/>
          <w:cols w:equalWidth="0" w:num="1">
            <w:col w:w="11400"/>
          </w:cols>
          <w:pgMar w:left="240" w:top="544" w:right="2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 February 7, 2013</w:t>
            </w:r>
          </w:p>
        </w:tc>
        <w:tc>
          <w:tcPr>
            <w:tcW w:w="2560" w:type="dxa"/>
            <w:vAlign w:val="bottom"/>
          </w:tcPr>
          <w:p>
            <w:pPr>
              <w:ind w:left="1860"/>
              <w:spacing w:after="0"/>
              <w:rPr>
                <w:sz w:val="20"/>
                <w:szCs w:val="20"/>
                <w:color w:val="auto"/>
              </w:rPr>
            </w:pPr>
            <w:r>
              <w:rPr>
                <w:rFonts w:ascii="Arial" w:cs="Arial" w:eastAsia="Arial" w:hAnsi="Arial"/>
                <w:sz w:val="18"/>
                <w:szCs w:val="18"/>
                <w:color w:val="auto"/>
              </w:rPr>
              <w:t>By:</w:t>
            </w:r>
          </w:p>
        </w:tc>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C.Foster</w:t>
            </w:r>
          </w:p>
        </w:tc>
        <w:tc>
          <w:tcPr>
            <w:tcW w:w="700" w:type="dxa"/>
            <w:vAlign w:val="bottom"/>
          </w:tcPr>
          <w:p>
            <w:pPr>
              <w:spacing w:after="0"/>
              <w:rPr>
                <w:sz w:val="20"/>
                <w:szCs w:val="20"/>
                <w:color w:val="auto"/>
              </w:rPr>
            </w:pPr>
          </w:p>
        </w:tc>
      </w:tr>
      <w:tr>
        <w:trPr>
          <w:trHeight w:val="195"/>
        </w:trPr>
        <w:tc>
          <w:tcPr>
            <w:tcW w:w="3540" w:type="dxa"/>
            <w:vAlign w:val="bottom"/>
          </w:tcPr>
          <w:p>
            <w:pPr>
              <w:spacing w:after="0"/>
              <w:rPr>
                <w:sz w:val="16"/>
                <w:szCs w:val="16"/>
                <w:color w:val="auto"/>
              </w:rPr>
            </w:pPr>
          </w:p>
        </w:tc>
        <w:tc>
          <w:tcPr>
            <w:tcW w:w="2560" w:type="dxa"/>
            <w:vAlign w:val="bottom"/>
          </w:tcPr>
          <w:p>
            <w:pPr>
              <w:ind w:left="1860"/>
              <w:spacing w:after="0" w:line="195" w:lineRule="exact"/>
              <w:rPr>
                <w:sz w:val="20"/>
                <w:szCs w:val="20"/>
                <w:color w:val="auto"/>
              </w:rPr>
            </w:pPr>
            <w:r>
              <w:rPr>
                <w:rFonts w:ascii="Arial" w:cs="Arial" w:eastAsia="Arial" w:hAnsi="Arial"/>
                <w:sz w:val="18"/>
                <w:szCs w:val="18"/>
                <w:color w:val="auto"/>
              </w:rPr>
              <w:t>Name:</w:t>
            </w:r>
          </w:p>
        </w:tc>
        <w:tc>
          <w:tcPr>
            <w:tcW w:w="4660" w:type="dxa"/>
            <w:vAlign w:val="bottom"/>
          </w:tcPr>
          <w:p>
            <w:pPr>
              <w:spacing w:after="0" w:line="195" w:lineRule="exact"/>
              <w:rPr>
                <w:sz w:val="20"/>
                <w:szCs w:val="20"/>
                <w:color w:val="auto"/>
              </w:rPr>
            </w:pPr>
            <w:r>
              <w:rPr>
                <w:rFonts w:ascii="Arial" w:cs="Arial" w:eastAsia="Arial" w:hAnsi="Arial"/>
                <w:sz w:val="18"/>
                <w:szCs w:val="18"/>
                <w:color w:val="auto"/>
              </w:rPr>
              <w:t>Ronald C. Foster</w:t>
            </w:r>
          </w:p>
        </w:tc>
        <w:tc>
          <w:tcPr>
            <w:tcW w:w="700" w:type="dxa"/>
            <w:vAlign w:val="bottom"/>
          </w:tcPr>
          <w:p>
            <w:pPr>
              <w:spacing w:after="0"/>
              <w:rPr>
                <w:sz w:val="16"/>
                <w:szCs w:val="16"/>
                <w:color w:val="auto"/>
              </w:rPr>
            </w:pPr>
          </w:p>
        </w:tc>
      </w:tr>
      <w:tr>
        <w:trPr>
          <w:trHeight w:val="216"/>
        </w:trPr>
        <w:tc>
          <w:tcPr>
            <w:tcW w:w="3540" w:type="dxa"/>
            <w:vAlign w:val="bottom"/>
          </w:tcPr>
          <w:p>
            <w:pPr>
              <w:spacing w:after="0"/>
              <w:rPr>
                <w:sz w:val="18"/>
                <w:szCs w:val="18"/>
                <w:color w:val="auto"/>
              </w:rPr>
            </w:pPr>
          </w:p>
        </w:tc>
        <w:tc>
          <w:tcPr>
            <w:tcW w:w="2560" w:type="dxa"/>
            <w:vAlign w:val="bottom"/>
          </w:tcPr>
          <w:p>
            <w:pPr>
              <w:ind w:left="1860"/>
              <w:spacing w:after="0"/>
              <w:rPr>
                <w:sz w:val="20"/>
                <w:szCs w:val="20"/>
                <w:color w:val="auto"/>
              </w:rPr>
            </w:pPr>
            <w:r>
              <w:rPr>
                <w:rFonts w:ascii="Arial" w:cs="Arial" w:eastAsia="Arial" w:hAnsi="Arial"/>
                <w:sz w:val="18"/>
                <w:szCs w:val="18"/>
                <w:color w:val="auto"/>
              </w:rPr>
              <w:t>Title:</w:t>
            </w:r>
          </w:p>
        </w:tc>
        <w:tc>
          <w:tcPr>
            <w:tcW w:w="4660" w:type="dxa"/>
            <w:vAlign w:val="bottom"/>
          </w:tcPr>
          <w:p>
            <w:pPr>
              <w:spacing w:after="0"/>
              <w:rPr>
                <w:sz w:val="20"/>
                <w:szCs w:val="20"/>
                <w:color w:val="auto"/>
              </w:rPr>
            </w:pPr>
            <w:r>
              <w:rPr>
                <w:rFonts w:ascii="Arial" w:cs="Arial" w:eastAsia="Arial" w:hAnsi="Arial"/>
                <w:sz w:val="18"/>
                <w:szCs w:val="18"/>
                <w:color w:val="auto"/>
              </w:rPr>
              <w:t>Vice President of Finance and</w:t>
            </w:r>
          </w:p>
        </w:tc>
        <w:tc>
          <w:tcPr>
            <w:tcW w:w="700" w:type="dxa"/>
            <w:vAlign w:val="bottom"/>
          </w:tcPr>
          <w:p>
            <w:pPr>
              <w:spacing w:after="0"/>
              <w:rPr>
                <w:sz w:val="18"/>
                <w:szCs w:val="18"/>
                <w:color w:val="auto"/>
              </w:rPr>
            </w:pPr>
          </w:p>
        </w:tc>
      </w:tr>
      <w:tr>
        <w:trPr>
          <w:trHeight w:val="230"/>
        </w:trPr>
        <w:tc>
          <w:tcPr>
            <w:tcW w:w="35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700" w:type="dxa"/>
            <w:vAlign w:val="bottom"/>
          </w:tcPr>
          <w:p>
            <w:pPr>
              <w:spacing w:after="0"/>
              <w:rPr>
                <w:sz w:val="20"/>
                <w:szCs w:val="20"/>
                <w:color w:val="auto"/>
              </w:rPr>
            </w:pPr>
          </w:p>
        </w:tc>
      </w:tr>
      <w:tr>
        <w:trPr>
          <w:trHeight w:val="432"/>
        </w:trPr>
        <w:tc>
          <w:tcPr>
            <w:tcW w:w="3540" w:type="dxa"/>
            <w:vAlign w:val="bottom"/>
          </w:tcPr>
          <w:p>
            <w:pPr>
              <w:spacing w:after="0"/>
              <w:rPr>
                <w:sz w:val="24"/>
                <w:szCs w:val="24"/>
                <w:color w:val="auto"/>
              </w:rPr>
            </w:pPr>
          </w:p>
        </w:tc>
        <w:tc>
          <w:tcPr>
            <w:tcW w:w="2560" w:type="dxa"/>
            <w:vAlign w:val="bottom"/>
          </w:tcPr>
          <w:p>
            <w:pPr>
              <w:jc w:val="right"/>
              <w:ind w:right="250"/>
              <w:spacing w:after="0"/>
              <w:rPr>
                <w:sz w:val="20"/>
                <w:szCs w:val="20"/>
                <w:color w:val="auto"/>
              </w:rPr>
            </w:pPr>
            <w:r>
              <w:rPr>
                <w:rFonts w:ascii="Arial" w:cs="Arial" w:eastAsia="Arial" w:hAnsi="Arial"/>
                <w:sz w:val="18"/>
                <w:szCs w:val="18"/>
                <w:color w:val="auto"/>
              </w:rPr>
              <w:t>3</w:t>
            </w:r>
          </w:p>
        </w:tc>
        <w:tc>
          <w:tcPr>
            <w:tcW w:w="46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32"/>
        </w:trPr>
        <w:tc>
          <w:tcPr>
            <w:tcW w:w="3540" w:type="dxa"/>
            <w:vAlign w:val="bottom"/>
            <w:tcBorders>
              <w:bottom w:val="single" w:sz="8" w:color="010101"/>
            </w:tcBorders>
          </w:tcPr>
          <w:p>
            <w:pPr>
              <w:spacing w:after="0"/>
              <w:rPr>
                <w:sz w:val="11"/>
                <w:szCs w:val="11"/>
                <w:color w:val="auto"/>
              </w:rPr>
            </w:pPr>
          </w:p>
        </w:tc>
        <w:tc>
          <w:tcPr>
            <w:tcW w:w="2560" w:type="dxa"/>
            <w:vAlign w:val="bottom"/>
            <w:tcBorders>
              <w:bottom w:val="single" w:sz="8" w:color="010101"/>
            </w:tcBorders>
          </w:tcPr>
          <w:p>
            <w:pPr>
              <w:spacing w:after="0"/>
              <w:rPr>
                <w:sz w:val="11"/>
                <w:szCs w:val="11"/>
                <w:color w:val="auto"/>
              </w:rPr>
            </w:pPr>
          </w:p>
        </w:tc>
        <w:tc>
          <w:tcPr>
            <w:tcW w:w="466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CURRENT REPORT ON FORM 8-K</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40" w:type="dxa"/>
            <w:vAlign w:val="bottom"/>
            <w:vMerge w:val="restart"/>
          </w:tcPr>
          <w:p>
            <w:pPr>
              <w:ind w:left="2740"/>
              <w:spacing w:after="0"/>
              <w:rPr>
                <w:sz w:val="20"/>
                <w:szCs w:val="20"/>
                <w:color w:val="auto"/>
              </w:rPr>
            </w:pPr>
            <w:r>
              <w:rPr>
                <w:rFonts w:ascii="Arial" w:cs="Arial" w:eastAsia="Arial" w:hAnsi="Arial"/>
                <w:sz w:val="14"/>
                <w:szCs w:val="14"/>
                <w:b w:val="1"/>
                <w:bCs w:val="1"/>
                <w:color w:val="auto"/>
                <w:w w:val="88"/>
              </w:rPr>
              <w:t>Description</w:t>
            </w:r>
          </w:p>
        </w:tc>
        <w:tc>
          <w:tcPr>
            <w:tcW w:w="0" w:type="dxa"/>
            <w:vAlign w:val="bottom"/>
          </w:tcPr>
          <w:p>
            <w:pPr>
              <w:spacing w:after="0"/>
              <w:rPr>
                <w:sz w:val="1"/>
                <w:szCs w:val="1"/>
                <w:color w:val="auto"/>
              </w:rPr>
            </w:pPr>
          </w:p>
        </w:tc>
      </w:tr>
      <w:tr>
        <w:trPr>
          <w:trHeight w:val="186"/>
        </w:trPr>
        <w:tc>
          <w:tcPr>
            <w:tcW w:w="3200" w:type="dxa"/>
            <w:vAlign w:val="bottom"/>
          </w:tcPr>
          <w:p>
            <w:pPr>
              <w:spacing w:after="0"/>
              <w:rPr>
                <w:sz w:val="20"/>
                <w:szCs w:val="20"/>
                <w:color w:val="auto"/>
              </w:rPr>
            </w:pPr>
            <w:r>
              <w:rPr>
                <w:rFonts w:ascii="Arial" w:cs="Arial" w:eastAsia="Arial" w:hAnsi="Arial"/>
                <w:sz w:val="14"/>
                <w:szCs w:val="14"/>
                <w:b w:val="1"/>
                <w:bCs w:val="1"/>
                <w:color w:val="auto"/>
              </w:rPr>
              <w:t>No.</w:t>
            </w:r>
          </w:p>
        </w:tc>
        <w:tc>
          <w:tcPr>
            <w:tcW w:w="3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00"/>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Micron Technology, Inc., dated February 5, 2013, announcing offering of convertible senior notes.</w:t>
      </w:r>
    </w:p>
    <w:p>
      <w:pPr>
        <w:spacing w:after="0" w:line="8" w:lineRule="exact"/>
        <w:rPr>
          <w:sz w:val="20"/>
          <w:szCs w:val="20"/>
          <w:color w:val="auto"/>
        </w:rPr>
      </w:pPr>
    </w:p>
    <w:p>
      <w:pPr>
        <w:ind w:left="300"/>
        <w:spacing w:after="0"/>
        <w:tabs>
          <w:tab w:leader="none" w:pos="11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Press Release of Micron Technology, Inc., dated February 6, 2013, announcing pricing of convertible senior notes offering.</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557"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LAUNCHES $440 MILLION OFFERING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CONVERTIBLE SENIOR NOTES</w:t>
      </w:r>
    </w:p>
    <w:p>
      <w:pPr>
        <w:spacing w:after="0" w:line="207" w:lineRule="exact"/>
        <w:rPr>
          <w:sz w:val="20"/>
          <w:szCs w:val="20"/>
          <w:color w:val="auto"/>
        </w:rPr>
      </w:pPr>
    </w:p>
    <w:p>
      <w:pPr>
        <w:ind w:right="80"/>
        <w:spacing w:after="0" w:line="281" w:lineRule="auto"/>
        <w:rPr>
          <w:sz w:val="20"/>
          <w:szCs w:val="20"/>
          <w:color w:val="auto"/>
        </w:rPr>
      </w:pPr>
      <w:r>
        <w:rPr>
          <w:rFonts w:ascii="Arial" w:cs="Arial" w:eastAsia="Arial" w:hAnsi="Arial"/>
          <w:sz w:val="17"/>
          <w:szCs w:val="17"/>
          <w:b w:val="1"/>
          <w:bCs w:val="1"/>
          <w:color w:val="auto"/>
        </w:rPr>
        <w:t xml:space="preserve">BOISE, Idaho, February 5, 2013 </w:t>
      </w:r>
      <w:r>
        <w:rPr>
          <w:rFonts w:ascii="Arial" w:cs="Arial" w:eastAsia="Arial" w:hAnsi="Arial"/>
          <w:sz w:val="17"/>
          <w:szCs w:val="17"/>
          <w:color w:val="auto"/>
        </w:rPr>
        <w:t>— Micron Technology, Inc. (NasdaqGS: MU) today announced that it intends to offer, subject to market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considerations, $220 million aggregate principal amount of convertible senior notes due 2033 (the “2033E Notes”) and $220 million aggregate principal amount of convertible senior notes due 2033 (the “2033F Notes” and, together with the 2033E Notes, the “Notes”) through an offering in the United States to qualified institutional buyers pursuant to Rule 144A under the Securities Act of 1933, as amended (the “Securities Act”).</w:t>
      </w:r>
    </w:p>
    <w:p>
      <w:pPr>
        <w:spacing w:after="0" w:line="16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connection with this offering, Micron intends to grant the initial purchasers an over-allotment option with respect to an additional $30 million aggregate principal amount of 2033E Notes and an additional $30 million aggregate principal amount of 2033F Notes.</w:t>
      </w:r>
    </w:p>
    <w:p>
      <w:pPr>
        <w:spacing w:after="0" w:line="170"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Micron will use the net proceeds of the offering to finance the repurchase, redemption or repayment of a portion of Micron’s 1.875% Convertible Senior Notes due 2014. Pending such uses, Micron intends to invest the net proceeds of the offering in accordance with its existing investment policy.</w:t>
      </w:r>
    </w:p>
    <w:p>
      <w:pPr>
        <w:spacing w:after="0" w:line="1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terms of the Notes will require Micron to repurchase such Notes at the option of the holders for cash on dates to be determined, in each case at a purchase price equal to the principal amount thereof plus accrued and unpaid interest to, but excluding, the repurchase date. In addition, the terms of the Notes will permit holders to require Micron to repurchase their Notes upon a change of control or a termination of trading at a purchase price equal to the principal amount thereof plus accrued and unpaid interest to, but excluding the repurchase date.</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terms of the Notes will permit Micron to redeem all or a part of such Notes on and after dates to be determined, in each case at a redemption price equal to the principal amount thereof plus accrued and unpaid interest to, but excluding, the redemption date.</w:t>
      </w:r>
    </w:p>
    <w:p>
      <w:pPr>
        <w:spacing w:after="0" w:line="17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Notes will be convertible, subject to certain conditions, into cash equal to the lesser of the aggregate principal amount and the conversion value of the Notes being converted and cash, shares of Micron common stock or a combination thereof, at Micron’s election, for the remainder, if any, of Micron’s conversion obligation. The interest rate, the initial conversion price, redemption provisions and other terms of the Notes will be determined by negotiations between Micron and the initial purchasers.</w:t>
      </w:r>
    </w:p>
    <w:p>
      <w:pPr>
        <w:spacing w:after="0" w:line="18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Holders may convert Notes prior to the close of business on the business day immediately preceding the maturity date for the Notes only under the following circumstances: (1) if the Notes are called for redemption, (2) if the closing price of Micron’s common stock reaches a specified threshold and remains at or exceeds such threshold for a specified period, (3) during the five business days immediately after any five consecutive trading day period in which the trading price per $1,000 principal amount of Notes for each day of that period was less than 98% of the product of the closing price of Micron’s common stock and the then applicable conversion rate, (4) if specified distributions to holders of Micron’s common stock are made or specified corporate events occur, or (5) during the last three months prior to the maturity date of the Notes.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connection with the offering of the Notes, Micron plans to enter into capped call transactions with one or more counterparties, which may include some of the initial purchasers and/or their affiliates. In the event that the initial purchasers exercise their over-allotment option, Micron plans to enter into additional capped call transactions. The capped call transactions are intended to reduce the potential dilution upon conversion of the Notes.</w:t>
      </w:r>
    </w:p>
    <w:p>
      <w:pPr>
        <w:spacing w:after="0" w:line="166"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In connection with establishing their initial hedge of the capped call transactions, Micron expects that the counterparties and/or their affiliates may enter into various over-the-counter derivative transactions with respect to Micron’s common stock concurrently with, or shortly after, the pricing of the Notes and may unwind or enter into various over-the-counter derivatives and/or purchase Micron’s common stock in secondary market transactions following the pricing of the Notes. These activities could have the effect of increasing or preventing a decline in the price of Micron’s common stock concurrently with or following the pricing of the Notes. In addition, the counterparties may modify or unwind their hedge positions by entering into or unwinding various derivative transactions and/or purchasing or selling Micron’s common stock in secondary market transactions prior to the maturity of the Notes (and are likely to do so on each exercise date of the capped call transactions).</w:t>
      </w:r>
    </w:p>
    <w:p>
      <w:pPr>
        <w:spacing w:after="0" w:line="178"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This announcement is neither an offer to sell nor a solicitation to buy any of the foregoing securities, nor shall there be any sale of the securities in any jurisdiction in which such offer, solicitation or sale would be unlawful prior to registration or qualification under the securities laws of any such jurisdiction.</w:t>
      </w:r>
    </w:p>
    <w:p>
      <w:pPr>
        <w:spacing w:after="0" w:line="12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securities will not be registered under the Securities Act, or any state securities laws, and unless so registered, may not be offered or sold in the United States except pursuant to an exemption from the registration requirements of the Securities Act and applicable state laws.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ANNOUNCES PRICING OF CONVERTIBLE SENIOR NOTES OFFERINGS</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b w:val="1"/>
          <w:bCs w:val="1"/>
          <w:color w:val="auto"/>
        </w:rPr>
        <w:t xml:space="preserve">BOISE, Idaho, February 6, 2013 </w:t>
      </w:r>
      <w:r>
        <w:rPr>
          <w:rFonts w:ascii="Arial" w:cs="Arial" w:eastAsia="Arial" w:hAnsi="Arial"/>
          <w:sz w:val="17"/>
          <w:szCs w:val="17"/>
          <w:color w:val="auto"/>
        </w:rPr>
        <w:t>— Micron Technology, Inc. (NasdaqGS: MU) today announced the pricing of an offering of $270 million aggregate</w:t>
      </w:r>
      <w:r>
        <w:rPr>
          <w:rFonts w:ascii="Arial" w:cs="Arial" w:eastAsia="Arial" w:hAnsi="Arial"/>
          <w:sz w:val="17"/>
          <w:szCs w:val="17"/>
          <w:b w:val="1"/>
          <w:bCs w:val="1"/>
          <w:color w:val="auto"/>
        </w:rPr>
        <w:t xml:space="preserve"> </w:t>
      </w:r>
      <w:r>
        <w:rPr>
          <w:rFonts w:ascii="Arial" w:cs="Arial" w:eastAsia="Arial" w:hAnsi="Arial"/>
          <w:sz w:val="17"/>
          <w:szCs w:val="17"/>
          <w:color w:val="auto"/>
        </w:rPr>
        <w:t>principal amount of its 1.625% convertible senior notes due 2033 (the “2033E Notes”) and $270 million aggregate principal amount of its 2.125% convertible senior notes due 2033 (the “2033F Notes” and, together with the 2033E Notes, the “2033 Notes”). The 2033 Notes are being offered to qualified institutional buyers pursuant to Rule 144A under the Securities Act of 1933, as amended (the “Securities Act”). Micron has granted the initial purchasers an option to purchase up to an additional $30 million aggregate principal amount of each of the 2033E Notes and the 2033F Notes on the same terms and conditions to cover over-allotments, if any. Interest on the 2033E Notes will be paid semi-annually at a rate of 1.625% per year and will mature on February 15, 2033, unless earlier repurchased, redeemed or converted. Interest on the 2033F Notes will be paid semi-annually at a rate of 2.125% per year and will mature on February 15, 2033, unless earlier repurchased, redeemed or converted.</w:t>
      </w:r>
    </w:p>
    <w:p>
      <w:pPr>
        <w:spacing w:after="0" w:line="17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Holders may require Micron to repurchase the 2033E Notes for cash on February 15, 2018 and February 15, 2023 and the 2033F Notes for cash on February 15, 2020 and February 15, 2023, in each case at a purchase price equal to the principal amount thereof plus accrued and unpaid interest to, but excluding, the repurchase date. In addition, holders may require Micron to repurchase their 2033 Notes upon a change of control or a termination of trading at a purchase price equal to the principal amount thereof plus accrued and unpaid interest to, but excluding the repurchase date.</w:t>
      </w:r>
    </w:p>
    <w:p>
      <w:pPr>
        <w:spacing w:after="0" w:line="17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Each series of 2033 Notes will be convertible, subject to the satisfaction of certain conditions, into cash equal to the lesser of the aggregate principal amount and the conversion value of the 2033 Notes being converted and cash, shares of Micron common stock or a combination thereof, at Micron’s election, for the remainder, if any, of Micron’s conversion obligation. The initial conversion rate per $1,000 principal amount of 2033E Notes is equivalent to 91.4808 shares of common stock, which is equivalent to a conversion price of approximately $10.93 per share of common stock, subject to adjustment in certain circumstances. This initial conversion price represents a premium of 37.5% relative to the last reported sale price on February 6, 2013 of Micron’s common stock of $7.95. The initial conversion rate per $1,000 principal amount of 2033F Notes is equivalent to 91.4808 shares of common stock, which is equivalent to a conversion price of approximately $10.93 per share of common stock, subject to adjustment in certain circumstances. This initial conversion price represents a premium of approximately 37.5% relative to the last reported sale price on February 6, 2013 of Micron’s common stock.</w:t>
      </w:r>
    </w:p>
    <w:p>
      <w:pPr>
        <w:spacing w:after="0" w:line="16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Micron may not redeem the 2033E Notes prior to February 20, 2018 or the 2033F Notes prior to February 20, 2020. On or after February 20, 2018, in the case of the 2033E Notes, and on or after February 20, 2020, in the case of the 2033F Notes, Micron may redeem for cash all or part of the 2033 Notes at a redemption price equal to the sum of 100% of the principal amount of the 2033 Notes to be redeemed, plus accrued and unpaid interest thereon, including any additional interest to, but excluding, the repurchase date.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offering is expected to close on February 12, 2013, subject to customary closing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offering of the 2033 Notes, Micron entered into capped call transactions relating to shares of Micron common stock with a number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counterparties. The capped call transactions are expected to reduce the potential dilution upon conversion of the 2033 Notes. The capped call transactions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relating to the 2033E Notes have a lower strike price of $10.93 and a capped price of $14.51, which is 82.5% higher than the closing price of Micron’s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common stock on February 6, 2013. The capped call transactions relating to the 2033F Notes have a lower strike price of $10.93 and a capped price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$14.51, which is 82.5% higher than the closing price of Micron’s common stock on February 6, 2013. In connection with establishing their initial hedge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these capped call transactions, Micron expects that the counterparties and/or their affiliates may enter into various over-the-counter derivative transactions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respect to Micron’s common stock concurrently with, or shortly after, the pricing of the 2033 Notes and may unwind or enter into various over-the-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counter derivatives and/or purchase Micron’s common stock in secondary market transactions after the pricing of the 2033 Notes. These activities could have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effect of increasing or preventing a decline in the price of Micron’s common stock concurrently with or following the pricing of the 2033 Notes.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addition, the counterparties may modify or unwind their hedge positions by entering into or unwinding various derivative transactions and/or purchasing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selling Micron’s common stock in secondary market transactions prior to maturity of the 2033 Notes (and are likely to do so on each exercise date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capped call transactions). Micron estimates the cost of the capped call transactions to be approximately $43 million, exclusive of the cost of any additional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capped call transactions with respect to the initial purchasers’ possible exercise of their over-allotment option with respect to the 2033 Notes.</w:t>
      </w:r>
    </w:p>
    <w:p>
      <w:pPr>
        <w:spacing w:after="0" w:line="211" w:lineRule="exact"/>
        <w:rPr>
          <w:sz w:val="20"/>
          <w:szCs w:val="20"/>
          <w:color w:val="auto"/>
        </w:rPr>
      </w:pPr>
    </w:p>
    <w:p>
      <w:pPr>
        <w:jc w:val="both"/>
        <w:ind w:right="120"/>
        <w:spacing w:after="0" w:line="257" w:lineRule="auto"/>
        <w:rPr>
          <w:sz w:val="20"/>
          <w:szCs w:val="20"/>
          <w:color w:val="auto"/>
        </w:rPr>
      </w:pPr>
      <w:r>
        <w:rPr>
          <w:rFonts w:ascii="Arial" w:cs="Arial" w:eastAsia="Arial" w:hAnsi="Arial"/>
          <w:sz w:val="18"/>
          <w:szCs w:val="18"/>
          <w:color w:val="auto"/>
        </w:rPr>
        <w:t>The aggregate net proceeds to Micron from the offering of the 2033 Notes will be approximately $525 million, exclusive of any proceeds attributable to the initial purchasers’ possible exercise of their over-allotment options. Micron will use the net proceeds of the offering to finance the repurchase, redemption or repayment of a portion of Micron’s 1.875% Convertible Senior Notes due 2014 (the “2014 Notes”), including $477 million of such net proceeds that will be used to purchase 2014 Notes concurrently with the offering. Pending such use, Micron intends to invest the net proceeds of the offering in accordance with its existing investment policy.</w:t>
      </w:r>
    </w:p>
    <w:p>
      <w:pPr>
        <w:spacing w:after="0" w:line="188"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This announcement is neither an offer to sell nor a solicitation to buy any of the foregoing securities, nor shall there be any sale of the securities in any jurisdiction in which such offer, solicitation or sale would be unlawful prior to registration or qualification under the securities laws of any such jurisdiction.</w:t>
      </w:r>
    </w:p>
    <w:p>
      <w:pPr>
        <w:spacing w:after="0" w:line="12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securities will not be registered under the Securities Act, or any state securities laws, and unless so registered, may not be offered or sold in the United States except pursuant to an exemption from the registration requirements of the Securities Act and applicable state laws.</w:t>
      </w:r>
    </w:p>
    <w:p>
      <w:pPr>
        <w:sectPr>
          <w:pgSz w:w="11900" w:h="16838" w:orient="portrait"/>
          <w:cols w:equalWidth="0" w:num="1">
            <w:col w:w="11420"/>
          </w:cols>
          <w:pgMar w:left="240" w:top="121"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2019-12-05T20:16:23Z</dcterms:created>
  <dcterms:modified xsi:type="dcterms:W3CDTF">2019-12-05T20:16:23Z</dcterms:modified>
</cp:coreProperties>
</file>