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66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66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 xml:space="preserve">VP Legal Affairs, Gen Counsel </w:t>
      </w:r>
      <w:r>
        <w:rPr>
          <w:rFonts w:ascii="Arial" w:cs="Arial" w:eastAsia="Arial" w:hAnsi="Arial"/>
          <w:sz w:val="18"/>
          <w:szCs w:val="18"/>
          <w:color w:val="000000"/>
        </w:rPr>
        <w:t>/</w:t>
      </w:r>
      <w:r>
        <w:rPr>
          <w:rFonts w:ascii="Arial" w:cs="Arial" w:eastAsia="Arial" w:hAnsi="Arial"/>
          <w:sz w:val="15"/>
          <w:szCs w:val="15"/>
          <w:color w:val="0000FF"/>
        </w:rPr>
        <w:t xml:space="preserve"> &amp; Corporate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center"/>
        <w:ind w:right="1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Shares beginning on the first anniversary of the date of grant and continuing on each anniversary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McDaniel Attorney-in-fact  09/24/2003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-10795</wp:posOffset>
            </wp:positionV>
            <wp:extent cx="19450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2019-12-24T00:17:36Z</dcterms:created>
  <dcterms:modified xsi:type="dcterms:W3CDTF">2019-12-24T00:17:36Z</dcterms:modified>
</cp:coreProperties>
</file>