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Micron Technology, Incorporated</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595112103</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2007</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595112103</w:t>
      </w:r>
      <w:r>
        <w:rPr>
          <w:sz w:val="20"/>
          <w:szCs w:val="20"/>
          <w:color w:val="auto"/>
        </w:rPr>
        <w:tab/>
      </w:r>
      <w:r>
        <w:rPr>
          <w:rFonts w:ascii="Courier New" w:cs="Courier New" w:eastAsia="Courier New" w:hAnsi="Courier New"/>
          <w:sz w:val="16"/>
          <w:szCs w:val="16"/>
          <w:color w:val="auto"/>
        </w:rPr>
        <w:t>Page 1 of 5</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Global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10,920,000</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40,885,000</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40,885,000</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5.4%</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595112103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5</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Micron Technology, Incorporated</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8000 S. Federal Way</w:t>
      </w:r>
    </w:p>
    <w:p>
      <w:pPr>
        <w:ind w:left="740"/>
        <w:spacing w:after="0"/>
        <w:rPr>
          <w:sz w:val="20"/>
          <w:szCs w:val="20"/>
          <w:color w:val="auto"/>
        </w:rPr>
      </w:pPr>
      <w:r>
        <w:rPr>
          <w:rFonts w:ascii="Courier New" w:cs="Courier New" w:eastAsia="Courier New" w:hAnsi="Courier New"/>
          <w:sz w:val="18"/>
          <w:szCs w:val="18"/>
          <w:color w:val="auto"/>
        </w:rPr>
        <w:t>Boise, ID 83707-0006</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Research Global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Citizenship:</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Title of Class</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CUSIP Number:</w:t>
            </w:r>
          </w:p>
        </w:tc>
        <w:tc>
          <w:tcPr>
            <w:tcW w:w="446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595112103</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this statement</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w w:val="96"/>
              </w:rPr>
              <w:t>is 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w:t>
            </w:r>
          </w:p>
        </w:tc>
        <w:tc>
          <w:tcPr>
            <w:tcW w:w="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5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investment adviser in accordance with</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3039"/>
        <w:spacing w:after="0" w:line="237" w:lineRule="auto"/>
        <w:rPr>
          <w:sz w:val="20"/>
          <w:szCs w:val="20"/>
          <w:color w:val="auto"/>
        </w:rPr>
      </w:pPr>
      <w:r>
        <w:rPr>
          <w:rFonts w:ascii="Courier New" w:cs="Courier New" w:eastAsia="Courier New" w:hAnsi="Courier New"/>
          <w:sz w:val="18"/>
          <w:szCs w:val="18"/>
          <w:color w:val="auto"/>
        </w:rPr>
        <w:t>Capital Research Global Investors is deemed to be the beneficial owner of 40,885,000 shares or 5.4% of the 760,413,000 shares of Common Stock believed to be outstanding as a result of CRMC acting as investment adviser to various investment companies registered under Section 8 of the Investment Company Act of 1940.</w:t>
      </w:r>
    </w:p>
    <w:p>
      <w:pPr>
        <w:spacing w:after="0" w:line="20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595112103</w:t>
      </w:r>
      <w:r>
        <w:rPr>
          <w:sz w:val="20"/>
          <w:szCs w:val="20"/>
          <w:color w:val="auto"/>
        </w:rPr>
        <w:tab/>
      </w:r>
      <w:r>
        <w:rPr>
          <w:rFonts w:ascii="Courier New" w:cs="Courier New" w:eastAsia="Courier New" w:hAnsi="Courier New"/>
          <w:sz w:val="16"/>
          <w:szCs w:val="16"/>
          <w:color w:val="auto"/>
        </w:rPr>
        <w:t>Page 3 of 5</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29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One or more clients of Capital Research Global Investors have the right to receive or the power to direct the receipt of dividends from, or the proceeds from the sale of, the Common Stock of Micron Technology, Incorporated.</w:t>
      </w:r>
    </w:p>
    <w:p>
      <w:pPr>
        <w:spacing w:after="0" w:line="200" w:lineRule="exact"/>
        <w:rPr>
          <w:sz w:val="20"/>
          <w:szCs w:val="20"/>
          <w:color w:val="auto"/>
        </w:rPr>
      </w:pPr>
    </w:p>
    <w:p>
      <w:pPr>
        <w:spacing w:after="0" w:line="211"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11, 2008</w:t>
      </w:r>
    </w:p>
    <w:p>
      <w:pPr>
        <w:spacing w:after="0" w:line="200" w:lineRule="exact"/>
        <w:rPr>
          <w:sz w:val="20"/>
          <w:szCs w:val="20"/>
          <w:color w:val="auto"/>
        </w:rPr>
      </w:pPr>
    </w:p>
    <w:p>
      <w:pPr>
        <w:sectPr>
          <w:pgSz w:w="11900" w:h="16838" w:orient="portrait"/>
          <w:cols w:equalWidth="0" w:num="2">
            <w:col w:w="1720" w:space="720"/>
            <w:col w:w="7779"/>
          </w:cols>
          <w:pgMar w:left="240" w:top="136" w:right="1440" w:bottom="0" w:gutter="0" w:footer="0" w:header="0"/>
          <w:type w:val="continuous"/>
        </w:sectPr>
      </w:pP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Timothy D. Armour^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Timothy D. Armour - Senior Vice President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 Research Global Investors</w:t>
      </w:r>
    </w:p>
    <w:p>
      <w:pPr>
        <w:spacing w:after="0" w:line="200" w:lineRule="exact"/>
        <w:rPr>
          <w:sz w:val="20"/>
          <w:szCs w:val="20"/>
          <w:color w:val="auto"/>
        </w:rPr>
      </w:pPr>
    </w:p>
    <w:p>
      <w:pPr>
        <w:sectPr>
          <w:pgSz w:w="11900" w:h="16838" w:orient="portrait"/>
          <w:cols w:equalWidth="0" w:num="2">
            <w:col w:w="2000" w:space="440"/>
            <w:col w:w="7779"/>
          </w:cols>
          <w:pgMar w:left="240" w:top="136" w:right="1440" w:bottom="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James P. Ryan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James P. Ryan</w:t>
      </w:r>
    </w:p>
    <w:p>
      <w:pPr>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ectPr>
          <w:pgSz w:w="11900" w:h="16838" w:orient="portrait"/>
          <w:cols w:equalWidth="0" w:num="2">
            <w:col w:w="1160" w:space="420"/>
            <w:col w:w="8639"/>
          </w:cols>
          <w:pgMar w:left="240" w:top="136" w:right="1440" w:bottom="0" w:gutter="0" w:footer="0" w:header="0"/>
          <w:type w:val="continuous"/>
        </w:sectPr>
      </w:pPr>
    </w:p>
    <w:p>
      <w:pPr>
        <w:spacing w:after="0" w:line="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Signed pursuant to a Power of Attorney dated December 21,</w:t>
      </w:r>
    </w:p>
    <w:p>
      <w:pPr>
        <w:sectPr>
          <w:pgSz w:w="11900" w:h="16838" w:orient="portrait"/>
          <w:cols w:equalWidth="0" w:num="1">
            <w:col w:w="10219"/>
          </w:cols>
          <w:pgMar w:left="240" w:top="136" w:right="1440" w:bottom="0" w:gutter="0" w:footer="0" w:header="0"/>
          <w:type w:val="continuous"/>
        </w:sectPr>
      </w:pPr>
    </w:p>
    <w:bookmarkStart w:id="3" w:name="page4"/>
    <w:bookmarkEnd w:id="3"/>
    <w:p>
      <w:pPr>
        <w:ind w:left="1060" w:right="2739"/>
        <w:spacing w:after="0" w:line="237" w:lineRule="auto"/>
        <w:rPr>
          <w:sz w:val="20"/>
          <w:szCs w:val="20"/>
          <w:color w:val="auto"/>
        </w:rPr>
      </w:pPr>
      <w:r>
        <w:rPr>
          <w:rFonts w:ascii="Courier New" w:cs="Courier New" w:eastAsia="Courier New" w:hAnsi="Courier New"/>
          <w:sz w:val="18"/>
          <w:szCs w:val="18"/>
          <w:color w:val="auto"/>
        </w:rPr>
        <w:t>2007 included as an Exhibit to Schedule 13G filed with the Securities and Exchange Commission by Capital Research Global Investors on January 10, 2008 with respect to Lowes Companies, Incorporated.</w:t>
      </w:r>
    </w:p>
    <w:p>
      <w:pPr>
        <w:spacing w:after="0" w:line="200" w:lineRule="exact"/>
        <w:rPr>
          <w:sz w:val="20"/>
          <w:szCs w:val="20"/>
          <w:color w:val="auto"/>
        </w:rPr>
      </w:pPr>
    </w:p>
    <w:p>
      <w:pPr>
        <w:spacing w:after="0" w:line="20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595112103</w:t>
      </w:r>
      <w:r>
        <w:rPr>
          <w:sz w:val="20"/>
          <w:szCs w:val="20"/>
          <w:color w:val="auto"/>
        </w:rPr>
        <w:tab/>
      </w:r>
      <w:r>
        <w:rPr>
          <w:rFonts w:ascii="Courier New" w:cs="Courier New" w:eastAsia="Courier New" w:hAnsi="Courier New"/>
          <w:sz w:val="16"/>
          <w:szCs w:val="16"/>
          <w:color w:val="auto"/>
        </w:rPr>
        <w:t>Page 4 of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595112103</w:t>
      </w:r>
      <w:r>
        <w:rPr>
          <w:sz w:val="20"/>
          <w:szCs w:val="20"/>
          <w:color w:val="auto"/>
        </w:rPr>
        <w:tab/>
      </w:r>
      <w:r>
        <w:rPr>
          <w:rFonts w:ascii="Courier New" w:cs="Courier New" w:eastAsia="Courier New" w:hAnsi="Courier New"/>
          <w:sz w:val="16"/>
          <w:szCs w:val="16"/>
          <w:color w:val="auto"/>
        </w:rPr>
        <w:t>Page 5 of 5</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2019-12-13T13:27:44Z</dcterms:created>
  <dcterms:modified xsi:type="dcterms:W3CDTF">2019-12-13T13:27:44Z</dcterms:modified>
</cp:coreProperties>
</file>