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6"/>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53"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21590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52" w:lineRule="exact"/>
        <w:rPr>
          <w:sz w:val="24"/>
          <w:szCs w:val="24"/>
          <w:color w:val="auto"/>
        </w:rPr>
      </w:pPr>
    </w:p>
    <w:p>
      <w:pPr>
        <w:ind w:right="14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253"/>
        </w:trPr>
        <w:tc>
          <w:tcPr>
            <w:tcW w:w="40" w:type="dxa"/>
            <w:vAlign w:val="bottom"/>
          </w:tcPr>
          <w:p>
            <w:pPr>
              <w:spacing w:after="0"/>
              <w:rPr>
                <w:sz w:val="21"/>
                <w:szCs w:val="21"/>
                <w:color w:val="auto"/>
              </w:rPr>
            </w:pPr>
          </w:p>
        </w:tc>
        <w:tc>
          <w:tcPr>
            <w:tcW w:w="4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6"/>
        </w:trPr>
        <w:tc>
          <w:tcPr>
            <w:tcW w:w="4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72"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54"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On December 1, 2020, Micron Technology, Inc. issued a press release updating its guidance for the first fiscal quarter ending December 3, 2020. A copy of the press release is attached hereto as Exhibit 99.1 and incorporated herein by reference.</w:t>
      </w:r>
    </w:p>
    <w:p>
      <w:pPr>
        <w:spacing w:after="0" w:line="17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03"/>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w:t>
              </w:r>
              <w:r>
                <w:rPr>
                  <w:rFonts w:ascii="Arial" w:cs="Arial" w:eastAsia="Arial" w:hAnsi="Arial"/>
                  <w:sz w:val="18"/>
                  <w:szCs w:val="18"/>
                  <w:u w:val="single" w:color="auto"/>
                  <w:color w:val="0000FF"/>
                </w:rPr>
                <w:t>dated December</w:t>
              </w:r>
              <w:r>
                <w:rPr>
                  <w:rFonts w:ascii="Arial" w:cs="Arial" w:eastAsia="Arial" w:hAnsi="Arial"/>
                  <w:sz w:val="18"/>
                  <w:szCs w:val="18"/>
                  <w:color w:val="0000FF"/>
                </w:rPr>
                <w:t xml:space="preserve"> 1, </w:t>
              </w:r>
              <w:r>
                <w:rPr>
                  <w:rFonts w:ascii="Arial" w:cs="Arial" w:eastAsia="Arial" w:hAnsi="Arial"/>
                  <w:sz w:val="18"/>
                  <w:szCs w:val="18"/>
                  <w:u w:val="single" w:color="auto"/>
                  <w:color w:val="0000FF"/>
                </w:rPr>
                <w:t>2020</w:t>
              </w:r>
            </w:hyperlink>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460" w:type="dxa"/>
            <w:vAlign w:val="bottom"/>
            <w:gridSpan w:val="2"/>
          </w:tcPr>
          <w:p>
            <w:pPr>
              <w:spacing w:after="0" w:line="20" w:lineRule="exact"/>
              <w:rPr>
                <w:sz w:val="1"/>
                <w:szCs w:val="1"/>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3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860" w:type="dxa"/>
            <w:vAlign w:val="bottom"/>
          </w:tcPr>
          <w:p>
            <w:pPr>
              <w:spacing w:after="0"/>
              <w:rPr>
                <w:sz w:val="21"/>
                <w:szCs w:val="21"/>
                <w:color w:val="auto"/>
              </w:rPr>
            </w:pPr>
          </w:p>
        </w:tc>
        <w:tc>
          <w:tcPr>
            <w:tcW w:w="6780" w:type="dxa"/>
            <w:vAlign w:val="bottom"/>
            <w:gridSpan w:val="2"/>
          </w:tcPr>
          <w:p>
            <w:pPr>
              <w:ind w:left="1620"/>
              <w:spacing w:after="0"/>
              <w:rPr>
                <w:sz w:val="20"/>
                <w:szCs w:val="20"/>
                <w:color w:val="auto"/>
              </w:rPr>
            </w:pPr>
            <w:r>
              <w:rPr>
                <w:rFonts w:ascii="Arial" w:cs="Arial" w:eastAsia="Arial" w:hAnsi="Arial"/>
                <w:sz w:val="18"/>
                <w:szCs w:val="18"/>
                <w:b w:val="1"/>
                <w:bCs w:val="1"/>
                <w:color w:val="auto"/>
              </w:rPr>
              <w:t>MICRON TECHNOLOGY, INC.</w:t>
            </w:r>
          </w:p>
        </w:tc>
      </w:tr>
      <w:tr>
        <w:trPr>
          <w:trHeight w:val="730"/>
        </w:trPr>
        <w:tc>
          <w:tcPr>
            <w:tcW w:w="3860" w:type="dxa"/>
            <w:vAlign w:val="bottom"/>
          </w:tcPr>
          <w:p>
            <w:pPr>
              <w:spacing w:after="0"/>
              <w:rPr>
                <w:sz w:val="20"/>
                <w:szCs w:val="20"/>
                <w:color w:val="auto"/>
              </w:rPr>
            </w:pPr>
            <w:r>
              <w:rPr>
                <w:rFonts w:ascii="Arial" w:cs="Arial" w:eastAsia="Arial" w:hAnsi="Arial"/>
                <w:sz w:val="18"/>
                <w:szCs w:val="18"/>
                <w:color w:val="auto"/>
              </w:rPr>
              <w:t>Date:   December 1, 2020</w:t>
            </w:r>
          </w:p>
        </w:tc>
        <w:tc>
          <w:tcPr>
            <w:tcW w:w="2520" w:type="dxa"/>
            <w:vAlign w:val="bottom"/>
          </w:tcPr>
          <w:p>
            <w:pPr>
              <w:ind w:left="162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14"/>
        </w:trPr>
        <w:tc>
          <w:tcPr>
            <w:tcW w:w="3860" w:type="dxa"/>
            <w:vAlign w:val="bottom"/>
          </w:tcPr>
          <w:p>
            <w:pPr>
              <w:spacing w:after="0"/>
              <w:rPr>
                <w:sz w:val="18"/>
                <w:szCs w:val="18"/>
                <w:color w:val="auto"/>
              </w:rPr>
            </w:pPr>
          </w:p>
        </w:tc>
        <w:tc>
          <w:tcPr>
            <w:tcW w:w="2520" w:type="dxa"/>
            <w:vAlign w:val="bottom"/>
          </w:tcPr>
          <w:p>
            <w:pPr>
              <w:ind w:left="162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43"/>
        </w:trPr>
        <w:tc>
          <w:tcPr>
            <w:tcW w:w="3860" w:type="dxa"/>
            <w:vAlign w:val="bottom"/>
          </w:tcPr>
          <w:p>
            <w:pPr>
              <w:spacing w:after="0"/>
              <w:rPr>
                <w:sz w:val="21"/>
                <w:szCs w:val="21"/>
                <w:color w:val="auto"/>
              </w:rPr>
            </w:pPr>
          </w:p>
        </w:tc>
        <w:tc>
          <w:tcPr>
            <w:tcW w:w="2520" w:type="dxa"/>
            <w:vAlign w:val="bottom"/>
          </w:tcPr>
          <w:p>
            <w:pPr>
              <w:ind w:left="162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00"/>
          </w:cols>
          <w:pgMar w:left="320" w:top="112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Updates First Quarter Fiscal 2021 Guidance</w:t>
      </w:r>
    </w:p>
    <w:p>
      <w:pPr>
        <w:spacing w:after="0" w:line="245"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color w:val="auto"/>
        </w:rPr>
        <w:t xml:space="preserve">BOISE, Idaho, Dec. 1, 2020 </w:t>
      </w:r>
      <w:r>
        <w:rPr>
          <w:rFonts w:ascii="Arial" w:cs="Arial" w:eastAsia="Arial" w:hAnsi="Arial"/>
          <w:sz w:val="18"/>
          <w:szCs w:val="18"/>
          <w:color w:val="auto"/>
        </w:rPr>
        <w:t>– Micron Technology, Inc. (Nasdaq: MU) (the “Company”), today announced that it is increasing its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gross margin and EPS guidance for the first quarter of fiscal 2021, which ends Dec. 3, 2020, as set forth in the tables below.</w:t>
      </w:r>
    </w:p>
    <w:p>
      <w:pPr>
        <w:spacing w:after="0" w:line="17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Micron President and Chief Executive Officer Sanjay Mehrotra will share further updates in a fireside chat at the Credit Suisse Annual Technology Conference scheduled to take place at 8:30 a.m. Pacific time on Dec. 1, 2020. The live webcast and subsequent replay of the event can be accessed from Micron’s Investor Relations website at investors.micron.com.</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Pr>
          <w:p>
            <w:pPr>
              <w:spacing w:after="0"/>
              <w:rPr>
                <w:sz w:val="20"/>
                <w:szCs w:val="20"/>
                <w:color w:val="auto"/>
              </w:rPr>
            </w:pPr>
          </w:p>
        </w:tc>
        <w:tc>
          <w:tcPr>
            <w:tcW w:w="3020" w:type="dxa"/>
            <w:vAlign w:val="bottom"/>
            <w:tcBorders>
              <w:bottom w:val="single" w:sz="8" w:color="0090DA"/>
            </w:tcBorders>
            <w:gridSpan w:val="5"/>
          </w:tcPr>
          <w:p>
            <w:pPr>
              <w:jc w:val="center"/>
              <w:ind w:left="1290"/>
              <w:spacing w:after="0"/>
              <w:rPr>
                <w:sz w:val="20"/>
                <w:szCs w:val="20"/>
                <w:color w:val="auto"/>
              </w:rPr>
            </w:pPr>
            <w:r>
              <w:rPr>
                <w:rFonts w:ascii="Arial" w:cs="Arial" w:eastAsia="Arial" w:hAnsi="Arial"/>
                <w:sz w:val="18"/>
                <w:szCs w:val="18"/>
                <w:b w:val="1"/>
                <w:bCs w:val="1"/>
                <w:color w:val="auto"/>
              </w:rPr>
              <w:t>Previous Guidance</w:t>
            </w:r>
          </w:p>
        </w:tc>
        <w:tc>
          <w:tcPr>
            <w:tcW w:w="138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0090DA"/>
            </w:tcBorders>
          </w:tcPr>
          <w:p>
            <w:pPr>
              <w:spacing w:after="0"/>
              <w:rPr>
                <w:sz w:val="20"/>
                <w:szCs w:val="20"/>
                <w:color w:val="auto"/>
              </w:rPr>
            </w:pPr>
          </w:p>
        </w:tc>
        <w:tc>
          <w:tcPr>
            <w:tcW w:w="3300" w:type="dxa"/>
            <w:vAlign w:val="bottom"/>
            <w:tcBorders>
              <w:bottom w:val="single" w:sz="8" w:color="0090DA"/>
            </w:tcBorders>
            <w:gridSpan w:val="5"/>
          </w:tcPr>
          <w:p>
            <w:pPr>
              <w:jc w:val="right"/>
              <w:ind w:right="1590"/>
              <w:spacing w:after="0"/>
              <w:rPr>
                <w:sz w:val="20"/>
                <w:szCs w:val="20"/>
                <w:color w:val="auto"/>
              </w:rPr>
            </w:pPr>
            <w:r>
              <w:rPr>
                <w:rFonts w:ascii="Arial" w:cs="Arial" w:eastAsia="Arial" w:hAnsi="Arial"/>
                <w:sz w:val="18"/>
                <w:szCs w:val="18"/>
                <w:b w:val="1"/>
                <w:bCs w:val="1"/>
                <w:color w:val="auto"/>
              </w:rPr>
              <w:t>Updated Guidance</w:t>
            </w: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GAAP Outlook</w:t>
            </w:r>
          </w:p>
        </w:tc>
        <w:tc>
          <w:tcPr>
            <w:tcW w:w="150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9"/>
              </w:rPr>
              <w:t>Adjustments</w:t>
            </w:r>
          </w:p>
        </w:tc>
        <w:tc>
          <w:tcPr>
            <w:tcW w:w="13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Non-GAAP</w:t>
            </w:r>
          </w:p>
        </w:tc>
        <w:tc>
          <w:tcPr>
            <w:tcW w:w="100" w:type="dxa"/>
            <w:vAlign w:val="bottom"/>
          </w:tcPr>
          <w:p>
            <w:pPr>
              <w:spacing w:after="0"/>
              <w:rPr>
                <w:sz w:val="14"/>
                <w:szCs w:val="14"/>
                <w:color w:val="auto"/>
              </w:rPr>
            </w:pPr>
          </w:p>
        </w:tc>
        <w:tc>
          <w:tcPr>
            <w:tcW w:w="16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GAAP Outlook</w:t>
            </w:r>
          </w:p>
        </w:tc>
        <w:tc>
          <w:tcPr>
            <w:tcW w:w="80" w:type="dxa"/>
            <w:vAlign w:val="bottom"/>
          </w:tcPr>
          <w:p>
            <w:pPr>
              <w:spacing w:after="0"/>
              <w:rPr>
                <w:sz w:val="14"/>
                <w:szCs w:val="14"/>
                <w:color w:val="auto"/>
              </w:rPr>
            </w:pPr>
          </w:p>
        </w:tc>
        <w:tc>
          <w:tcPr>
            <w:tcW w:w="14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Adjustments</w:t>
            </w:r>
          </w:p>
        </w:tc>
        <w:tc>
          <w:tcPr>
            <w:tcW w:w="1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Non-GAAP Outlook</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Outlook</w:t>
            </w:r>
          </w:p>
        </w:tc>
        <w:tc>
          <w:tcPr>
            <w:tcW w:w="1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780" w:type="dxa"/>
            <w:vAlign w:val="bottom"/>
            <w:tcBorders>
              <w:top w:val="single" w:sz="8" w:color="0090DA"/>
            </w:tcBorders>
          </w:tcPr>
          <w:p>
            <w:pPr>
              <w:spacing w:after="0"/>
              <w:rPr>
                <w:sz w:val="2"/>
                <w:szCs w:val="2"/>
                <w:color w:val="auto"/>
              </w:rPr>
            </w:pPr>
          </w:p>
        </w:tc>
        <w:tc>
          <w:tcPr>
            <w:tcW w:w="14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top w:val="single" w:sz="8" w:color="0090DA"/>
            </w:tcBorders>
          </w:tcPr>
          <w:p>
            <w:pPr>
              <w:spacing w:after="0"/>
              <w:rPr>
                <w:sz w:val="2"/>
                <w:szCs w:val="2"/>
                <w:color w:val="auto"/>
              </w:rPr>
            </w:pPr>
          </w:p>
        </w:tc>
        <w:tc>
          <w:tcPr>
            <w:tcW w:w="138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top w:val="single" w:sz="8" w:color="0090DA"/>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0090DA"/>
            </w:tcBorders>
          </w:tcPr>
          <w:p>
            <w:pPr>
              <w:spacing w:after="0"/>
              <w:rPr>
                <w:sz w:val="2"/>
                <w:szCs w:val="2"/>
                <w:color w:val="auto"/>
              </w:rPr>
            </w:pPr>
          </w:p>
        </w:tc>
        <w:tc>
          <w:tcPr>
            <w:tcW w:w="460" w:type="dxa"/>
            <w:vAlign w:val="bottom"/>
            <w:tcBorders>
              <w:top w:val="single" w:sz="8" w:color="0090DA"/>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D1D2D4"/>
          </w:tcPr>
          <w:p>
            <w:pPr>
              <w:jc w:val="center"/>
              <w:ind w:right="80"/>
              <w:spacing w:after="0"/>
              <w:rPr>
                <w:sz w:val="20"/>
                <w:szCs w:val="20"/>
                <w:color w:val="auto"/>
              </w:rPr>
            </w:pPr>
            <w:r>
              <w:rPr>
                <w:rFonts w:ascii="Arial" w:cs="Arial" w:eastAsia="Arial" w:hAnsi="Arial"/>
                <w:sz w:val="18"/>
                <w:szCs w:val="18"/>
                <w:color w:val="auto"/>
                <w:w w:val="99"/>
              </w:rPr>
              <w:t>$5.0 bn - $5.4 bn</w:t>
            </w:r>
          </w:p>
        </w:tc>
        <w:tc>
          <w:tcPr>
            <w:tcW w:w="1500" w:type="dxa"/>
            <w:vAlign w:val="bottom"/>
            <w:gridSpan w:val="3"/>
            <w:shd w:val="clear" w:color="auto" w:fill="D1D2D4"/>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1D2D4"/>
          </w:tcPr>
          <w:p>
            <w:pPr>
              <w:jc w:val="center"/>
              <w:ind w:right="120"/>
              <w:spacing w:after="0"/>
              <w:rPr>
                <w:sz w:val="20"/>
                <w:szCs w:val="20"/>
                <w:color w:val="auto"/>
              </w:rPr>
            </w:pPr>
            <w:r>
              <w:rPr>
                <w:rFonts w:ascii="Arial" w:cs="Arial" w:eastAsia="Arial" w:hAnsi="Arial"/>
                <w:sz w:val="18"/>
                <w:szCs w:val="18"/>
                <w:color w:val="auto"/>
                <w:w w:val="99"/>
              </w:rPr>
              <w:t>$5.0 bn - $5.4 bn</w:t>
            </w:r>
          </w:p>
        </w:tc>
        <w:tc>
          <w:tcPr>
            <w:tcW w:w="1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$5.70 bn - $5.75 bn</w:t>
            </w:r>
          </w:p>
        </w:tc>
        <w:tc>
          <w:tcPr>
            <w:tcW w:w="80" w:type="dxa"/>
            <w:vAlign w:val="bottom"/>
            <w:shd w:val="clear" w:color="auto" w:fill="D1D2D4"/>
          </w:tcPr>
          <w:p>
            <w:pPr>
              <w:spacing w:after="0"/>
              <w:rPr>
                <w:sz w:val="19"/>
                <w:szCs w:val="19"/>
                <w:color w:val="auto"/>
              </w:rPr>
            </w:pPr>
          </w:p>
        </w:tc>
        <w:tc>
          <w:tcPr>
            <w:tcW w:w="1460" w:type="dxa"/>
            <w:vAlign w:val="bottom"/>
            <w:gridSpan w:val="3"/>
            <w:shd w:val="clear" w:color="auto" w:fill="D1D2D4"/>
          </w:tcPr>
          <w:p>
            <w:pPr>
              <w:ind w:left="3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$5.70 bn - $5.75 bn</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420" w:type="dxa"/>
            <w:vAlign w:val="bottom"/>
          </w:tcPr>
          <w:p>
            <w:pPr>
              <w:jc w:val="right"/>
              <w:spacing w:after="0"/>
              <w:rPr>
                <w:sz w:val="20"/>
                <w:szCs w:val="20"/>
                <w:color w:val="auto"/>
              </w:rPr>
            </w:pPr>
            <w:r>
              <w:rPr>
                <w:rFonts w:ascii="Arial" w:cs="Arial" w:eastAsia="Arial" w:hAnsi="Arial"/>
                <w:sz w:val="18"/>
                <w:szCs w:val="18"/>
                <w:color w:val="auto"/>
              </w:rPr>
              <w:t>25.5% - 27.5%</w:t>
            </w:r>
          </w:p>
        </w:tc>
        <w:tc>
          <w:tcPr>
            <w:tcW w:w="100" w:type="dxa"/>
            <w:vAlign w:val="bottom"/>
          </w:tcPr>
          <w:p>
            <w:pPr>
              <w:spacing w:after="0"/>
              <w:rPr>
                <w:sz w:val="19"/>
                <w:szCs w:val="19"/>
                <w:color w:val="auto"/>
              </w:rPr>
            </w:pP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1% A</w:t>
            </w:r>
          </w:p>
        </w:tc>
        <w:tc>
          <w:tcPr>
            <w:tcW w:w="1380" w:type="dxa"/>
            <w:vAlign w:val="bottom"/>
          </w:tcPr>
          <w:p>
            <w:pPr>
              <w:jc w:val="right"/>
              <w:spacing w:after="0"/>
              <w:rPr>
                <w:sz w:val="20"/>
                <w:szCs w:val="20"/>
                <w:color w:val="auto"/>
              </w:rPr>
            </w:pPr>
            <w:r>
              <w:rPr>
                <w:rFonts w:ascii="Arial" w:cs="Arial" w:eastAsia="Arial" w:hAnsi="Arial"/>
                <w:sz w:val="18"/>
                <w:szCs w:val="18"/>
                <w:color w:val="auto"/>
              </w:rPr>
              <w:t>26.5% - 28.5%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28.5% - 29.5%</w:t>
            </w:r>
          </w:p>
        </w:tc>
        <w:tc>
          <w:tcPr>
            <w:tcW w:w="80" w:type="dxa"/>
            <w:vAlign w:val="bottom"/>
          </w:tcPr>
          <w:p>
            <w:pPr>
              <w:spacing w:after="0"/>
              <w:rPr>
                <w:sz w:val="19"/>
                <w:szCs w:val="19"/>
                <w:color w:val="auto"/>
              </w:rPr>
            </w:pPr>
          </w:p>
        </w:tc>
        <w:tc>
          <w:tcPr>
            <w:tcW w:w="1460" w:type="dxa"/>
            <w:vAlign w:val="bottom"/>
            <w:gridSpan w:val="3"/>
          </w:tcPr>
          <w:p>
            <w:pPr>
              <w:ind w:left="300"/>
              <w:spacing w:after="0"/>
              <w:rPr>
                <w:sz w:val="20"/>
                <w:szCs w:val="20"/>
                <w:color w:val="auto"/>
              </w:rPr>
            </w:pPr>
            <w:r>
              <w:rPr>
                <w:rFonts w:ascii="Arial" w:cs="Arial" w:eastAsia="Arial" w:hAnsi="Arial"/>
                <w:sz w:val="18"/>
                <w:szCs w:val="18"/>
                <w:color w:val="auto"/>
              </w:rPr>
              <w:t>1% A</w:t>
            </w:r>
          </w:p>
        </w:tc>
        <w:tc>
          <w:tcPr>
            <w:tcW w:w="1760" w:type="dxa"/>
            <w:vAlign w:val="bottom"/>
          </w:tcPr>
          <w:p>
            <w:pPr>
              <w:jc w:val="right"/>
              <w:spacing w:after="0"/>
              <w:rPr>
                <w:sz w:val="20"/>
                <w:szCs w:val="20"/>
                <w:color w:val="auto"/>
              </w:rPr>
            </w:pPr>
            <w:r>
              <w:rPr>
                <w:rFonts w:ascii="Arial" w:cs="Arial" w:eastAsia="Arial" w:hAnsi="Arial"/>
                <w:sz w:val="18"/>
                <w:szCs w:val="18"/>
                <w:color w:val="auto"/>
              </w:rPr>
              <w:t>29.5% - 30.5%</w:t>
            </w:r>
          </w:p>
        </w:tc>
        <w:tc>
          <w:tcPr>
            <w:tcW w:w="0" w:type="dxa"/>
            <w:vAlign w:val="bottom"/>
          </w:tcPr>
          <w:p>
            <w:pPr>
              <w:spacing w:after="0"/>
              <w:rPr>
                <w:sz w:val="1"/>
                <w:szCs w:val="1"/>
                <w:color w:val="auto"/>
              </w:rPr>
            </w:pPr>
          </w:p>
        </w:tc>
      </w:tr>
      <w:tr>
        <w:trPr>
          <w:trHeight w:val="176"/>
        </w:trPr>
        <w:tc>
          <w:tcPr>
            <w:tcW w:w="178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Diluted earnings per</w:t>
            </w:r>
          </w:p>
        </w:tc>
        <w:tc>
          <w:tcPr>
            <w:tcW w:w="14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$0.32 - $0.46</w:t>
            </w:r>
          </w:p>
        </w:tc>
        <w:tc>
          <w:tcPr>
            <w:tcW w:w="100" w:type="dxa"/>
            <w:vAlign w:val="bottom"/>
            <w:shd w:val="clear" w:color="auto" w:fill="D1D2D4"/>
          </w:tcPr>
          <w:p>
            <w:pPr>
              <w:spacing w:after="0"/>
              <w:rPr>
                <w:sz w:val="15"/>
                <w:szCs w:val="15"/>
                <w:color w:val="auto"/>
              </w:rPr>
            </w:pPr>
          </w:p>
        </w:tc>
        <w:tc>
          <w:tcPr>
            <w:tcW w:w="1500" w:type="dxa"/>
            <w:vAlign w:val="bottom"/>
            <w:gridSpan w:val="3"/>
            <w:vMerge w:val="restart"/>
            <w:shd w:val="clear" w:color="auto" w:fill="D1D2D4"/>
          </w:tcPr>
          <w:p>
            <w:pPr>
              <w:jc w:val="center"/>
              <w:ind w:right="120"/>
              <w:spacing w:after="0"/>
              <w:rPr>
                <w:sz w:val="20"/>
                <w:szCs w:val="20"/>
                <w:color w:val="auto"/>
              </w:rPr>
            </w:pPr>
            <w:r>
              <w:rPr>
                <w:rFonts w:ascii="Arial" w:cs="Arial" w:eastAsia="Arial" w:hAnsi="Arial"/>
                <w:sz w:val="18"/>
                <w:szCs w:val="18"/>
                <w:color w:val="auto"/>
                <w:w w:val="99"/>
              </w:rPr>
              <w:t>$0.08 A,B,C,D</w:t>
            </w:r>
          </w:p>
        </w:tc>
        <w:tc>
          <w:tcPr>
            <w:tcW w:w="13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$0.40 - $0.54</w:t>
            </w:r>
          </w:p>
        </w:tc>
        <w:tc>
          <w:tcPr>
            <w:tcW w:w="100" w:type="dxa"/>
            <w:vAlign w:val="bottom"/>
            <w:shd w:val="clear" w:color="auto" w:fill="D1D2D4"/>
          </w:tcPr>
          <w:p>
            <w:pPr>
              <w:spacing w:after="0"/>
              <w:rPr>
                <w:sz w:val="15"/>
                <w:szCs w:val="15"/>
                <w:color w:val="auto"/>
              </w:rPr>
            </w:pPr>
          </w:p>
        </w:tc>
        <w:tc>
          <w:tcPr>
            <w:tcW w:w="16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$0.61 - $0.65</w:t>
            </w:r>
          </w:p>
        </w:tc>
        <w:tc>
          <w:tcPr>
            <w:tcW w:w="80" w:type="dxa"/>
            <w:vAlign w:val="bottom"/>
            <w:shd w:val="clear" w:color="auto" w:fill="D1D2D4"/>
          </w:tcPr>
          <w:p>
            <w:pPr>
              <w:spacing w:after="0"/>
              <w:rPr>
                <w:sz w:val="15"/>
                <w:szCs w:val="15"/>
                <w:color w:val="auto"/>
              </w:rPr>
            </w:pPr>
          </w:p>
        </w:tc>
        <w:tc>
          <w:tcPr>
            <w:tcW w:w="1460" w:type="dxa"/>
            <w:vAlign w:val="bottom"/>
            <w:gridSpan w:val="3"/>
            <w:vMerge w:val="restart"/>
            <w:shd w:val="clear" w:color="auto" w:fill="D1D2D4"/>
          </w:tcPr>
          <w:p>
            <w:pPr>
              <w:ind w:left="120"/>
              <w:spacing w:after="0"/>
              <w:rPr>
                <w:sz w:val="20"/>
                <w:szCs w:val="20"/>
                <w:color w:val="auto"/>
              </w:rPr>
            </w:pPr>
            <w:r>
              <w:rPr>
                <w:rFonts w:ascii="Arial" w:cs="Arial" w:eastAsia="Arial" w:hAnsi="Arial"/>
                <w:sz w:val="18"/>
                <w:szCs w:val="18"/>
                <w:color w:val="auto"/>
              </w:rPr>
              <w:t>$0.08 A,B,C,D</w:t>
            </w:r>
          </w:p>
        </w:tc>
        <w:tc>
          <w:tcPr>
            <w:tcW w:w="1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$0.69 - $0.73</w:t>
            </w:r>
          </w:p>
        </w:tc>
        <w:tc>
          <w:tcPr>
            <w:tcW w:w="0" w:type="dxa"/>
            <w:vAlign w:val="bottom"/>
          </w:tcPr>
          <w:p>
            <w:pPr>
              <w:spacing w:after="0"/>
              <w:rPr>
                <w:sz w:val="1"/>
                <w:szCs w:val="1"/>
                <w:color w:val="auto"/>
              </w:rPr>
            </w:pPr>
          </w:p>
        </w:tc>
      </w:tr>
      <w:tr>
        <w:trPr>
          <w:trHeight w:val="229"/>
        </w:trPr>
        <w:tc>
          <w:tcPr>
            <w:tcW w:w="178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(1)</w:t>
            </w:r>
          </w:p>
        </w:tc>
        <w:tc>
          <w:tcPr>
            <w:tcW w:w="1420" w:type="dxa"/>
            <w:vAlign w:val="bottom"/>
            <w:vMerge w:val="continue"/>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500" w:type="dxa"/>
            <w:vAlign w:val="bottom"/>
            <w:gridSpan w:val="3"/>
            <w:vMerge w:val="continue"/>
            <w:shd w:val="clear" w:color="auto" w:fill="D1D2D4"/>
          </w:tcPr>
          <w:p>
            <w:pPr>
              <w:spacing w:after="0"/>
              <w:rPr>
                <w:sz w:val="19"/>
                <w:szCs w:val="19"/>
                <w:color w:val="auto"/>
              </w:rPr>
            </w:pPr>
          </w:p>
        </w:tc>
        <w:tc>
          <w:tcPr>
            <w:tcW w:w="1380" w:type="dxa"/>
            <w:vAlign w:val="bottom"/>
            <w:vMerge w:val="continue"/>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660" w:type="dxa"/>
            <w:vAlign w:val="bottom"/>
            <w:vMerge w:val="continue"/>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460" w:type="dxa"/>
            <w:vAlign w:val="bottom"/>
            <w:gridSpan w:val="3"/>
            <w:vMerge w:val="continue"/>
            <w:shd w:val="clear" w:color="auto" w:fill="D1D2D4"/>
          </w:tcPr>
          <w:p>
            <w:pPr>
              <w:spacing w:after="0"/>
              <w:rPr>
                <w:sz w:val="19"/>
                <w:szCs w:val="19"/>
                <w:color w:val="auto"/>
              </w:rPr>
            </w:pPr>
          </w:p>
        </w:tc>
        <w:tc>
          <w:tcPr>
            <w:tcW w:w="1760" w:type="dxa"/>
            <w:vAlign w:val="bottom"/>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42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36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40" w:type="dxa"/>
            <w:vAlign w:val="bottom"/>
            <w:tcBorders>
              <w:bottom w:val="single" w:sz="8" w:color="0090DA"/>
            </w:tcBorders>
          </w:tcPr>
          <w:p>
            <w:pPr>
              <w:spacing w:after="0"/>
              <w:rPr>
                <w:sz w:val="19"/>
                <w:szCs w:val="19"/>
                <w:color w:val="auto"/>
              </w:rPr>
            </w:pPr>
          </w:p>
        </w:tc>
        <w:tc>
          <w:tcPr>
            <w:tcW w:w="138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660" w:type="dxa"/>
            <w:vAlign w:val="bottom"/>
            <w:tcBorders>
              <w:bottom w:val="single" w:sz="8" w:color="0090DA"/>
            </w:tcBorders>
          </w:tcPr>
          <w:p>
            <w:pPr>
              <w:spacing w:after="0"/>
              <w:rPr>
                <w:sz w:val="19"/>
                <w:szCs w:val="19"/>
                <w:color w:val="auto"/>
              </w:rPr>
            </w:pPr>
          </w:p>
        </w:tc>
        <w:tc>
          <w:tcPr>
            <w:tcW w:w="8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tcPr>
          <w:p>
            <w:pPr>
              <w:spacing w:after="0"/>
              <w:rPr>
                <w:sz w:val="19"/>
                <w:szCs w:val="19"/>
                <w:color w:val="auto"/>
              </w:rPr>
            </w:pPr>
          </w:p>
        </w:tc>
        <w:tc>
          <w:tcPr>
            <w:tcW w:w="460" w:type="dxa"/>
            <w:vAlign w:val="bottom"/>
            <w:tcBorders>
              <w:bottom w:val="single" w:sz="8" w:color="0090DA"/>
            </w:tcBorders>
          </w:tcPr>
          <w:p>
            <w:pPr>
              <w:spacing w:after="0"/>
              <w:rPr>
                <w:sz w:val="19"/>
                <w:szCs w:val="19"/>
                <w:color w:val="auto"/>
              </w:rPr>
            </w:pPr>
          </w:p>
        </w:tc>
        <w:tc>
          <w:tcPr>
            <w:tcW w:w="80" w:type="dxa"/>
            <w:vAlign w:val="bottom"/>
            <w:tcBorders>
              <w:bottom w:val="single" w:sz="8" w:color="0090DA"/>
            </w:tcBorders>
          </w:tcPr>
          <w:p>
            <w:pPr>
              <w:spacing w:after="0"/>
              <w:rPr>
                <w:sz w:val="19"/>
                <w:szCs w:val="19"/>
                <w:color w:val="auto"/>
              </w:rPr>
            </w:pPr>
          </w:p>
        </w:tc>
        <w:tc>
          <w:tcPr>
            <w:tcW w:w="176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gridSpan w:val="6"/>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13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660" w:type="dxa"/>
            <w:vAlign w:val="bottom"/>
            <w:shd w:val="clear" w:color="auto" w:fill="D1D2D4"/>
          </w:tcPr>
          <w:p>
            <w:pPr>
              <w:spacing w:after="0"/>
              <w:rPr>
                <w:sz w:val="19"/>
                <w:szCs w:val="19"/>
                <w:color w:val="auto"/>
              </w:rPr>
            </w:pPr>
          </w:p>
        </w:tc>
        <w:tc>
          <w:tcPr>
            <w:tcW w:w="1460" w:type="dxa"/>
            <w:vAlign w:val="bottom"/>
            <w:gridSpan w:val="3"/>
            <w:shd w:val="clear" w:color="auto" w:fill="D1D2D4"/>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1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A  Other – cost of goods sold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280" w:type="dxa"/>
            <w:vAlign w:val="bottom"/>
            <w:gridSpan w:val="8"/>
            <w:shd w:val="clear" w:color="auto" w:fill="D1D2D4"/>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16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280" w:type="dxa"/>
            <w:vAlign w:val="bottom"/>
            <w:gridSpan w:val="8"/>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800" w:type="dxa"/>
            <w:vAlign w:val="bottom"/>
            <w:gridSpan w:val="6"/>
            <w:shd w:val="clear" w:color="auto" w:fill="D1D2D4"/>
          </w:tcPr>
          <w:p>
            <w:pPr>
              <w:ind w:left="20"/>
              <w:spacing w:after="0"/>
              <w:rPr>
                <w:sz w:val="20"/>
                <w:szCs w:val="20"/>
                <w:color w:val="auto"/>
              </w:rPr>
            </w:pPr>
            <w:r>
              <w:rPr>
                <w:rFonts w:ascii="Arial" w:cs="Arial" w:eastAsia="Arial" w:hAnsi="Arial"/>
                <w:sz w:val="18"/>
                <w:szCs w:val="18"/>
                <w:color w:val="auto"/>
              </w:rPr>
              <w:t>C  Amortization of debt discount and other costs</w:t>
            </w:r>
          </w:p>
        </w:tc>
        <w:tc>
          <w:tcPr>
            <w:tcW w:w="13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6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D1D2D4"/>
            </w:tcBorders>
            <w:gridSpan w:val="9"/>
          </w:tcPr>
          <w:p>
            <w:pPr>
              <w:ind w:left="20"/>
              <w:spacing w:after="0"/>
              <w:rPr>
                <w:sz w:val="20"/>
                <w:szCs w:val="20"/>
                <w:color w:val="auto"/>
              </w:rPr>
            </w:pPr>
            <w:r>
              <w:rPr>
                <w:rFonts w:ascii="Arial" w:cs="Arial" w:eastAsia="Arial" w:hAnsi="Arial"/>
                <w:sz w:val="18"/>
                <w:szCs w:val="18"/>
                <w:color w:val="auto"/>
              </w:rPr>
              <w:t>D  Tax effects of the above items and non-cash changes in net deferred income taxes</w:t>
            </w:r>
          </w:p>
        </w:tc>
        <w:tc>
          <w:tcPr>
            <w:tcW w:w="80" w:type="dxa"/>
            <w:vAlign w:val="bottom"/>
            <w:tcBorders>
              <w:bottom w:val="single" w:sz="8" w:color="D1D2D4"/>
            </w:tcBorders>
          </w:tcPr>
          <w:p>
            <w:pPr>
              <w:spacing w:after="0"/>
              <w:rPr>
                <w:sz w:val="19"/>
                <w:szCs w:val="19"/>
                <w:color w:val="auto"/>
              </w:rPr>
            </w:pPr>
          </w:p>
        </w:tc>
        <w:tc>
          <w:tcPr>
            <w:tcW w:w="920" w:type="dxa"/>
            <w:vAlign w:val="bottom"/>
            <w:tcBorders>
              <w:bottom w:val="single" w:sz="8" w:color="D1D2D4"/>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1780" w:type="dxa"/>
            <w:vAlign w:val="bottom"/>
            <w:tcBorders>
              <w:bottom w:val="single" w:sz="8" w:color="D1D2D4"/>
            </w:tcBorders>
            <w:shd w:val="clear" w:color="auto" w:fill="D1D2D4"/>
          </w:tcPr>
          <w:p>
            <w:pPr>
              <w:spacing w:after="0"/>
              <w:rPr>
                <w:sz w:val="21"/>
                <w:szCs w:val="21"/>
                <w:color w:val="auto"/>
              </w:rPr>
            </w:pPr>
          </w:p>
        </w:tc>
        <w:tc>
          <w:tcPr>
            <w:tcW w:w="142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136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40" w:type="dxa"/>
            <w:vAlign w:val="bottom"/>
            <w:tcBorders>
              <w:bottom w:val="single" w:sz="8" w:color="D1D2D4"/>
            </w:tcBorders>
            <w:shd w:val="clear" w:color="auto" w:fill="D1D2D4"/>
          </w:tcPr>
          <w:p>
            <w:pPr>
              <w:spacing w:after="0"/>
              <w:rPr>
                <w:sz w:val="21"/>
                <w:szCs w:val="21"/>
                <w:color w:val="auto"/>
              </w:rPr>
            </w:pPr>
          </w:p>
        </w:tc>
        <w:tc>
          <w:tcPr>
            <w:tcW w:w="138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1660" w:type="dxa"/>
            <w:vAlign w:val="bottom"/>
            <w:tcBorders>
              <w:bottom w:val="single" w:sz="8" w:color="D1D2D4"/>
            </w:tcBorders>
            <w:shd w:val="clear" w:color="auto" w:fill="D1D2D4"/>
          </w:tcPr>
          <w:p>
            <w:pPr>
              <w:spacing w:after="0"/>
              <w:rPr>
                <w:sz w:val="21"/>
                <w:szCs w:val="21"/>
                <w:color w:val="auto"/>
              </w:rPr>
            </w:pPr>
          </w:p>
        </w:tc>
        <w:tc>
          <w:tcPr>
            <w:tcW w:w="1000" w:type="dxa"/>
            <w:vAlign w:val="bottom"/>
            <w:tcBorders>
              <w:bottom w:val="single" w:sz="8" w:color="D1D2D4"/>
            </w:tcBorders>
            <w:gridSpan w:val="2"/>
            <w:shd w:val="clear" w:color="auto" w:fill="D1D2D4"/>
          </w:tcPr>
          <w:p>
            <w:pPr>
              <w:spacing w:after="0"/>
              <w:rPr>
                <w:sz w:val="21"/>
                <w:szCs w:val="21"/>
                <w:color w:val="auto"/>
              </w:rPr>
            </w:pPr>
          </w:p>
        </w:tc>
        <w:tc>
          <w:tcPr>
            <w:tcW w:w="460" w:type="dxa"/>
            <w:vAlign w:val="bottom"/>
            <w:tcBorders>
              <w:bottom w:val="single" w:sz="8" w:color="auto"/>
            </w:tcBorders>
            <w:shd w:val="clear" w:color="auto" w:fill="D1D2D4"/>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D1D2D4"/>
          </w:tcPr>
          <w:p>
            <w:pPr>
              <w:spacing w:after="0"/>
              <w:rPr>
                <w:sz w:val="21"/>
                <w:szCs w:val="21"/>
                <w:color w:val="auto"/>
              </w:rPr>
            </w:pPr>
          </w:p>
        </w:tc>
        <w:tc>
          <w:tcPr>
            <w:tcW w:w="1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780" w:type="dxa"/>
            <w:vAlign w:val="bottom"/>
            <w:tcBorders>
              <w:top w:val="single" w:sz="8" w:color="D1D2D4"/>
            </w:tcBorders>
          </w:tcPr>
          <w:p>
            <w:pPr>
              <w:spacing w:after="0" w:line="20" w:lineRule="exact"/>
              <w:rPr>
                <w:sz w:val="1"/>
                <w:szCs w:val="1"/>
                <w:color w:val="auto"/>
              </w:rPr>
            </w:pPr>
          </w:p>
        </w:tc>
        <w:tc>
          <w:tcPr>
            <w:tcW w:w="142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36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40" w:type="dxa"/>
            <w:vAlign w:val="bottom"/>
            <w:tcBorders>
              <w:top w:val="single" w:sz="8" w:color="D1D2D4"/>
            </w:tcBorders>
          </w:tcPr>
          <w:p>
            <w:pPr>
              <w:spacing w:after="0" w:line="20" w:lineRule="exact"/>
              <w:rPr>
                <w:sz w:val="1"/>
                <w:szCs w:val="1"/>
                <w:color w:val="auto"/>
              </w:rPr>
            </w:pPr>
          </w:p>
        </w:tc>
        <w:tc>
          <w:tcPr>
            <w:tcW w:w="138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660" w:type="dxa"/>
            <w:vAlign w:val="bottom"/>
            <w:tcBorders>
              <w:top w:val="single" w:sz="8" w:color="D1D2D4"/>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920" w:type="dxa"/>
            <w:vAlign w:val="bottom"/>
            <w:tcBorders>
              <w:top w:val="single" w:sz="8" w:color="D1D2D4"/>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7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340" w:right="60" w:hanging="332"/>
        <w:spacing w:after="0" w:line="233" w:lineRule="auto"/>
        <w:tabs>
          <w:tab w:leader="none" w:pos="334"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1.14 billion diluted shares and non-GAAP earnings per share based on approximately 1.15 billion diluted shares.</w:t>
      </w:r>
    </w:p>
    <w:p>
      <w:pPr>
        <w:spacing w:after="0" w:line="2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4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Nasdaq under the MU symbol. To learn more about Micron Technology, Inc., visit micron.com.</w:t>
      </w:r>
    </w:p>
    <w:p>
      <w:pPr>
        <w:spacing w:after="0" w:line="209" w:lineRule="exact"/>
        <w:rPr>
          <w:sz w:val="20"/>
          <w:szCs w:val="20"/>
          <w:color w:val="auto"/>
        </w:rPr>
      </w:pPr>
    </w:p>
    <w:p>
      <w:pPr>
        <w:ind w:right="80" w:firstLine="8"/>
        <w:spacing w:after="0" w:line="270"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2020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ectPr>
          <w:pgSz w:w="11900" w:h="16838" w:orient="portrait"/>
          <w:cols w:equalWidth="0" w:num="1">
            <w:col w:w="11240"/>
          </w:cols>
          <w:pgMar w:left="320" w:top="88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forward-looking statements regarding the Company’s financial and operating results. These forward-looking statements are subject to a number of risks and uncertainties that could cause actual results to differ materially. Please refer to the documents the Company files with the Securities and Exchange Commission, specifically its most recent Form 10-K. These documents contain and identify important factors that could cause the Company’s actual results to differ materially from those contained in these forward-looking statements. These certain factors can be found at www.micron.com/certainfactors. Although the Company believes that the expectations reflected in the forward-looking statements are reasonable, the Company cannot guarantee future results, levels of activity, performance, or achievements. The Company is under no duty to update any of the forward-looking statements after the date of this press release to conform these statements to actual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Media Relations Contact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Erica Pompen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834-1873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epompen@micron.com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Investor Relations Contact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Farhan Ahmad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834-1927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farhanahmad@micron.com</w:t>
      </w:r>
    </w:p>
    <w:sectPr>
      <w:pgSz w:w="11900" w:h="16838" w:orient="portrait"/>
      <w:cols w:equalWidth="0" w:num="1">
        <w:col w:w="11060"/>
      </w:cols>
      <w:pgMar w:left="320" w:top="88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2020-12-01T08:02:36Z</dcterms:created>
  <dcterms:modified xsi:type="dcterms:W3CDTF">2020-12-01T08:02:36Z</dcterms:modified>
</cp:coreProperties>
</file>