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112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112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112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469" w:right="1440" w:bottom="112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469" w:right="1440" w:bottom="1120" w:gutter="0" w:footer="0" w:header="0"/>
          <w:type w:val="continuous"/>
        </w:sectPr>
      </w:pPr>
    </w:p>
    <w:p>
      <w:pPr>
        <w:spacing w:after="0" w:line="75"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469" w:right="1440" w:bottom="112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2190115</wp:posOffset>
            </wp:positionH>
            <wp:positionV relativeFrom="page">
              <wp:posOffset>88900</wp:posOffset>
            </wp:positionV>
            <wp:extent cx="319024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90240" cy="87503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Fiscal 2011 Annual Meeting of Shareholders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January 24,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25"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6"/>
          <w:szCs w:val="16"/>
          <w:color w:val="auto"/>
        </w:rPr>
        <w:t>NOTICE IS HEREBY GIVEN that the fiscal 2011 Annual Meeting of Shareholders of Micron Technology, Inc., a Delaware corporation, will be held on January 24, 2012,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74"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to our 2004 Equity Incentive Plan to increase the number of shares reserved for issuance thereunder by 20,000,000;</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August 30, 2012;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 non-binding resolution to approve the compensation of our Named Executive Officers as described in the proxy statement;</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in a non-binding vote, the frequency (every one, two or three years) with which our shareholders will be entitled to have an advisory vote on executive compensation;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422"/>
        <w:spacing w:after="0" w:line="256" w:lineRule="auto"/>
        <w:rPr>
          <w:sz w:val="20"/>
          <w:szCs w:val="20"/>
          <w:color w:val="auto"/>
        </w:rPr>
      </w:pPr>
      <w:r>
        <w:rPr>
          <w:rFonts w:ascii="Arial" w:cs="Arial" w:eastAsia="Arial" w:hAnsi="Arial"/>
          <w:sz w:val="18"/>
          <w:szCs w:val="18"/>
          <w:color w:val="auto"/>
        </w:rPr>
        <w:t>Only shareholders of record at the close of business on November 28, 2011, are entitled to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97"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2011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72" w:lineRule="exact"/>
        <w:rPr>
          <w:sz w:val="20"/>
          <w:szCs w:val="20"/>
          <w:color w:val="auto"/>
        </w:rPr>
      </w:pPr>
    </w:p>
    <w:p>
      <w:pPr>
        <w:jc w:val="both"/>
        <w:ind w:right="20" w:firstLine="372"/>
        <w:spacing w:after="0" w:line="268" w:lineRule="auto"/>
        <w:rPr>
          <w:sz w:val="20"/>
          <w:szCs w:val="20"/>
          <w:color w:val="auto"/>
        </w:rPr>
      </w:pPr>
      <w:r>
        <w:rPr>
          <w:rFonts w:ascii="Arial" w:cs="Arial" w:eastAsia="Arial" w:hAnsi="Arial"/>
          <w:sz w:val="18"/>
          <w:szCs w:val="18"/>
          <w:color w:val="auto"/>
        </w:rPr>
        <w:t>Attendance at the Annual Meeting will be limited to shareholders and our guests. Shareholders may be asked to furnish proof of ownership of our Common Stock before being admitted to the meeting. Directions to the meeting's location accompany the Proxy Statement.</w:t>
      </w:r>
    </w:p>
    <w:p>
      <w:pPr>
        <w:spacing w:after="0" w:line="186"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Roderic W. Lewis</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of Legal Affairs,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Counsel &amp; Corporate Secretary</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Boise, Idaho</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December 15, 2011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2190115</wp:posOffset>
            </wp:positionH>
            <wp:positionV relativeFrom="page">
              <wp:posOffset>88900</wp:posOffset>
            </wp:positionV>
            <wp:extent cx="3190240" cy="87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190240" cy="87503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2011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24,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2011 Annual Meeting of Shareholders to be held on January 24, 2012, at 9:00 a.m., Mountain Standard Time, or at any adjournment or postponement thereof (the "Annual Meeting"). The purpose of the Annual Meeting is set forth herein and in the accompanying Notice of Fiscal 2011 Annual Meeting of Shareholders. The Annual Meeting will be held at our headquarters located at 8000 South Federal Way, Boise, Idaho 83716-9632. Directions to the Annual Meeting accompany this Proxy Statement. Our telephone number is (208) 368-4000.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and related proxy card are first being distributed on or about December 15, 2011, to all shareholders entitled to vote at the meeting.</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39" w:lineRule="exact"/>
        <w:rPr>
          <w:sz w:val="20"/>
          <w:szCs w:val="20"/>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www.proxydocs.com/mu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Vote by telephone using the instructions on the proxy card or voting instruction card if you received a paper copy of the proxy materials;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20" w:firstLine="357"/>
        <w:spacing w:after="0" w:line="332" w:lineRule="auto"/>
        <w:rPr>
          <w:sz w:val="20"/>
          <w:szCs w:val="20"/>
          <w:color w:val="auto"/>
        </w:rPr>
      </w:pPr>
      <w:r>
        <w:rPr>
          <w:rFonts w:ascii="Arial" w:cs="Arial" w:eastAsia="Arial" w:hAnsi="Arial"/>
          <w:sz w:val="16"/>
          <w:szCs w:val="16"/>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23,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of record at the close of business on November 28, 2011 (the "Record Date"), are entitled to notice of and to vote at the meeting.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Revocability of Proxy</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453"/>
        <w:spacing w:after="0" w:line="255"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Phoenix Advisory Partners,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31" w:lineRule="exact"/>
        <w:rPr>
          <w:sz w:val="20"/>
          <w:szCs w:val="20"/>
          <w:color w:val="auto"/>
        </w:rPr>
      </w:pPr>
    </w:p>
    <w:p>
      <w:pPr>
        <w:jc w:val="both"/>
        <w:ind w:firstLine="550"/>
        <w:spacing w:after="0" w:line="268" w:lineRule="auto"/>
        <w:rPr>
          <w:sz w:val="20"/>
          <w:szCs w:val="20"/>
          <w:color w:val="auto"/>
        </w:rPr>
      </w:pPr>
      <w:r>
        <w:rPr>
          <w:rFonts w:ascii="Arial" w:cs="Arial" w:eastAsia="Arial" w:hAnsi="Arial"/>
          <w:sz w:val="18"/>
          <w:szCs w:val="18"/>
          <w:color w:val="auto"/>
        </w:rPr>
        <w:t>We have one class of stock outstanding, common stock, $.10 par value per share (the "Common Stock"). At November 28, 2011, the Record Date, 987,672,309 shares of Common Stock were issued and outstanding and entitled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31" w:lineRule="exact"/>
        <w:rPr>
          <w:sz w:val="20"/>
          <w:szCs w:val="20"/>
          <w:color w:val="auto"/>
        </w:rPr>
      </w:pPr>
    </w:p>
    <w:p>
      <w:pPr>
        <w:jc w:val="both"/>
        <w:ind w:firstLine="372"/>
        <w:spacing w:after="0" w:line="288" w:lineRule="auto"/>
        <w:rPr>
          <w:sz w:val="20"/>
          <w:szCs w:val="20"/>
          <w:color w:val="auto"/>
        </w:rPr>
      </w:pPr>
      <w:r>
        <w:rPr>
          <w:rFonts w:ascii="Arial" w:cs="Arial" w:eastAsia="Arial" w:hAnsi="Arial"/>
          <w:sz w:val="16"/>
          <w:szCs w:val="16"/>
          <w:color w:val="auto"/>
        </w:rPr>
        <w:t>Under the Delaware General Corporation Law and our Restated Certificate of Incorporation and its Bylaws, each shareholder will be entitled to one vote for each share of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74" w:lineRule="exact"/>
        <w:rPr>
          <w:sz w:val="20"/>
          <w:szCs w:val="20"/>
          <w:color w:val="auto"/>
        </w:rPr>
      </w:pPr>
    </w:p>
    <w:p>
      <w:pPr>
        <w:jc w:val="both"/>
        <w:ind w:firstLine="503"/>
        <w:spacing w:after="0" w:line="298"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the election of directors or equity compensation plans unless the broker or nominee receives specific voting instructions from the beneficial owner of the shares. As a result, absent specific instructions, brokers or nominees may not vote a beneficial owner's shares on Items 1, 2, 4 and 5 and such shares will be considered "broker non-votes" for such proposals.</w:t>
      </w:r>
    </w:p>
    <w:p>
      <w:pPr>
        <w:spacing w:after="0" w:line="167" w:lineRule="exact"/>
        <w:rPr>
          <w:sz w:val="20"/>
          <w:szCs w:val="20"/>
          <w:color w:val="auto"/>
        </w:rPr>
      </w:pPr>
    </w:p>
    <w:p>
      <w:pPr>
        <w:jc w:val="both"/>
        <w:ind w:firstLine="436"/>
        <w:spacing w:after="0" w:line="33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each other item of business, the "FOR" vote of a majority of the Votes Cast is required in order for such matter to be considered approved by the shareholders.</w:t>
      </w:r>
    </w:p>
    <w:p>
      <w:pPr>
        <w:spacing w:after="0" w:line="139"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Cumulative voting for the election of directors shall not be required unless a shareholder has requested cumulative voting by written notice to our Corporate Secretary at least 15 days prior to the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94" w:lineRule="auto"/>
        <w:rPr>
          <w:sz w:val="20"/>
          <w:szCs w:val="20"/>
          <w:color w:val="auto"/>
        </w:rPr>
      </w:pPr>
      <w:r>
        <w:rPr>
          <w:rFonts w:ascii="Arial" w:cs="Arial" w:eastAsia="Arial" w:hAnsi="Arial"/>
          <w:sz w:val="16"/>
          <w:szCs w:val="16"/>
          <w:color w:val="auto"/>
        </w:rPr>
        <w:t>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six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jc w:val="both"/>
        <w:ind w:firstLine="395"/>
        <w:spacing w:after="0" w:line="253" w:lineRule="auto"/>
        <w:rPr>
          <w:sz w:val="20"/>
          <w:szCs w:val="20"/>
          <w:color w:val="auto"/>
        </w:rPr>
      </w:pPr>
      <w:r>
        <w:rPr>
          <w:rFonts w:ascii="Arial" w:cs="Arial" w:eastAsia="Arial" w:hAnsi="Arial"/>
          <w:sz w:val="18"/>
          <w:szCs w:val="18"/>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8"/>
          <w:szCs w:val="18"/>
          <w:b w:val="1"/>
          <w:bCs w:val="1"/>
          <w:color w:val="auto"/>
        </w:rPr>
        <w:t>If no instructions are given with respect to a properly executed Proxy timely received by us, the shares of Common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 named herein as directors, or their respective substitutes as may be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amendment to the 2004 Equity Incentive Plan,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our Independent Registered Public Accounting Firm for the fiscal year ending August 30, 2012, (iv)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a non-binding resolution to approve the compensation of our Named Executive Officers as described in the proxy statement, (v)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in a non-binding vote, of an annual shareholders advisory vote on executive compensation; and (vi) in the discretion of the proxy holders for such business which may properly come before the Annual Meeting.</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6"/>
          <w:szCs w:val="16"/>
          <w:color w:val="auto"/>
        </w:rPr>
        <w:t>A board of six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management's six nominees named below.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Served as a</w:t>
            </w:r>
          </w:p>
        </w:tc>
        <w:tc>
          <w:tcPr>
            <w:tcW w:w="1620" w:type="dxa"/>
            <w:vAlign w:val="bottom"/>
            <w:gridSpan w:val="7"/>
          </w:tcPr>
          <w:p>
            <w:pPr>
              <w:ind w:left="140"/>
              <w:spacing w:after="0"/>
              <w:rPr>
                <w:sz w:val="20"/>
                <w:szCs w:val="20"/>
                <w:color w:val="auto"/>
              </w:rPr>
            </w:pPr>
            <w:r>
              <w:rPr>
                <w:rFonts w:ascii="Arial" w:cs="Arial" w:eastAsia="Arial" w:hAnsi="Arial"/>
                <w:sz w:val="14"/>
                <w:szCs w:val="14"/>
                <w:b w:val="1"/>
                <w:bCs w:val="1"/>
                <w:color w:val="auto"/>
              </w:rPr>
              <w:t>Board Committees*</w:t>
            </w:r>
          </w:p>
        </w:tc>
        <w:tc>
          <w:tcPr>
            <w:tcW w:w="0" w:type="dxa"/>
            <w:vAlign w:val="bottom"/>
          </w:tcPr>
          <w:p>
            <w:pPr>
              <w:spacing w:after="0"/>
              <w:rPr>
                <w:sz w:val="1"/>
                <w:szCs w:val="1"/>
                <w:color w:val="auto"/>
              </w:rPr>
            </w:pPr>
          </w:p>
        </w:tc>
      </w:tr>
      <w:tr>
        <w:trPr>
          <w:trHeight w:val="142"/>
        </w:trPr>
        <w:tc>
          <w:tcPr>
            <w:tcW w:w="2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of Nominee</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2"/>
                <w:szCs w:val="12"/>
                <w:color w:val="auto"/>
              </w:rPr>
            </w:pPr>
          </w:p>
        </w:tc>
        <w:tc>
          <w:tcPr>
            <w:tcW w:w="3720" w:type="dxa"/>
            <w:vAlign w:val="bottom"/>
            <w:gridSpan w:val="2"/>
          </w:tcPr>
          <w:p>
            <w:pPr>
              <w:ind w:left="1160"/>
              <w:spacing w:after="0" w:line="142" w:lineRule="exact"/>
              <w:rPr>
                <w:sz w:val="20"/>
                <w:szCs w:val="20"/>
                <w:color w:val="auto"/>
              </w:rPr>
            </w:pPr>
            <w:r>
              <w:rPr>
                <w:rFonts w:ascii="Arial" w:cs="Arial" w:eastAsia="Arial" w:hAnsi="Arial"/>
                <w:sz w:val="14"/>
                <w:szCs w:val="14"/>
                <w:b w:val="1"/>
                <w:bCs w:val="1"/>
                <w:color w:val="auto"/>
              </w:rPr>
              <w:t>Principal Occupation</w:t>
            </w:r>
          </w:p>
        </w:tc>
        <w:tc>
          <w:tcPr>
            <w:tcW w:w="11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Director Since</w:t>
            </w:r>
          </w:p>
        </w:tc>
        <w:tc>
          <w:tcPr>
            <w:tcW w:w="2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8"/>
              </w:rPr>
              <w:t>A</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w:t>
            </w:r>
          </w:p>
        </w:tc>
        <w:tc>
          <w:tcPr>
            <w:tcW w:w="38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Chairman and Chief Executive Officer of Micron</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Inc.</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Robert L. Bailey</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Former Chairman of PMC-Sierra, Inc.</w:t>
            </w:r>
          </w:p>
        </w:tc>
        <w:tc>
          <w:tcPr>
            <w:tcW w:w="102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Byrne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of</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Intermec, Inc.</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Former Chief Financial Officer of Avago</w:t>
            </w:r>
          </w:p>
        </w:tc>
        <w:tc>
          <w:tcPr>
            <w:tcW w:w="1020" w:type="dxa"/>
            <w:vAlign w:val="bottom"/>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Arial" w:cs="Arial" w:eastAsia="Arial" w:hAnsi="Arial"/>
                <w:sz w:val="18"/>
                <w:szCs w:val="18"/>
                <w:color w:val="auto"/>
              </w:rPr>
              <w:t>Technologies Limited</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Former President and Chief Executive Officer of</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CSK Auto Corporation</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Robert E. Switz</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w w:val="94"/>
              </w:rPr>
              <w:t>Former Chairman, President and Chief Executive</w:t>
            </w:r>
          </w:p>
        </w:tc>
        <w:tc>
          <w:tcPr>
            <w:tcW w:w="1020" w:type="dxa"/>
            <w:vAlign w:val="bottom"/>
          </w:tcPr>
          <w:p>
            <w:pPr>
              <w:jc w:val="right"/>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Arial" w:cs="Arial" w:eastAsia="Arial" w:hAnsi="Arial"/>
                <w:sz w:val="18"/>
                <w:szCs w:val="18"/>
                <w:color w:val="auto"/>
              </w:rPr>
              <w:t>Officer of ADC Telecommunications, Inc.</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80" w:right="3900" w:hanging="4531"/>
        <w:spacing w:after="0" w:line="519" w:lineRule="auto"/>
        <w:tabs>
          <w:tab w:leader="none" w:pos="1699" w:val="left"/>
        </w:tabs>
        <w:numPr>
          <w:ilvl w:val="0"/>
          <w:numId w:val="7"/>
        </w:numPr>
        <w:rPr>
          <w:rFonts w:ascii="Arial" w:cs="Arial" w:eastAsia="Arial" w:hAnsi="Arial"/>
          <w:sz w:val="18"/>
          <w:szCs w:val="18"/>
          <w:color w:val="auto"/>
        </w:rPr>
      </w:pPr>
      <w:r>
        <w:rPr>
          <w:rFonts w:ascii="Arial" w:cs="Arial" w:eastAsia="Arial" w:hAnsi="Arial"/>
          <w:sz w:val="18"/>
          <w:szCs w:val="18"/>
          <w:color w:val="auto"/>
        </w:rPr>
        <w:t>A = Audit Committee, C = Compensation Committee, G = Governance Committee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ind w:left="36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225"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i w:val="1"/>
          <w:iCs w:val="1"/>
          <w:color w:val="auto"/>
        </w:rPr>
        <w:t xml:space="preserve">Steven R. Appleton </w:t>
      </w:r>
      <w:r>
        <w:rPr>
          <w:rFonts w:ascii="Arial" w:cs="Arial" w:eastAsia="Arial" w:hAnsi="Arial"/>
          <w:sz w:val="18"/>
          <w:szCs w:val="18"/>
          <w:color w:val="auto"/>
        </w:rPr>
        <w:t>joined us in February 1983 and has served in various capacities since that time. Mr. Appleton first became an officer in August 1989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in various officer positions since that time. From April 1991 until July 1992 and since May 1994, Mr. Appleton has served on our Board of Directors. From September 1994 to June 2007, Mr. Appleton served as our CEO, President and Chairman of the Board of Directors. From June 2007, Mr. Appleton served as our CEO and Chairman of the Board. From 2001 to April 2011, Mr. Appleton served on the Board of Directors of National Semiconductor Corporation. Mr. Appleton holds a BA in Business Management from Boise State University.</w:t>
      </w:r>
    </w:p>
    <w:p>
      <w:pPr>
        <w:spacing w:after="0" w:line="197" w:lineRule="exact"/>
        <w:rPr>
          <w:sz w:val="20"/>
          <w:szCs w:val="20"/>
          <w:color w:val="auto"/>
        </w:rPr>
      </w:pPr>
    </w:p>
    <w:p>
      <w:pPr>
        <w:jc w:val="both"/>
        <w:ind w:firstLine="515"/>
        <w:spacing w:after="0" w:line="268" w:lineRule="auto"/>
        <w:rPr>
          <w:sz w:val="20"/>
          <w:szCs w:val="20"/>
          <w:color w:val="auto"/>
        </w:rPr>
      </w:pPr>
      <w:r>
        <w:rPr>
          <w:rFonts w:ascii="Arial" w:cs="Arial" w:eastAsia="Arial" w:hAnsi="Arial"/>
          <w:sz w:val="18"/>
          <w:szCs w:val="18"/>
          <w:color w:val="auto"/>
        </w:rPr>
        <w:t>Mr. Appleton has been with us for over 25 years and his experiences have given him extensive expertise in our business and operations. He has also developed expertise in the areas of finance, corporate development, corporate governance, business strategy and management.</w:t>
      </w:r>
    </w:p>
    <w:p>
      <w:pPr>
        <w:spacing w:after="0" w:line="186"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i w:val="1"/>
          <w:iCs w:val="1"/>
          <w:color w:val="auto"/>
        </w:rPr>
        <w:t xml:space="preserve">Robert L. Bailey </w:t>
      </w:r>
      <w:r>
        <w:rPr>
          <w:rFonts w:ascii="Arial" w:cs="Arial" w:eastAsia="Arial" w:hAnsi="Arial"/>
          <w:sz w:val="18"/>
          <w:szCs w:val="18"/>
          <w:color w:val="auto"/>
        </w:rPr>
        <w:t>was the Chairman of the Board of Directors of PMC-Sierra, Inc. ("PMC") from 2005 until May 2011 and from February 2000 until</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2003. He also served as the President and CEO of PMC from July 1997 until May 2008. PMC is a leading provider of broadband communication and semiconductor storage solutions for the next-generation Internet. Mr. Bailey currently serves on the Board of Directors of Entropic Communications. Mr. Bailey holds a BS degree in Electrical Engineering from the University of Bridgeport and an MBA from the University of Dallas. He has served on our Board of Directors since 2007.</w:t>
      </w:r>
    </w:p>
    <w:p>
      <w:pPr>
        <w:spacing w:after="0" w:line="197" w:lineRule="exact"/>
        <w:rPr>
          <w:sz w:val="20"/>
          <w:szCs w:val="20"/>
          <w:color w:val="auto"/>
        </w:rPr>
      </w:pPr>
    </w:p>
    <w:p>
      <w:pPr>
        <w:jc w:val="both"/>
        <w:ind w:firstLine="520"/>
        <w:spacing w:after="0" w:line="268" w:lineRule="auto"/>
        <w:rPr>
          <w:sz w:val="20"/>
          <w:szCs w:val="20"/>
          <w:color w:val="auto"/>
        </w:rPr>
      </w:pPr>
      <w:r>
        <w:rPr>
          <w:rFonts w:ascii="Arial" w:cs="Arial" w:eastAsia="Arial" w:hAnsi="Arial"/>
          <w:sz w:val="18"/>
          <w:szCs w:val="18"/>
          <w:color w:val="auto"/>
        </w:rPr>
        <w:t>Mr. Bailey's experience as CEO and Chairman of a leading technology company has given him expertise in the technology industry as well business operations, finance, corporate development, corporate governance and management.</w:t>
      </w:r>
    </w:p>
    <w:p>
      <w:pPr>
        <w:spacing w:after="0" w:line="18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i w:val="1"/>
          <w:iCs w:val="1"/>
          <w:color w:val="auto"/>
        </w:rPr>
        <w:t xml:space="preserve">Patrick J. Byrne </w:t>
      </w:r>
      <w:r>
        <w:rPr>
          <w:rFonts w:ascii="Arial" w:cs="Arial" w:eastAsia="Arial" w:hAnsi="Arial"/>
          <w:sz w:val="16"/>
          <w:szCs w:val="16"/>
          <w:color w:val="auto"/>
        </w:rPr>
        <w:t>has served as Director, President and CEO of Intermec, Inc. ("Intermec") since July 2007. Intermec develops and integrates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technologies that identify, track and manage supply chain assets and information. Prior to joining Intermec, Mr. Byrne served as a Senior Vice President and President of the Electronic Measurement Group of Agilent Technologies Inc., a bio-analytical and electronic measurement company, from February 2005 to March 2007. Prior to assuming that position, Mr. Byrne served as Vice President and General Manager for Agilent's Electronic Products and Solutions Group's Wireless Business Unit from September 2001 to February 2005. He served as Vice President for Agilent's Electronic Products and Solutions Group's Product Generation Units from 1999 to 2001. Mr. Byrne is also a member of the Board of Directors of Flow International, a manufacturer of ultrahigh-pressure waterjet technology. Mr. Byrne received his BS degree in Electrical Engineering from the University of California, Berkeley, and his MS degree in Electrical Engineering from Stanford University. Mr. Byrne joined our Board of Directors in April 2011.</w:t>
      </w:r>
    </w:p>
    <w:p>
      <w:pPr>
        <w:spacing w:after="0" w:line="172" w:lineRule="exact"/>
        <w:rPr>
          <w:sz w:val="20"/>
          <w:szCs w:val="20"/>
          <w:color w:val="auto"/>
        </w:rPr>
      </w:pPr>
    </w:p>
    <w:p>
      <w:pPr>
        <w:jc w:val="both"/>
        <w:ind w:firstLine="424"/>
        <w:spacing w:after="0" w:line="268" w:lineRule="auto"/>
        <w:rPr>
          <w:sz w:val="20"/>
          <w:szCs w:val="20"/>
          <w:color w:val="auto"/>
        </w:rPr>
      </w:pPr>
      <w:r>
        <w:rPr>
          <w:rFonts w:ascii="Arial" w:cs="Arial" w:eastAsia="Arial" w:hAnsi="Arial"/>
          <w:sz w:val="18"/>
          <w:szCs w:val="18"/>
          <w:color w:val="auto"/>
        </w:rPr>
        <w:t>Mr. Byrne's experience as CEO of a public company has given him expertise in the technology industry as well as business operations, finance, corporate development, corporate governance and management.</w:t>
      </w:r>
    </w:p>
    <w:p>
      <w:pPr>
        <w:spacing w:after="0" w:line="186"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and Juniper Networks, Inc. Ms. Johnson is the Chairman of the Board's Audit Committee and has served on our Board of Directors since 2005.</w:t>
      </w:r>
    </w:p>
    <w:p>
      <w:pPr>
        <w:spacing w:after="0" w:line="170" w:lineRule="exact"/>
        <w:rPr>
          <w:sz w:val="20"/>
          <w:szCs w:val="20"/>
          <w:color w:val="auto"/>
        </w:rPr>
      </w:pPr>
    </w:p>
    <w:p>
      <w:pPr>
        <w:jc w:val="both"/>
        <w:ind w:firstLine="451"/>
        <w:spacing w:after="0" w:line="268" w:lineRule="auto"/>
        <w:rPr>
          <w:sz w:val="20"/>
          <w:szCs w:val="20"/>
          <w:color w:val="auto"/>
        </w:rPr>
      </w:pPr>
      <w:r>
        <w:rPr>
          <w:rFonts w:ascii="Arial" w:cs="Arial" w:eastAsia="Arial" w:hAnsi="Arial"/>
          <w:sz w:val="18"/>
          <w:szCs w:val="18"/>
          <w:color w:val="auto"/>
        </w:rPr>
        <w:t>Ms. Johnson's experience as the CFO of several technology companies has given her expertise in finance, corporate development, corporate governance, management and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both"/>
        <w:ind w:firstLine="351"/>
        <w:spacing w:after="0" w:line="298" w:lineRule="auto"/>
        <w:rPr>
          <w:sz w:val="20"/>
          <w:szCs w:val="20"/>
          <w:color w:val="auto"/>
        </w:rPr>
      </w:pPr>
      <w:r>
        <w:rPr>
          <w:rFonts w:ascii="Arial" w:cs="Arial" w:eastAsia="Arial" w:hAnsi="Arial"/>
          <w:sz w:val="16"/>
          <w:szCs w:val="16"/>
          <w:i w:val="1"/>
          <w:iCs w:val="1"/>
          <w:color w:val="auto"/>
        </w:rPr>
        <w:t xml:space="preserve">Lawrence N. Mondry </w:t>
      </w:r>
      <w:r>
        <w:rPr>
          <w:rFonts w:ascii="Arial" w:cs="Arial" w:eastAsia="Arial" w:hAnsi="Arial"/>
          <w:sz w:val="16"/>
          <w:szCs w:val="16"/>
          <w:color w:val="auto"/>
        </w:rPr>
        <w:t>was a director and the President and CEO of CSK Auto Corporation ("CSK"), a specialty retailer of automotive aftermarket parts,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2007 to July 2008. Prior to his appointment at CSK, Mr. Mondry served as the CEO of CompUSA Inc. from November 2003 to May 2006. Mr. Mondry joined CompUSA in 1990. Mr. Mondry served on the Board of Directors for Golfsmith, Inc. from April 2005 to August 2007. Mr. Mondry is the Chairman of the Board's Governance Committee and Presiding Director. He has served on our Board of Directors since 2005.</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Mr. Mondry's experience as the CEO of various retailers has given him expertise in operations, management, finance and corporate development.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Mondry's retail expertise is especially relevant to our Lexar and Crucial businesses.</w:t>
      </w:r>
    </w:p>
    <w:p>
      <w:pPr>
        <w:spacing w:after="0" w:line="219"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was the Chairman, President and CEO of ADC Telecommunications, Inc. ("ADC"), a supplier of network infrastructure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from August 2003 until December 2010, when Tyco Electronics Ltd. acquired ADC. Mr. Switz joined ADC in 1994 and throughout his career there held numerous leadership positions. Mr. Switz holds an MBA from the University of Bridgeport as well as a degree in Marketing/Economics from Quinnipiac University. Mr. Switz also serves on the Board of Directors for Broadcom Corporation, GT Advanced Technologies and Leap Wireless International, Inc. He has served on our Board of Directors since 2006.</w:t>
      </w:r>
    </w:p>
    <w:p>
      <w:pPr>
        <w:spacing w:after="0" w:line="197"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Mr. Switz's experience as CEO and Chairman of a leading technology company has given him expertise in the technology industry as well business operations, finance, corporate development, corporate governance and management.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Resignations</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Dr. Teruaki Aoki and Mr. James W. Bagley have indicated that after many years of service on our Board of Directors, they will be retiring at the conclusion of the upcoming Annual Meeting of Shareholders. As a result, they will not be standing for re-election to the Board. We appreciate all their contributions and wish them success in their future endeavors.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jc w:val="both"/>
        <w:ind w:firstLine="443"/>
        <w:spacing w:after="0" w:line="298" w:lineRule="auto"/>
        <w:rPr>
          <w:sz w:val="20"/>
          <w:szCs w:val="20"/>
          <w:color w:val="auto"/>
        </w:rPr>
      </w:pPr>
      <w:r>
        <w:rPr>
          <w:rFonts w:ascii="Arial" w:cs="Arial" w:eastAsia="Arial" w:hAnsi="Arial"/>
          <w:sz w:val="16"/>
          <w:szCs w:val="16"/>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6"/>
          <w:szCs w:val="16"/>
          <w:i w:val="1"/>
          <w:iCs w:val="1"/>
          <w:color w:val="auto"/>
        </w:rPr>
        <w:t>www.micron.com/code</w:t>
      </w:r>
      <w:r>
        <w:rPr>
          <w:rFonts w:ascii="Arial" w:cs="Arial" w:eastAsia="Arial" w:hAnsi="Arial"/>
          <w:sz w:val="16"/>
          <w:szCs w:val="16"/>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373"/>
        <w:spacing w:after="0" w:line="255" w:lineRule="auto"/>
        <w:rPr>
          <w:sz w:val="20"/>
          <w:szCs w:val="20"/>
          <w:color w:val="auto"/>
        </w:rPr>
      </w:pPr>
      <w:r>
        <w:rPr>
          <w:rFonts w:ascii="Arial" w:cs="Arial" w:eastAsia="Arial" w:hAnsi="Arial"/>
          <w:sz w:val="18"/>
          <w:szCs w:val="18"/>
          <w:color w:val="auto"/>
        </w:rPr>
        <w:t>On October 12, 2011, the Board of Directors determined that directors Aoki, Bailey, Byrne, Johnson, Mondry and Switz qualify as independent directors. In determining the independence of our directors, the Board of Directors has adopted independence standards that mirror exactly the criteria specified by applicable laws and regulations of the SEC and the Listing Rules of NASDAQ. None of these directors have a relationship with us, other than any relationship that is categorically not material under the guidelines referenced above and other than as disclosed in this Proxy Statement under "Compensation of Directors" and "Certain Relationships and Related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auto"/>
        </w:rPr>
        <w:t>Mr. Appleton serves as our Chairman and CEO. We do not have a fixed policy on whether the roles of chairman and CEO should be separate or combined. The decision is based on our and our shareholders' best interests under the circumstances existing at the time. The Board believes that Mr. Appleton's unique knowledge of our business and the opportunities and challenges it faces best positions him to develop agendas that ensure the Board's time and attention are focused on the issues that matter most to us and our shareholders. Each year the Board appoints an independent Presiding Director to oversee meetings of the independent directors and act as a liaison between the Board and CEO.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3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Board of Directors is responsible for overseeing the major risks we face and reviewing management's proposals for their mitigation. In addition, the Board has delegated oversight of certain categories of risk to the Audit, Compensation and Governance committees. The Audit Committee reviews and discusses with management significant financial and nonfinancial risk exposures and the steps management has taken to monitor, control, and report such exposures. The Compensation Committee oversees management of risks relating to our compensation plans and programs. The Governance Committee manages risks associated with board governance and director independence. The Audit, Compensation and Governance committees report to the Board regularly on matters relating to the specific areas of risk the committees oversee.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31" w:lineRule="exact"/>
        <w:rPr>
          <w:sz w:val="20"/>
          <w:szCs w:val="20"/>
          <w:color w:val="auto"/>
        </w:rPr>
      </w:pPr>
    </w:p>
    <w:p>
      <w:pPr>
        <w:jc w:val="both"/>
        <w:ind w:firstLine="366"/>
        <w:spacing w:after="0" w:line="288" w:lineRule="auto"/>
        <w:rPr>
          <w:sz w:val="20"/>
          <w:szCs w:val="20"/>
          <w:color w:val="auto"/>
        </w:rPr>
      </w:pPr>
      <w:r>
        <w:rPr>
          <w:rFonts w:ascii="Arial" w:cs="Arial" w:eastAsia="Arial" w:hAnsi="Arial"/>
          <w:sz w:val="16"/>
          <w:szCs w:val="16"/>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at each business unit. Certain internal groups have different or supplemental compensation programs tailored to their specific operations and goals, and programs may differ by country due to variations in local laws and customs.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31" w:lineRule="exact"/>
        <w:rPr>
          <w:sz w:val="20"/>
          <w:szCs w:val="20"/>
          <w:color w:val="auto"/>
        </w:rPr>
      </w:pPr>
    </w:p>
    <w:p>
      <w:pPr>
        <w:jc w:val="both"/>
        <w:ind w:firstLine="686"/>
        <w:spacing w:after="0" w:line="259" w:lineRule="auto"/>
        <w:rPr>
          <w:sz w:val="20"/>
          <w:szCs w:val="20"/>
          <w:color w:val="auto"/>
        </w:rPr>
      </w:pPr>
      <w:r>
        <w:rPr>
          <w:rFonts w:ascii="Arial" w:cs="Arial" w:eastAsia="Arial" w:hAnsi="Arial"/>
          <w:sz w:val="18"/>
          <w:szCs w:val="18"/>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194"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8"/>
          <w:szCs w:val="18"/>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Committee on Mercer's relationship with us, including a summary of the work performed for us during the preceding 12 months. The specific activities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Mercer undertakes for us include:</w:t>
      </w:r>
    </w:p>
    <w:p>
      <w:pPr>
        <w:spacing w:after="0" w:line="23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benchmark total direct compensation levels (salary, short-term incentives, long-term incentives and total direct compensation) of our executive team using several data sources;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25" w:lineRule="exact"/>
        <w:rPr>
          <w:sz w:val="20"/>
          <w:szCs w:val="20"/>
          <w:color w:val="auto"/>
        </w:rPr>
      </w:pPr>
    </w:p>
    <w:p>
      <w:pPr>
        <w:jc w:val="both"/>
        <w:ind w:firstLine="434"/>
        <w:spacing w:after="0" w:line="298" w:lineRule="auto"/>
        <w:rPr>
          <w:sz w:val="20"/>
          <w:szCs w:val="20"/>
          <w:color w:val="auto"/>
        </w:rPr>
      </w:pPr>
      <w:r>
        <w:rPr>
          <w:rFonts w:ascii="Arial" w:cs="Arial" w:eastAsia="Arial" w:hAnsi="Arial"/>
          <w:sz w:val="16"/>
          <w:szCs w:val="16"/>
          <w:color w:val="auto"/>
        </w:rPr>
        <w:t>We paid Mercer a total of $673,615 in fiscal 2011 for services provided to the Compensation Committee and us. Of this amount, $109,337 was paid as a result of the work Mercer performed for the Compensation Committee, $190,520 was paid as a result of the work Mercer performed related to our 401(k) Plan and other human resource functions and $373,718 was paid for employee medical insurance. The decision to use Mercer for services other than those provided to the Compensation Committee was made by our management and was not approved by the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31"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Our Board of Directors held four meetings during fiscal 2011. The Board of Directors met in Executive Session four times during fiscal 2011. In fiscal 2011, the Board of Directors had a standing Audit Committee, Governance Committee and Compensation Committee. During fiscal 2011, the Audit Committee met nine times, the Compensation Committee met four times and the Governance Committee met three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2011. All incumbent directors who served on the Compensation, Audit and Governance committees attended 75% or more of the total number of committee meetings during fiscal 2011. All but one member of our Board was present at the fiscal 2010 Annual Meeting of Shareholders. We encourage director attendance at the Annual Meeting of Shareholders.</w:t>
      </w:r>
    </w:p>
    <w:p>
      <w:pPr>
        <w:spacing w:after="0" w:line="172" w:lineRule="exact"/>
        <w:rPr>
          <w:sz w:val="20"/>
          <w:szCs w:val="20"/>
          <w:color w:val="auto"/>
        </w:rPr>
      </w:pPr>
    </w:p>
    <w:p>
      <w:pPr>
        <w:jc w:val="both"/>
        <w:ind w:firstLine="452"/>
        <w:spacing w:after="0" w:line="255" w:lineRule="auto"/>
        <w:rPr>
          <w:sz w:val="20"/>
          <w:szCs w:val="20"/>
          <w:color w:val="auto"/>
        </w:rPr>
      </w:pPr>
      <w:r>
        <w:rPr>
          <w:rFonts w:ascii="Arial" w:cs="Arial" w:eastAsia="Arial" w:hAnsi="Arial"/>
          <w:sz w:val="18"/>
          <w:szCs w:val="18"/>
          <w:color w:val="auto"/>
        </w:rPr>
        <w:t xml:space="preserve">The Audit Committee, the Governance Committee and the Compensation Committee each have written charters that comply with federal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has determined that all the members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Governance Committee, and the Compensation Committee satisfy the independence requirements of applicable federal laws and the Listing Rules of NASDAQ for such committees.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Corporate Governance Guidelines specify a mandatory retirement age of 70 for members of its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ind w:left="5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Chairman of the Audit Committee since October 2010. The Board has determined that Ms. Johnson and Messrs. Bailey and Switz each qualify as an "audit committee financial expert" for purposes of the rules and regulations of the SEC. The purpose of the Audit Committee is to assist the Board in overseeing and monitoring:</w:t>
      </w:r>
    </w:p>
    <w:p>
      <w:pPr>
        <w:spacing w:after="0" w:line="17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also available in print upon request to corporatesecretary@micron.com.</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Governance Committee</w:t>
      </w:r>
    </w:p>
    <w:p>
      <w:pPr>
        <w:spacing w:after="0" w:line="225"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 xml:space="preserve">Dr. Aoki, Ms. Johnson, and Messrs. Bailey, Byrne, Mondry and Switz currently serve on the Governance Committee. Mr. Mondry has served as Chairman of the Governance Committee since October 2009. The responsibilities of the Governance Committee include assisting the Board in discharging its duties with respect to (i) the identification and selection of nominees to our Board of Directors, (ii) director compensation and (iii) the development of our Corporate Governance Guidelines. The complete duties and responsibilities of the Governance Committee are set forth in its written charter, which is available at </w:t>
      </w:r>
      <w:r>
        <w:rPr>
          <w:rFonts w:ascii="Arial" w:cs="Arial" w:eastAsia="Arial" w:hAnsi="Arial"/>
          <w:sz w:val="16"/>
          <w:szCs w:val="16"/>
          <w:i w:val="1"/>
          <w:iCs w:val="1"/>
          <w:color w:val="auto"/>
        </w:rPr>
        <w:t xml:space="preserve">www.micron.com </w:t>
      </w:r>
      <w:r>
        <w:rPr>
          <w:rFonts w:ascii="Arial" w:cs="Arial" w:eastAsia="Arial" w:hAnsi="Arial"/>
          <w:sz w:val="16"/>
          <w:szCs w:val="16"/>
          <w:color w:val="auto"/>
        </w:rPr>
        <w:t>and is also available in print upon request to corporatesecretary@micron.com.</w:t>
      </w:r>
    </w:p>
    <w:p>
      <w:pPr>
        <w:spacing w:after="0" w:line="170" w:lineRule="exact"/>
        <w:rPr>
          <w:sz w:val="20"/>
          <w:szCs w:val="20"/>
          <w:color w:val="auto"/>
        </w:rPr>
      </w:pPr>
    </w:p>
    <w:p>
      <w:pPr>
        <w:jc w:val="both"/>
        <w:ind w:firstLine="429"/>
        <w:spacing w:after="0" w:line="289" w:lineRule="auto"/>
        <w:rPr>
          <w:sz w:val="20"/>
          <w:szCs w:val="20"/>
          <w:color w:val="auto"/>
        </w:rPr>
      </w:pPr>
      <w:r>
        <w:rPr>
          <w:rFonts w:ascii="Arial" w:cs="Arial" w:eastAsia="Arial" w:hAnsi="Arial"/>
          <w:sz w:val="16"/>
          <w:szCs w:val="16"/>
          <w:color w:val="auto"/>
        </w:rPr>
        <w:t>The Governance Committee is responsible for identifying nominees for our Board of Directors. There are no minimum qualifications that nominees must possess, however,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NASDAQ and relevant rules and regulations of the SEC. The Board of Directors has determined that it would be advisable to add additional members to the Board. To that end, the Governance Committee works with a third party executive search firm to assist them in the identification and evaluation of potential candidates to our Board of Directors. In fiscal 2011, the search firm identified Mr. Patrick Byrne as a possible candidate for our Board. It is currently anticipated that additional members may join our Board of Directors in 2012.</w:t>
      </w:r>
    </w:p>
    <w:p>
      <w:pPr>
        <w:spacing w:after="0" w:line="172"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available in print upon request to corporatesecretary@micron.com.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left="5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 xml:space="preserve">Dr. Aoki and Messrs. Byrne and Mondry currently serve on the Compensation Committee of the Board of Directors. Dr. Aoki has served as the Chairman of the Compensation Committee since October 2009. The Compensation Committee is responsible for reviewing and approving the compensation of our officers. See the "Compensation Discussion and Analysis" and the "Report of the Compensation Committee on Executive Compensation" for information regarding how the Compensation Committee sets executive compensation levels. The complete duties of the Compensation Committee are set forth in its written charter, which is available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also available in print upon request to corporatesecretary@micron.com.</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Executive Sessions</w:t>
      </w:r>
    </w:p>
    <w:p>
      <w:pPr>
        <w:spacing w:after="0" w:line="225" w:lineRule="exact"/>
        <w:rPr>
          <w:sz w:val="20"/>
          <w:szCs w:val="20"/>
          <w:color w:val="auto"/>
        </w:rPr>
      </w:pPr>
    </w:p>
    <w:p>
      <w:pPr>
        <w:jc w:val="both"/>
        <w:ind w:right="20" w:firstLine="362"/>
        <w:spacing w:after="0" w:line="268" w:lineRule="auto"/>
        <w:rPr>
          <w:sz w:val="20"/>
          <w:szCs w:val="20"/>
          <w:color w:val="auto"/>
        </w:rPr>
      </w:pPr>
      <w:r>
        <w:rPr>
          <w:rFonts w:ascii="Arial" w:cs="Arial" w:eastAsia="Arial" w:hAnsi="Arial"/>
          <w:sz w:val="18"/>
          <w:szCs w:val="18"/>
          <w:color w:val="auto"/>
        </w:rPr>
        <w:t>In October 2011, Mr. Mondry was appointed Presiding Director of our Board of Directors and will chair executive session meetings (meetings in which only non-employee directors are present) for fiscal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Communications with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and interested parties wishing to communicate with our Board of Directors may contact Mr. Mondry at presidingdirector@micron.com.</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jc w:val="both"/>
        <w:ind w:firstLine="369"/>
        <w:spacing w:after="0" w:line="289" w:lineRule="auto"/>
        <w:rPr>
          <w:sz w:val="20"/>
          <w:szCs w:val="20"/>
          <w:color w:val="auto"/>
        </w:rPr>
      </w:pPr>
      <w:r>
        <w:rPr>
          <w:rFonts w:ascii="Arial" w:cs="Arial" w:eastAsia="Arial" w:hAnsi="Arial"/>
          <w:sz w:val="16"/>
          <w:szCs w:val="16"/>
          <w:color w:val="auto"/>
        </w:rPr>
        <w:t>The Governance Committee of the Board of Directors oversees the setting of compensation for our non-employee members of its Board of Directors. At the end of each of fiscal 2010 and fiscal 2011, the Governance Committee engaged Mercer to review and evaluate director compensation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Compensation Discussion and Analysis." For fiscal 2011, upon completion of its review and evaluation, the Governance Committee recommended to the Board of Directors increases in (i) the annual retainer paid to non-employee directors, (ii) the fee paid to the Chairman of the Audit Committee and (iii) the fee paid to the Presiding Director. For fiscal 2012, upon completion of its review and evaluation, the Governance Committee recommended that the Board of Directors increase (i) the annual retainer paid to non-employee directors, (ii) the fee paid to the Chairman of the Compensation Committee and (iii) the amount of the annual equity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Retainer</w:t>
      </w:r>
    </w:p>
    <w:p>
      <w:pPr>
        <w:spacing w:after="0" w:line="225" w:lineRule="exact"/>
        <w:rPr>
          <w:sz w:val="20"/>
          <w:szCs w:val="20"/>
          <w:color w:val="auto"/>
        </w:rPr>
      </w:pPr>
    </w:p>
    <w:p>
      <w:pPr>
        <w:jc w:val="both"/>
        <w:ind w:firstLine="407"/>
        <w:spacing w:after="0" w:line="255" w:lineRule="auto"/>
        <w:rPr>
          <w:sz w:val="20"/>
          <w:szCs w:val="20"/>
          <w:color w:val="auto"/>
        </w:rPr>
      </w:pPr>
      <w:r>
        <w:rPr>
          <w:rFonts w:ascii="Arial" w:cs="Arial" w:eastAsia="Arial" w:hAnsi="Arial"/>
          <w:sz w:val="18"/>
          <w:szCs w:val="18"/>
          <w:color w:val="auto"/>
        </w:rPr>
        <w:t>Non-employee directors are entitled to receive an annual retainer of $80,000. The amount of the annual retainer was increased from $75,000 to $80,000 in October 2011. Pursuant to our 2008 Director's Compensation Plan (the "DCP"), non-employee directors may elect to take some or their entire annual retainer in the form of cash, shares of Common Stock or deferred rights to receive Common Stock upon termination as a director. During the period from October 1, 2010 to September 30, 2011, Ms. Johnson received 2,854 shares of Common Stock under the DCP in lieu of cash. Employee directors receive no additional or special remuneration for their service as directors.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both"/>
        <w:ind w:firstLine="472"/>
        <w:spacing w:after="0" w:line="268" w:lineRule="auto"/>
        <w:rPr>
          <w:sz w:val="20"/>
          <w:szCs w:val="20"/>
          <w:color w:val="auto"/>
        </w:rPr>
      </w:pPr>
      <w:r>
        <w:rPr>
          <w:rFonts w:ascii="Arial" w:cs="Arial" w:eastAsia="Arial" w:hAnsi="Arial"/>
          <w:sz w:val="18"/>
          <w:szCs w:val="18"/>
          <w:color w:val="auto"/>
        </w:rPr>
        <w:t>Set forth below are the amounts received by directors for their service as committee chair or Presiding Director in fiscal 2011 and the amounts that are expected to be received in fiscal 2012:</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20,000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Governance Committee Chair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Presiding Director</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r>
    </w:tbl>
    <w:p>
      <w:pPr>
        <w:spacing w:after="0" w:line="201" w:lineRule="exact"/>
        <w:rPr>
          <w:sz w:val="20"/>
          <w:szCs w:val="20"/>
          <w:color w:val="auto"/>
        </w:rPr>
      </w:pPr>
    </w:p>
    <w:p>
      <w:pPr>
        <w:jc w:val="both"/>
        <w:ind w:right="20" w:firstLine="375"/>
        <w:spacing w:after="0" w:line="268" w:lineRule="auto"/>
        <w:rPr>
          <w:sz w:val="20"/>
          <w:szCs w:val="20"/>
          <w:color w:val="auto"/>
        </w:rPr>
      </w:pPr>
      <w:r>
        <w:rPr>
          <w:rFonts w:ascii="Arial" w:cs="Arial" w:eastAsia="Arial" w:hAnsi="Arial"/>
          <w:sz w:val="18"/>
          <w:szCs w:val="18"/>
          <w:color w:val="auto"/>
        </w:rPr>
        <w:t>Except for the foregoing, directors do not receive any additional or special remuneration for their service on any of the committees established by the Board of Directors.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reimburse directors for travel and lodging expenses, if any, incurred in connection with attendance at Board of Directors' meetings.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Equity Award</w:t>
      </w:r>
    </w:p>
    <w:p>
      <w:pPr>
        <w:spacing w:after="0" w:line="225" w:lineRule="exact"/>
        <w:rPr>
          <w:sz w:val="20"/>
          <w:szCs w:val="20"/>
          <w:color w:val="auto"/>
        </w:rPr>
      </w:pPr>
    </w:p>
    <w:p>
      <w:pPr>
        <w:jc w:val="both"/>
        <w:ind w:firstLine="506"/>
        <w:spacing w:after="0" w:line="288" w:lineRule="auto"/>
        <w:rPr>
          <w:sz w:val="20"/>
          <w:szCs w:val="20"/>
          <w:color w:val="auto"/>
        </w:rPr>
      </w:pPr>
      <w:r>
        <w:rPr>
          <w:rFonts w:ascii="Arial" w:cs="Arial" w:eastAsia="Arial" w:hAnsi="Arial"/>
          <w:sz w:val="16"/>
          <w:szCs w:val="16"/>
          <w:color w:val="auto"/>
        </w:rPr>
        <w:t>Non-employee directors receive an annual equity award. Since fiscal 2007, the equity award has been exclusively in the form of restricted stock. The "targeted value" for the annual non-employee director equity award is established each year by the Board following discussions with Mercer. From fiscal 2009 through fiscal 2011 the targeted value was $225,000. In October 2011, the Board approved an increase in the targeted value for fiscal 2012 compensation to $240,000. The number of restricted shares awarded to each non-employee director is determined by dividing the applicable targeted value by the Fair Market Value of a share of our stock, as defined under our equity plans, of our Common Stock. For purposes of our equity plans, "Fair Market Value" is the closing price of our Common Stock on the last market-trading day prior to the date of grant. The restrictions on the shares awarded lapse for 50% of such shares on the first anniversary of the date of grant and will lapse for the remaining 50% on the second anniversary of the date of grant (the "Vesting Period"). Notwithstanding the foregoing, the restrictions will lapse for 100% of such shares in the event a director either reaches the mandatory retirement age or retires from the Board during the Vesting Period having achieved a minimum of three years of service with the Board of Directors prior to the effective date of his or her retirement.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following table details the total compensation earned by our non-employee directors in fiscal 2011. (Our fiscal 2011, which ended on September 1, 2011, contained 52 weeks, our fiscal 2010 contained 52 weeks and our fiscal 2009 contained 53 weeks.)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Fees Earned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or Paid in</w:t>
            </w:r>
          </w:p>
        </w:tc>
        <w:tc>
          <w:tcPr>
            <w:tcW w:w="18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Awards(1)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Compensation</w:t>
            </w: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Teruaki Aoki</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82,245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224,998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309,957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James W. Bagley</w:t>
            </w:r>
          </w:p>
        </w:tc>
        <w:tc>
          <w:tcPr>
            <w:tcW w:w="1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w w:val="87"/>
              </w:rPr>
              <w:t>72,245</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224,998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297,243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72,245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Patrick J. Byrne</w:t>
            </w:r>
          </w:p>
        </w:tc>
        <w:tc>
          <w:tcPr>
            <w:tcW w:w="1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w w:val="87"/>
              </w:rPr>
              <w:t>29,932</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115,277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145,209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90,049(3)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Lawrence N. Mondry</w:t>
            </w:r>
          </w:p>
        </w:tc>
        <w:tc>
          <w:tcPr>
            <w:tcW w:w="1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w w:val="87"/>
              </w:rPr>
              <w:t>96,969</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224,998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321,967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74,173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306"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October 11, 2010, each director who was not an employee, other than Mr. Byrne, was granted 29,644 shares of restricted stock or restricted stock units with a grant date fair value of $224,998 ($7.59 per share). Specific amounts expensed for each director vary as a result of the director's holdings, length of service and age. On April 7, 2011, in connection with his appointment to the Board,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ind w:left="531"/>
        <w:spacing w:after="0" w:line="294" w:lineRule="auto"/>
        <w:rPr>
          <w:sz w:val="20"/>
          <w:szCs w:val="20"/>
          <w:color w:val="auto"/>
        </w:rPr>
      </w:pPr>
      <w:r>
        <w:rPr>
          <w:rFonts w:ascii="Arial" w:cs="Arial" w:eastAsia="Arial" w:hAnsi="Arial"/>
          <w:sz w:val="16"/>
          <w:szCs w:val="16"/>
          <w:color w:val="auto"/>
        </w:rPr>
        <w:t>Mr. Byrne was granted 10,256 shares of restricted stock with a grant date fair value of $115,277 ($11.24 per share). Grant date fair values were determined in accordance with Financial Accounting Standards Board Accounting Statements Codification Topic 718 ("ASC 718"). For information on the restrictions associated with these awards, see "Elements of Director Compensation—Equity Awards" above. Any dividends payable with respect to our Common Stock will be payable with respect to all awards of restricted stock. The total number of outstanding restricted shares and options held as of September 1, 2011, for each non-employee director was as follows:</w:t>
      </w:r>
    </w:p>
    <w:p>
      <w:pPr>
        <w:spacing w:after="0" w:line="219" w:lineRule="exact"/>
        <w:rPr>
          <w:sz w:val="20"/>
          <w:szCs w:val="20"/>
          <w:color w:val="auto"/>
        </w:rPr>
      </w:pPr>
    </w:p>
    <w:tbl>
      <w:tblPr>
        <w:tblLayout w:type="fixed"/>
        <w:tblInd w:w="171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w w:val="92"/>
              </w:rPr>
              <w:t>Options*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Restricted Stock</w:t>
            </w: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43,760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Patrick J. Byrne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10,256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43,760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51" w:hanging="539"/>
        <w:spacing w:after="0" w:line="332" w:lineRule="auto"/>
        <w:tabs>
          <w:tab w:leader="none" w:pos="225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options are fully vested and exercisable. Option expiration dates range from September 2011 to September 2013. Prior to fiscal 2005, directors' annual equity awards were comprised exclusively of stock options.</w:t>
      </w:r>
    </w:p>
    <w:p>
      <w:pPr>
        <w:spacing w:after="0" w:line="166" w:lineRule="exact"/>
        <w:rPr>
          <w:sz w:val="20"/>
          <w:szCs w:val="20"/>
          <w:color w:val="auto"/>
        </w:rPr>
      </w:pPr>
    </w:p>
    <w:p>
      <w:pPr>
        <w:ind w:left="2251" w:hanging="539"/>
        <w:spacing w:after="0"/>
        <w:tabs>
          <w:tab w:leader="none" w:pos="22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Dr. Aoki received restricted stock units in lieu of restricted stock.</w:t>
      </w:r>
    </w:p>
    <w:p>
      <w:pPr>
        <w:spacing w:after="0" w:line="238" w:lineRule="exact"/>
        <w:rPr>
          <w:rFonts w:ascii="Arial" w:cs="Arial" w:eastAsia="Arial" w:hAnsi="Arial"/>
          <w:sz w:val="18"/>
          <w:szCs w:val="18"/>
          <w:color w:val="auto"/>
        </w:rPr>
      </w:pPr>
    </w:p>
    <w:p>
      <w:pPr>
        <w:ind w:left="531" w:hanging="531"/>
        <w:spacing w:after="0" w:line="268" w:lineRule="auto"/>
        <w:tabs>
          <w:tab w:leader="none" w:pos="5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amounts incurred to cover tax services provided by Deloitte Touche Tohmatsu Japan ("Deloitte") and the gross-up provided to Dr. Aoki to cover the taxes on the services provided by Deloitte.</w:t>
      </w:r>
    </w:p>
    <w:p>
      <w:pPr>
        <w:spacing w:after="0" w:line="199" w:lineRule="exact"/>
        <w:rPr>
          <w:rFonts w:ascii="Arial" w:cs="Arial" w:eastAsia="Arial" w:hAnsi="Arial"/>
          <w:sz w:val="18"/>
          <w:szCs w:val="18"/>
          <w:color w:val="auto"/>
        </w:rPr>
      </w:pPr>
    </w:p>
    <w:p>
      <w:pPr>
        <w:ind w:left="4471" w:right="80" w:hanging="4471"/>
        <w:spacing w:after="0" w:line="519" w:lineRule="auto"/>
        <w:tabs>
          <w:tab w:leader="none" w:pos="5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paid to Ms. Johnson in fiscal 2011 is comprised of $26,716 (approximately 3,426 shares) paid in stock and $63,333 paid in cash.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-15875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71"/>
          </w:cols>
          <w:pgMar w:left="1389" w:top="131" w:right="239" w:bottom="1440" w:gutter="0" w:footer="0" w:header="0"/>
        </w:sectPr>
      </w:pPr>
    </w:p>
    <w:bookmarkStart w:id="13" w:name="page14"/>
    <w:bookmarkEnd w:id="13"/>
    <w:p>
      <w:pPr>
        <w:ind w:left="446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firstLine="375"/>
        <w:spacing w:after="0" w:line="286" w:lineRule="auto"/>
        <w:rPr>
          <w:sz w:val="20"/>
          <w:szCs w:val="20"/>
          <w:color w:val="auto"/>
        </w:rPr>
      </w:pPr>
      <w:r>
        <w:rPr>
          <w:rFonts w:ascii="Arial" w:cs="Arial" w:eastAsia="Arial" w:hAnsi="Arial"/>
          <w:sz w:val="16"/>
          <w:szCs w:val="16"/>
          <w:color w:val="auto"/>
        </w:rPr>
        <w:t>The following table sets forth security ownership information of our Common Stock as of the Record Date (November 28, 2011), based on the most current information provided to us by the beneficial owners, available to us from our own records or provided in SEC filings made by the beneficial owners, for</w:t>
      </w:r>
    </w:p>
    <w:p>
      <w:pPr>
        <w:ind w:right="20" w:firstLine="8"/>
        <w:spacing w:after="0" w:line="261" w:lineRule="auto"/>
        <w:tabs>
          <w:tab w:leader="none" w:pos="2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known by us to own beneficially more than 5% of our Common Stock, (ii) each director, (iii) each Named Executive Officer listed in the "Summary Compensation Table" set forth herein, and (iv) all directors and executive officers as a group:</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61"/>
        </w:trPr>
        <w:tc>
          <w:tcPr>
            <w:tcW w:w="430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18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Shares Owned(1)</w:t>
            </w:r>
          </w:p>
        </w:tc>
        <w:tc>
          <w:tcPr>
            <w:tcW w:w="160" w:type="dxa"/>
            <w:vAlign w:val="bottom"/>
          </w:tcPr>
          <w:p>
            <w:pPr>
              <w:spacing w:after="0"/>
              <w:rPr>
                <w:sz w:val="14"/>
                <w:szCs w:val="14"/>
                <w:color w:val="auto"/>
              </w:rPr>
            </w:pPr>
          </w:p>
        </w:tc>
        <w:tc>
          <w:tcPr>
            <w:tcW w:w="1300" w:type="dxa"/>
            <w:vAlign w:val="bottom"/>
          </w:tcPr>
          <w:p>
            <w:pPr>
              <w:jc w:val="right"/>
              <w:ind w:right="15"/>
              <w:spacing w:after="0"/>
              <w:rPr>
                <w:sz w:val="20"/>
                <w:szCs w:val="20"/>
                <w:color w:val="auto"/>
              </w:rPr>
            </w:pPr>
            <w:r>
              <w:rPr>
                <w:rFonts w:ascii="Arial" w:cs="Arial" w:eastAsia="Arial" w:hAnsi="Arial"/>
                <w:sz w:val="14"/>
                <w:szCs w:val="14"/>
                <w:b w:val="1"/>
                <w:bCs w:val="1"/>
                <w:color w:val="auto"/>
                <w:w w:val="93"/>
              </w:rPr>
              <w:t>Right to Acquire(2)</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Class(3)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FMR LLC(4)</w:t>
            </w:r>
          </w:p>
        </w:tc>
        <w:tc>
          <w:tcPr>
            <w:tcW w:w="178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149,963,809</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194,963,809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82 Devonshire Street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Boston, MA 02109</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300" w:type="dxa"/>
            <w:vAlign w:val="bottom"/>
            <w:gridSpan w:val="4"/>
          </w:tcPr>
          <w:p>
            <w:pPr>
              <w:spacing w:after="0"/>
              <w:rPr>
                <w:sz w:val="20"/>
                <w:szCs w:val="20"/>
                <w:color w:val="auto"/>
              </w:rPr>
            </w:pPr>
            <w:r>
              <w:rPr>
                <w:rFonts w:ascii="Arial" w:cs="Arial" w:eastAsia="Arial" w:hAnsi="Arial"/>
                <w:sz w:val="18"/>
                <w:szCs w:val="18"/>
                <w:color w:val="auto"/>
              </w:rPr>
              <w:t>BlackRock, Inc.(5)</w:t>
            </w:r>
          </w:p>
        </w:tc>
        <w:tc>
          <w:tcPr>
            <w:tcW w:w="1180" w:type="dxa"/>
            <w:vAlign w:val="bottom"/>
          </w:tcPr>
          <w:p>
            <w:pPr>
              <w:jc w:val="right"/>
              <w:spacing w:after="0"/>
              <w:rPr>
                <w:sz w:val="20"/>
                <w:szCs w:val="20"/>
                <w:color w:val="auto"/>
              </w:rPr>
            </w:pPr>
            <w:r>
              <w:rPr>
                <w:rFonts w:ascii="Arial" w:cs="Arial" w:eastAsia="Arial" w:hAnsi="Arial"/>
                <w:sz w:val="18"/>
                <w:szCs w:val="18"/>
                <w:color w:val="auto"/>
              </w:rPr>
              <w:t>59,133,763</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59,133,763</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80" w:type="dxa"/>
            <w:vAlign w:val="bottom"/>
            <w:gridSpan w:val="3"/>
          </w:tcPr>
          <w:p>
            <w:pPr>
              <w:ind w:left="120"/>
              <w:spacing w:after="0" w:line="255" w:lineRule="exact"/>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ind w:left="120"/>
              <w:spacing w:after="0"/>
              <w:rPr>
                <w:sz w:val="20"/>
                <w:szCs w:val="20"/>
                <w:color w:val="auto"/>
              </w:rPr>
            </w:pPr>
            <w:r>
              <w:rPr>
                <w:rFonts w:ascii="Arial" w:cs="Arial" w:eastAsia="Arial" w:hAnsi="Arial"/>
                <w:sz w:val="18"/>
                <w:szCs w:val="18"/>
                <w:color w:val="auto"/>
              </w:rPr>
              <w:t>New York, NY 10022</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Teruaki Aoki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300" w:type="dxa"/>
            <w:vAlign w:val="bottom"/>
            <w:gridSpan w:val="4"/>
          </w:tcPr>
          <w:p>
            <w:pPr>
              <w:spacing w:after="0"/>
              <w:rPr>
                <w:sz w:val="20"/>
                <w:szCs w:val="20"/>
                <w:color w:val="auto"/>
              </w:rPr>
            </w:pPr>
            <w:r>
              <w:rPr>
                <w:rFonts w:ascii="Arial" w:cs="Arial" w:eastAsia="Arial" w:hAnsi="Arial"/>
                <w:sz w:val="18"/>
                <w:szCs w:val="18"/>
                <w:color w:val="auto"/>
              </w:rPr>
              <w:t>Steven R. Appleton(6)</w:t>
            </w:r>
          </w:p>
        </w:tc>
        <w:tc>
          <w:tcPr>
            <w:tcW w:w="1180" w:type="dxa"/>
            <w:vAlign w:val="bottom"/>
          </w:tcPr>
          <w:p>
            <w:pPr>
              <w:jc w:val="right"/>
              <w:spacing w:after="0"/>
              <w:rPr>
                <w:sz w:val="20"/>
                <w:szCs w:val="20"/>
                <w:color w:val="auto"/>
              </w:rPr>
            </w:pPr>
            <w:r>
              <w:rPr>
                <w:rFonts w:ascii="Arial" w:cs="Arial" w:eastAsia="Arial" w:hAnsi="Arial"/>
                <w:sz w:val="18"/>
                <w:szCs w:val="18"/>
                <w:color w:val="auto"/>
              </w:rPr>
              <w:t>2,430,286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2,457,750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4,888,036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300" w:type="dxa"/>
            <w:vAlign w:val="bottom"/>
            <w:gridSpan w:val="4"/>
          </w:tcPr>
          <w:p>
            <w:pPr>
              <w:spacing w:after="0"/>
              <w:rPr>
                <w:sz w:val="20"/>
                <w:szCs w:val="20"/>
                <w:color w:val="auto"/>
              </w:rPr>
            </w:pPr>
            <w:r>
              <w:rPr>
                <w:rFonts w:ascii="Arial" w:cs="Arial" w:eastAsia="Arial" w:hAnsi="Arial"/>
                <w:sz w:val="18"/>
                <w:szCs w:val="18"/>
                <w:color w:val="auto"/>
              </w:rPr>
              <w:t>Robert L. Bailey</w:t>
            </w:r>
          </w:p>
        </w:tc>
        <w:tc>
          <w:tcPr>
            <w:tcW w:w="1180" w:type="dxa"/>
            <w:vAlign w:val="bottom"/>
          </w:tcPr>
          <w:p>
            <w:pPr>
              <w:jc w:val="right"/>
              <w:spacing w:after="0"/>
              <w:rPr>
                <w:sz w:val="20"/>
                <w:szCs w:val="20"/>
                <w:color w:val="auto"/>
              </w:rPr>
            </w:pPr>
            <w:r>
              <w:rPr>
                <w:rFonts w:ascii="Arial" w:cs="Arial" w:eastAsia="Arial" w:hAnsi="Arial"/>
                <w:sz w:val="18"/>
                <w:szCs w:val="18"/>
                <w:color w:val="auto"/>
              </w:rPr>
              <w:t>130,086</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130,086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Patrick J. Byrne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56,409</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300" w:type="dxa"/>
            <w:vAlign w:val="bottom"/>
            <w:gridSpan w:val="4"/>
          </w:tcPr>
          <w:p>
            <w:pPr>
              <w:spacing w:after="0"/>
              <w:rPr>
                <w:sz w:val="20"/>
                <w:szCs w:val="20"/>
                <w:color w:val="auto"/>
              </w:rPr>
            </w:pPr>
            <w:r>
              <w:rPr>
                <w:rFonts w:ascii="Arial" w:cs="Arial" w:eastAsia="Arial" w:hAnsi="Arial"/>
                <w:sz w:val="18"/>
                <w:szCs w:val="18"/>
                <w:color w:val="auto"/>
              </w:rPr>
              <w:t>D. Mark Durcan(7)</w:t>
            </w:r>
          </w:p>
        </w:tc>
        <w:tc>
          <w:tcPr>
            <w:tcW w:w="1180" w:type="dxa"/>
            <w:vAlign w:val="bottom"/>
          </w:tcPr>
          <w:p>
            <w:pPr>
              <w:jc w:val="right"/>
              <w:spacing w:after="0"/>
              <w:rPr>
                <w:sz w:val="20"/>
                <w:szCs w:val="20"/>
                <w:color w:val="auto"/>
              </w:rPr>
            </w:pPr>
            <w:r>
              <w:rPr>
                <w:rFonts w:ascii="Arial" w:cs="Arial" w:eastAsia="Arial" w:hAnsi="Arial"/>
                <w:sz w:val="18"/>
                <w:szCs w:val="18"/>
                <w:color w:val="auto"/>
              </w:rPr>
              <w:t>1,527,333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1,445,750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2,973,083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608,259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775,250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1,383,509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300" w:type="dxa"/>
            <w:vAlign w:val="bottom"/>
            <w:gridSpan w:val="4"/>
          </w:tcPr>
          <w:p>
            <w:pPr>
              <w:spacing w:after="0"/>
              <w:rPr>
                <w:sz w:val="20"/>
                <w:szCs w:val="20"/>
                <w:color w:val="auto"/>
              </w:rPr>
            </w:pPr>
            <w:r>
              <w:rPr>
                <w:rFonts w:ascii="Arial" w:cs="Arial" w:eastAsia="Arial" w:hAnsi="Arial"/>
                <w:sz w:val="18"/>
                <w:szCs w:val="18"/>
                <w:color w:val="auto"/>
              </w:rPr>
              <w:t>Mercedes Johnson</w:t>
            </w:r>
          </w:p>
        </w:tc>
        <w:tc>
          <w:tcPr>
            <w:tcW w:w="1180" w:type="dxa"/>
            <w:vAlign w:val="bottom"/>
          </w:tcPr>
          <w:p>
            <w:pPr>
              <w:jc w:val="right"/>
              <w:spacing w:after="0"/>
              <w:rPr>
                <w:sz w:val="20"/>
                <w:szCs w:val="20"/>
                <w:color w:val="auto"/>
              </w:rPr>
            </w:pPr>
            <w:r>
              <w:rPr>
                <w:rFonts w:ascii="Arial" w:cs="Arial" w:eastAsia="Arial" w:hAnsi="Arial"/>
                <w:sz w:val="18"/>
                <w:szCs w:val="18"/>
                <w:color w:val="auto"/>
              </w:rPr>
              <w:t>170,591</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170,591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Mario Licciardello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300" w:type="dxa"/>
            <w:vAlign w:val="bottom"/>
            <w:gridSpan w:val="4"/>
          </w:tcPr>
          <w:p>
            <w:pPr>
              <w:spacing w:after="0"/>
              <w:rPr>
                <w:sz w:val="20"/>
                <w:szCs w:val="20"/>
                <w:color w:val="auto"/>
              </w:rPr>
            </w:pPr>
            <w:r>
              <w:rPr>
                <w:rFonts w:ascii="Arial" w:cs="Arial" w:eastAsia="Arial" w:hAnsi="Arial"/>
                <w:sz w:val="18"/>
                <w:szCs w:val="18"/>
                <w:color w:val="auto"/>
              </w:rPr>
              <w:t>Lawrence N. Mondry</w:t>
            </w:r>
          </w:p>
        </w:tc>
        <w:tc>
          <w:tcPr>
            <w:tcW w:w="1180" w:type="dxa"/>
            <w:vAlign w:val="bottom"/>
          </w:tcPr>
          <w:p>
            <w:pPr>
              <w:jc w:val="right"/>
              <w:spacing w:after="0"/>
              <w:rPr>
                <w:sz w:val="20"/>
                <w:szCs w:val="20"/>
                <w:color w:val="auto"/>
              </w:rPr>
            </w:pPr>
            <w:r>
              <w:rPr>
                <w:rFonts w:ascii="Arial" w:cs="Arial" w:eastAsia="Arial" w:hAnsi="Arial"/>
                <w:sz w:val="18"/>
                <w:szCs w:val="18"/>
                <w:color w:val="auto"/>
              </w:rPr>
              <w:t>195,169</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195,169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415,391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642,750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1,058,141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300" w:type="dxa"/>
            <w:vAlign w:val="bottom"/>
            <w:gridSpan w:val="4"/>
          </w:tcPr>
          <w:p>
            <w:pPr>
              <w:spacing w:after="0"/>
              <w:rPr>
                <w:sz w:val="20"/>
                <w:szCs w:val="20"/>
                <w:color w:val="auto"/>
              </w:rPr>
            </w:pPr>
            <w:r>
              <w:rPr>
                <w:rFonts w:ascii="Arial" w:cs="Arial" w:eastAsia="Arial" w:hAnsi="Arial"/>
                <w:sz w:val="18"/>
                <w:szCs w:val="18"/>
                <w:color w:val="auto"/>
              </w:rPr>
              <w:t>Robert E. Switz</w:t>
            </w:r>
          </w:p>
        </w:tc>
        <w:tc>
          <w:tcPr>
            <w:tcW w:w="1180" w:type="dxa"/>
            <w:vAlign w:val="bottom"/>
          </w:tcPr>
          <w:p>
            <w:pPr>
              <w:jc w:val="right"/>
              <w:spacing w:after="0"/>
              <w:rPr>
                <w:sz w:val="20"/>
                <w:szCs w:val="20"/>
                <w:color w:val="auto"/>
              </w:rPr>
            </w:pPr>
            <w:r>
              <w:rPr>
                <w:rFonts w:ascii="Arial" w:cs="Arial" w:eastAsia="Arial" w:hAnsi="Arial"/>
                <w:sz w:val="18"/>
                <w:szCs w:val="18"/>
                <w:color w:val="auto"/>
              </w:rPr>
              <w:t>142,044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146,419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w:t>
            </w: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persons)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8,439,029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7,902,466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16,341,495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252" w:lineRule="exact"/>
        <w:rPr>
          <w:sz w:val="20"/>
          <w:szCs w:val="20"/>
          <w:color w:val="auto"/>
        </w:rPr>
      </w:pPr>
    </w:p>
    <w:p>
      <w:pPr>
        <w:ind w:left="1680" w:hanging="531"/>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 November 28, 2011.</w:t>
      </w:r>
    </w:p>
    <w:p>
      <w:pPr>
        <w:spacing w:after="0" w:line="238"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FMR LLC has sole power to vote as to 1,383,510 shares and sole power to dispose or direct the disposition of 149,963,809 shares. This information was taken from Schedule 13G dated February 11, 2011.</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BlackRock Inc. has sole voting and dispositive power as to 59,133,763 shares. This information was taken from Schedule 13G dated December 31, 2010.</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61,000 shares beneficially owned by Mesa L.P.</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284,653 shares beneficially owned by C &amp; E Partners L.P. and 3,101 shares beneficially owned by Mr. Durcan's spouse.</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ectPr>
          <w:pgSz w:w="11900" w:h="16838" w:orient="portrait"/>
          <w:cols w:equalWidth="0" w:num="1">
            <w:col w:w="11420"/>
          </w:cols>
          <w:pgMar w:left="240" w:top="341" w:right="239" w:bottom="92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927"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jc w:val="both"/>
        <w:ind w:firstLine="651"/>
        <w:spacing w:after="0" w:line="259"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Steven R. Appleton, our Chief Executive Officer;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 Mark Durcan, our President and Chief Operating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Ronald C. Foster, our Chief Financial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Mario Licciardello, our Vice President of Wireless Solutions;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Brian M. Shirley, our Vice President of DRAM Solutions.</w:t>
      </w:r>
    </w:p>
    <w:p>
      <w:pPr>
        <w:spacing w:after="0" w:line="225" w:lineRule="exact"/>
        <w:rPr>
          <w:sz w:val="20"/>
          <w:szCs w:val="20"/>
          <w:color w:val="auto"/>
        </w:rPr>
      </w:pPr>
    </w:p>
    <w:p>
      <w:pPr>
        <w:jc w:val="both"/>
        <w:ind w:firstLine="359"/>
        <w:spacing w:after="0" w:line="268" w:lineRule="auto"/>
        <w:rPr>
          <w:sz w:val="20"/>
          <w:szCs w:val="20"/>
          <w:color w:val="auto"/>
        </w:rPr>
      </w:pPr>
      <w:r>
        <w:rPr>
          <w:rFonts w:ascii="Arial" w:cs="Arial" w:eastAsia="Arial" w:hAnsi="Arial"/>
          <w:sz w:val="18"/>
          <w:szCs w:val="18"/>
          <w:color w:val="auto"/>
        </w:rPr>
        <w:t>Throughout this discussion, the foregoing individuals, who are also named in the "Fiscal 2011 Summary Compensation Table" are referred to as our "Named Executive Officers" and the Compensation Committee of the Board of Directors is referred to as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25"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that align the interests of executives with those of our shareholders. We also use time-based stock options, the value of which is directly tied to stock price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2011 Financial Highlights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financial information for fiscal years 2011, 2010 and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gridSpan w:val="8"/>
          </w:tcPr>
          <w:p>
            <w:pPr>
              <w:jc w:val="right"/>
              <w:ind w:right="600"/>
              <w:spacing w:after="0" w:line="142" w:lineRule="exact"/>
              <w:rPr>
                <w:sz w:val="20"/>
                <w:szCs w:val="20"/>
                <w:color w:val="auto"/>
              </w:rPr>
            </w:pPr>
            <w:r>
              <w:rPr>
                <w:rFonts w:ascii="Arial" w:cs="Arial" w:eastAsia="Arial" w:hAnsi="Arial"/>
                <w:sz w:val="14"/>
                <w:szCs w:val="14"/>
                <w:b w:val="1"/>
                <w:bCs w:val="1"/>
                <w:color w:val="auto"/>
                <w:w w:val="96"/>
              </w:rPr>
              <w:t>(in millions, except per share data)</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(1,676)</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bl>
    <w:p>
      <w:pPr>
        <w:spacing w:after="0" w:line="215" w:lineRule="exact"/>
        <w:rPr>
          <w:sz w:val="20"/>
          <w:szCs w:val="20"/>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fiscal 2011, our revenue grew 4% to approximately $8.8 billion, despite a 39% drop in average selling prices for DRAM products and 17% drop in average selling prices for NAND products.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fiscal 2011, we reorganized our business to better align with the markets we serve. After the reorganization we have the following reportable segments: DRAM Solutions Group (DSG), NAND Solutions Group (NSG), Wireless Solution Group (WSG) and Embedded Solutions Group (ESG).</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one of the strongest balance sheets in our industry. During fiscal 2011 we maintained strong liquidity and reduced outstanding debt by 15%. We were also upgraded twice by Standard &amp; Poor's.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continued our efforts to monetize our intellectual property and received $316 million in fiscal 2011 for licensing fees.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a result of our diversification efforts, in the fourth quarter of fiscal 2011, our NAND revenue exceeded our DRAM revenue for the first time.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successfully integrated the global operations we acquired from Numonyx Holdings B.V. ("Numonyx") in May 2010.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After the end of the fiscal year, we prevailed in our antitrust litigation against Rambus, Inc. and were found not liable for any claims.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2011 Compensation Highlights</w:t>
      </w:r>
    </w:p>
    <w:p>
      <w:pPr>
        <w:spacing w:after="0" w:line="252" w:lineRule="exact"/>
        <w:rPr>
          <w:sz w:val="20"/>
          <w:szCs w:val="20"/>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October 2010, the Committee set compensation levels and performance goals for fiscal 2011 based on a review of financial results, projections, individual contributions, strategic objectives and Market Data (as defined below).</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a result of this review, the base salaries for Messrs. Durcan and Foster were increased to bring them in line with the market median. None of the Named Executive Officers received an increase in their targeted short-term incentive compensation or long-term equity incentive compensation as those targets were consistent with the market median.</w:t>
      </w:r>
    </w:p>
    <w:p>
      <w:pPr>
        <w:spacing w:after="0" w:line="207" w:lineRule="exact"/>
        <w:rPr>
          <w:rFonts w:ascii="Arial" w:cs="Arial" w:eastAsia="Arial" w:hAnsi="Arial"/>
          <w:sz w:val="18"/>
          <w:szCs w:val="18"/>
          <w:color w:val="auto"/>
        </w:rPr>
      </w:pPr>
    </w:p>
    <w:p>
      <w:pPr>
        <w:jc w:val="both"/>
        <w:ind w:left="1620" w:hanging="532"/>
        <w:spacing w:after="0" w:line="256"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performance goals used for our short-term incentives were selected due to their correlation to the creation of shareholder value and their alignment with our strategic objectives. For fiscal 2011, our corporate goals were tied to cash management, selling, general and administrative expenses ("SG&amp;A") and customer delivery requirements. We also had goals tied to each of our newly established business units.</w:t>
      </w:r>
    </w:p>
    <w:p>
      <w:pPr>
        <w:spacing w:after="0" w:line="224"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our Named Executive Officers for fiscal 2011:</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Short-term</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Long-term</w:t>
            </w: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Base Salary</w:t>
            </w:r>
          </w:p>
        </w:tc>
        <w:tc>
          <w:tcPr>
            <w:tcW w:w="160" w:type="dxa"/>
            <w:vAlign w:val="bottom"/>
          </w:tcPr>
          <w:p>
            <w:pPr>
              <w:spacing w:after="0"/>
              <w:rPr>
                <w:sz w:val="14"/>
                <w:szCs w:val="14"/>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Incentive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88"/>
              </w:rPr>
              <w:t>11%</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8"/>
              </w:rPr>
              <w:t>16%</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73%</w:t>
            </w: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 Mark Durcan</w:t>
            </w:r>
          </w:p>
        </w:tc>
        <w:tc>
          <w:tcPr>
            <w:tcW w:w="840" w:type="dxa"/>
            <w:vAlign w:val="bottom"/>
          </w:tcPr>
          <w:p>
            <w:pPr>
              <w:ind w:left="660"/>
              <w:spacing w:after="0"/>
              <w:rPr>
                <w:sz w:val="20"/>
                <w:szCs w:val="20"/>
                <w:color w:val="auto"/>
              </w:rPr>
            </w:pPr>
            <w:r>
              <w:rPr>
                <w:rFonts w:ascii="Arial" w:cs="Arial" w:eastAsia="Arial" w:hAnsi="Arial"/>
                <w:sz w:val="18"/>
                <w:szCs w:val="18"/>
                <w:color w:val="auto"/>
                <w:w w:val="79"/>
              </w:rPr>
              <w:t>15</w:t>
            </w:r>
          </w:p>
        </w:tc>
        <w:tc>
          <w:tcPr>
            <w:tcW w:w="16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79"/>
              </w:rPr>
              <w:t>17</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79"/>
              </w:rPr>
              <w:t>68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67</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Mario Licciardello</w:t>
            </w:r>
          </w:p>
        </w:tc>
        <w:tc>
          <w:tcPr>
            <w:tcW w:w="840" w:type="dxa"/>
            <w:vAlign w:val="bottom"/>
          </w:tcPr>
          <w:p>
            <w:pPr>
              <w:ind w:left="660"/>
              <w:spacing w:after="0"/>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79"/>
              </w:rPr>
              <w:t>58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67</w:t>
            </w:r>
          </w:p>
        </w:tc>
        <w:tc>
          <w:tcPr>
            <w:tcW w:w="180" w:type="dxa"/>
            <w:vAlign w:val="bottom"/>
            <w:shd w:val="clear" w:color="auto" w:fill="CCEEFF"/>
          </w:tcPr>
          <w:p>
            <w:pPr>
              <w:spacing w:after="0"/>
              <w:rPr>
                <w:sz w:val="18"/>
                <w:szCs w:val="18"/>
                <w:color w:val="auto"/>
              </w:rPr>
            </w:pPr>
          </w:p>
        </w:tc>
      </w:tr>
    </w:tbl>
    <w:p>
      <w:pPr>
        <w:spacing w:after="0" w:line="221" w:lineRule="exact"/>
        <w:rPr>
          <w:sz w:val="20"/>
          <w:szCs w:val="20"/>
          <w:color w:val="auto"/>
        </w:rPr>
      </w:pPr>
    </w:p>
    <w:p>
      <w:pPr>
        <w:jc w:val="both"/>
        <w:ind w:left="1620" w:hanging="532"/>
        <w:spacing w:after="0" w:line="256"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our long-term equity incentives, we use stock options, time-based restricted stock and performance-based restricted stock. For the performance-based restricted stock, we use a performance goal tied to Return on Assets ("ROA"). ROA is an indicator of how profitable a company is relative to its total assets and is calculated by dividing annual earnings by total assets. ROA is a measure of how efficient we are at using our assets to generate earnings.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CEO Compensation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Committee did not change the elements or amounts of Mr. Appleton's compensation from fiscal 2010 to fiscal 2011.</w:t>
      </w:r>
    </w:p>
    <w:p>
      <w:pPr>
        <w:spacing w:after="0" w:line="238"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From fiscal 2009 to fiscal 2011, our revenue increased from $4.8 billion to $8.5 billion to $8.8 billion. During the same period, Mr. Appleton's total compensation (as reported in the Fiscal 2011 Summary Compensation Table) went from $8.2 million to $9.8 million to $8.6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6" w:name="page17"/>
    <w:bookmarkEnd w:id="16"/>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October 2011, the Committee reviewed performance goals and results for fiscal 2011 and approved the Executive Officer Performance Incentive Plan ("EIP") payments indentified in Fiscal 2011 Summary Compensation Table. The average payout for fiscal 2011 bonuses under the EIP for our Named Executive Officers was 63% of target.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5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EIP is performance-based and we have no history of changing performance metrics mid-cycle.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offer limited perquisites to our Named Executive Officers and we do not offer any special retirement benefits for our Named Executive Officers other than participation in a our retirement plans on the same basis as other employees.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have agreements with our officers that provide tax gross-up protection for change in control excise taxes.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equity incentive plans prohibit repricing of options or SARs (directly or indirectly) without prior shareholder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insider trading policy prohibits our officers and directors from engaging in hedging activities involving our stock.</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established stock ownership guidelines for our directors and officers. For fiscal 2011, all officers and directors were in compliance with the guidelines.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31" w:lineRule="exact"/>
        <w:rPr>
          <w:sz w:val="20"/>
          <w:szCs w:val="20"/>
          <w:color w:val="auto"/>
        </w:rPr>
      </w:pPr>
    </w:p>
    <w:p>
      <w:pPr>
        <w:jc w:val="both"/>
        <w:ind w:firstLine="426"/>
        <w:spacing w:after="0" w:line="294" w:lineRule="auto"/>
        <w:rPr>
          <w:sz w:val="20"/>
          <w:szCs w:val="20"/>
          <w:color w:val="auto"/>
        </w:rPr>
      </w:pPr>
      <w:r>
        <w:rPr>
          <w:rFonts w:ascii="Arial" w:cs="Arial" w:eastAsia="Arial" w:hAnsi="Arial"/>
          <w:sz w:val="16"/>
          <w:szCs w:val="16"/>
          <w:color w:val="auto"/>
        </w:rPr>
        <w:t>Our executive compensation program is administered by the Committee, which is comprised of Dr. Aoki and Messrs. Byrne and Mondry.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this evaluation. The Committee also reviews the evaluation process and compensation structure for our other officers, including the other Named Executive Officers, and approves their compensation.</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6"/>
          <w:szCs w:val="16"/>
          <w:i w:val="1"/>
          <w:iCs w:val="1"/>
          <w:color w:val="auto"/>
        </w:rPr>
        <w:t>www.micron.com</w:t>
      </w:r>
      <w:r>
        <w:rPr>
          <w:rFonts w:ascii="Arial" w:cs="Arial" w:eastAsia="Arial" w:hAnsi="Arial"/>
          <w:sz w:val="16"/>
          <w:szCs w:val="16"/>
          <w:color w:val="auto"/>
        </w:rPr>
        <w:t>) in the governance section.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Governance—Compensation Consultant" on page 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31"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 xml:space="preserve">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 What is "reasonable" and "competitive" is gauged against the Market Data (as defined below) and reviewed by the Committee for each of the primary elements of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i w:val="1"/>
          <w:iCs w:val="1"/>
          <w:color w:val="auto"/>
        </w:rPr>
        <w:t>Reasonable</w:t>
      </w:r>
    </w:p>
    <w:p>
      <w:pPr>
        <w:spacing w:after="0" w:line="226" w:lineRule="exact"/>
        <w:rPr>
          <w:sz w:val="20"/>
          <w:szCs w:val="20"/>
          <w:color w:val="auto"/>
        </w:rPr>
      </w:pPr>
    </w:p>
    <w:p>
      <w:pPr>
        <w:jc w:val="both"/>
        <w:ind w:firstLine="370"/>
        <w:spacing w:after="0" w:line="222" w:lineRule="auto"/>
        <w:rPr>
          <w:sz w:val="20"/>
          <w:szCs w:val="20"/>
          <w:color w:val="auto"/>
        </w:rPr>
      </w:pPr>
      <w:r>
        <w:rPr>
          <w:rFonts w:ascii="Arial" w:cs="Arial" w:eastAsia="Arial" w:hAnsi="Arial"/>
          <w:sz w:val="18"/>
          <w:szCs w:val="18"/>
          <w:color w:val="auto"/>
        </w:rPr>
        <w:t>As an indication of reasonableness, the Committee typically looks to the Market Data median and reviews values at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We believe it is important to retain flexibility in determining the compensation of our officers and, when appropriate, to deviate from the Market Data median due to factors such as:</w:t>
      </w:r>
    </w:p>
    <w:p>
      <w:pPr>
        <w:spacing w:after="0" w:line="226"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past and anticipated contributions by an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186"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jc w:val="both"/>
        <w:ind w:right="20" w:firstLine="549"/>
        <w:spacing w:after="0" w:line="268"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incentive compensation (stock options and restricted stock).</w:t>
      </w:r>
    </w:p>
    <w:p>
      <w:pPr>
        <w:spacing w:after="0" w:line="225" w:lineRule="exact"/>
        <w:rPr>
          <w:sz w:val="20"/>
          <w:szCs w:val="20"/>
          <w:color w:val="auto"/>
        </w:rPr>
      </w:pPr>
    </w:p>
    <w:p>
      <w:pPr>
        <w:jc w:val="both"/>
        <w:ind w:firstLine="415"/>
        <w:spacing w:after="0" w:line="275" w:lineRule="auto"/>
        <w:rPr>
          <w:sz w:val="20"/>
          <w:szCs w:val="20"/>
          <w:color w:val="auto"/>
        </w:rPr>
      </w:pPr>
      <w:r>
        <w:rPr>
          <w:rFonts w:ascii="Arial" w:cs="Arial" w:eastAsia="Arial" w:hAnsi="Arial"/>
          <w:sz w:val="17"/>
          <w:szCs w:val="17"/>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 executives' interests with those of our shareholders. Additionally, although the Committee reviews total direct compensation, which is the sum of base salary, short-term incentive and long-term incentive compensation for the Named Executive Officers, it does not have a fixed objective with respect to such total direct compensation. For fiscal 2011, the total direct compensation approved by the Committee with respect to our Named Executive Officers was within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range.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31"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The Committee reviews the compensation of our executive officers on an annual basis and sets compensation levels at the beginning of each fiscal year. As part of this process, the Committee reviews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both"/>
        <w:spacing w:after="0" w:line="306" w:lineRule="auto"/>
        <w:rPr>
          <w:sz w:val="20"/>
          <w:szCs w:val="20"/>
          <w:color w:val="auto"/>
        </w:rPr>
      </w:pPr>
      <w:r>
        <w:rPr>
          <w:rFonts w:ascii="Arial" w:cs="Arial" w:eastAsia="Arial" w:hAnsi="Arial"/>
          <w:sz w:val="16"/>
          <w:szCs w:val="16"/>
          <w:color w:val="auto"/>
        </w:rPr>
        <w:t>financial results for the year just ended, projections for future periods, our strategic business plan and the Market Data provided by Mercer. The Committee also works with our CEO to establish performance goals that further our strategic objectives, which include keeping costs down, providing innovative products and memory solutions, improving our sales channel, growing our non-memory businesses and being a technology leader.</w:t>
      </w:r>
    </w:p>
    <w:p>
      <w:pPr>
        <w:spacing w:after="0" w:line="162" w:lineRule="exact"/>
        <w:rPr>
          <w:sz w:val="20"/>
          <w:szCs w:val="20"/>
          <w:color w:val="auto"/>
        </w:rPr>
      </w:pPr>
    </w:p>
    <w:p>
      <w:pPr>
        <w:jc w:val="both"/>
        <w:ind w:firstLine="398"/>
        <w:spacing w:after="0" w:line="251" w:lineRule="auto"/>
        <w:rPr>
          <w:sz w:val="20"/>
          <w:szCs w:val="20"/>
          <w:color w:val="auto"/>
        </w:rPr>
      </w:pPr>
      <w:r>
        <w:rPr>
          <w:rFonts w:ascii="Arial" w:cs="Arial" w:eastAsia="Arial" w:hAnsi="Arial"/>
          <w:sz w:val="17"/>
          <w:szCs w:val="17"/>
          <w:color w:val="auto"/>
        </w:rPr>
        <w:t>Mercer reviews the most recent available data and identifies the Market Data values for the 25</w:t>
      </w:r>
      <w:r>
        <w:rPr>
          <w:rFonts w:ascii="Arial" w:cs="Arial" w:eastAsia="Arial" w:hAnsi="Arial"/>
          <w:sz w:val="28"/>
          <w:szCs w:val="28"/>
          <w:color w:val="auto"/>
          <w:vertAlign w:val="superscript"/>
        </w:rPr>
        <w:t>th</w:t>
      </w:r>
      <w:r>
        <w:rPr>
          <w:rFonts w:ascii="Arial" w:cs="Arial" w:eastAsia="Arial" w:hAnsi="Arial"/>
          <w:sz w:val="17"/>
          <w:szCs w:val="17"/>
          <w:color w:val="auto"/>
        </w:rPr>
        <w: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(i.e. median)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with respect to each position or rank. Mercer compares our compensation data, both as to elements and amounts to be paid or potential value to be delivered, with that of the Market Data and reports its findings to the CEO and the Committee chair.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Named Executive Officers other than himself. He makes no recommendations as to his own level of compensation.</w:t>
      </w:r>
    </w:p>
    <w:p>
      <w:pPr>
        <w:spacing w:after="0" w:line="205"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2011 base salaries</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service. At the completion of fiscal 2010, the Market Data showed that the base salaries of all of the Named Executive Officers ranged from 8% below the median for their positions or ranks to 16% above. The Committee determined, following a recommendation by the CEO and upon review by Mercer, to change the base salary for Mr. Durcan and Mr. Foster to bring them in line with the market median. The base salaries of the other Named Executive Officers were unchanged.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2011 short-term incentive awards</w:t>
      </w:r>
    </w:p>
    <w:p>
      <w:pPr>
        <w:spacing w:after="0" w:line="225"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161"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6"/>
          <w:szCs w:val="16"/>
          <w:color w:val="auto"/>
        </w:rPr>
        <w:t>Annual short-term incentive awards are paid in cash to our officers under the Executive Officer Performance Incentive Plan ("EIP"). The short-term incentive "opportunity" ("Target Award") for each officer is stated in terms of a specified percentage of such officer's base salary and is designed to reward participants for the achievement of specified short-term business-unit and/or Company-wide financial, operational or strategic goals. The Committee believes the pre-determined goals, regardless of whether tied to business unit or Company-wide performance, promote our long-term success and shareholder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firstLine="469"/>
        <w:spacing w:after="0" w:line="268" w:lineRule="auto"/>
        <w:rPr>
          <w:sz w:val="20"/>
          <w:szCs w:val="20"/>
          <w:color w:val="auto"/>
        </w:rPr>
      </w:pPr>
      <w:r>
        <w:rPr>
          <w:rFonts w:ascii="Arial" w:cs="Arial" w:eastAsia="Arial" w:hAnsi="Arial"/>
          <w:sz w:val="18"/>
          <w:szCs w:val="18"/>
          <w:color w:val="auto"/>
        </w:rPr>
        <w:t>In October 2010, and in accordance with the provisions of the EIP, the Committee met and established goals for fiscal 2011. In fiscal 2011, we had the following corporate and business unit goals: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Cash—meeting specified net cash goals taking into account capital expenditures and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SG&amp;A—meeting a selling, general and administrative expense target that did not exceed a specified level of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Delivery—meeting specified delivery requirements for certain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DSG—meeting a requirement to have a specified percentage of DRAM wafer equivalents going to certain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NSG—meeting specified shipment targets for SSDs and eNAND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WSG—meeting specified delivery requirements for customers of our WSG business unit,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ESG—meeting specified market share goals for NOR and DRAM.</w:t>
      </w:r>
    </w:p>
    <w:p>
      <w:pPr>
        <w:spacing w:after="0" w:line="225" w:lineRule="exact"/>
        <w:rPr>
          <w:sz w:val="20"/>
          <w:szCs w:val="20"/>
          <w:color w:val="auto"/>
        </w:rPr>
      </w:pPr>
    </w:p>
    <w:p>
      <w:pPr>
        <w:jc w:val="both"/>
        <w:ind w:firstLine="463"/>
        <w:spacing w:after="0" w:line="256" w:lineRule="auto"/>
        <w:rPr>
          <w:sz w:val="20"/>
          <w:szCs w:val="20"/>
          <w:color w:val="auto"/>
        </w:rPr>
      </w:pPr>
      <w:r>
        <w:rPr>
          <w:rFonts w:ascii="Arial" w:cs="Arial" w:eastAsia="Arial" w:hAnsi="Arial"/>
          <w:sz w:val="18"/>
          <w:szCs w:val="18"/>
          <w:color w:val="auto"/>
        </w:rPr>
        <w:t>The target incentive amounts that could be payable under the EIP for achievement of the fiscal 2011 goals are shown in the columns "Estimated Future Payouts under Non-Equity Incentive Plan Awards" of the "Grants of Plan-Based Awards in Fiscal 2011" table. The target payout requires a significant level of effort without assurance of goal achievement. The goals identified in (a) and (b) above did not include a threshold level so that there would be no payout unless the entire goal was fully achieved.</w:t>
      </w:r>
    </w:p>
    <w:p>
      <w:pPr>
        <w:spacing w:after="0" w:line="197" w:lineRule="exact"/>
        <w:rPr>
          <w:sz w:val="20"/>
          <w:szCs w:val="20"/>
          <w:color w:val="auto"/>
        </w:rPr>
      </w:pPr>
    </w:p>
    <w:p>
      <w:pPr>
        <w:jc w:val="both"/>
        <w:ind w:firstLine="416"/>
        <w:spacing w:after="0" w:line="232" w:lineRule="auto"/>
        <w:rPr>
          <w:sz w:val="20"/>
          <w:szCs w:val="20"/>
          <w:color w:val="auto"/>
        </w:rPr>
      </w:pPr>
      <w:r>
        <w:rPr>
          <w:rFonts w:ascii="Arial" w:cs="Arial" w:eastAsia="Arial" w:hAnsi="Arial"/>
          <w:sz w:val="18"/>
          <w:szCs w:val="18"/>
          <w:color w:val="auto"/>
        </w:rPr>
        <w:t>The Target Awards established for fiscal 2011 for the Named Executive Officers were measured against the Market Data median. Although we review the short-term incentive opportunities against the Market Data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(i.e. median)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the opportunities are not necessarily limited to the median of Market Data, but considered within the factors described under the section labeled "Reasonable" above. The actual payouts of the awards established in October 2010 with respect to fiscal 2011 bonuses under the EIP are based on actual fiscal 2011 results in the manner set forth below. For fiscal 2011, the following Target Awards were established:</w:t>
      </w:r>
    </w:p>
    <w:p>
      <w:pPr>
        <w:spacing w:after="0" w:line="24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Appleton—150% of 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Durcan—120% of 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Foster—100% of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Licciardello—100% of 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Shirley—100% of base salary</w:t>
      </w:r>
    </w:p>
    <w:p>
      <w:pPr>
        <w:spacing w:after="0" w:line="225" w:lineRule="exact"/>
        <w:rPr>
          <w:sz w:val="20"/>
          <w:szCs w:val="20"/>
          <w:color w:val="auto"/>
        </w:rPr>
      </w:pPr>
    </w:p>
    <w:p>
      <w:pPr>
        <w:ind w:firstLine="393"/>
        <w:spacing w:after="0" w:line="268" w:lineRule="auto"/>
        <w:rPr>
          <w:sz w:val="20"/>
          <w:szCs w:val="20"/>
          <w:color w:val="auto"/>
        </w:rPr>
      </w:pPr>
      <w:r>
        <w:rPr>
          <w:rFonts w:ascii="Arial" w:cs="Arial" w:eastAsia="Arial" w:hAnsi="Arial"/>
          <w:sz w:val="18"/>
          <w:szCs w:val="18"/>
          <w:color w:val="auto"/>
        </w:rPr>
        <w:t>The following table shows the weighting of Messrs. Appleton, Durcan, Foster and Shirley's Target Awards among the various goals. The weightings reflect the officer's responsibilities and ability to affect the attainment of the goal.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EIP Weightings (as Percentage of Target Incentive)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w:t>
            </w: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(b)</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Customer</w:t>
            </w: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(d)</w:t>
            </w:r>
          </w:p>
        </w:tc>
        <w:tc>
          <w:tcPr>
            <w:tcW w:w="6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w:t>
            </w:r>
          </w:p>
        </w:tc>
        <w:tc>
          <w:tcPr>
            <w:tcW w:w="6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(f)</w:t>
            </w:r>
          </w:p>
        </w:tc>
        <w:tc>
          <w:tcPr>
            <w:tcW w:w="170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(g)</w:t>
            </w:r>
          </w:p>
        </w:tc>
        <w:tc>
          <w:tcPr>
            <w:tcW w:w="0" w:type="dxa"/>
            <w:vAlign w:val="bottom"/>
          </w:tcPr>
          <w:p>
            <w:pPr>
              <w:spacing w:after="0"/>
              <w:rPr>
                <w:sz w:val="1"/>
                <w:szCs w:val="1"/>
                <w:color w:val="auto"/>
              </w:rPr>
            </w:pPr>
          </w:p>
        </w:tc>
      </w:tr>
      <w:tr>
        <w:trPr>
          <w:trHeight w:val="161"/>
        </w:trPr>
        <w:tc>
          <w:tcPr>
            <w:tcW w:w="2740" w:type="dxa"/>
            <w:vAlign w:val="bottom"/>
            <w:gridSpan w:val="2"/>
          </w:tcPr>
          <w:p>
            <w:pPr>
              <w:ind w:left="1140"/>
              <w:spacing w:after="0"/>
              <w:rPr>
                <w:sz w:val="20"/>
                <w:szCs w:val="20"/>
                <w:color w:val="auto"/>
              </w:rPr>
            </w:pPr>
            <w:r>
              <w:rPr>
                <w:rFonts w:ascii="Arial" w:cs="Arial" w:eastAsia="Arial" w:hAnsi="Arial"/>
                <w:sz w:val="14"/>
                <w:szCs w:val="14"/>
                <w:b w:val="1"/>
                <w:bCs w:val="1"/>
                <w:color w:val="auto"/>
                <w:w w:val="95"/>
              </w:rPr>
              <w:t>Named Executive Officer</w:t>
            </w:r>
          </w:p>
        </w:tc>
        <w:tc>
          <w:tcPr>
            <w:tcW w:w="30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Cash</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SG&amp;A</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Delivery</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DSG</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NSG</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WSG</w:t>
            </w:r>
          </w:p>
        </w:tc>
        <w:tc>
          <w:tcPr>
            <w:tcW w:w="17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7"/>
              </w:rPr>
              <w:t>ESG</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3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D. Mark Durcan</w:t>
            </w:r>
          </w:p>
        </w:tc>
        <w:tc>
          <w:tcPr>
            <w:tcW w:w="36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3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Mario Licciardello</w:t>
            </w:r>
          </w:p>
        </w:tc>
        <w:tc>
          <w:tcPr>
            <w:tcW w:w="36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3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60" w:type="dxa"/>
            <w:vAlign w:val="bottom"/>
            <w:gridSpan w:val="2"/>
          </w:tcPr>
          <w:p>
            <w:pPr>
              <w:jc w:val="right"/>
              <w:ind w:right="326"/>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both"/>
        <w:ind w:firstLine="412"/>
        <w:spacing w:after="0" w:line="306" w:lineRule="auto"/>
        <w:rPr>
          <w:sz w:val="20"/>
          <w:szCs w:val="20"/>
          <w:color w:val="auto"/>
        </w:rPr>
      </w:pPr>
      <w:r>
        <w:rPr>
          <w:rFonts w:ascii="Arial" w:cs="Arial" w:eastAsia="Arial" w:hAnsi="Arial"/>
          <w:sz w:val="16"/>
          <w:szCs w:val="16"/>
          <w:color w:val="auto"/>
        </w:rPr>
        <w:t>Following a review of fiscal 2011 results, the Committee determined that the goals (b), (c), (d) and (f) were achieved at 100%, 125%, 125%, and 113% of target, respectively. The Committee determined that goals (a), (e) and (g) were not achieved. The average payout for fiscal 2011 bonuses under the EIP was 63% of target for our Named Executive Officers. As a result of meeting these goals the Named Executive Officers received bonuses in the following amounts:</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4"/>
              </w:rPr>
              <w:t>Named Executive Officer</w:t>
            </w:r>
          </w:p>
        </w:tc>
        <w:tc>
          <w:tcPr>
            <w:tcW w:w="332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 of 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9"/>
              </w:rPr>
              <w:t>Steven R. Appleton</w:t>
            </w:r>
          </w:p>
        </w:tc>
        <w:tc>
          <w:tcPr>
            <w:tcW w:w="4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775,200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 Mark Durcan</w:t>
            </w:r>
          </w:p>
        </w:tc>
        <w:tc>
          <w:tcPr>
            <w:tcW w:w="4260" w:type="dxa"/>
            <w:vAlign w:val="bottom"/>
            <w:gridSpan w:val="3"/>
          </w:tcPr>
          <w:p>
            <w:pPr>
              <w:jc w:val="right"/>
              <w:ind w:right="160"/>
              <w:spacing w:after="0"/>
              <w:rPr>
                <w:sz w:val="20"/>
                <w:szCs w:val="20"/>
                <w:color w:val="auto"/>
              </w:rPr>
            </w:pPr>
            <w:r>
              <w:rPr>
                <w:rFonts w:ascii="Arial" w:cs="Arial" w:eastAsia="Arial" w:hAnsi="Arial"/>
                <w:sz w:val="18"/>
                <w:szCs w:val="18"/>
                <w:color w:val="auto"/>
              </w:rPr>
              <w:t>421,056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4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260,435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Mario Licciardello</w:t>
            </w:r>
          </w:p>
        </w:tc>
        <w:tc>
          <w:tcPr>
            <w:tcW w:w="4260" w:type="dxa"/>
            <w:vAlign w:val="bottom"/>
            <w:gridSpan w:val="3"/>
          </w:tcPr>
          <w:p>
            <w:pPr>
              <w:jc w:val="right"/>
              <w:ind w:right="160"/>
              <w:spacing w:after="0"/>
              <w:rPr>
                <w:sz w:val="20"/>
                <w:szCs w:val="20"/>
                <w:color w:val="auto"/>
              </w:rPr>
            </w:pPr>
            <w:r>
              <w:rPr>
                <w:rFonts w:ascii="Arial" w:cs="Arial" w:eastAsia="Arial" w:hAnsi="Arial"/>
                <w:sz w:val="18"/>
                <w:szCs w:val="18"/>
                <w:color w:val="auto"/>
              </w:rPr>
              <w:t>512,423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4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453,750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amounts are included in the "Fiscal 2011 Summary Compensation Table" in the column "Non-Equity Incentive Plan Compensation."</w:t>
      </w:r>
    </w:p>
    <w:p>
      <w:pPr>
        <w:spacing w:after="0" w:line="248" w:lineRule="exact"/>
        <w:rPr>
          <w:sz w:val="20"/>
          <w:szCs w:val="20"/>
          <w:color w:val="auto"/>
        </w:rPr>
      </w:pPr>
    </w:p>
    <w:p>
      <w:pPr>
        <w:jc w:val="both"/>
        <w:ind w:firstLine="402"/>
        <w:spacing w:after="0" w:line="291" w:lineRule="auto"/>
        <w:rPr>
          <w:sz w:val="20"/>
          <w:szCs w:val="20"/>
          <w:color w:val="auto"/>
        </w:rPr>
      </w:pPr>
      <w:r>
        <w:rPr>
          <w:rFonts w:ascii="Arial" w:cs="Arial" w:eastAsia="Arial" w:hAnsi="Arial"/>
          <w:sz w:val="16"/>
          <w:szCs w:val="16"/>
          <w:color w:val="auto"/>
        </w:rPr>
        <w:t>The EIP calls for certain performance goals to be modified with respect to major corporate transactions if permitted by Section 162(m) of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 In fiscal 2011, the Committee did not exercise any such discretion.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2011 long-term equity incentives</w:t>
      </w:r>
    </w:p>
    <w:p>
      <w:pPr>
        <w:spacing w:after="0" w:line="225" w:lineRule="exact"/>
        <w:rPr>
          <w:sz w:val="20"/>
          <w:szCs w:val="20"/>
          <w:color w:val="auto"/>
        </w:rPr>
      </w:pPr>
    </w:p>
    <w:p>
      <w:pPr>
        <w:jc w:val="both"/>
        <w:ind w:firstLine="367"/>
        <w:spacing w:after="0" w:line="285" w:lineRule="auto"/>
        <w:rPr>
          <w:sz w:val="20"/>
          <w:szCs w:val="20"/>
          <w:color w:val="auto"/>
        </w:rPr>
      </w:pPr>
      <w:r>
        <w:rPr>
          <w:rFonts w:ascii="Arial" w:cs="Arial" w:eastAsia="Arial" w:hAnsi="Arial"/>
          <w:sz w:val="16"/>
          <w:szCs w:val="16"/>
          <w:color w:val="auto"/>
        </w:rPr>
        <w:t>We believe long-term incentive compensation should be tied to our success and increases in shareholder value. Accordingly, stock options and performance-based restricted stock awards are significant components of our executive compensation program. We believe these types of awards are especially aligned with shareholders interests as their value is contingent upon an increase in stock price or the achievement of certain milestones. To ensure our long-term incentive program helps retain executives, we also grant time-based restricted stock awards. The Committee works with Mercer to determine the allocation and type of performance- and time-based awards to grant each fiscal year. In connection therewith, the Committee reviewed the Market Data, and found that 91% of the companies in the Compensation Peer Group used stock options, 55% of the companies used time-based restricted shares and 27% also used performance-based restricted shares as compensation vehicles for their executives. The Committee currently believes that a 50-25-25 split between stock options, performance-based restricted stock and time-based restricted stock, respectively, strikes the right balance between reward for our long-term success and retentive effect. Despite the 25-25 split for restricted shares, the actual number of restricted shares awarded with performance-based restrictions will not be the same as the number of such shares awarded having time-based restrictions because there is a "probability-of-achievement" discount applied to the value ascribed to performance-based restricted shares. This results in the actual number of shares in the two categories being different from one another with the number of performance-based shares exceeding the number of time-based shares. We use a 20% discount in calculating the number of performance-based restricted shares. The same approach was used by Mercer for valuing the performance-based equity of Compensation Peer Group companies to ensure Market Data and Micron values were comparable. For information on how the number of award shares is calculated and the application of the probability-of-achievement discount, please see the discussion below on "CEO Compensation—Long-Term Equity Incentives."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ind w:firstLine="386"/>
        <w:spacing w:after="0" w:line="288" w:lineRule="auto"/>
        <w:rPr>
          <w:sz w:val="20"/>
          <w:szCs w:val="20"/>
          <w:color w:val="auto"/>
        </w:rPr>
      </w:pPr>
      <w:r>
        <w:rPr>
          <w:rFonts w:ascii="Arial" w:cs="Arial" w:eastAsia="Arial" w:hAnsi="Arial"/>
          <w:sz w:val="16"/>
          <w:szCs w:val="16"/>
          <w:color w:val="auto"/>
        </w:rPr>
        <w:t>With respect to the time-based restricted stock awards for fiscal 2011, the restrictions lapse as to one-fourth of the shares on each anniversary of the date of grant. With respect to the stock option awards for fiscal 2011, the options vest as to one-fourth of the shares on each anniversary of the date of grant. With respect to the performance-based restricted stock awards granted in fiscal 2011, the restrictions will lapse if we achieve a certain percentage return on assets ("ROA") over a consecutive rolling four-quarter period between the beginning of fiscal 2011 and the end of fiscal 2013 (the "Share Performance Period"). The achievement during the Share Performance Period of a lower threshold ROA percentage will result in the restrictions lapsing as to one-half of the fiscal 2011 performance-based shares. The achievement during the Share Performance Period of the target ROA percentage will result in the restrictions lapsing as to all of the fiscal 2011 performance-based shares. Both the threshold and target ROA percentages require significant effort with the achievement of neither ROA percentage being assured. In the absence of at least the threshold ROA percentage being achieved during the Share Performance Period, the restrictions will not lapse and the shares will be forfeited.</w:t>
      </w:r>
    </w:p>
    <w:p>
      <w:pPr>
        <w:spacing w:after="0" w:line="174" w:lineRule="exact"/>
        <w:rPr>
          <w:sz w:val="20"/>
          <w:szCs w:val="20"/>
          <w:color w:val="auto"/>
        </w:rPr>
      </w:pPr>
    </w:p>
    <w:p>
      <w:pPr>
        <w:jc w:val="both"/>
        <w:ind w:firstLine="366"/>
        <w:spacing w:after="0" w:line="252" w:lineRule="auto"/>
        <w:rPr>
          <w:sz w:val="20"/>
          <w:szCs w:val="20"/>
          <w:color w:val="auto"/>
        </w:rPr>
      </w:pPr>
      <w:r>
        <w:rPr>
          <w:rFonts w:ascii="Arial" w:cs="Arial" w:eastAsia="Arial" w:hAnsi="Arial"/>
          <w:sz w:val="16"/>
          <w:szCs w:val="16"/>
          <w:color w:val="auto"/>
        </w:rPr>
        <w:t>In determining the amount of the long-term equity incentive award for Messrs. Durcan, Foster, Licciardello and Shirley, the Committee reviewed the Market Data and information provided by Mr. Appleton related to the other Named Executive Officer's performance and his recommendation as to the amount of their award. For fiscal 2011, the long-term equity incentive awards approved by the Committee for each of Messrs. Durcan, Foster, and Shirley fell between the 25</w:t>
      </w:r>
      <w:r>
        <w:rPr>
          <w:rFonts w:ascii="Arial" w:cs="Arial" w:eastAsia="Arial" w:hAnsi="Arial"/>
          <w:sz w:val="26"/>
          <w:szCs w:val="26"/>
          <w:color w:val="auto"/>
          <w:vertAlign w:val="superscript"/>
        </w:rPr>
        <w:t>th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Market Data for their position or rank. Because Mr. Licciardello is based in Italy, it was difficult to find comparable Market Data related to long-term equity incentives for his position. For information on Mr. Appleton's long-term equity incentive, please see the discussion below on "CEO Compensation—Long-Term Equity Incentives."</w:t>
      </w:r>
    </w:p>
    <w:p>
      <w:pPr>
        <w:spacing w:after="0" w:line="213" w:lineRule="exact"/>
        <w:rPr>
          <w:sz w:val="20"/>
          <w:szCs w:val="20"/>
          <w:color w:val="auto"/>
        </w:rPr>
      </w:pPr>
    </w:p>
    <w:p>
      <w:pPr>
        <w:jc w:val="both"/>
        <w:ind w:firstLine="431"/>
        <w:spacing w:after="0" w:line="291" w:lineRule="auto"/>
        <w:rPr>
          <w:sz w:val="20"/>
          <w:szCs w:val="20"/>
          <w:color w:val="auto"/>
        </w:rPr>
      </w:pPr>
      <w:r>
        <w:rPr>
          <w:rFonts w:ascii="Arial" w:cs="Arial" w:eastAsia="Arial" w:hAnsi="Arial"/>
          <w:sz w:val="16"/>
          <w:szCs w:val="16"/>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(which typically occurs approximately within the week following the announcement of our results for the fiscal year). Historically, long-term incentive grants to the Named Executive Officers are approved by the Committee on the same day as the grants to other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fiscal 2011 employee benefits</w:t>
      </w:r>
    </w:p>
    <w:p>
      <w:pPr>
        <w:spacing w:after="0" w:line="225"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Executive perquisites, which for us are minor in scope and amount, are not considered to be material elements of compensation. We provide a competitive level of time off and health, welfare and retirement benefits to substantially all employees. The Named Executive Officers participate in the same plans with our other employees.</w:t>
      </w:r>
    </w:p>
    <w:p>
      <w:pPr>
        <w:spacing w:after="0" w:line="194" w:lineRule="exact"/>
        <w:rPr>
          <w:sz w:val="20"/>
          <w:szCs w:val="20"/>
          <w:color w:val="auto"/>
        </w:rPr>
      </w:pPr>
    </w:p>
    <w:p>
      <w:pPr>
        <w:jc w:val="both"/>
        <w:ind w:firstLine="513"/>
        <w:spacing w:after="0" w:line="323" w:lineRule="auto"/>
        <w:rPr>
          <w:sz w:val="20"/>
          <w:szCs w:val="20"/>
          <w:color w:val="auto"/>
        </w:rPr>
      </w:pPr>
      <w:r>
        <w:rPr>
          <w:rFonts w:ascii="Arial" w:cs="Arial" w:eastAsia="Arial" w:hAnsi="Arial"/>
          <w:sz w:val="15"/>
          <w:szCs w:val="15"/>
          <w:u w:val="single" w:color="auto"/>
          <w:color w:val="auto"/>
        </w:rPr>
        <w:t>U.S. Time Off with Pay</w:t>
      </w:r>
      <w:r>
        <w:rPr>
          <w:rFonts w:ascii="Arial" w:cs="Arial" w:eastAsia="Arial" w:hAnsi="Arial"/>
          <w:sz w:val="15"/>
          <w:szCs w:val="15"/>
          <w:color w:val="auto"/>
        </w:rPr>
        <w:t>. The U.S.-based Named Executive Officers participate in our time-off plan. Under the time-off plan, all of our U.S.-based employees, including the Named Executive Officers, are allowed to accumulate up to 999 hours of time-off to be used for vacation, holiday, sick time, emergencies and personal needs. Until January 2009, amounts accumulated in excess of 999 hours, if any, were paid out as regular compensation to participants, including the Named Executive Officers. In January 2009, we changed our time-off program and no longer pay compensation for amounts over 999 hours.</w:t>
      </w:r>
    </w:p>
    <w:p>
      <w:pPr>
        <w:spacing w:after="0" w:line="152" w:lineRule="exact"/>
        <w:rPr>
          <w:sz w:val="20"/>
          <w:szCs w:val="20"/>
          <w:color w:val="auto"/>
        </w:rPr>
      </w:pPr>
    </w:p>
    <w:p>
      <w:pPr>
        <w:jc w:val="both"/>
        <w:ind w:right="20" w:firstLine="432"/>
        <w:spacing w:after="0" w:line="332" w:lineRule="auto"/>
        <w:rPr>
          <w:sz w:val="20"/>
          <w:szCs w:val="20"/>
          <w:color w:val="auto"/>
        </w:rPr>
      </w:pPr>
      <w:r>
        <w:rPr>
          <w:rFonts w:ascii="Arial" w:cs="Arial" w:eastAsia="Arial" w:hAnsi="Arial"/>
          <w:sz w:val="16"/>
          <w:szCs w:val="16"/>
          <w:u w:val="single" w:color="auto"/>
          <w:color w:val="auto"/>
        </w:rPr>
        <w:t>U.S. 401(k) Retirement Benefits</w:t>
      </w:r>
      <w:r>
        <w:rPr>
          <w:rFonts w:ascii="Arial" w:cs="Arial" w:eastAsia="Arial" w:hAnsi="Arial"/>
          <w:sz w:val="16"/>
          <w:szCs w:val="16"/>
          <w:color w:val="auto"/>
        </w:rPr>
        <w:t>. We provide retirement benefits to our U.S.-based employees, including the Named Executive Officers, under our tax-qualified 401(k) plan. Due to market conditions, in March 2009, we suspended making matching contributions. In January 2011, we started making matching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contributions of up to 5% of the employee's eligible pay. The Named Executive Officers participate in the 401(k) plan on the same terms as our other employees.</w:t>
      </w:r>
    </w:p>
    <w:p>
      <w:pPr>
        <w:spacing w:after="0" w:line="248"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6"/>
          <w:szCs w:val="16"/>
          <w:u w:val="single" w:color="auto"/>
          <w:color w:val="auto"/>
        </w:rPr>
        <w:t>Mr. Licciardello's Benefits</w:t>
      </w:r>
      <w:r>
        <w:rPr>
          <w:rFonts w:ascii="Arial" w:cs="Arial" w:eastAsia="Arial" w:hAnsi="Arial"/>
          <w:sz w:val="16"/>
          <w:szCs w:val="16"/>
          <w:color w:val="auto"/>
        </w:rPr>
        <w:t>. Mr. Licciardello is employed in Europe and does not receive the U.S. benefits described above. He was employed in Switzerland until December 1, 2010, when he transferred to employment in Italy. In Switzerland, Mr. Licciardello's benefit arrangements had been made by Numonyx and assumed by us. He did not participate in many of the benefit programs typical to our employees in Switzerland. Due to his age, Numonyx had been unable to obtain accident, life or disability insurance for Mr. Licciardello at a cost acceptable to Numonyx. As a result, Numonyx self-insured these risks and we continued this practice while Mr. Licciardello was employed in Switzerland. In addition, due to his age, Mr. Licciardello did not qualify for Numonyx's Swiss pension arrangements. In lieu of participation in a pension arrangement, while he was employed in Switzerland Mr. Licciardello was paid an additional amount per month based on the amount we would have otherwise contributed to a retirement account. While he was employed in Switzerland, Mr. Licciardello also received a monthly meal allowance and housing allowance.</w:t>
      </w:r>
    </w:p>
    <w:p>
      <w:pPr>
        <w:spacing w:after="0" w:line="172" w:lineRule="exact"/>
        <w:rPr>
          <w:sz w:val="20"/>
          <w:szCs w:val="20"/>
          <w:color w:val="auto"/>
        </w:rPr>
      </w:pPr>
    </w:p>
    <w:p>
      <w:pPr>
        <w:jc w:val="both"/>
        <w:ind w:firstLine="349"/>
        <w:spacing w:after="0" w:line="332" w:lineRule="auto"/>
        <w:rPr>
          <w:sz w:val="20"/>
          <w:szCs w:val="20"/>
          <w:color w:val="auto"/>
        </w:rPr>
      </w:pPr>
      <w:r>
        <w:rPr>
          <w:rFonts w:ascii="Arial" w:cs="Arial" w:eastAsia="Arial" w:hAnsi="Arial"/>
          <w:sz w:val="16"/>
          <w:szCs w:val="16"/>
          <w:color w:val="auto"/>
        </w:rPr>
        <w:t>As an Italy-based employee, Mr. Licciardello receives the same benefits as our other Italy-based senior leader level employees, including paid holidays and a vehicle allowance. Due to his age, Mr. Licciardello does not qualify for our disability insurance or for additional pension contributions.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CEO Compensation</w:t>
      </w:r>
    </w:p>
    <w:p>
      <w:pPr>
        <w:spacing w:after="0" w:line="232" w:lineRule="exact"/>
        <w:rPr>
          <w:sz w:val="20"/>
          <w:szCs w:val="20"/>
          <w:color w:val="auto"/>
        </w:rPr>
      </w:pPr>
    </w:p>
    <w:p>
      <w:pPr>
        <w:jc w:val="both"/>
        <w:ind w:firstLine="416"/>
        <w:spacing w:after="0" w:line="239" w:lineRule="auto"/>
        <w:rPr>
          <w:sz w:val="20"/>
          <w:szCs w:val="20"/>
          <w:color w:val="auto"/>
        </w:rPr>
      </w:pPr>
      <w:r>
        <w:rPr>
          <w:rFonts w:ascii="Arial" w:cs="Arial" w:eastAsia="Arial" w:hAnsi="Arial"/>
          <w:sz w:val="18"/>
          <w:szCs w:val="18"/>
          <w:color w:val="auto"/>
        </w:rPr>
        <w:t>In setting Mr. Appleton's compensation for fiscal 2011, the Committee reviewed his performance, our financial results and Market Data values at the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Please see "Guiding Principles" above for a discussion of other factors the Committee considers in setting compensation levels and deviations from the market median. The following table shows how Mr. Appleton's compensation compared to CEO compensation in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138430</wp:posOffset>
            </wp:positionV>
            <wp:extent cx="5068570" cy="2495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857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left="360"/>
        <w:spacing w:after="0"/>
        <w:rPr>
          <w:sz w:val="20"/>
          <w:szCs w:val="20"/>
          <w:color w:val="auto"/>
        </w:rPr>
      </w:pPr>
      <w:r>
        <w:rPr>
          <w:rFonts w:ascii="Arial" w:cs="Arial" w:eastAsia="Arial" w:hAnsi="Arial"/>
          <w:sz w:val="18"/>
          <w:szCs w:val="18"/>
          <w:color w:val="auto"/>
        </w:rPr>
        <w:t>The following charts show the compensation mix for Mr. Appleton and for CEOs in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148590</wp:posOffset>
            </wp:positionV>
            <wp:extent cx="6586220" cy="2298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While the Market Data showed that Mr. Appleton's base salary was approximately 9% above the median, the Committee decided to keep Mr. Appleton's salary at $950,000. Mr. Appleton's base salary has not changed since fiscal 2007.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Short-Term Incentive</w:t>
      </w:r>
    </w:p>
    <w:p>
      <w:pPr>
        <w:spacing w:after="0" w:line="225"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The Market Data showed that for short-term incentives a Target Award of 150% of base salary is at the median. Mr. Appleton's Target Award has been at 150% since 2007. In fiscal 2011, Mr. Appleton received $775,200 under the EIP. Information regarding Mr. Appleton's specific goals under the EIP is included in the discussion above on "Fiscal 2011 Short-Term Incentive Awards."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Long-Term Equity Incentive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charts show the long-term equity incentive mix for Mr. Appleton and for CEOs who were granted long-term equity incentives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144145</wp:posOffset>
            </wp:positionV>
            <wp:extent cx="6543040" cy="2315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304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430"/>
        <w:spacing w:after="0" w:line="268" w:lineRule="auto"/>
        <w:rPr>
          <w:sz w:val="20"/>
          <w:szCs w:val="20"/>
          <w:color w:val="auto"/>
        </w:rPr>
      </w:pPr>
      <w:r>
        <w:rPr>
          <w:rFonts w:ascii="Arial" w:cs="Arial" w:eastAsia="Arial" w:hAnsi="Arial"/>
          <w:sz w:val="18"/>
          <w:szCs w:val="18"/>
          <w:color w:val="auto"/>
        </w:rPr>
        <w:t>While the Market Data showed that Mr. Appleton's long-term equity incentive opportunity based on value was approximately 16% above the median, the Committee decided to keep the value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8"/>
          <w:szCs w:val="18"/>
          <w:color w:val="auto"/>
        </w:rPr>
        <w:t>Mr. Appleton's targeted long-term equity incentive award for fiscal 2011 targeted at $6,500,000. Mr. Appleton's long-term incentive award value has not changed since fiscal 2007.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elements and amounts of Mr. Appleton's long-term incentive award for fiscal 2011:</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Security</w:t>
            </w:r>
          </w:p>
        </w:tc>
        <w:tc>
          <w:tcPr>
            <w:tcW w:w="212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Number of Options/Shares(1)(2)</w:t>
            </w:r>
          </w:p>
        </w:tc>
        <w:tc>
          <w:tcPr>
            <w:tcW w:w="16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3,245,814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Time-based Restricted Stock</w:t>
            </w:r>
          </w:p>
        </w:tc>
        <w:tc>
          <w:tcPr>
            <w:tcW w:w="2120" w:type="dxa"/>
            <w:vAlign w:val="bottom"/>
          </w:tcPr>
          <w:p>
            <w:pPr>
              <w:jc w:val="right"/>
              <w:spacing w:after="0"/>
              <w:rPr>
                <w:sz w:val="20"/>
                <w:szCs w:val="20"/>
                <w:color w:val="auto"/>
              </w:rPr>
            </w:pPr>
            <w:r>
              <w:rPr>
                <w:rFonts w:ascii="Arial" w:cs="Arial" w:eastAsia="Arial" w:hAnsi="Arial"/>
                <w:sz w:val="18"/>
                <w:szCs w:val="18"/>
                <w:color w:val="auto"/>
              </w:rPr>
              <w:t>214,000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1,624,260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Performance-based Restricted Stock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1,627,296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1,328,000</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6,497,370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840" w:hanging="550"/>
        <w:spacing w:after="0" w:line="289" w:lineRule="auto"/>
        <w:tabs>
          <w:tab w:leader="none" w:pos="2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Information related to Mr. Appleton's long-term incentive award also is included in the "Grants of Plan-Based Awards in Fiscal 2011"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full fair value under ASC Topic 718 for external financial reporting. The amounts included on the table above are consistent with the approach used by Mercer and differ from the amounts included in the "Grants of Plan-Based Awards Table in Fiscal 2011" as they reflect the 20% "probability-of-achievement" discount applied to the performance-based shares.</w:t>
      </w:r>
    </w:p>
    <w:p>
      <w:pPr>
        <w:spacing w:after="0" w:line="199" w:lineRule="exact"/>
        <w:rPr>
          <w:rFonts w:ascii="Arial" w:cs="Arial" w:eastAsia="Arial" w:hAnsi="Arial"/>
          <w:sz w:val="16"/>
          <w:szCs w:val="16"/>
          <w:color w:val="auto"/>
        </w:rPr>
      </w:pPr>
    </w:p>
    <w:p>
      <w:pPr>
        <w:jc w:val="both"/>
        <w:ind w:left="2840" w:hanging="550"/>
        <w:spacing w:after="0" w:line="253" w:lineRule="auto"/>
        <w:tabs>
          <w:tab w:leader="none" w:pos="2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options granted to Mr. Appleton was determined by dividing $3,250,000 (50% of $6,500,000) by approximately $3.84, the estimated fair value of our stock options at the time of the Committee's meeting on executive compensation. The number of time-based restricted shares granted to Mr. Appleton was determined by dividing $1,625,000 (25% of $6,500,000) by $7.59, the approximate fair market value of our Common Stock at the time of the Committee's meeting on executive compensation. The number of performance-based restricted shares granted to Mr. Appleton was determined by dividing $1,625,000 (25% of $6,500,000) by approximately $6.07 (20% discount to the $7.59 share price).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31" w:lineRule="exact"/>
        <w:rPr>
          <w:sz w:val="20"/>
          <w:szCs w:val="20"/>
          <w:color w:val="auto"/>
        </w:rPr>
      </w:pPr>
    </w:p>
    <w:p>
      <w:pPr>
        <w:jc w:val="both"/>
        <w:ind w:firstLine="435"/>
        <w:spacing w:after="0" w:line="291" w:lineRule="auto"/>
        <w:rPr>
          <w:sz w:val="20"/>
          <w:szCs w:val="20"/>
          <w:color w:val="auto"/>
        </w:rPr>
      </w:pPr>
      <w:r>
        <w:rPr>
          <w:rFonts w:ascii="Arial" w:cs="Arial" w:eastAsia="Arial" w:hAnsi="Arial"/>
          <w:sz w:val="16"/>
          <w:szCs w:val="16"/>
          <w:color w:val="auto"/>
        </w:rPr>
        <w:t>We have entered into a severance agreement with each of our Named Executive Officers, except for Mr. Licciardello. Mr. Licciardello had entered into a severance agreement with Numonyx which had been assumed by us but which has since expired. However, Mr. Licciardello is eligible for a standard severance payment for our Italy-based employees who are at the senior leader level. We believe severance agreements for certain of our officers are in the best interests of us and our shareholders because they are necessary to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74" w:lineRule="exact"/>
        <w:rPr>
          <w:sz w:val="20"/>
          <w:szCs w:val="20"/>
          <w:color w:val="auto"/>
        </w:rPr>
      </w:pPr>
    </w:p>
    <w:p>
      <w:pPr>
        <w:jc w:val="both"/>
        <w:ind w:firstLine="479"/>
        <w:spacing w:after="0" w:line="268" w:lineRule="auto"/>
        <w:rPr>
          <w:sz w:val="20"/>
          <w:szCs w:val="20"/>
          <w:color w:val="auto"/>
        </w:rPr>
      </w:pPr>
      <w:r>
        <w:rPr>
          <w:rFonts w:ascii="Arial" w:cs="Arial" w:eastAsia="Arial" w:hAnsi="Arial"/>
          <w:sz w:val="18"/>
          <w:szCs w:val="18"/>
          <w:color w:val="auto"/>
        </w:rPr>
        <w:t>Estimated payments as of the end of fiscal 2011 under the severance agreements and with regard to Mr. Licciardello can be found in the "Voluntary or Involuntary Termination of Employment" table on page 33.</w:t>
      </w:r>
    </w:p>
    <w:p>
      <w:pPr>
        <w:spacing w:after="0" w:line="186" w:lineRule="exact"/>
        <w:rPr>
          <w:sz w:val="20"/>
          <w:szCs w:val="20"/>
          <w:color w:val="auto"/>
        </w:rPr>
      </w:pPr>
    </w:p>
    <w:p>
      <w:pPr>
        <w:jc w:val="both"/>
        <w:ind w:firstLine="418"/>
        <w:spacing w:after="0" w:line="298" w:lineRule="auto"/>
        <w:rPr>
          <w:sz w:val="20"/>
          <w:szCs w:val="20"/>
          <w:color w:val="auto"/>
        </w:rPr>
      </w:pPr>
      <w:r>
        <w:rPr>
          <w:rFonts w:ascii="Arial" w:cs="Arial" w:eastAsia="Arial" w:hAnsi="Arial"/>
          <w:sz w:val="16"/>
          <w:szCs w:val="16"/>
          <w:color w:val="auto"/>
        </w:rPr>
        <w:t>Each of our Named Executive Officers, except Mr. Licciardello, has a similar severance agreement in place (the "Severance Agreements"). In general, the Severance Agreements provide for severance payments upon termination of employment for any reason, including death, voluntary or involuntary termination or termination with or without cause.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jc w:val="both"/>
        <w:ind w:firstLine="426"/>
        <w:spacing w:after="0" w:line="253" w:lineRule="auto"/>
        <w:rPr>
          <w:sz w:val="20"/>
          <w:szCs w:val="20"/>
          <w:color w:val="auto"/>
        </w:rPr>
      </w:pPr>
      <w:r>
        <w:rPr>
          <w:rFonts w:ascii="Arial" w:cs="Arial" w:eastAsia="Arial" w:hAnsi="Arial"/>
          <w:sz w:val="18"/>
          <w:szCs w:val="18"/>
          <w:color w:val="auto"/>
        </w:rPr>
        <w:t>Provided an officer complies with post-employment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bonuses, executive bonuses, benefits and continued vesting of any granted stock options and restricted shares. With respect to short-term incentive awards and long-term equity awards that are performance-based, the officer is entitled to receive such awards only if the goals are achieved before or during the applicable Transition Period. Such terminated officers are not entitled to receive any new awards under our equity plans or EIP or to the payment of any compensation that would be deferred past the Transition Period due to payment criteria of an incentive program, as those criteria exist as of the Termination Date.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w:t>
      </w:r>
    </w:p>
    <w:p>
      <w:pPr>
        <w:spacing w:after="0" w:line="225"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31"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executive incentive plan and our equity compensation plans,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the "Change in Control" table on page 34.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3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awards are designed to comply with the statute. Awards under the EIP also are generally designed to comply with the statute. Although the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"Market Data" Defined</w:t>
      </w:r>
    </w:p>
    <w:p>
      <w:pPr>
        <w:spacing w:after="0" w:line="23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Compensation data is gathered by Mercer from proxy statements of the Compensation Peer Group and from published compensation surveys. The relevant survey and Compensation Peer Group data for fiscal 2011, each as discussed below, were weighted equally by the Committee and are collectively referred to throughout this discussion as the "Market Data."</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25" w:lineRule="exact"/>
        <w:rPr>
          <w:sz w:val="20"/>
          <w:szCs w:val="20"/>
          <w:color w:val="auto"/>
        </w:rPr>
      </w:pPr>
    </w:p>
    <w:p>
      <w:pPr>
        <w:jc w:val="both"/>
        <w:ind w:firstLine="409"/>
        <w:spacing w:after="0" w:line="254" w:lineRule="auto"/>
        <w:rPr>
          <w:sz w:val="20"/>
          <w:szCs w:val="20"/>
          <w:color w:val="auto"/>
        </w:rPr>
      </w:pPr>
      <w:r>
        <w:rPr>
          <w:rFonts w:ascii="Arial" w:cs="Arial" w:eastAsia="Arial" w:hAnsi="Arial"/>
          <w:sz w:val="18"/>
          <w:szCs w:val="18"/>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40% to 150% of the size of Micron and have a high degree of business match. We believe our custom peer group is comprised of companies that are likely to be our competitors for executive talent.</w:t>
      </w:r>
    </w:p>
    <w:p>
      <w:pPr>
        <w:spacing w:after="0" w:line="198" w:lineRule="exact"/>
        <w:rPr>
          <w:sz w:val="20"/>
          <w:szCs w:val="20"/>
          <w:color w:val="auto"/>
        </w:rPr>
      </w:pPr>
    </w:p>
    <w:p>
      <w:pPr>
        <w:jc w:val="both"/>
        <w:ind w:firstLine="421"/>
        <w:spacing w:after="0" w:line="289" w:lineRule="auto"/>
        <w:rPr>
          <w:sz w:val="20"/>
          <w:szCs w:val="20"/>
          <w:color w:val="auto"/>
        </w:rPr>
      </w:pPr>
      <w:r>
        <w:rPr>
          <w:rFonts w:ascii="Arial" w:cs="Arial" w:eastAsia="Arial" w:hAnsi="Arial"/>
          <w:sz w:val="16"/>
          <w:szCs w:val="16"/>
          <w:color w:val="auto"/>
        </w:rPr>
        <w:t>Each year we reevaluate the composition of our Compensation Peer Group to ensure that it reflects industry or economic changes that may have occurred during the fiscal year, such as changes in business strategies, operations, revenues, product lines or availability of information. For fiscal 2011, the Compensation Peer Group of companies changed from the group used for fiscal 2010, with the addition of Seagate Technology Plc and Western Digital Corp, and the removal of Analog Devices, Inc., National Semiconductor Corporation and ON Semiconductor Corporation, which were removed due to their relative small size. As a result of these changes, our Compensation Peer Group for 2011 consisted of: Advanced Micro Devices, Inc., Agilent Technologies, Inc., Applied Materials, Inc., Broadcom Corporation, Infineon Technologies AG, Marvell Technology Group Ltd, Nvidia Corporation, QUALCOMM Incorporated, SanDisk Corporation, Seagate Technology Plc, STMicroelectronics N.V., Texas Instruments Incorporated and Western Digital Corp. These companies are referred to in the compensation discussion and analysis as the "Compensation Peer Group."</w:t>
      </w:r>
    </w:p>
    <w:p>
      <w:pPr>
        <w:spacing w:after="0" w:line="172" w:lineRule="exact"/>
        <w:rPr>
          <w:sz w:val="20"/>
          <w:szCs w:val="20"/>
          <w:color w:val="auto"/>
        </w:rPr>
      </w:pPr>
    </w:p>
    <w:p>
      <w:pPr>
        <w:jc w:val="both"/>
        <w:ind w:firstLine="415"/>
        <w:spacing w:after="0" w:line="298"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highest paid Company officer is ranked to the highest paid officer at each company within the Compensation Peer Group.</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jc w:val="both"/>
        <w:ind w:firstLine="488"/>
        <w:spacing w:after="0" w:line="256" w:lineRule="auto"/>
        <w:rPr>
          <w:sz w:val="20"/>
          <w:szCs w:val="20"/>
          <w:color w:val="auto"/>
        </w:rPr>
      </w:pPr>
      <w:r>
        <w:rPr>
          <w:rFonts w:ascii="Arial" w:cs="Arial" w:eastAsia="Arial" w:hAnsi="Arial"/>
          <w:sz w:val="18"/>
          <w:szCs w:val="18"/>
          <w:color w:val="auto"/>
        </w:rPr>
        <w:t>Survey data may vary from year to year. For fiscal 2011, Mercer used the Buck Executive Total Compensation Survey, Radford Executive Survey and Towers Perrin Survey. We believe these surveys are particularly relevant for high technology companies given the high level of participation by such companies in the survey. We used survey data as guidance in reviewing Mr. Licciardello's compensation. Because Mr. Licciardello is based in Italy, peer data can be difficult to compile.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auto"/>
        </w:rPr>
        <w:t>We have established stock ownership guidelines for our officers and directors. The Committee believes that officers will more effectively manage a company in the best interests of the shareholders if they are also shareholders. The minimum ownership guideline for officers ranges from 10,000 to 90,000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shares, depending on the officer's position. Officers are given five years to meet the ownership guidelines. The Governance Committee reviews the Ownership Guidelines and monitors each covered executive's progress toward, and continued compliance with, the guidelines. Stock sales restrictions may be imposed upon officers and directors if the stock ownership guidelines are not met. Our directors are expected to hold at least 5,000 shares of our Common Stock. For fiscal 2011, all officers and directors were in compliance with the guidelines.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guidelines for each of the Named Executive Officer's and their share holdings as of November 28, 2011.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6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Share Holdings</w:t>
            </w: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Guideline</w:t>
            </w:r>
          </w:p>
        </w:tc>
        <w:tc>
          <w:tcPr>
            <w:tcW w:w="0" w:type="dxa"/>
            <w:vAlign w:val="bottom"/>
          </w:tcPr>
          <w:p>
            <w:pPr>
              <w:spacing w:after="0"/>
              <w:rPr>
                <w:sz w:val="1"/>
                <w:szCs w:val="1"/>
                <w:color w:val="auto"/>
              </w:rPr>
            </w:pPr>
          </w:p>
        </w:tc>
      </w:tr>
      <w:tr>
        <w:trPr>
          <w:trHeight w:val="142"/>
        </w:trPr>
        <w:tc>
          <w:tcPr>
            <w:tcW w:w="5540" w:type="dxa"/>
            <w:vAlign w:val="bottom"/>
            <w:gridSpan w:val="4"/>
            <w:vMerge w:val="continue"/>
          </w:tcPr>
          <w:p>
            <w:pPr>
              <w:spacing w:after="0"/>
              <w:rPr>
                <w:sz w:val="12"/>
                <w:szCs w:val="12"/>
                <w:color w:val="auto"/>
              </w:rPr>
            </w:pPr>
          </w:p>
        </w:tc>
        <w:tc>
          <w:tcPr>
            <w:tcW w:w="114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w w:val="94"/>
              </w:rPr>
              <w:t>Common Stock*</w:t>
            </w:r>
          </w:p>
        </w:tc>
        <w:tc>
          <w:tcPr>
            <w:tcW w:w="160" w:type="dxa"/>
            <w:vAlign w:val="bottom"/>
          </w:tcPr>
          <w:p>
            <w:pPr>
              <w:spacing w:after="0"/>
              <w:rPr>
                <w:sz w:val="12"/>
                <w:szCs w:val="12"/>
                <w:color w:val="auto"/>
              </w:rPr>
            </w:pPr>
          </w:p>
        </w:tc>
        <w:tc>
          <w:tcPr>
            <w:tcW w:w="12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93"/>
              </w:rPr>
              <w:t>Restricted 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3940" w:type="dxa"/>
            <w:vAlign w:val="bottom"/>
            <w:gridSpan w:val="2"/>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1,093,536</w:t>
            </w: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1,336,750</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D. Mark Durcan</w:t>
            </w:r>
          </w:p>
        </w:tc>
        <w:tc>
          <w:tcPr>
            <w:tcW w:w="1140" w:type="dxa"/>
            <w:vAlign w:val="bottom"/>
          </w:tcPr>
          <w:p>
            <w:pPr>
              <w:jc w:val="right"/>
              <w:spacing w:after="0"/>
              <w:rPr>
                <w:sz w:val="20"/>
                <w:szCs w:val="20"/>
                <w:color w:val="auto"/>
              </w:rPr>
            </w:pPr>
            <w:r>
              <w:rPr>
                <w:rFonts w:ascii="Arial" w:cs="Arial" w:eastAsia="Arial" w:hAnsi="Arial"/>
                <w:sz w:val="18"/>
                <w:szCs w:val="18"/>
                <w:color w:val="auto"/>
              </w:rPr>
              <w:t>745,833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781,500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453,689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Mario Licciardello</w:t>
            </w:r>
          </w:p>
        </w:tc>
        <w:tc>
          <w:tcPr>
            <w:tcW w:w="1140" w:type="dxa"/>
            <w:vAlign w:val="bottom"/>
          </w:tcPr>
          <w:p>
            <w:pPr>
              <w:jc w:val="right"/>
              <w:spacing w:after="0"/>
              <w:rPr>
                <w:sz w:val="20"/>
                <w:szCs w:val="20"/>
                <w:color w:val="auto"/>
              </w:rPr>
            </w:pPr>
            <w:r>
              <w:rPr>
                <w:rFonts w:ascii="Arial" w:cs="Arial" w:eastAsia="Arial" w:hAnsi="Arial"/>
                <w:sz w:val="18"/>
                <w:szCs w:val="18"/>
                <w:color w:val="auto"/>
              </w:rPr>
              <w:t>37,799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shares held directly and indirectly by Named Executive Officer.</w:t>
      </w:r>
    </w:p>
    <w:p>
      <w:pPr>
        <w:spacing w:after="0" w:line="252" w:lineRule="exact"/>
        <w:rPr>
          <w:sz w:val="20"/>
          <w:szCs w:val="20"/>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time-based and performance-based restricted stock which is subject to forfeiture.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Dr. Teruaki Aoki</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Patrick J. Byrne</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Lawrence N. Mondry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453"/>
        <w:spacing w:after="0" w:line="259" w:lineRule="auto"/>
        <w:rPr>
          <w:sz w:val="20"/>
          <w:szCs w:val="20"/>
          <w:color w:val="auto"/>
        </w:rPr>
      </w:pPr>
      <w:r>
        <w:rPr>
          <w:rFonts w:ascii="Arial" w:cs="Arial" w:eastAsia="Arial" w:hAnsi="Arial"/>
          <w:sz w:val="18"/>
          <w:szCs w:val="18"/>
          <w:color w:val="auto"/>
        </w:rPr>
        <w:t>No member of the Compensation Committee (Dr. Aoki and Messrs. Byrne and Mondry) is or has been one of our officers or employees or an officer or employee of any of our subsidiaries. During fiscal 2011, none of our executive officers served on the Compensation Committee (or equivalent), or the board of directors of another entity whose executive officer(s) served on our Compensation Committee or Board of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ind w:left="3280"/>
        <w:spacing w:after="0"/>
        <w:rPr>
          <w:sz w:val="20"/>
          <w:szCs w:val="20"/>
          <w:color w:val="auto"/>
        </w:rPr>
      </w:pPr>
      <w:r>
        <w:rPr>
          <w:rFonts w:ascii="Arial" w:cs="Arial" w:eastAsia="Arial" w:hAnsi="Arial"/>
          <w:sz w:val="18"/>
          <w:szCs w:val="18"/>
          <w:b w:val="1"/>
          <w:bCs w:val="1"/>
          <w:color w:val="auto"/>
        </w:rPr>
        <w:t>FISCAL 2011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2011, 2010 and 2009.</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Incentive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Plan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4"/>
              </w:rPr>
              <w:t>Salary(1)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Bonus(2)</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Compensation(4)</w:t>
            </w:r>
          </w:p>
        </w:tc>
        <w:tc>
          <w:tcPr>
            <w:tcW w:w="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Compensation(5)</w:t>
            </w:r>
          </w:p>
        </w:tc>
        <w:tc>
          <w:tcPr>
            <w:tcW w:w="16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Steven R. Appleton</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2011</w:t>
            </w:r>
          </w:p>
        </w:tc>
        <w:tc>
          <w:tcPr>
            <w:tcW w:w="160" w:type="dxa"/>
            <w:vAlign w:val="bottom"/>
            <w:gridSpan w:val="2"/>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  950,000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$ 3,658,380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$ 3,245,814</w:t>
            </w:r>
          </w:p>
        </w:tc>
        <w:tc>
          <w:tcPr>
            <w:tcW w:w="28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775,200</w:t>
            </w:r>
          </w:p>
        </w:tc>
        <w:tc>
          <w:tcPr>
            <w:tcW w:w="3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12,250</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$ 8,641,644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806,405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$ 807,500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3,655,400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3,237,051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9,788,856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(Principal Executive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731,865</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3,637,760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3,793,402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22,959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8,185,986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D.</w:t>
            </w:r>
          </w:p>
        </w:tc>
        <w:tc>
          <w:tcPr>
            <w:tcW w:w="21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Mark Durcan</w:t>
            </w: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2011</w:t>
            </w:r>
          </w:p>
        </w:tc>
        <w:tc>
          <w:tcPr>
            <w:tcW w:w="7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641,366</w:t>
            </w: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1,692,570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1,500,134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Arial" w:cs="Arial" w:eastAsia="Arial" w:hAnsi="Arial"/>
                <w:sz w:val="14"/>
                <w:szCs w:val="14"/>
                <w:color w:val="auto"/>
              </w:rPr>
              <w:t>421,056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12,250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4,267,376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President and Chief</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507,692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1,693,420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1,494,327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612,000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4,763,439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Operating Officer</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462,231</w:t>
            </w: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1,680,000</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1,752,223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2,178</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3,896,632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Ronald C. Foster(6)</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486,769</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1,123,320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997,531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260,435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2,880,305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Financial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404,654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1,126,460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997,532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3,197,646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(Principal Financial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375,923</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1,167,378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2,671,382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gridSpan w:val="3"/>
          </w:tcPr>
          <w:p>
            <w:pPr>
              <w:spacing w:after="0" w:line="138" w:lineRule="exact"/>
              <w:rPr>
                <w:sz w:val="20"/>
                <w:szCs w:val="20"/>
                <w:color w:val="auto"/>
              </w:rPr>
            </w:pPr>
            <w:r>
              <w:rPr>
                <w:rFonts w:ascii="Arial" w:cs="Arial" w:eastAsia="Arial" w:hAnsi="Arial"/>
                <w:sz w:val="14"/>
                <w:szCs w:val="14"/>
                <w:color w:val="auto"/>
              </w:rPr>
              <w:t>Mario Licciardello</w:t>
            </w: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2011</w:t>
            </w:r>
          </w:p>
        </w:tc>
        <w:tc>
          <w:tcPr>
            <w:tcW w:w="7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510,616</w:t>
            </w: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842,490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748,149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Arial" w:cs="Arial" w:eastAsia="Arial" w:hAnsi="Arial"/>
                <w:sz w:val="14"/>
                <w:szCs w:val="14"/>
                <w:color w:val="auto"/>
              </w:rPr>
              <w:t>512,423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79,491</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2,693,169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Vice President of</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165,118</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3,959,874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498,868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37,602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4,661,462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Wireless Solutions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Brian M. Shirley</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484,000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842,490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748,149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453,750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2,540,639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Vice President of</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433,452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842,980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745,192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2,668,824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DRAM Solutions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400,589</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837,760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876,112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2,116,639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320" w:right="20" w:hanging="531"/>
        <w:spacing w:after="0" w:line="318" w:lineRule="auto"/>
        <w:tabs>
          <w:tab w:leader="none" w:pos="13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 light of the impact of the global financial crisis on our operations, in October 2008, we implemented a 20% reduction in the base salaries of all our officers. In addition, in January 2009, Messrs. Appleton and Durcan reduced their base salary by an additional 10%. In March 2010, the officers' full salary was reinstated.</w:t>
      </w:r>
    </w:p>
    <w:p>
      <w:pPr>
        <w:spacing w:after="0" w:line="147" w:lineRule="exact"/>
        <w:rPr>
          <w:rFonts w:ascii="Arial" w:cs="Arial" w:eastAsia="Arial" w:hAnsi="Arial"/>
          <w:sz w:val="12"/>
          <w:szCs w:val="12"/>
          <w:color w:val="auto"/>
        </w:rPr>
      </w:pPr>
    </w:p>
    <w:p>
      <w:pPr>
        <w:jc w:val="both"/>
        <w:ind w:left="1320"/>
        <w:spacing w:after="0" w:line="270" w:lineRule="auto"/>
        <w:rPr>
          <w:rFonts w:ascii="Arial" w:cs="Arial" w:eastAsia="Arial" w:hAnsi="Arial"/>
          <w:sz w:val="12"/>
          <w:szCs w:val="12"/>
          <w:color w:val="auto"/>
        </w:rPr>
      </w:pPr>
      <w:r>
        <w:rPr>
          <w:rFonts w:ascii="Arial" w:cs="Arial" w:eastAsia="Arial" w:hAnsi="Arial"/>
          <w:sz w:val="12"/>
          <w:szCs w:val="12"/>
          <w:color w:val="auto"/>
        </w:rPr>
        <w:t>Mr. Licciardello joined us in May 2010 following our acquisition of Numonyx. Mr. Licciardello's base salary was approximately $500,000 (EUR 365,538) for each of the years reported. The amount shown for 2010 reflects his prorated salary. Mr. Licciardello was paid in Swiss francs from May 2010 through November 30, 2010 and thereafter has been paid in euros. Dollar amounts shown for Mr. Licciardello in fiscal 2011 were calculated using the conversion ratio of 1.02 for Swiss francs, which is the average daily exchange rate for the period from September 3, 2010 through November 30, 2010 and 1.40 for euros, which is the average daily exchange rate for the period from December 1, 2010 to September 1, 2011. Dollar amounts shown for Mr. Licciardello in fiscal 2010 were calculated using the conversion ratio of 0.92 for Swiss francs, which is the average daily exchange rate for the period from May 7, 2010 to September 2, 2010.</w:t>
      </w:r>
    </w:p>
    <w:p>
      <w:pPr>
        <w:spacing w:after="0" w:line="162" w:lineRule="exact"/>
        <w:rPr>
          <w:rFonts w:ascii="Arial" w:cs="Arial" w:eastAsia="Arial" w:hAnsi="Arial"/>
          <w:sz w:val="12"/>
          <w:szCs w:val="12"/>
          <w:color w:val="auto"/>
        </w:rPr>
      </w:pPr>
    </w:p>
    <w:p>
      <w:pPr>
        <w:ind w:left="1320" w:right="20" w:hanging="531"/>
        <w:spacing w:after="0" w:line="239" w:lineRule="auto"/>
        <w:tabs>
          <w:tab w:leader="none" w:pos="1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amounts paid in fiscal 2010 pursuant to a supplemental bonus for our officers for extraordinary achievement in fiscal 2010. Pursuant to this program, Mr. Appleton received $427,500, Mr. Durcan received $216,000, Mr. Foster received $135,000 and Mr. Shirley received $145,200.</w:t>
      </w:r>
    </w:p>
    <w:p>
      <w:pPr>
        <w:spacing w:after="0" w:line="192" w:lineRule="exact"/>
        <w:rPr>
          <w:rFonts w:ascii="Arial" w:cs="Arial" w:eastAsia="Arial" w:hAnsi="Arial"/>
          <w:sz w:val="14"/>
          <w:szCs w:val="14"/>
          <w:color w:val="auto"/>
        </w:rPr>
      </w:pPr>
    </w:p>
    <w:p>
      <w:pPr>
        <w:ind w:left="1320" w:right="20"/>
        <w:spacing w:after="0" w:line="318" w:lineRule="auto"/>
        <w:rPr>
          <w:rFonts w:ascii="Arial" w:cs="Arial" w:eastAsia="Arial" w:hAnsi="Arial"/>
          <w:sz w:val="14"/>
          <w:szCs w:val="14"/>
          <w:color w:val="auto"/>
        </w:rPr>
      </w:pPr>
      <w:r>
        <w:rPr>
          <w:rFonts w:ascii="Arial" w:cs="Arial" w:eastAsia="Arial" w:hAnsi="Arial"/>
          <w:sz w:val="12"/>
          <w:szCs w:val="12"/>
          <w:color w:val="auto"/>
        </w:rPr>
        <w:t>Also includes bonus amounts paid in April 2010 to team members, including our officers, whose base salary was reduced in fiscal 2009 in response to the global financial crisis. Pursuant to this program, Mr. Appleton received $380,000, Mr. Durcan received $240,000, Mr. Foster received $129,000 and Mr. Shirley received $139,000.</w:t>
      </w:r>
    </w:p>
    <w:p>
      <w:pPr>
        <w:spacing w:after="0" w:line="134" w:lineRule="exact"/>
        <w:rPr>
          <w:rFonts w:ascii="Arial" w:cs="Arial" w:eastAsia="Arial" w:hAnsi="Arial"/>
          <w:sz w:val="14"/>
          <w:szCs w:val="14"/>
          <w:color w:val="auto"/>
        </w:rPr>
      </w:pPr>
    </w:p>
    <w:p>
      <w:pPr>
        <w:ind w:left="1320" w:hanging="531"/>
        <w:spacing w:after="0" w:line="239" w:lineRule="auto"/>
        <w:tabs>
          <w:tab w:leader="none" w:pos="1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Assumptions used in determining the fair values of these option awards is set forth in the "Equity Plans" note to our financial statements included in its annual reports on Form 10-K for fiscal years 2011, 2010 and 2009, which are incorporated herein by reference.</w:t>
      </w:r>
    </w:p>
    <w:p>
      <w:pPr>
        <w:spacing w:after="0" w:line="111" w:lineRule="exact"/>
        <w:rPr>
          <w:rFonts w:ascii="Arial" w:cs="Arial" w:eastAsia="Arial" w:hAnsi="Arial"/>
          <w:sz w:val="14"/>
          <w:szCs w:val="14"/>
          <w:color w:val="auto"/>
        </w:rPr>
      </w:pPr>
    </w:p>
    <w:p>
      <w:pPr>
        <w:jc w:val="both"/>
        <w:ind w:left="1320" w:hanging="531"/>
        <w:spacing w:after="0" w:line="227" w:lineRule="auto"/>
        <w:tabs>
          <w:tab w:leader="none" w:pos="1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amounts shown for Messrs. Appleton, Durcan, Foster and Shirley were paid pursuant to the Executive Officer Incentive Plan (the "EIP") and relate to the achievement of certain performance milestones. In fiscal 2009, the EIP was suspended and no payments were made to the Named Executive Officers. For Mr. Licciardello, amount shown for fiscal 2011 was paid in euros pursuant to the EIP and amount shown for fiscal 2010 was paid in Swiss francs pursuant to a legacy Numonyx bonus plan. Dollar amounts shown for Mr. Licciardello in fiscal 2011 were calculated using the conversion ratio of 1.45 for euros, which is the exchange rate on September 1, 2011. Dollar amounts shown for Mr. Licciardello in fiscal 2010 was calculated using the conversion ratio of 0.92 for Swiss francs, which is the average daily exchange rate for the period from May 7, 2010 to September 2, 2010.</w:t>
      </w:r>
    </w:p>
    <w:p>
      <w:pPr>
        <w:spacing w:after="0" w:line="112" w:lineRule="exact"/>
        <w:rPr>
          <w:rFonts w:ascii="Arial" w:cs="Arial" w:eastAsia="Arial" w:hAnsi="Arial"/>
          <w:sz w:val="14"/>
          <w:szCs w:val="14"/>
          <w:color w:val="auto"/>
        </w:rPr>
      </w:pPr>
    </w:p>
    <w:p>
      <w:pPr>
        <w:ind w:left="1320" w:hanging="531"/>
        <w:spacing w:after="0"/>
        <w:tabs>
          <w:tab w:leader="none" w:pos="1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shown reflect the following compensation for each Named Executive Officer:</w:t>
      </w:r>
    </w:p>
    <w:p>
      <w:pPr>
        <w:spacing w:after="0" w:line="338" w:lineRule="exact"/>
        <w:rPr>
          <w:rFonts w:ascii="Arial" w:cs="Arial" w:eastAsia="Arial" w:hAnsi="Arial"/>
          <w:sz w:val="14"/>
          <w:szCs w:val="14"/>
          <w:color w:val="auto"/>
        </w:rPr>
      </w:pPr>
    </w:p>
    <w:p>
      <w:pPr>
        <w:jc w:val="both"/>
        <w:ind w:left="2400" w:hanging="530"/>
        <w:spacing w:after="0" w:line="233" w:lineRule="auto"/>
        <w:tabs>
          <w:tab w:leader="none" w:pos="24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Matching contributions allocated by us to each of the Named Executive Officers pursuant to our 401(k) plan. For fiscal 2011, the contribution for Messrs. Appleton, Durcan, Foster and Shirley was $12,250. No matching contributions were made in fiscal 2010. For fiscal 2009, the contribution for Messrs. Appleton, Durcan, Foster and Shirley was $2,178.</w:t>
      </w:r>
    </w:p>
    <w:p>
      <w:pPr>
        <w:spacing w:after="0" w:line="111" w:lineRule="exact"/>
        <w:rPr>
          <w:rFonts w:ascii="Arial" w:cs="Arial" w:eastAsia="Arial" w:hAnsi="Arial"/>
          <w:sz w:val="14"/>
          <w:szCs w:val="14"/>
          <w:color w:val="auto"/>
        </w:rPr>
      </w:pPr>
    </w:p>
    <w:p>
      <w:pPr>
        <w:ind w:left="2400" w:hanging="530"/>
        <w:spacing w:after="0" w:line="239" w:lineRule="auto"/>
        <w:tabs>
          <w:tab w:leader="none" w:pos="24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Under our time-off plan, unused time-off in excess of 999 hours cannot be carried forward and prior to January 2009 was paid out in cash. In fiscal 2009, Mr. Appleton received $20,781 under the time off plan.</w:t>
      </w:r>
    </w:p>
    <w:p>
      <w:pPr>
        <w:spacing w:after="0" w:line="111" w:lineRule="exact"/>
        <w:rPr>
          <w:rFonts w:ascii="Arial" w:cs="Arial" w:eastAsia="Arial" w:hAnsi="Arial"/>
          <w:sz w:val="14"/>
          <w:szCs w:val="14"/>
          <w:color w:val="auto"/>
        </w:rPr>
      </w:pPr>
    </w:p>
    <w:p>
      <w:pPr>
        <w:ind w:left="2400" w:hanging="530"/>
        <w:spacing w:after="0"/>
        <w:tabs>
          <w:tab w:leader="none" w:pos="24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Mr. Foster was reimbursed for relocation expenses of $5,903 in fiscal 2009, related to his move from California to Idaho.</w:t>
      </w:r>
    </w:p>
    <w:p>
      <w:pPr>
        <w:spacing w:after="0" w:line="122" w:lineRule="exact"/>
        <w:rPr>
          <w:rFonts w:ascii="Arial" w:cs="Arial" w:eastAsia="Arial" w:hAnsi="Arial"/>
          <w:sz w:val="14"/>
          <w:szCs w:val="14"/>
          <w:color w:val="auto"/>
        </w:rPr>
      </w:pPr>
    </w:p>
    <w:p>
      <w:pPr>
        <w:jc w:val="both"/>
        <w:ind w:left="2400" w:hanging="530"/>
        <w:spacing w:after="0" w:line="233" w:lineRule="auto"/>
        <w:tabs>
          <w:tab w:leader="none" w:pos="24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Mr. Licciardello's amounts for fiscal 2011 include a meal allowance of $914, a pension allowance of $3,808, a housing allowance of $16,492, payout of accrued Swiss vacation time of $31,785, tax support of $466 and a vehicle allowance of $26,026. Mr. Licciardello's amounts for 2010 include a meal allowance of $1,131, a pension allowance of $4,717 and a housing allowance of $31,752.</w:t>
      </w:r>
    </w:p>
    <w:p>
      <w:pPr>
        <w:spacing w:after="0" w:line="19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341" w:right="239" w:bottom="1440" w:gutter="0" w:footer="0" w:header="0"/>
        </w:sectPr>
      </w:pPr>
    </w:p>
    <w:bookmarkStart w:id="29" w:name="page30"/>
    <w:bookmarkEnd w:id="29"/>
    <w:p>
      <w:pPr>
        <w:ind w:left="3560"/>
        <w:spacing w:after="0"/>
        <w:rPr>
          <w:sz w:val="20"/>
          <w:szCs w:val="20"/>
          <w:color w:val="auto"/>
        </w:rPr>
      </w:pPr>
      <w:r>
        <w:rPr>
          <w:rFonts w:ascii="Arial" w:cs="Arial" w:eastAsia="Arial" w:hAnsi="Arial"/>
          <w:sz w:val="18"/>
          <w:szCs w:val="18"/>
          <w:b w:val="1"/>
          <w:bCs w:val="1"/>
          <w:color w:val="auto"/>
        </w:rPr>
        <w:t>GRANTS OF PLAN-BASED AWARDS IN FISCAL 2011</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Estimated Future</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80" w:type="dxa"/>
            <w:vAlign w:val="bottom"/>
          </w:tcPr>
          <w:p>
            <w:pPr>
              <w:spacing w:after="0"/>
              <w:rPr>
                <w:sz w:val="7"/>
                <w:szCs w:val="7"/>
                <w:color w:val="auto"/>
              </w:rPr>
            </w:pPr>
          </w:p>
        </w:tc>
        <w:tc>
          <w:tcPr>
            <w:tcW w:w="11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700" w:type="dxa"/>
            <w:vAlign w:val="bottom"/>
            <w:gridSpan w:val="2"/>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5"/>
                <w:szCs w:val="5"/>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Close</w:t>
            </w:r>
          </w:p>
        </w:tc>
        <w:tc>
          <w:tcPr>
            <w:tcW w:w="80" w:type="dxa"/>
            <w:vAlign w:val="bottom"/>
          </w:tcPr>
          <w:p>
            <w:pPr>
              <w:spacing w:after="0"/>
              <w:rPr>
                <w:sz w:val="5"/>
                <w:szCs w:val="5"/>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80" w:type="dxa"/>
            <w:vAlign w:val="bottom"/>
          </w:tcPr>
          <w:p>
            <w:pPr>
              <w:spacing w:after="0"/>
              <w:rPr>
                <w:sz w:val="7"/>
                <w:szCs w:val="7"/>
                <w:color w:val="auto"/>
              </w:rPr>
            </w:pPr>
          </w:p>
        </w:tc>
        <w:tc>
          <w:tcPr>
            <w:tcW w:w="11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5"/>
                <w:szCs w:val="5"/>
                <w:color w:val="auto"/>
              </w:rPr>
            </w:pPr>
          </w:p>
        </w:tc>
        <w:tc>
          <w:tcPr>
            <w:tcW w:w="620" w:type="dxa"/>
            <w:vAlign w:val="bottom"/>
            <w:gridSpan w:val="2"/>
            <w:vMerge w:val="restart"/>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Stock (or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Awards(1)</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Plan Awards(2)</w:t>
            </w: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restart"/>
          </w:tcPr>
          <w:p>
            <w:pPr>
              <w:jc w:val="right"/>
              <w:ind w:right="112"/>
              <w:spacing w:after="0" w:line="149" w:lineRule="exact"/>
              <w:rPr>
                <w:sz w:val="20"/>
                <w:szCs w:val="20"/>
                <w:color w:val="auto"/>
              </w:rPr>
            </w:pPr>
            <w:r>
              <w:rPr>
                <w:rFonts w:ascii="Arial" w:cs="Arial" w:eastAsia="Arial" w:hAnsi="Arial"/>
                <w:sz w:val="14"/>
                <w:szCs w:val="14"/>
                <w:b w:val="1"/>
                <w:bCs w:val="1"/>
                <w:color w:val="auto"/>
              </w:rPr>
              <w:t>Plan</w:t>
            </w:r>
          </w:p>
        </w:tc>
        <w:tc>
          <w:tcPr>
            <w:tcW w:w="80" w:type="dxa"/>
            <w:vAlign w:val="bottom"/>
          </w:tcPr>
          <w:p>
            <w:pPr>
              <w:spacing w:after="0"/>
              <w:rPr>
                <w:sz w:val="6"/>
                <w:szCs w:val="6"/>
                <w:color w:val="auto"/>
              </w:rPr>
            </w:pPr>
          </w:p>
        </w:tc>
        <w:tc>
          <w:tcPr>
            <w:tcW w:w="54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auto"/>
            </w:tcBorders>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76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8"/>
              </w:rPr>
              <w:t>Underlying</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81"/>
              </w:rPr>
              <w:t>Price of</w:t>
            </w:r>
          </w:p>
        </w:tc>
        <w:tc>
          <w:tcPr>
            <w:tcW w:w="62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w w:val="99"/>
              </w:rPr>
              <w:t>on Grant</w:t>
            </w:r>
          </w:p>
        </w:tc>
        <w:tc>
          <w:tcPr>
            <w:tcW w:w="80" w:type="dxa"/>
            <w:vAlign w:val="bottom"/>
          </w:tcPr>
          <w:p>
            <w:pPr>
              <w:spacing w:after="0"/>
              <w:rPr>
                <w:sz w:val="6"/>
                <w:szCs w:val="6"/>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units) and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Date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Threshold</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Max</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Units(3)</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Options(4)</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Options(5)</w:t>
            </w:r>
          </w:p>
        </w:tc>
        <w:tc>
          <w:tcPr>
            <w:tcW w:w="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Date(5)</w:t>
            </w: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Option(6)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0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Steven R.</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Appleton</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134,000</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268,000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$ 2,034,120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Chief</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214,000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1,624,260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2001 Plan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3,245,814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10/11/10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$ 178,125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$1,425,000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$1,531,875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tcPr>
          <w:p>
            <w:pPr>
              <w:spacing w:after="0" w:line="138" w:lineRule="exact"/>
              <w:rPr>
                <w:sz w:val="20"/>
                <w:szCs w:val="20"/>
                <w:color w:val="auto"/>
              </w:rPr>
            </w:pPr>
            <w:r>
              <w:rPr>
                <w:rFonts w:ascii="Arial" w:cs="Arial" w:eastAsia="Arial" w:hAnsi="Arial"/>
                <w:sz w:val="14"/>
                <w:szCs w:val="14"/>
                <w:color w:val="auto"/>
                <w:w w:val="99"/>
              </w:rPr>
              <w:t>D. Mark Durcan</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10/11/10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62,000</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124,000</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941,160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President and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10/11/10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99,000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751,410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Operating</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Officer</w:t>
            </w:r>
          </w:p>
        </w:tc>
        <w:tc>
          <w:tcPr>
            <w:tcW w:w="600" w:type="dxa"/>
            <w:vAlign w:val="bottom"/>
          </w:tcPr>
          <w:p>
            <w:pPr>
              <w:jc w:val="right"/>
              <w:spacing w:after="0"/>
              <w:rPr>
                <w:sz w:val="20"/>
                <w:szCs w:val="20"/>
                <w:color w:val="auto"/>
              </w:rPr>
            </w:pPr>
            <w:r>
              <w:rPr>
                <w:rFonts w:ascii="Arial" w:cs="Arial" w:eastAsia="Arial" w:hAnsi="Arial"/>
                <w:sz w:val="14"/>
                <w:szCs w:val="14"/>
                <w:color w:val="auto"/>
                <w:w w:val="91"/>
              </w:rPr>
              <w:t>2001 Plan</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10/11/10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391,000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1,500,134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EIP</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10/11/10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96,750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774,000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832,050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Ronald C.</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Foster</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41,000</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82,000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622,380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Chief</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Financial</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66,000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500,940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2001 Plan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997,531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10/11/10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520,625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tcPr>
          <w:p>
            <w:pPr>
              <w:spacing w:after="0" w:line="138" w:lineRule="exact"/>
              <w:rPr>
                <w:sz w:val="20"/>
                <w:szCs w:val="20"/>
                <w:color w:val="auto"/>
              </w:rPr>
            </w:pPr>
            <w:r>
              <w:rPr>
                <w:rFonts w:ascii="Arial" w:cs="Arial" w:eastAsia="Arial" w:hAnsi="Arial"/>
                <w:sz w:val="14"/>
                <w:szCs w:val="14"/>
                <w:color w:val="auto"/>
              </w:rPr>
              <w:t>Mario</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Licciardello</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10/11/10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62,000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470,580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Vice President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10/11/10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371,910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Wireless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Solutions</w:t>
            </w:r>
          </w:p>
        </w:tc>
        <w:tc>
          <w:tcPr>
            <w:tcW w:w="600" w:type="dxa"/>
            <w:vAlign w:val="bottom"/>
          </w:tcPr>
          <w:p>
            <w:pPr>
              <w:jc w:val="right"/>
              <w:spacing w:after="0"/>
              <w:rPr>
                <w:sz w:val="20"/>
                <w:szCs w:val="20"/>
                <w:color w:val="auto"/>
              </w:rPr>
            </w:pPr>
            <w:r>
              <w:rPr>
                <w:rFonts w:ascii="Arial" w:cs="Arial" w:eastAsia="Arial" w:hAnsi="Arial"/>
                <w:sz w:val="14"/>
                <w:szCs w:val="14"/>
                <w:color w:val="auto"/>
                <w:w w:val="91"/>
              </w:rPr>
              <w:t>2004 Plan</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10/11/10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195,000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748,149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EIP</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10/11/10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157,361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572,220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650,900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Brian M. Shirley</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62,000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470,580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Vice President</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2004 Plan</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371,910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DRAM</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Solutions</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2001 Plan</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10/11/10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195,000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7.67</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748,149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10/11/10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133,100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484,000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550,550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680" w:hanging="531"/>
        <w:spacing w:after="0" w:line="230"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estimated future payouts set in fiscal 2011 under the EIP. Payment of bonuses under the EIP is dependent upon meeting specified performance goals. Certain EIP goals were established with only Target payouts, i.e., no Threshold or Max payouts were set. For those goals the amount that would have been paid upon the successful achievement of the goal is included in both the Target and Max column. Payments made to Mr. Licciardello were paid in euros. Amount shown is based on conversion rate as of September 1, 2011, of 1.45.</w:t>
      </w:r>
    </w:p>
    <w:p>
      <w:pPr>
        <w:spacing w:after="0" w:line="112"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restricted stock awarded in fiscal 2011 under the 2004 Equity Incentive Plan (the "2004 Plan") with performance-based restrictions. Information related to the performance-based restrictions associated with these shares is contained in Compensation Discussion and Analysis. Target amounts represent the maximum number of shares that may be awarded.</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restricted stock awarded in fiscal 2010 under the 2004 Plan with time-based restrictions. Time-based restrictions lapse in four equal installments over a four-year period from the date of the award.</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options awarded pursuant to our 2001 Stock Option Plan (the "2001 Plan") and 2004 Plan. All options have a term of six years and vest in equal installments over a four year period.</w:t>
      </w:r>
    </w:p>
    <w:p>
      <w:pPr>
        <w:spacing w:after="0" w:line="111" w:lineRule="exact"/>
        <w:rPr>
          <w:rFonts w:ascii="Arial" w:cs="Arial" w:eastAsia="Arial" w:hAnsi="Arial"/>
          <w:sz w:val="14"/>
          <w:szCs w:val="14"/>
          <w:color w:val="auto"/>
        </w:rPr>
      </w:pPr>
    </w:p>
    <w:p>
      <w:pPr>
        <w:jc w:val="both"/>
        <w:ind w:left="1680" w:hanging="531"/>
        <w:spacing w:after="0" w:line="230"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Under our equity plans options are required to have exercise prices equal to the fair market value. Fair market value is defined as the closing price on the last market-trading day prior to the date of grant. For purposes of our equity plans and the calculation of "Grant Date Fair Value," the fair market value of our Common Stock on the date of grant referenced in this table for October 11, 2010, was $7.59 (the closing price on October 8, 2010). The closing price of our Common Stock on the date of grant referenced in this table was $7.67 on October 11, 2010.</w:t>
      </w:r>
    </w:p>
    <w:p>
      <w:pPr>
        <w:spacing w:after="0" w:line="112"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expense shown for stock awards is based solely on the fair value as of the date of grant, disregarding any assumptions as to estimated forfeitures based on continued service. No other assumptions are used in the expense calculation for the stock awards. Assumptions used in determining the fair values of these option awards are set forth in the "Equity Plans" note to our financial statements included in our annual report on Form 10-K for fiscal 2011.</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Plan Information</w:t>
      </w:r>
    </w:p>
    <w:p>
      <w:pPr>
        <w:spacing w:after="0" w:line="231"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auto"/>
        </w:rPr>
        <w:t>In fiscal 2011, compensatory awards were made to the Named Executive Officers pursuant to the EIP, the 2001 Plan and the 2004 Plan. The EIP was approved by our shareholders in 2004 and 2009. The purpose of the EIP is to attract, retain and reward qualified executives who are important to our success by providing performance-based, incentive cash awards for outstanding performance at the individual, business-unit and company-wide level. The purpose of the 2001 Plan and the 2004 Plan is to promote our success by linking the personal interests of its employees, officers, directors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w:t>
      </w:r>
    </w:p>
    <w:p>
      <w:pPr>
        <w:sectPr>
          <w:pgSz w:w="11900" w:h="16838" w:orient="portrait"/>
          <w:cols w:equalWidth="0" w:num="1">
            <w:col w:w="11420"/>
          </w:cols>
          <w:pgMar w:left="240" w:top="34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restricted stock units under the 2004 Plan. Options granted under the 2001 Plan and 2004 Plan have an exercise price equal to the fair market value (as defined by the plan) on the date of grant and a term of six years. For purposes of share counting, each share of restricted stock issued under the 2004 Plan reduces the number of shares available for issuance by two.</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Lapsing of Restrictions Associated with Restricted Stock Awards</w:t>
      </w:r>
    </w:p>
    <w:p>
      <w:pPr>
        <w:spacing w:after="0" w:line="231"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The restrictions associated with the restricted stock granted to the Named Executive Officers include both time-based restrictions and performance-based restrictions. Time-based restrictions applicable to awards made after fiscal 2006 lapse in four equal installments over a four-year period. The restrictions associated with performance-based awards are described below.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Issuance of Performance-based Awards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409"/>
        <w:spacing w:after="0" w:line="288" w:lineRule="auto"/>
        <w:rPr>
          <w:sz w:val="20"/>
          <w:szCs w:val="20"/>
          <w:color w:val="auto"/>
        </w:rPr>
      </w:pPr>
      <w:r>
        <w:rPr>
          <w:rFonts w:ascii="Arial" w:cs="Arial" w:eastAsia="Arial" w:hAnsi="Arial"/>
          <w:sz w:val="16"/>
          <w:szCs w:val="16"/>
          <w:color w:val="auto"/>
        </w:rPr>
        <w:t>Our executive officers have been granted restricted stock with performance-based restrictions related to the achievement of a minimum specified return on assets ("ROA") goal. The restrictions related to these shares lapse if we achieve a certain ROA over a consecutive rolling four-quarter period (the "Share Performance Period"). The achievement during the Share Performance Period of a lower threshold ROA percentage will result in the restrictions lapsing as to one-half of the performance-based shares. The achievement during the Share Performance Period of the target ROA percentage will result in the restrictions lapsing as to all the performance-based shares. Both the threshold and target ROA percentages require significant effort with the achievement of neither ROA percentage being assured. In the absence of at least the threshold ROA percentage being achieved during the Share Performance Period, the restrictions will not lapse and the shares will be forfeited. The ROA goal associated with the performance-based restricted stock granted in fiscal 2009 and fiscal 2010 were achieved and the restrictions as to those shares lapsed in July 2010 and October 2010, respectively. The ROA goal associated with the performance-based stock granted in fiscal 2011 have not yet been achieved and those shares will be forfeited if the goal is not met by the end of fiscal 2013.</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Awards</w:t>
      </w:r>
    </w:p>
    <w:p>
      <w:pPr>
        <w:spacing w:after="0" w:line="225"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The performance milestones related to the payment of bonuses under the EIP for fiscal 2011, 2010 and 2009 were partially achieved or not achieved at all. As a result, bonuses for those fiscal years were not paid out at the levels indicated in the columns labeled "Estimated Future Payouts under Non-equity Incentive Plan Awards" on the "Grants of Plan-Based Awards in Fiscal 2011" table. The EIP was suspended in 2009 and no bonuses were paid. The actual amount of the EIP bonuses paid for fiscal 2011, 2010 and 2009 performance are included in the "Fiscal 2011 Summary Compensation Table" in the column labeled "Non-Equity Plan Incentive Compensation." The performance milestones related to the EIP are discussed in Compensation Discussion and Analysis.</w:t>
      </w:r>
    </w:p>
    <w:p>
      <w:pPr>
        <w:spacing w:after="0" w:line="170"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In light of achieving historical highs for revenue, income and cash flows in fiscal 2010, our officers received supplemental bonuses for extraordinary achievement in October 2010. The amounts awarded pursuant to this supplemental bonus are included in the "Fiscal 2011 Summary Compensation Table" in the column "Bonus."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Option Vesting</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Since September 2004, options granted generally vest in four equal installments over a four-year period from the date of grant and have a term of six years.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left="540"/>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31"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Under the provisions of ASC Topic 718, stock-based compensation cost is estimated at the grant date based on the fair value of the award and is recognized as expense ratably over the requisite service period of the award. Determining the appropriate fair value model and calculating the fair value of stock-based awards at the grant date requires considerable judgment, including estimating stock price volatility, expected option life and forfeiture rates. We develop our estimates based on historical data and market information which can change significantly over time. A small change in the estimates used can result in a relatively large change in the estimated valuation.</w:t>
      </w:r>
    </w:p>
    <w:p>
      <w:pPr>
        <w:spacing w:after="0" w:line="197"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fair values of option awards were estimated as of the dates of grant using the Black-Scholes option valuation model. The Black-Scholes model requires the input of assumptions, including the expected stock 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the time of the grant. No dividends were assumed in estimated option values.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18"/>
          <w:szCs w:val="18"/>
          <w:b w:val="1"/>
          <w:bCs w:val="1"/>
          <w:color w:val="auto"/>
        </w:rPr>
        <w:t>OUTSTANDING EQUITY AWARDS AT 2011 FISCAL YEAR-END</w:t>
      </w:r>
    </w:p>
    <w:p>
      <w:pPr>
        <w:spacing w:after="0" w:line="231" w:lineRule="exact"/>
        <w:rPr>
          <w:sz w:val="20"/>
          <w:szCs w:val="20"/>
          <w:color w:val="auto"/>
        </w:rPr>
      </w:pPr>
    </w:p>
    <w:p>
      <w:pPr>
        <w:ind w:firstLine="538"/>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stock held by our Named Executive Officers as of September 1, 2011.</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3"/>
              </w:rPr>
              <w:t>Shares or</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Equity</w:t>
            </w: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8"/>
                <w:szCs w:val="8"/>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0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8"/>
                <w:szCs w:val="8"/>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5"/>
              </w:rPr>
              <w:t>Vested(1)</w:t>
            </w: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9"/>
                <w:szCs w:val="9"/>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Number of Securities</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Underlying Options</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 or Other</w:t>
            </w: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vMerge w:val="restart"/>
          </w:tcPr>
          <w:p>
            <w:pPr>
              <w:spacing w:after="0"/>
              <w:rPr>
                <w:sz w:val="2"/>
                <w:szCs w:val="2"/>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10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Have</w:t>
            </w: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61"/>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Exercisable</w:t>
            </w: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Unexercisable</w:t>
            </w: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Not Vested</w:t>
            </w: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Vested(1)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Steven R. Appleton</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400,000</w:t>
            </w: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21.11</w:t>
            </w: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9/21/2011</w:t>
            </w:r>
          </w:p>
        </w:tc>
        <w:tc>
          <w:tcPr>
            <w:tcW w:w="1100" w:type="dxa"/>
            <w:vAlign w:val="bottom"/>
            <w:gridSpan w:val="4"/>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75,582(2)  $</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433,841</w:t>
            </w:r>
          </w:p>
        </w:tc>
        <w:tc>
          <w:tcPr>
            <w:tcW w:w="134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268,000(3)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1,538,320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Chief Executive Officer</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w:t>
            </w: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9/10/2012</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180,500(4)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1,036,070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4/22/2013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163,500(5)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938,490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9/23/2013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214,000(6)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1,228,360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3/29/2014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145,500</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820,500(7)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205,250</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615,750(8)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10/5/2015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846,000(9)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10/11/2016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40" w:type="dxa"/>
            <w:vAlign w:val="bottom"/>
            <w:gridSpan w:val="3"/>
          </w:tcPr>
          <w:p>
            <w:pPr>
              <w:spacing w:after="0"/>
              <w:rPr>
                <w:sz w:val="20"/>
                <w:szCs w:val="20"/>
                <w:color w:val="auto"/>
              </w:rPr>
            </w:pPr>
            <w:r>
              <w:rPr>
                <w:rFonts w:ascii="Arial" w:cs="Arial" w:eastAsia="Arial" w:hAnsi="Arial"/>
                <w:sz w:val="14"/>
                <w:szCs w:val="14"/>
                <w:color w:val="auto"/>
              </w:rPr>
              <w:t>D. Mark Durcan</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21.11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9/21/2011</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34,723(10)</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199,310</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124,000(3)</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711,760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President and Chief</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9/10/2012</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83,500(4)</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479,290</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color w:val="auto"/>
              </w:rPr>
              <w:t>Operating Officer</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40,000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9.16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4/22/2013</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75,750(5)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434,805</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14.35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9/23/2013</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99,000(6)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568,260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15.91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3/29/2014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379,000</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379,000(7)</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4.48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94,750</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284,250(8)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7.46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10/5/2015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391,000(9)</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7.59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10/11/2016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Ronald C. Foster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75,000(11)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4/1/2014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20,939(10)</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120,190</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82,000(3)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470,680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Chief Financial Officer</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232,500</w:t>
            </w:r>
          </w:p>
        </w:tc>
        <w:tc>
          <w:tcPr>
            <w:tcW w:w="12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252,500(7)</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55,500(4)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318,570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63,250</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189,750(8)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10/5/2015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50,250(5)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288,435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260,000(9)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10/11/2016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66,000(6)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378,840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640" w:type="dxa"/>
            <w:vAlign w:val="bottom"/>
            <w:gridSpan w:val="3"/>
          </w:tcPr>
          <w:p>
            <w:pPr>
              <w:spacing w:after="0"/>
              <w:rPr>
                <w:sz w:val="20"/>
                <w:szCs w:val="20"/>
                <w:color w:val="auto"/>
              </w:rPr>
            </w:pPr>
            <w:r>
              <w:rPr>
                <w:rFonts w:ascii="Arial" w:cs="Arial" w:eastAsia="Arial" w:hAnsi="Arial"/>
                <w:sz w:val="14"/>
                <w:szCs w:val="14"/>
                <w:color w:val="auto"/>
              </w:rPr>
              <w:t>Mario Licciardello</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195,000(9)</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7.59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10/11/2016</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109,377(12)</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627,824</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44,493(13)</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255,390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Vice President of</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49,000(6)</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281,260</w:t>
            </w:r>
          </w:p>
        </w:tc>
        <w:tc>
          <w:tcPr>
            <w:tcW w:w="13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62,000(3)</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355,880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Wireless Solutions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220" w:type="dxa"/>
            <w:vAlign w:val="bottom"/>
            <w:tcBorders>
              <w:right w:val="single" w:sz="8" w:color="CCEEFF"/>
            </w:tcBorders>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9/15/2011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17,362(10)</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99,658</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62,000(3)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355,880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Vice President of</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70,100</w:t>
            </w: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9/21/2011</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41,500(4)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238,210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DRAM Solutions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12/16/2011</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37,500(5)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215,250</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10/16/2012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49,000(6)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281,260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5/5/2013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11/19/2013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9/1/2014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94,750</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189,500(7)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47,250</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141,750(8)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10/5/2015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195,000(9)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10/11/2016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Calculated by multiplying the number of shares of restricted stock by $5.74, the closing price of our common stock on September 1,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on October 9,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return on asset goal by the fourth fiscal quarter of 2013.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3, 2011, and October 3,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5, 2011, October 5, 2012 and October 5, 2013.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11, 2011, October 11, 2012, October 11, 2013 and October 11, 2014.</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equal installments on October 3, 2011, and October 3,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equal installments on October 5, 2011, October 5, 2012 and October 5, 2013.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in equal installments on October 11, 2011, October 11, 2012, October 11, 2013 and October 11, 2014.</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on October 8,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Options vest on April 1,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shares lapse April 1, 2012.</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customer delivery goal for fiscal year of 2011. The metric for fiscal year 2011 was met and the shares will lapse on December 31, 2011.</w:t>
      </w:r>
    </w:p>
    <w:p>
      <w:pPr>
        <w:sectPr>
          <w:pgSz w:w="11900" w:h="16838" w:orient="portrait"/>
          <w:cols w:equalWidth="0" w:num="1">
            <w:col w:w="11420"/>
          </w:cols>
          <w:pgMar w:left="240" w:top="341"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OPTION EXERCISES AND STOCK VESTED IN FISCAL 2011</w:t>
      </w:r>
    </w:p>
    <w:p>
      <w:pPr>
        <w:spacing w:after="0" w:line="231"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following table sets forth information related to the number of options and restricted shares held by each of the Named Executive Officers that were exercised or vested in fiscal 2011 and the value realized.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20" w:type="dxa"/>
            <w:vAlign w:val="bottom"/>
            <w:gridSpan w:val="3"/>
          </w:tcPr>
          <w:p>
            <w:pPr>
              <w:jc w:val="right"/>
              <w:ind w:right="504"/>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2040" w:type="dxa"/>
            <w:vAlign w:val="bottom"/>
            <w:gridSpan w:val="4"/>
          </w:tcPr>
          <w:p>
            <w:pPr>
              <w:ind w:left="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Realized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1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61"/>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on Exercise(1)</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on Vesting</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on Vesting(2)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675,000</w:t>
            </w:r>
          </w:p>
        </w:tc>
        <w:tc>
          <w:tcPr>
            <w:tcW w:w="1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4,666,453</w:t>
            </w:r>
          </w:p>
        </w:tc>
        <w:tc>
          <w:tcPr>
            <w:tcW w:w="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539,456</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4,016,317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D. Mark Durcan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260,722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1,904,343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President and Chief Operating Officer</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Mario Licciardello</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149,344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1,496,444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Vice President of Wireless Solutions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646,271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of DRAM Solutions</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Value calculated by multiplying number of shares by the excess of the market value per share on the exercise date over the exercise price.</w:t>
      </w:r>
    </w:p>
    <w:p>
      <w:pPr>
        <w:spacing w:after="0" w:line="286" w:lineRule="exact"/>
        <w:rPr>
          <w:rFonts w:ascii="Arial" w:cs="Arial" w:eastAsia="Arial" w:hAnsi="Arial"/>
          <w:sz w:val="15"/>
          <w:szCs w:val="15"/>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Severance Agreements described in the "Severance Agreements" and "Change in Control" sections of the "Compensation Discussion and Analysis." The amounts were calculated as if the Named Executive Officers separated from service on September 1, 2011, the last day of fiscal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U.S.-based Named Executive Officers</w:t>
      </w:r>
    </w:p>
    <w:p>
      <w:pPr>
        <w:spacing w:after="0" w:line="231" w:lineRule="exact"/>
        <w:rPr>
          <w:sz w:val="20"/>
          <w:szCs w:val="20"/>
          <w:color w:val="auto"/>
        </w:rPr>
      </w:pPr>
    </w:p>
    <w:p>
      <w:pPr>
        <w:jc w:val="both"/>
        <w:ind w:firstLine="401"/>
        <w:spacing w:after="0" w:line="298" w:lineRule="auto"/>
        <w:rPr>
          <w:sz w:val="20"/>
          <w:szCs w:val="20"/>
          <w:color w:val="auto"/>
        </w:rPr>
      </w:pPr>
      <w:r>
        <w:rPr>
          <w:rFonts w:ascii="Arial" w:cs="Arial" w:eastAsia="Arial" w:hAnsi="Arial"/>
          <w:sz w:val="16"/>
          <w:szCs w:val="16"/>
          <w:color w:val="auto"/>
        </w:rPr>
        <w:t>For U.S.-based Named Executive officers (which excludes Mr. Licciardello), the "Salary" portion of severance payments are paid on our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officer's separation from service. The remaining payments would then be paid according to our regular payroll schedule.</w:t>
      </w:r>
    </w:p>
    <w:p>
      <w:pPr>
        <w:spacing w:after="0" w:line="167"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194"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The "Cash in Lieu of Benefits" portion of the severance payments is calculated based on the difference between the amount of premiums the U.S.-based Named Executive Officer paid each month for benefits coverage as an employee of us and the estimated premiums the U.S.-based Named Executive Officer would need to pay each month for the same or similar coverage as a former employee. This monthly amount is multiplied by the number of months in the U.S.-based Named Executive Officer's Transition Period and is grossed-up for taxes. All gross-up calculations and payments are based on the standard supplemental withholding rates provided by federal and state guidelines. We do not use the U.S.-based Named Executive Officer's actual tax rate for these calculations. The "Cash in Lieu of Benefits"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payment is made within 30 days after the officer's separation from service, subject to the possibility of a six-month delay that may be required by Section 409A of the Code. If Section 409A imposes a six-month delay, the payment would be made to the officer on the first day of the seventh month following the officer's separation from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Licciardello</w:t>
      </w:r>
    </w:p>
    <w:p>
      <w:pPr>
        <w:spacing w:after="0" w:line="231" w:lineRule="exact"/>
        <w:rPr>
          <w:sz w:val="20"/>
          <w:szCs w:val="20"/>
          <w:color w:val="auto"/>
        </w:rPr>
      </w:pPr>
    </w:p>
    <w:p>
      <w:pPr>
        <w:jc w:val="both"/>
        <w:ind w:firstLine="634"/>
        <w:spacing w:after="0" w:line="332" w:lineRule="auto"/>
        <w:rPr>
          <w:sz w:val="20"/>
          <w:szCs w:val="20"/>
          <w:color w:val="auto"/>
        </w:rPr>
      </w:pPr>
      <w:r>
        <w:rPr>
          <w:rFonts w:ascii="Arial" w:cs="Arial" w:eastAsia="Arial" w:hAnsi="Arial"/>
          <w:sz w:val="16"/>
          <w:szCs w:val="16"/>
          <w:color w:val="auto"/>
        </w:rPr>
        <w:t>Mr. Licciardello had entered into a severance agreement with Numonyx which had been assumed by us but which has since expired. However, Mr. Licciardello is eligible for a standard severance payment for our Italy-based employees who are employed at the senior leader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or Involuntary Termination of Employment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Extended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Extended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Cash in Lieu</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of Benefits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Salary(1)</w:t>
            </w:r>
          </w:p>
        </w:tc>
        <w:tc>
          <w:tcPr>
            <w:tcW w:w="16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Bonus(2)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Payment(3)</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Period(4)</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Vesting(5)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Awards(6)</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7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$ 950,000</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$ 775,200</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50,145</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$ 1,431,650</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$ 1,571,793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$ 4,778,788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 Mark Durcan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645,000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421,056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844,453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725,951</w:t>
            </w:r>
          </w:p>
        </w:tc>
        <w:tc>
          <w:tcPr>
            <w:tcW w:w="16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2,680,175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President and Chief</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Operating Officer</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808,761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470,326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2,075,827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Mario Licciardello</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352,141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352,141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Vice President of Wireless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Arial" w:cs="Arial" w:eastAsia="Arial" w:hAnsi="Arial"/>
                <w:sz w:val="18"/>
                <w:szCs w:val="18"/>
                <w:color w:val="auto"/>
              </w:rPr>
              <w:t>Solutions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360,824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DRAM</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Solutions</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6"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except with respect to Mr. Licciardello. The amount for Mr. Licciardello represents a standard severance payment for our Italy-based employees who are employed at the senior leader level (8 months of pay). Mr. Licciardello is paid in euro and his amount is calculated using the conversion ratio of 1.45, the euro to the U.S. dollar exchange rate on September 1, 2011.</w:t>
      </w:r>
    </w:p>
    <w:p>
      <w:pPr>
        <w:spacing w:after="0" w:line="224"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payment of bonuses under the EIP for the Named Executive Officers. Mr. Licciardello would not be eligible for an EIP bonus due to the terms and conditions of the EIP Plan.</w:t>
      </w:r>
    </w:p>
    <w:p>
      <w:pPr>
        <w:spacing w:after="0" w:line="199"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 cash payment for an amount estimated to allow the Named Executive Officer to purchase during the Transition Period benefits similar to those he received while he was our employee. The amount listed includes a gross-up calculation for the tax impact of the payment. Mr. Licciardello is not eligible for this cash payment.</w:t>
      </w:r>
    </w:p>
    <w:p>
      <w:pPr>
        <w:spacing w:after="0" w:line="207"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value resulting from the additional vesting and exercise period for stock options provided by the Named Executive Officer's 12-month Transition Period. The fair value of each option award is estimated as of September 1, 2011, using the Black-Scholes model. Expected volatility is based on the implied volatility from traded options on our stock and historical volatility. The expected term is based on the shorter of length of the Transition Period or remaining life of the option. The risk-free rates are based on the U.S. Treasury yield. Mr. Licciardello is not eligible for the additional vesting and exercise period.</w:t>
      </w:r>
    </w:p>
    <w:p>
      <w:pPr>
        <w:spacing w:after="0" w:line="196"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pursuant to the Named Executive Officer's 12-month Transition Period. The amount shown is calculated as the number of shares multiplied by $5.74 per share, our closing stock price on September 1, 2011. Mr. Licciardello is not eligible for the additional vesting period.</w:t>
      </w:r>
    </w:p>
    <w:p>
      <w:pPr>
        <w:spacing w:after="0" w:line="207"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performance-based goals have been established on a long-term basis using a four-quarter rolling average. Due to our performance in recent fiscal quarters and projection for future quarters, we have assumed for purposes of this presentation that the performance-based goals related to these shares would have not been met during the Named Executive Officer's 12-month Transition Period. Mr. Licciardello is not eligible for a 12-month Transition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 in Control</w:t>
      </w:r>
    </w:p>
    <w:p>
      <w:pPr>
        <w:spacing w:after="0" w:line="231"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6"/>
          <w:szCs w:val="16"/>
          <w:color w:val="auto"/>
        </w:rPr>
        <w:t>We do not have change in control arrangements for our Named Executive Officers. However, the Severance Agreements described above provide for transitional benefits in the event of termination of employment, whether or not the termination is in connection with a change in control. In addition, under most of our equity plans, upon a change in control, outstanding time-based awards automatically become fully vested or the applicable restrictions lapse and outstanding performance-based awards are treated as if all required performance goals were satisfied and are paid within 30 days on a pro-rata basis based on the amount of the performance period completed as of the date of the change in control. A change in control is generally defined as a change in the majority of the Board's directors within a specified time period or the acquisition of 35% or more of our outstanding Common Stock.</w:t>
      </w:r>
    </w:p>
    <w:p>
      <w:pPr>
        <w:spacing w:after="0" w:line="174" w:lineRule="exact"/>
        <w:rPr>
          <w:sz w:val="20"/>
          <w:szCs w:val="20"/>
          <w:color w:val="auto"/>
        </w:rPr>
      </w:pPr>
    </w:p>
    <w:p>
      <w:pPr>
        <w:jc w:val="both"/>
        <w:ind w:firstLine="521"/>
        <w:spacing w:after="0" w:line="268"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 and is paid within 30 days.</w:t>
      </w:r>
    </w:p>
    <w:p>
      <w:pPr>
        <w:spacing w:after="0" w:line="186"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following table sets forth the estimated benefits payable to the Named Executive Officers assuming a change in control occurred on September 1, 2011. We have assumed for simplicity of presentation that benefits earned as of September 1, 2011, would have equaled benefits earned as of the end of the preceding month in the event of a change of control.</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Bonus(1)</w:t>
            </w:r>
          </w:p>
        </w:tc>
        <w:tc>
          <w:tcPr>
            <w:tcW w:w="160" w:type="dxa"/>
            <w:vAlign w:val="bottom"/>
          </w:tcPr>
          <w:p>
            <w:pPr>
              <w:spacing w:after="0"/>
              <w:rPr>
                <w:sz w:val="14"/>
                <w:szCs w:val="14"/>
                <w:color w:val="auto"/>
              </w:rPr>
            </w:pPr>
          </w:p>
        </w:tc>
        <w:tc>
          <w:tcPr>
            <w:tcW w:w="920" w:type="dxa"/>
            <w:vAlign w:val="bottom"/>
          </w:tcPr>
          <w:p>
            <w:pPr>
              <w:jc w:val="right"/>
              <w:ind w:right="86"/>
              <w:spacing w:after="0"/>
              <w:rPr>
                <w:sz w:val="20"/>
                <w:szCs w:val="20"/>
                <w:color w:val="auto"/>
              </w:rPr>
            </w:pPr>
            <w:r>
              <w:rPr>
                <w:rFonts w:ascii="Arial" w:cs="Arial" w:eastAsia="Arial" w:hAnsi="Arial"/>
                <w:sz w:val="14"/>
                <w:szCs w:val="14"/>
                <w:b w:val="1"/>
                <w:bCs w:val="1"/>
                <w:color w:val="auto"/>
              </w:rPr>
              <w:t>Options(2)</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Stock(3)</w:t>
            </w:r>
          </w:p>
        </w:tc>
        <w:tc>
          <w:tcPr>
            <w:tcW w:w="16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18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775,200</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1,033,830</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5,175,081</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6,984,111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D. Mark Durcan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421,056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477,540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2,393,425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3,292,021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President and Chief Operating Officer</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318,150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1,576,715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2,155,300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Mario Licciardello</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512,423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637,140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1,149,563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Vice President of Wireless Solutions</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453,750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1,190,258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1,882,778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of DRAM Solutions</w:t>
            </w: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payment of bonuses under the EIP for the Named Executive Officers. Mr. Licciardello is paid in euro and his amount is calculated using the conversion ratio of 1.45, the euro to the U.S. dollar exchange rate on September 1, 2011.</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the acceleration of vesting for all outstanding options. Amount shown is calculated as the excess of $5.74, the closing price of our stock on September 1, 2011, over the accelerated option's exercise price.</w:t>
      </w:r>
    </w:p>
    <w:p>
      <w:pPr>
        <w:spacing w:after="0" w:line="199"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Assumes the lapsing of all restrictions associated with the shares except Mr. Licciardello's stock units granted under the Numonyx Plan, which does not automatically accelerate vesting upon a change in control. Amount shown is calculated as the number of shares on which restrictions would lapse multiplied by $5.74 per share, our closing stock price on September 1, 2011.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4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as of September 1, 2011, regarding Common Stock that may be issued pursuant to our equity compensation plans:</w:t>
      </w:r>
    </w:p>
    <w:p>
      <w:pPr>
        <w:spacing w:after="0" w:line="23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(c)</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2"/>
                <w:szCs w:val="12"/>
                <w:color w:val="auto"/>
              </w:rPr>
            </w:pP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Future Issuance Under</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60" w:type="dxa"/>
            <w:vAlign w:val="bottom"/>
          </w:tcPr>
          <w:p>
            <w:pPr>
              <w:spacing w:after="0"/>
              <w:rPr>
                <w:sz w:val="12"/>
                <w:szCs w:val="12"/>
                <w:color w:val="auto"/>
              </w:rPr>
            </w:pP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Equity Compensation Plans</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60" w:type="dxa"/>
            <w:vAlign w:val="bottom"/>
          </w:tcPr>
          <w:p>
            <w:pPr>
              <w:spacing w:after="0"/>
              <w:rPr>
                <w:sz w:val="12"/>
                <w:szCs w:val="12"/>
                <w:color w:val="auto"/>
              </w:rPr>
            </w:pP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Reflected in Column (a))</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Equity Compensation Plans Approved by Shareholders(1)</w:t>
            </w:r>
          </w:p>
        </w:tc>
        <w:tc>
          <w:tcPr>
            <w:tcW w:w="1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72,014,149</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9.49</w:t>
            </w:r>
          </w:p>
        </w:tc>
        <w:tc>
          <w:tcPr>
            <w:tcW w:w="1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55,636,479</w:t>
            </w:r>
          </w:p>
        </w:tc>
        <w:tc>
          <w:tcPr>
            <w:tcW w:w="1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Equity Compensation Plans Not Approved by Shareholders(2)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32,261,804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12.86</w:t>
            </w:r>
          </w:p>
        </w:tc>
        <w:tc>
          <w:tcPr>
            <w:tcW w:w="16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14,154,467</w:t>
            </w:r>
          </w:p>
        </w:tc>
        <w:tc>
          <w:tcPr>
            <w:tcW w:w="1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Totals(3)</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104,275,953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10.53</w:t>
            </w:r>
          </w:p>
        </w:tc>
        <w:tc>
          <w:tcPr>
            <w:tcW w:w="19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69,790,946</w:t>
            </w:r>
          </w:p>
        </w:tc>
        <w:tc>
          <w:tcPr>
            <w:tcW w:w="16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320" w:hanging="531"/>
        <w:spacing w:after="0" w:line="270" w:lineRule="auto"/>
        <w:tabs>
          <w:tab w:leader="none" w:pos="13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Includes shares issuable or available pursuant to our 1994 Stock Option Plan (the "1994 Plan"), 2000 Lexar Stock Option Plan (the "2000 Lexar Plan"), 2001 Stock Option Plan (the "2001 Plan"), 2004 Equity Incentive Plan (the "2004 Plan"), 2007 Equity Incentive Plan (the "2007 Plan") and Numonyx Plan. The 2004 Plan and the 2007 Plan provide for a maximum term for options and SARs of six years, all our other equity plans provide for a maximum option term of 10 years.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94" w:lineRule="exact"/>
        <w:rPr>
          <w:rFonts w:ascii="Arial" w:cs="Arial" w:eastAsia="Arial" w:hAnsi="Arial"/>
          <w:sz w:val="12"/>
          <w:szCs w:val="12"/>
          <w:color w:val="auto"/>
        </w:rPr>
      </w:pPr>
    </w:p>
    <w:p>
      <w:pPr>
        <w:jc w:val="both"/>
        <w:ind w:left="1320" w:hanging="531"/>
        <w:spacing w:after="0" w:line="230" w:lineRule="auto"/>
        <w:tabs>
          <w:tab w:leader="none" w:pos="1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shares issuable or available pursuant to our Nonstatutory Stock Option Plan (the "NSOP"), 1997 Nonstatutory Stock Option Plan (the "1997 Plan"), 1998 Nonstatutory Stock Option Plan (the "1998 Plan") and the 2002 Employee Inducement Stock Option Plan (the "2002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112" w:lineRule="exact"/>
        <w:rPr>
          <w:rFonts w:ascii="Arial" w:cs="Arial" w:eastAsia="Arial" w:hAnsi="Arial"/>
          <w:sz w:val="14"/>
          <w:szCs w:val="14"/>
          <w:color w:val="auto"/>
        </w:rPr>
      </w:pPr>
    </w:p>
    <w:p>
      <w:pPr>
        <w:ind w:left="1320" w:hanging="531"/>
        <w:spacing w:after="0"/>
        <w:tabs>
          <w:tab w:leader="none" w:pos="1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following table contains further information as to awards outstanding and available for issuance under each of our equity plans.</w:t>
      </w:r>
    </w:p>
    <w:p>
      <w:pPr>
        <w:spacing w:after="0" w:line="189"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Available for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61"/>
        </w:trPr>
        <w:tc>
          <w:tcPr>
            <w:tcW w:w="3440" w:type="dxa"/>
            <w:vAlign w:val="bottom"/>
            <w:gridSpan w:val="5"/>
          </w:tcPr>
          <w:p>
            <w:pPr>
              <w:spacing w:after="0"/>
              <w:rPr>
                <w:sz w:val="20"/>
                <w:szCs w:val="20"/>
                <w:color w:val="auto"/>
              </w:rPr>
            </w:pPr>
            <w:r>
              <w:rPr>
                <w:rFonts w:ascii="Arial" w:cs="Arial" w:eastAsia="Arial" w:hAnsi="Arial"/>
                <w:sz w:val="14"/>
                <w:szCs w:val="14"/>
                <w:b w:val="1"/>
                <w:bCs w:val="1"/>
                <w:color w:val="auto"/>
              </w:rPr>
              <w:t>Equity Plan</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Warrants and Rights</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2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Approved Plans</w:t>
            </w: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w w:val="83"/>
              </w:rPr>
              <w:t>1994</w:t>
            </w:r>
          </w:p>
        </w:tc>
        <w:tc>
          <w:tcPr>
            <w:tcW w:w="3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5,531,265</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2000</w:t>
            </w:r>
          </w:p>
        </w:tc>
        <w:tc>
          <w:tcPr>
            <w:tcW w:w="30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Lexar Plan</w:t>
            </w:r>
          </w:p>
        </w:tc>
        <w:tc>
          <w:tcPr>
            <w:tcW w:w="1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717,726</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w w:val="83"/>
              </w:rPr>
              <w:t>2001</w:t>
            </w:r>
          </w:p>
        </w:tc>
        <w:tc>
          <w:tcPr>
            <w:tcW w:w="3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31,895,882</w:t>
            </w:r>
          </w:p>
        </w:tc>
        <w:tc>
          <w:tcPr>
            <w:tcW w:w="1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7,832,197(1)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2004</w:t>
            </w:r>
          </w:p>
        </w:tc>
        <w:tc>
          <w:tcPr>
            <w:tcW w:w="30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9,247,356(2)</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15,684,967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w w:val="83"/>
              </w:rPr>
              <w:t>2007</w:t>
            </w:r>
          </w:p>
        </w:tc>
        <w:tc>
          <w:tcPr>
            <w:tcW w:w="3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21,699,221(3)</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27,841,300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4"/>
            <w:shd w:val="clear" w:color="auto" w:fill="CCEEFF"/>
          </w:tcPr>
          <w:p>
            <w:pPr>
              <w:ind w:left="80"/>
              <w:spacing w:after="0" w:line="149" w:lineRule="exact"/>
              <w:rPr>
                <w:sz w:val="20"/>
                <w:szCs w:val="20"/>
                <w:color w:val="auto"/>
              </w:rPr>
            </w:pPr>
            <w:r>
              <w:rPr>
                <w:rFonts w:ascii="Arial" w:cs="Arial" w:eastAsia="Arial" w:hAnsi="Arial"/>
                <w:sz w:val="14"/>
                <w:szCs w:val="14"/>
                <w:color w:val="auto"/>
              </w:rPr>
              <w:t>Numonyx Plan</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2,922,699(4)</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4,278,015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gridSpan w:val="4"/>
            <w:vMerge w:val="restart"/>
          </w:tcPr>
          <w:p>
            <w:pPr>
              <w:ind w:left="180"/>
              <w:spacing w:after="0"/>
              <w:rPr>
                <w:sz w:val="20"/>
                <w:szCs w:val="20"/>
                <w:color w:val="auto"/>
              </w:rPr>
            </w:pPr>
            <w:r>
              <w:rPr>
                <w:rFonts w:ascii="Arial" w:cs="Arial" w:eastAsia="Arial" w:hAnsi="Arial"/>
                <w:sz w:val="14"/>
                <w:szCs w:val="14"/>
                <w:color w:val="auto"/>
              </w:rPr>
              <w:t>Approved Plan Total</w:t>
            </w:r>
          </w:p>
        </w:tc>
        <w:tc>
          <w:tcPr>
            <w:tcW w:w="160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gridSpan w:val="4"/>
            <w:vMerge w:val="continue"/>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72,014,149</w:t>
            </w:r>
          </w:p>
        </w:tc>
        <w:tc>
          <w:tcPr>
            <w:tcW w:w="16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55,636,479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gridSpan w:val="4"/>
            <w:shd w:val="clear" w:color="auto" w:fill="CCEEFF"/>
          </w:tcPr>
          <w:p>
            <w:pPr>
              <w:spacing w:after="0" w:line="144" w:lineRule="exact"/>
              <w:rPr>
                <w:sz w:val="20"/>
                <w:szCs w:val="20"/>
                <w:color w:val="auto"/>
              </w:rPr>
            </w:pPr>
            <w:r>
              <w:rPr>
                <w:rFonts w:ascii="Arial" w:cs="Arial" w:eastAsia="Arial" w:hAnsi="Arial"/>
                <w:sz w:val="14"/>
                <w:szCs w:val="14"/>
                <w:color w:val="auto"/>
              </w:rPr>
              <w:t>Not Approved Plans</w:t>
            </w: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NSOP</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30,950,073</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13,071,529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1997</w:t>
            </w:r>
          </w:p>
        </w:tc>
        <w:tc>
          <w:tcPr>
            <w:tcW w:w="30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396,807</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ind w:left="80"/>
              <w:spacing w:after="0" w:line="149" w:lineRule="exact"/>
              <w:rPr>
                <w:sz w:val="20"/>
                <w:szCs w:val="20"/>
                <w:color w:val="auto"/>
              </w:rPr>
            </w:pPr>
            <w:r>
              <w:rPr>
                <w:rFonts w:ascii="Arial" w:cs="Arial" w:eastAsia="Arial" w:hAnsi="Arial"/>
                <w:sz w:val="14"/>
                <w:szCs w:val="14"/>
                <w:color w:val="auto"/>
                <w:w w:val="83"/>
              </w:rPr>
              <w:t>1998</w:t>
            </w:r>
          </w:p>
        </w:tc>
        <w:tc>
          <w:tcPr>
            <w:tcW w:w="3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914,924</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2002</w:t>
            </w:r>
          </w:p>
        </w:tc>
        <w:tc>
          <w:tcPr>
            <w:tcW w:w="30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gridSpan w:val="4"/>
            <w:vMerge w:val="restart"/>
          </w:tcPr>
          <w:p>
            <w:pPr>
              <w:ind w:left="180"/>
              <w:spacing w:after="0"/>
              <w:rPr>
                <w:sz w:val="20"/>
                <w:szCs w:val="20"/>
                <w:color w:val="auto"/>
              </w:rPr>
            </w:pPr>
            <w:r>
              <w:rPr>
                <w:rFonts w:ascii="Arial" w:cs="Arial" w:eastAsia="Arial" w:hAnsi="Arial"/>
                <w:sz w:val="14"/>
                <w:szCs w:val="14"/>
                <w:color w:val="auto"/>
              </w:rPr>
              <w:t>Not Approved Plan Total</w:t>
            </w:r>
          </w:p>
        </w:tc>
        <w:tc>
          <w:tcPr>
            <w:tcW w:w="160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gridSpan w:val="4"/>
            <w:vMerge w:val="continue"/>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32,261,804</w:t>
            </w:r>
          </w:p>
        </w:tc>
        <w:tc>
          <w:tcPr>
            <w:tcW w:w="16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14,154,467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gridSpan w:val="4"/>
            <w:shd w:val="clear" w:color="auto" w:fill="CCEEFF"/>
          </w:tcPr>
          <w:p>
            <w:pPr>
              <w:ind w:left="300"/>
              <w:spacing w:after="0" w:line="144" w:lineRule="exact"/>
              <w:rPr>
                <w:sz w:val="20"/>
                <w:szCs w:val="20"/>
                <w:color w:val="auto"/>
              </w:rPr>
            </w:pPr>
            <w:r>
              <w:rPr>
                <w:rFonts w:ascii="Arial" w:cs="Arial" w:eastAsia="Arial" w:hAnsi="Arial"/>
                <w:sz w:val="14"/>
                <w:szCs w:val="14"/>
                <w:color w:val="auto"/>
              </w:rPr>
              <w:t>Grand Total</w:t>
            </w:r>
          </w:p>
        </w:tc>
        <w:tc>
          <w:tcPr>
            <w:tcW w:w="1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104,275,953</w:t>
            </w:r>
          </w:p>
        </w:tc>
        <w:tc>
          <w:tcPr>
            <w:tcW w:w="1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69,790,946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480" w:hanging="550"/>
        <w:spacing w:after="0"/>
        <w:tabs>
          <w:tab w:leader="none" w:pos="2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2001 Plan expired on September 11, 2011, and shares remaining under the plan are not available for issuance.</w:t>
      </w:r>
    </w:p>
    <w:p>
      <w:pPr>
        <w:spacing w:after="0" w:line="122" w:lineRule="exact"/>
        <w:rPr>
          <w:rFonts w:ascii="Arial" w:cs="Arial" w:eastAsia="Arial" w:hAnsi="Arial"/>
          <w:sz w:val="14"/>
          <w:szCs w:val="14"/>
          <w:color w:val="auto"/>
        </w:rPr>
      </w:pPr>
    </w:p>
    <w:p>
      <w:pPr>
        <w:ind w:left="2480" w:hanging="550"/>
        <w:spacing w:after="0"/>
        <w:tabs>
          <w:tab w:leader="none" w:pos="2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138,392 restricted stock units and excludes 3,736,426 shares of restricted stock.</w:t>
      </w:r>
    </w:p>
    <w:p>
      <w:pPr>
        <w:spacing w:after="0" w:line="122" w:lineRule="exact"/>
        <w:rPr>
          <w:rFonts w:ascii="Arial" w:cs="Arial" w:eastAsia="Arial" w:hAnsi="Arial"/>
          <w:sz w:val="14"/>
          <w:szCs w:val="14"/>
          <w:color w:val="auto"/>
        </w:rPr>
      </w:pPr>
    </w:p>
    <w:p>
      <w:pPr>
        <w:ind w:left="2480" w:hanging="550"/>
        <w:spacing w:after="0"/>
        <w:tabs>
          <w:tab w:leader="none" w:pos="2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3,468,997 restricted stock units and 51,212 shares of deferred stock rights. Excludes 158,476 shares of restricted stock.</w:t>
      </w:r>
    </w:p>
    <w:p>
      <w:pPr>
        <w:spacing w:after="0" w:line="122" w:lineRule="exact"/>
        <w:rPr>
          <w:rFonts w:ascii="Arial" w:cs="Arial" w:eastAsia="Arial" w:hAnsi="Arial"/>
          <w:sz w:val="14"/>
          <w:szCs w:val="14"/>
          <w:color w:val="auto"/>
        </w:rPr>
      </w:pPr>
    </w:p>
    <w:p>
      <w:pPr>
        <w:ind w:left="2480" w:hanging="550"/>
        <w:spacing w:after="0"/>
        <w:tabs>
          <w:tab w:leader="none" w:pos="2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1,315,077 restricted stock units.</w:t>
      </w:r>
    </w:p>
    <w:p>
      <w:pPr>
        <w:spacing w:after="0" w:line="20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341"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firstLine="369"/>
        <w:spacing w:after="0" w:line="291"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that director does not participate in the review of the proposed transaction. In reviewing a proposed related party transaction, the Board considers all the relevant facts and circumstances of the transaction, such as (i) 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During fiscal 2011, we paid $145 million to Lam Research Corporation ("Lam") for semiconductor manufacturing equipment and related services.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Bagley is the Executive Chairman of Lam.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in Connection with the Acquisition of Numonyx Holdings B.V.</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On May 7, 2010 (the "Acquisition Date"), we acquired Numonyx Holdings B.V. ("Numonyx") through the issuance of 137.7 million shares of our common stock to, among others, Intel Corporation ("Intel") and STMicroelectronics N.V. ("STMicro"). Through the transaction, both Intel and STMicro became beneficial owners of more than 5% of our outstanding common stock. The shares of common stock issued were restricted from sale until after November 6, 2010. In forms filed with the SEC, Intel and STMicro indicated that as of December 31, 2010, their ownership interest was below 5%.</w:t>
      </w:r>
    </w:p>
    <w:p>
      <w:pPr>
        <w:spacing w:after="0" w:line="167"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When Numonyx was formed in 2008, Intel and STMicro contributed existing facilities of which some were located on campuses that continued to be owned by those companies. The acquired Numonyx operations have long-term lease arrangements at those facilities, facilities cost-sharing arrangements and product testing arrangements. Under these arrangements, we paid STMicro and Intel $10 million and $1 million, respectively, from the beginning of our fiscal year through December 31, 2010. Also in connection with the acquisition of Numonyx, we received payments from Intel and STMicro of $5 million and $2 million, respectively, for reimbursements under arrangements for facility cost sharing, product design and process development and for sales of equipment from the beginning of our fiscal year through December 31, 2010.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Intel</w:t>
      </w:r>
    </w:p>
    <w:p>
      <w:pPr>
        <w:spacing w:after="0" w:line="231" w:lineRule="exact"/>
        <w:rPr>
          <w:sz w:val="20"/>
          <w:szCs w:val="20"/>
          <w:color w:val="auto"/>
        </w:rPr>
      </w:pPr>
    </w:p>
    <w:p>
      <w:pPr>
        <w:jc w:val="both"/>
        <w:ind w:firstLine="549"/>
        <w:spacing w:after="0" w:line="298" w:lineRule="auto"/>
        <w:rPr>
          <w:sz w:val="20"/>
          <w:szCs w:val="20"/>
          <w:color w:val="auto"/>
        </w:rPr>
      </w:pPr>
      <w:r>
        <w:rPr>
          <w:rFonts w:ascii="Arial" w:cs="Arial" w:eastAsia="Arial" w:hAnsi="Arial"/>
          <w:sz w:val="16"/>
          <w:szCs w:val="16"/>
          <w:color w:val="auto"/>
        </w:rPr>
        <w:t>We have two joint ventures with Intel: IM Flash Technologies, LLC ("IMFT") and IM Flash Singapore LLP ("IMFS") (collectively "IM Flash"), to manufacture NAND Flash memory products. IMFT and IMFS are each governed by a Board of Managers, the number of which adjusts depending on the parties' respective ownership interest. As of September 1, 2011, we owned 51% and Intel owned 49% of IMFT and we owned 86% and Intel owned 14% of IMFS. IM Flash's distributions to Intel were $77 million from the beginning of fiscal 2011 through December 31, 2010.</w:t>
      </w:r>
    </w:p>
    <w:p>
      <w:pPr>
        <w:spacing w:after="0" w:line="167"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IM Flash manufactures NAND Flash memory products using designs we developed with Intel. We generally share product design and other NAND Flash research and development ("R&amp;D") costs equally with Intel. As a result, R&amp;D expenses were reduced by reimbursements from Intel of $23 million for the period from the beginning of fiscal 2011 through December 31, 2010.</w:t>
      </w:r>
    </w:p>
    <w:p>
      <w:pPr>
        <w:spacing w:after="0" w:line="194" w:lineRule="exact"/>
        <w:rPr>
          <w:sz w:val="20"/>
          <w:szCs w:val="20"/>
          <w:color w:val="auto"/>
        </w:rPr>
      </w:pPr>
    </w:p>
    <w:p>
      <w:pPr>
        <w:jc w:val="both"/>
        <w:ind w:firstLine="415"/>
        <w:spacing w:after="0" w:line="256" w:lineRule="auto"/>
        <w:rPr>
          <w:sz w:val="20"/>
          <w:szCs w:val="20"/>
          <w:color w:val="auto"/>
        </w:rPr>
      </w:pPr>
      <w:r>
        <w:rPr>
          <w:rFonts w:ascii="Arial" w:cs="Arial" w:eastAsia="Arial" w:hAnsi="Arial"/>
          <w:sz w:val="18"/>
          <w:szCs w:val="18"/>
          <w:color w:val="auto"/>
        </w:rPr>
        <w:t>IM Flash sells products to the joint venture partners generally in proportion to their ownership interests at long-term negotiated prices approximating cost. IM Flash sales to Intel were $296 million for the period from the beginning of fiscal 2011 through December 31, 2010. For the period from the beginning of fiscal 2011 through December 31, 2010, we made payments to Intel of $9 million for purchases of semiconductor products and had cash receipts of $1 million from Intel for sales of DRAM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542"/>
        <w:spacing w:after="0" w:line="291" w:lineRule="auto"/>
        <w:rPr>
          <w:sz w:val="20"/>
          <w:szCs w:val="20"/>
          <w:color w:val="auto"/>
        </w:rPr>
      </w:pPr>
      <w:r>
        <w:rPr>
          <w:rFonts w:ascii="Arial" w:cs="Arial" w:eastAsia="Arial" w:hAnsi="Arial"/>
          <w:sz w:val="16"/>
          <w:szCs w:val="16"/>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Based solely on the reports received and on written representations from reporting persons, we believe that with the exception of a Form 4 related to a sale under a 10b5-1 Trading Plan for Mr. Foster, all directors, executive officers, and greater than 10% beneficial owners complied with all applicable filing requirements during the fiscal year ended September 1, 2011. Mr. Foster's filing was late as a result of our administrative error.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APPROVAL OF AN AMENDMENT TO OUR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 INCREASING THE NUMBER OF SHARES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RESERVED FOR ISSUANCE THEREUNDER BY 20,000,000.</w:t>
      </w:r>
    </w:p>
    <w:p>
      <w:pPr>
        <w:spacing w:after="0" w:line="21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2004 Equity Incentive Plan, or the 2004 Plan, was initially adopted by the Board of Directors on October 13, 2004, and approved by shareholders on November 18, 2004. On October 12, 2011, the Board of Directors recommended that the 2004 Plan be amended, subject to the approval of the Company's shareholders, to increase the shares reserved for issuance thereunder from 56,000,000 to 76,000,000. As of November 28, 2011, there were approximately 52,390,000 shares subject to outstanding awards under the 2004 Plan (including approximately 18,098,100 shares of restricted stock) and approximately 3,609,990 shares available for issuance under the 2004 Plan. Each share of restricted stock awarded under the 2004 Plan reduces the number of shares available for grant by two shares. As of November 28, 2011, there were approximately 22,000 employees (including all current executive officers) eligible to participate in the 2004 Plan. Directors and consultants are also eligible to participate in the 2004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2004 Plan as Proposed to be Amended</w:t>
      </w:r>
    </w:p>
    <w:p>
      <w:pPr>
        <w:spacing w:after="0" w:line="231"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auto"/>
        </w:rPr>
        <w:t>A summary of the 2004 Plan as proposed to be amended is set forth below. This summary is qualified in its entirety by the full text of the 2004 Plan, as proposed to be amended, which is attached to this Proxy Statement as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The purpose of the 2004 Plan is to promote the Company's success by linking the personal interests of its employees, officers, directors and consultants to those of the Company's shareholders, and by providing participants with an incentive for outstanding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Options to purchase shares of Common Stock, which may be nonstatutory stock options or incentive stock options under the U.S. Internal Revenue Code (the "Code"). The exercise price of an option granted under the 2004 Plan may not be less than the fair market value of the Company's Common Stock on the date of grant. Stock options granted under the 2004 Plan have a term of six years.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appreciation rights, which give the holder the right to receive the excess, if any, of the fair market value of one share of Common Stock on the date of exercise, over the base price of the stock appreciation right.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the Board of Directors (the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 equivalent rights, which entitle the participant to payments in cash or property calculated by reference to the amount of dividends paid on the shares of stock underlying an award.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225" w:lineRule="exact"/>
        <w:rPr>
          <w:sz w:val="20"/>
          <w:szCs w:val="20"/>
          <w:color w:val="auto"/>
        </w:rPr>
      </w:pPr>
    </w:p>
    <w:p>
      <w:pPr>
        <w:jc w:val="both"/>
        <w:ind w:firstLine="516"/>
        <w:spacing w:after="0" w:line="268" w:lineRule="auto"/>
        <w:rPr>
          <w:sz w:val="20"/>
          <w:szCs w:val="20"/>
          <w:color w:val="auto"/>
        </w:rPr>
      </w:pPr>
      <w:r>
        <w:rPr>
          <w:rFonts w:ascii="Arial" w:cs="Arial" w:eastAsia="Arial" w:hAnsi="Arial"/>
          <w:sz w:val="18"/>
          <w:szCs w:val="18"/>
          <w:color w:val="auto"/>
        </w:rPr>
        <w:t>All awards will be evidenced by a written award certificate between the Company and the participant, which will include such provisions as may be specified by the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to Non-Employee Directors</w:t>
      </w:r>
    </w:p>
    <w:p>
      <w:pPr>
        <w:spacing w:after="0" w:line="231"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Awards granted under the 2004 Plan to the Company's non-employee directors will be made only in accordance with the terms, conditions and parameters of a plan, program or policy for the compensation of non-employee directors as in effect from time to time. The Committee may not make discretionary grants under the 2004 Plan to non-employee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31"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 xml:space="preserve">The proposed amendment to the 2004 Plan would increase the number of shares that may be issued under the 2004 Plan by 20,000,000 shares. If the shareholders approve the amendment, subject to adjustment as provided in the 2004 Plan, the aggregate number of shares of Common Stock reserved and available for issuance pursuant to awards granted under the 2004 Plan will be 76,000,000. The maximum number of shares that may be issued to one person upon exercise of incentive stock options granted under the 2004 Plan is 2,000,000. </w:t>
      </w:r>
      <w:r>
        <w:rPr>
          <w:rFonts w:ascii="Arial" w:cs="Arial" w:eastAsia="Arial" w:hAnsi="Arial"/>
          <w:sz w:val="16"/>
          <w:szCs w:val="16"/>
          <w:i w:val="1"/>
          <w:iCs w:val="1"/>
          <w:color w:val="auto"/>
        </w:rPr>
        <w:t>Each share issued pursuant to "full value" awards, such as restricted stock,</w:t>
      </w:r>
      <w:r>
        <w:rPr>
          <w:rFonts w:ascii="Arial" w:cs="Arial" w:eastAsia="Arial" w:hAnsi="Arial"/>
          <w:sz w:val="16"/>
          <w:szCs w:val="16"/>
          <w:color w:val="auto"/>
        </w:rPr>
        <w:t xml:space="preserve"> </w:t>
      </w:r>
      <w:r>
        <w:rPr>
          <w:rFonts w:ascii="Arial" w:cs="Arial" w:eastAsia="Arial" w:hAnsi="Arial"/>
          <w:sz w:val="16"/>
          <w:szCs w:val="16"/>
          <w:i w:val="1"/>
          <w:iCs w:val="1"/>
          <w:color w:val="auto"/>
        </w:rPr>
        <w:t>unrestricted stock, restricted stock units, deferred stock units, performance shares, or other stock-based awards (other than options or stock appreciation rights) payable in stock, reduces the number of shares available for grant by two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31" w:lineRule="exact"/>
        <w:rPr>
          <w:sz w:val="20"/>
          <w:szCs w:val="20"/>
          <w:color w:val="auto"/>
        </w:rPr>
      </w:pPr>
    </w:p>
    <w:p>
      <w:pPr>
        <w:jc w:val="both"/>
        <w:ind w:firstLine="477"/>
        <w:spacing w:after="0" w:line="268" w:lineRule="auto"/>
        <w:rPr>
          <w:sz w:val="20"/>
          <w:szCs w:val="20"/>
          <w:color w:val="auto"/>
        </w:rPr>
      </w:pPr>
      <w:r>
        <w:rPr>
          <w:rFonts w:ascii="Arial" w:cs="Arial" w:eastAsia="Arial" w:hAnsi="Arial"/>
          <w:sz w:val="18"/>
          <w:szCs w:val="18"/>
          <w:color w:val="auto"/>
        </w:rPr>
        <w:t>Shares subject to awards that terminate or expire unexercised, or are cancelled, forfeited or lapse for any reason, and shares underlying awards that are ultimately settled in cash, will become available for future grants of awards under the 2004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31"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2004 Plan to any one person during any one calendar year is 2,000,000. The maximum number of shares of Common Stock that may be granted under the 2004 Plan in the form of restricted stock, restricted stock units, deferred stock units, performance shares or other stock-based awards (other than options or stock appreciation rights) under the 2004 Plan to any one person during any one calendar year is 2,000,000.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jc w:val="both"/>
        <w:ind w:right="20" w:firstLine="392"/>
        <w:spacing w:after="0" w:line="332" w:lineRule="auto"/>
        <w:rPr>
          <w:sz w:val="20"/>
          <w:szCs w:val="20"/>
          <w:color w:val="auto"/>
        </w:rPr>
      </w:pPr>
      <w:r>
        <w:rPr>
          <w:rFonts w:ascii="Arial" w:cs="Arial" w:eastAsia="Arial" w:hAnsi="Arial"/>
          <w:sz w:val="16"/>
          <w:szCs w:val="16"/>
          <w:color w:val="auto"/>
        </w:rPr>
        <w:t>The plan will be administered by the Committee. The Committee will have the authority to designate participants; determine the type or types of awards to be granted to each participant and the number, terms and conditions thereof; establish, adopt or revise any rules and regulations as it may deem advisable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0" w:name="page41"/>
    <w:bookmarkEnd w:id="40"/>
    <w:p>
      <w:pPr>
        <w:jc w:val="both"/>
        <w:spacing w:after="0" w:line="268" w:lineRule="auto"/>
        <w:rPr>
          <w:sz w:val="20"/>
          <w:szCs w:val="20"/>
          <w:color w:val="auto"/>
        </w:rPr>
      </w:pPr>
      <w:r>
        <w:rPr>
          <w:rFonts w:ascii="Arial" w:cs="Arial" w:eastAsia="Arial" w:hAnsi="Arial"/>
          <w:sz w:val="18"/>
          <w:szCs w:val="18"/>
          <w:color w:val="auto"/>
        </w:rPr>
        <w:t>to administer the 2004 Plan; and make all other decisions and determinations that may be required under the 2004 Plan. The Board of Directors may at any time administer the 2004 Plan. If it does so, it will have all the powers of the Committee under the 2004 Plan.</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The 2004 Plan is designed to comply with Code Section 162(m) so that grants of market-priced options and stock appreciation rights under the 2004 Plan, and other awards that are conditioned on performance goals as described below, may be excluded from the calculation of annual compensation for purposes of Code Section 162(m) and may be fully deductible. While the Committee believes it is important to preserve the deductibility of compensation under Code Section 162(m) generally, the Board and the Committee reserve the right to grant or approve awards or compensation that is non-deductible.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31"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 $1,000,000 deduction limit imposed by Code Section 162(m). If an award is so designated, the Committee must establish objectively determinable performance goals for the award. Performance goals for such awards shall be based on one or more of the following financial, strategic and operational business criteria:</w:t>
      </w:r>
    </w:p>
    <w:p>
      <w:pPr>
        <w:spacing w:after="0" w:line="174"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and expenses, including research and development and selling, general and administrative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86"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the Company, waive the achievement of any specified goal. The Committee may determine that any evaluation of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jc w:val="both"/>
        <w:spacing w:after="0" w:line="289" w:lineRule="auto"/>
        <w:rPr>
          <w:sz w:val="20"/>
          <w:szCs w:val="20"/>
          <w:color w:val="auto"/>
        </w:rPr>
      </w:pPr>
      <w:r>
        <w:rPr>
          <w:rFonts w:ascii="Arial" w:cs="Arial" w:eastAsia="Arial" w:hAnsi="Arial"/>
          <w:sz w:val="16"/>
          <w:szCs w:val="16"/>
          <w:color w:val="auto"/>
        </w:rPr>
        <w:t>may include or exclude any of the following events that occurs during a performance period: asset write-downs or impairment charges; litigation or claim judgments or settlements; the effect of changes in tax laws or accounting principles affecting reported results; accruals for reorganization and restructuring programs; extraordinary nonrecurring items meriting special accounting treatment, as determined under generally accepted accounting principles; acquisitions or divestitures; and foreign exchange gains and losses. However, in order to meet the requirements of Section 162(m), in the event the Committee determines to include or exclude such unusual and nonrecurring events when measuring actual results achieve,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31" w:lineRule="exact"/>
        <w:rPr>
          <w:sz w:val="20"/>
          <w:szCs w:val="20"/>
          <w:color w:val="auto"/>
        </w:rPr>
      </w:pPr>
    </w:p>
    <w:p>
      <w:pPr>
        <w:jc w:val="both"/>
        <w:ind w:firstLine="402"/>
        <w:spacing w:after="0" w:line="291" w:lineRule="auto"/>
        <w:rPr>
          <w:sz w:val="20"/>
          <w:szCs w:val="20"/>
          <w:color w:val="auto"/>
        </w:rPr>
      </w:pPr>
      <w:r>
        <w:rPr>
          <w:rFonts w:ascii="Arial" w:cs="Arial" w:eastAsia="Arial" w:hAnsi="Arial"/>
          <w:sz w:val="16"/>
          <w:szCs w:val="16"/>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31"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of the Company (as defined in the 2004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97"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170" w:lineRule="exact"/>
        <w:rPr>
          <w:sz w:val="20"/>
          <w:szCs w:val="20"/>
          <w:color w:val="auto"/>
        </w:rPr>
      </w:pPr>
    </w:p>
    <w:p>
      <w:pPr>
        <w:jc w:val="both"/>
        <w:ind w:firstLine="373"/>
        <w:spacing w:after="0" w:line="289" w:lineRule="auto"/>
        <w:rPr>
          <w:sz w:val="20"/>
          <w:szCs w:val="20"/>
          <w:color w:val="auto"/>
        </w:rPr>
      </w:pPr>
      <w:r>
        <w:rPr>
          <w:rFonts w:ascii="Arial" w:cs="Arial" w:eastAsia="Arial" w:hAnsi="Arial"/>
          <w:sz w:val="16"/>
          <w:szCs w:val="16"/>
          <w:color w:val="auto"/>
        </w:rPr>
        <w:t>In addition, the Committee may in its discretion accelerate awards for any other reason; provided, however, the Committee may not exercise such discretion with respect to shares of restricted stock or restricted stock units which, in the aggregate, exceed 5% of the aggregate number of shares of Common Stock reserved and available for issuance pursuant to awards granted under the 2004 Plan; provided, further, that when calculating whether the 5% maximum has been reached, the Committee may not count or consider any shares of restricted stock or restricted stock units granted to non-employee directors or regarding which the Committee accelerated vesting rights, waived restrictions or determined performance-based criteria had been satisfied resulting from a change in control, a participant's death or disability, certain change in the Company's capital structure, a participant's termination of employment or separation from service resulting from death, disability or for the convenience or in the bests interests of the Company. The Committee may discriminate among participants or among awards in exercising such discretion.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Adjustments</w:t>
      </w:r>
    </w:p>
    <w:p>
      <w:pPr>
        <w:spacing w:after="0" w:line="231"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color w:val="auto"/>
        </w:rPr>
        <w:t>Subject to any required action by the shareholders, the number of shares of Common Stock covered by outstanding awards, and the share authorization limits under the 2004 Plan, as well as the price per share of Common Stock covered by each outstanding awards,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31" w:lineRule="exact"/>
        <w:rPr>
          <w:sz w:val="20"/>
          <w:szCs w:val="20"/>
          <w:color w:val="auto"/>
        </w:rPr>
      </w:pPr>
    </w:p>
    <w:p>
      <w:pPr>
        <w:jc w:val="both"/>
        <w:ind w:firstLine="553"/>
        <w:spacing w:after="0" w:line="290" w:lineRule="auto"/>
        <w:rPr>
          <w:sz w:val="20"/>
          <w:szCs w:val="20"/>
          <w:color w:val="auto"/>
        </w:rPr>
      </w:pPr>
      <w:r>
        <w:rPr>
          <w:rFonts w:ascii="Arial" w:cs="Arial" w:eastAsia="Arial" w:hAnsi="Arial"/>
          <w:sz w:val="16"/>
          <w:szCs w:val="16"/>
          <w:color w:val="auto"/>
        </w:rPr>
        <w:t>The 2004 Plan was approved by the Company's shareholders at the 2004 Annual Meeting and will terminate on November 18, 2014, unless earlier terminated by the Board or the Committee. The Board or the Committee may, at any time and from time to time, terminate or amend the 2004 Plan, but if an amendment to the 2004 Plan would materially increase the number of shares of stock issuable under the 2004 Plan, expand the types of awards provided under the 2004 Plan, materially expand the class of participants eligible to participate in the 2004 Plan, materially extend the term of the 2004 Plan or otherwise constitute a material amendment requiring shareholder approval under applicable listing requirements, laws, policies or regulations, then such amendment will be subject to shareholder approval. No termination or amendment of the 2004 Plan may adversely affect any award previously granted under the 2004 Plan without the written consent of the participant.</w:t>
      </w:r>
    </w:p>
    <w:p>
      <w:pPr>
        <w:spacing w:after="0" w:line="172"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The Committee may amend or terminate outstanding awards. However, such amendments may require the consent of the participant and, unless approved by the shareholders or otherwise permitted by the antidilution provisions of the 2004 Plan, (i) the exercise price of an outstanding option or stock appreciation right may not be reduced, directly or indirectly, by cancellation and exchange for cash or another award or otherwise, (ii) the Committee may not repurchase an option or stock appreciation right for value from a participant if the current fair market value of the shares of stock underlying the option or stock appreciation right is lower than the exercise price or base price per share of the option or stock appreciation right, and (iii) the original term of an option may not be extended.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31"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auto"/>
        </w:rPr>
        <w:t>As indicated above under "Termination and Amendment," outstanding stock options and stock appreciation rights cannot be repriced, directly or indirectly, without the prior consent of the Company's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the Company's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31"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2004 Plan and the subsequent sale of Common Stock acquired under the 2004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the 2004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197" w:lineRule="exact"/>
        <w:rPr>
          <w:sz w:val="20"/>
          <w:szCs w:val="20"/>
          <w:color w:val="auto"/>
        </w:rPr>
      </w:pPr>
    </w:p>
    <w:p>
      <w:pPr>
        <w:jc w:val="both"/>
        <w:ind w:firstLine="416"/>
        <w:spacing w:after="0" w:line="288"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There typically will be no federal income tax consequences to the optionee or to the Company upon the grant or exercise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74" w:lineRule="exact"/>
        <w:rPr>
          <w:sz w:val="20"/>
          <w:szCs w:val="20"/>
          <w:color w:val="auto"/>
        </w:rPr>
      </w:pPr>
    </w:p>
    <w:p>
      <w:pPr>
        <w:jc w:val="both"/>
        <w:ind w:firstLine="492"/>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receiving a stock appreciation right will not recognize income, and the Company will not be allowed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 subject to any applicable limitations under Code Section 162(m).</w:t>
      </w:r>
    </w:p>
    <w:p>
      <w:pPr>
        <w:spacing w:after="0" w:line="197"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a participant makes an election to accelerate recognition of the income to the date of grant as described below, the participant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74"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recognize income, and the Company will not be allowed a tax deduction, at the time a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Upon receipt of shares of Common Stock in settlement of a restricted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7"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8"/>
          <w:szCs w:val="18"/>
          <w:i w:val="1"/>
          <w:iCs w:val="1"/>
          <w:color w:val="auto"/>
        </w:rPr>
        <w:t xml:space="preserve">Deferred Stock Units. </w:t>
      </w:r>
      <w:r>
        <w:rPr>
          <w:rFonts w:ascii="Arial" w:cs="Arial" w:eastAsia="Arial" w:hAnsi="Arial"/>
          <w:sz w:val="18"/>
          <w:szCs w:val="18"/>
          <w:color w:val="auto"/>
        </w:rPr>
        <w:t>A participant will not recognize income, and the Company will not be allowed a tax deduction, at the time a deferred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 is granted. Upon issuance of shares of Common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Stock in settlement of a deferred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94"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197"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participant will recognize ordinary income, and the Company will be allowed a tax deduction, at the time the dividend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paid or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2004 Plan are at the discretion of the Committee. Accordingly, future awards under the 2004 Plan are not determinable.</w:t>
      </w:r>
    </w:p>
    <w:p>
      <w:pPr>
        <w:spacing w:after="0" w:line="225"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As of November 28, 2011, 34,291,911 shares of Common Stock had been issued under the 2004 Plan or remained subject to outstanding awards under the 2004 Plan. The table below shows the number of shares issued, or subject to awards, under the 2004 Plan to the Named Executive Officers and the other individuals and groups indicated.</w:t>
      </w:r>
    </w:p>
    <w:p>
      <w:pPr>
        <w:sectPr>
          <w:pgSz w:w="11900" w:h="16838" w:orient="portrait"/>
          <w:cols w:equalWidth="0" w:num="1">
            <w:col w:w="11420"/>
          </w:cols>
          <w:pgMar w:left="240" w:top="590"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Name 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7632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Chief Executive Officer</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 Mark Durcan</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President and Chief Operating Officer</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Ronald C. Foster</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Chief Financial Officer</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Mario Licciardello</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Vice President of Wireless Solutions</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Brian M. Shirley</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Vice President of DRAM Solutions</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Executive Officers as a Group*</w:t>
      </w:r>
    </w:p>
    <w:p>
      <w:pPr>
        <w:spacing w:after="0" w:line="225" w:lineRule="exact"/>
        <w:rPr>
          <w:sz w:val="20"/>
          <w:szCs w:val="20"/>
          <w:color w:val="auto"/>
        </w:rPr>
      </w:pPr>
    </w:p>
    <w:p>
      <w:pPr>
        <w:ind w:left="1320" w:hanging="179"/>
        <w:spacing w:after="0" w:line="268" w:lineRule="auto"/>
        <w:rPr>
          <w:sz w:val="20"/>
          <w:szCs w:val="20"/>
          <w:color w:val="auto"/>
        </w:rPr>
      </w:pPr>
      <w:r>
        <w:rPr>
          <w:rFonts w:ascii="Arial" w:cs="Arial" w:eastAsia="Arial" w:hAnsi="Arial"/>
          <w:sz w:val="18"/>
          <w:szCs w:val="18"/>
          <w:color w:val="auto"/>
        </w:rPr>
        <w:t>All Employees as a Group (Including all Officers who are not Executive Officers)</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Non-Executive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88265</wp:posOffset>
            </wp:positionV>
            <wp:extent cx="17068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Performance-Based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1600" w:type="dxa"/>
            <w:vAlign w:val="bottom"/>
          </w:tcPr>
          <w:p>
            <w:pPr>
              <w:jc w:val="right"/>
              <w:ind w:right="376"/>
              <w:spacing w:after="0" w:line="149" w:lineRule="exact"/>
              <w:rPr>
                <w:sz w:val="20"/>
                <w:szCs w:val="20"/>
                <w:color w:val="auto"/>
              </w:rPr>
            </w:pPr>
            <w:r>
              <w:rPr>
                <w:rFonts w:ascii="Arial" w:cs="Arial" w:eastAsia="Arial" w:hAnsi="Arial"/>
                <w:sz w:val="14"/>
                <w:szCs w:val="14"/>
                <w:b w:val="1"/>
                <w:bCs w:val="1"/>
                <w:color w:val="auto"/>
              </w:rPr>
              <w:t>Time-Based</w:t>
            </w: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1"/>
        </w:trPr>
        <w:tc>
          <w:tcPr>
            <w:tcW w:w="1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Restricted Stock Awards</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2"/>
              </w:rPr>
              <w:t>Stock Options</w:t>
            </w:r>
          </w:p>
        </w:tc>
      </w:tr>
      <w:tr>
        <w:trPr>
          <w:trHeight w:val="424"/>
        </w:trPr>
        <w:tc>
          <w:tcPr>
            <w:tcW w:w="1600" w:type="dxa"/>
            <w:vAlign w:val="bottom"/>
          </w:tcPr>
          <w:p>
            <w:pPr>
              <w:jc w:val="right"/>
              <w:spacing w:after="0"/>
              <w:rPr>
                <w:sz w:val="20"/>
                <w:szCs w:val="20"/>
                <w:color w:val="auto"/>
              </w:rPr>
            </w:pPr>
            <w:r>
              <w:rPr>
                <w:rFonts w:ascii="Arial" w:cs="Arial" w:eastAsia="Arial" w:hAnsi="Arial"/>
                <w:sz w:val="18"/>
                <w:szCs w:val="18"/>
                <w:color w:val="auto"/>
              </w:rPr>
              <w:t>1,833,826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2,143,507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2,764,000</w:t>
            </w:r>
          </w:p>
        </w:tc>
      </w:tr>
      <w:tr>
        <w:trPr>
          <w:trHeight w:val="635"/>
        </w:trPr>
        <w:tc>
          <w:tcPr>
            <w:tcW w:w="1600" w:type="dxa"/>
            <w:vAlign w:val="bottom"/>
          </w:tcPr>
          <w:p>
            <w:pPr>
              <w:jc w:val="right"/>
              <w:spacing w:after="0"/>
              <w:rPr>
                <w:sz w:val="20"/>
                <w:szCs w:val="20"/>
                <w:color w:val="auto"/>
              </w:rPr>
            </w:pPr>
            <w:r>
              <w:rPr>
                <w:rFonts w:ascii="Arial" w:cs="Arial" w:eastAsia="Arial" w:hAnsi="Arial"/>
                <w:sz w:val="18"/>
                <w:szCs w:val="18"/>
                <w:color w:val="auto"/>
              </w:rPr>
              <w:t>990,889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1,058,412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1,535,000</w:t>
            </w:r>
          </w:p>
        </w:tc>
      </w:tr>
      <w:tr>
        <w:trPr>
          <w:trHeight w:val="635"/>
        </w:trPr>
        <w:tc>
          <w:tcPr>
            <w:tcW w:w="1600" w:type="dxa"/>
            <w:vAlign w:val="bottom"/>
          </w:tcPr>
          <w:p>
            <w:pPr>
              <w:jc w:val="right"/>
              <w:spacing w:after="0"/>
              <w:rPr>
                <w:sz w:val="20"/>
                <w:szCs w:val="20"/>
                <w:color w:val="auto"/>
              </w:rPr>
            </w:pPr>
            <w:r>
              <w:rPr>
                <w:rFonts w:ascii="Arial" w:cs="Arial" w:eastAsia="Arial" w:hAnsi="Arial"/>
                <w:sz w:val="18"/>
                <w:szCs w:val="18"/>
                <w:color w:val="auto"/>
              </w:rPr>
              <w:t>434,753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542,691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1,185,000</w:t>
            </w:r>
          </w:p>
        </w:tc>
      </w:tr>
      <w:tr>
        <w:trPr>
          <w:trHeight w:val="635"/>
        </w:trPr>
        <w:tc>
          <w:tcPr>
            <w:tcW w:w="1600" w:type="dxa"/>
            <w:vAlign w:val="bottom"/>
          </w:tcPr>
          <w:p>
            <w:pPr>
              <w:jc w:val="right"/>
              <w:spacing w:after="0"/>
              <w:rPr>
                <w:sz w:val="20"/>
                <w:szCs w:val="20"/>
                <w:color w:val="auto"/>
              </w:rPr>
            </w:pPr>
            <w:r>
              <w:rPr>
                <w:rFonts w:ascii="Arial" w:cs="Arial" w:eastAsia="Arial" w:hAnsi="Arial"/>
                <w:sz w:val="18"/>
                <w:szCs w:val="18"/>
                <w:color w:val="auto"/>
              </w:rPr>
              <w:t>122,000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153,000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454,000</w:t>
            </w:r>
          </w:p>
        </w:tc>
      </w:tr>
      <w:tr>
        <w:trPr>
          <w:trHeight w:val="635"/>
        </w:trPr>
        <w:tc>
          <w:tcPr>
            <w:tcW w:w="1600" w:type="dxa"/>
            <w:vAlign w:val="bottom"/>
          </w:tcPr>
          <w:p>
            <w:pPr>
              <w:jc w:val="right"/>
              <w:spacing w:after="0"/>
              <w:rPr>
                <w:sz w:val="20"/>
                <w:szCs w:val="20"/>
                <w:color w:val="auto"/>
              </w:rPr>
            </w:pPr>
            <w:r>
              <w:rPr>
                <w:rFonts w:ascii="Arial" w:cs="Arial" w:eastAsia="Arial" w:hAnsi="Arial"/>
                <w:sz w:val="18"/>
                <w:szCs w:val="18"/>
                <w:color w:val="auto"/>
              </w:rPr>
              <w:t>406,845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455,706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638,000</w:t>
            </w:r>
          </w:p>
        </w:tc>
      </w:tr>
      <w:tr>
        <w:trPr>
          <w:trHeight w:val="635"/>
        </w:trPr>
        <w:tc>
          <w:tcPr>
            <w:tcW w:w="1600" w:type="dxa"/>
            <w:vAlign w:val="bottom"/>
          </w:tcPr>
          <w:p>
            <w:pPr>
              <w:jc w:val="right"/>
              <w:spacing w:after="0"/>
              <w:rPr>
                <w:sz w:val="20"/>
                <w:szCs w:val="20"/>
                <w:color w:val="auto"/>
              </w:rPr>
            </w:pPr>
            <w:r>
              <w:rPr>
                <w:rFonts w:ascii="Arial" w:cs="Arial" w:eastAsia="Arial" w:hAnsi="Arial"/>
                <w:sz w:val="18"/>
                <w:szCs w:val="18"/>
                <w:color w:val="auto"/>
              </w:rPr>
              <w:t>5,452,360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6,160,674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9,332,000</w:t>
            </w:r>
          </w:p>
        </w:tc>
      </w:tr>
      <w:tr>
        <w:trPr>
          <w:trHeight w:val="635"/>
        </w:trPr>
        <w:tc>
          <w:tcPr>
            <w:tcW w:w="1600" w:type="dxa"/>
            <w:vAlign w:val="bottom"/>
          </w:tcPr>
          <w:p>
            <w:pPr>
              <w:jc w:val="right"/>
              <w:spacing w:after="0"/>
              <w:rPr>
                <w:sz w:val="20"/>
                <w:szCs w:val="20"/>
                <w:color w:val="auto"/>
              </w:rPr>
            </w:pPr>
            <w:r>
              <w:rPr>
                <w:rFonts w:ascii="Arial" w:cs="Arial" w:eastAsia="Arial" w:hAnsi="Arial"/>
                <w:sz w:val="18"/>
                <w:szCs w:val="18"/>
                <w:color w:val="auto"/>
              </w:rPr>
              <w:t>5,080,238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2,637,208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8,298,304</w:t>
            </w:r>
          </w:p>
        </w:tc>
      </w:tr>
      <w:tr>
        <w:trPr>
          <w:trHeight w:val="432"/>
        </w:trPr>
        <w:tc>
          <w:tcPr>
            <w:tcW w:w="1600" w:type="dxa"/>
            <w:vAlign w:val="bottom"/>
          </w:tcPr>
          <w:p>
            <w:pPr>
              <w:jc w:val="right"/>
              <w:spacing w:after="0"/>
              <w:rPr>
                <w:sz w:val="20"/>
                <w:szCs w:val="20"/>
                <w:color w:val="auto"/>
              </w:rPr>
            </w:pPr>
            <w:r>
              <w:rPr>
                <w:rFonts w:ascii="Arial" w:cs="Arial" w:eastAsia="Arial" w:hAnsi="Arial"/>
                <w:sz w:val="18"/>
                <w:szCs w:val="18"/>
                <w:color w:val="auto"/>
              </w:rPr>
              <w:t>765,148</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-2965450</wp:posOffset>
            </wp:positionV>
            <wp:extent cx="5797550" cy="403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7550" cy="40322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-2159000</wp:posOffset>
            </wp:positionV>
            <wp:extent cx="5797550" cy="403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7550" cy="40322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-1353185</wp:posOffset>
            </wp:positionV>
            <wp:extent cx="5797550" cy="403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7550" cy="40322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-675640</wp:posOffset>
            </wp:positionV>
            <wp:extent cx="5797550" cy="403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7550" cy="403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60"/>
            <w:col w:w="5480"/>
          </w:cols>
          <w:pgMar w:left="240" w:top="590" w:right="239" w:bottom="1440" w:gutter="0" w:footer="0" w:header="0"/>
          <w:type w:val="continuous"/>
        </w:sectPr>
      </w:pPr>
    </w:p>
    <w:p>
      <w:pPr>
        <w:spacing w:after="0" w:line="145" w:lineRule="exact"/>
        <w:rPr>
          <w:sz w:val="20"/>
          <w:szCs w:val="20"/>
          <w:color w:val="auto"/>
        </w:rPr>
      </w:pPr>
    </w:p>
    <w:p>
      <w:pPr>
        <w:ind w:left="1680" w:hanging="531"/>
        <w:spacing w:after="0"/>
        <w:tabs>
          <w:tab w:leader="none" w:pos="16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stock options and restricted stock units held by one of our Executive Officer's spouse who is also one of our employees.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approval of the amendment to the 2004 Equity Incentive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PROPOSAL 3—RATIFICATION OF PRICEWATERHOUSECOOPERS LLP</w:t>
      </w:r>
    </w:p>
    <w:p>
      <w:pPr>
        <w:spacing w:after="0" w:line="231" w:lineRule="exact"/>
        <w:rPr>
          <w:sz w:val="20"/>
          <w:szCs w:val="20"/>
          <w:color w:val="auto"/>
        </w:rPr>
      </w:pPr>
    </w:p>
    <w:p>
      <w:pPr>
        <w:jc w:val="both"/>
        <w:ind w:firstLine="390"/>
        <w:spacing w:after="0" w:line="254" w:lineRule="auto"/>
        <w:rPr>
          <w:sz w:val="20"/>
          <w:szCs w:val="20"/>
          <w:color w:val="auto"/>
        </w:rPr>
      </w:pPr>
      <w:r>
        <w:rPr>
          <w:rFonts w:ascii="Arial" w:cs="Arial" w:eastAsia="Arial" w:hAnsi="Arial"/>
          <w:sz w:val="18"/>
          <w:szCs w:val="18"/>
          <w:color w:val="auto"/>
        </w:rPr>
        <w:t>The Audit Committee of the Board has retained PricewaterhouseCoopers LLP ("PwC") as our Independent Registered Public Accounting Firm to audit our consolidated financial statements for the fiscal year ending August 30, 2012. PwC and its predecessor, Coopers and Lybrand LLP, have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Fees charged for services performed by PwC for fiscal 2011 and 2010 were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79"/>
              </w:rPr>
              <w:t>(amounts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0"/>
              </w:rPr>
              <w:t>millions)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6.2</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6.2</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56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0.9</w:t>
            </w:r>
          </w:p>
        </w:tc>
        <w:tc>
          <w:tcPr>
            <w:tcW w:w="5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0.5</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All other fees(3)</w:t>
            </w:r>
          </w:p>
        </w:tc>
        <w:tc>
          <w:tcPr>
            <w:tcW w:w="560" w:type="dxa"/>
            <w:vAlign w:val="bottom"/>
          </w:tcPr>
          <w:p>
            <w:pPr>
              <w:spacing w:after="0"/>
              <w:rPr>
                <w:sz w:val="19"/>
                <w:szCs w:val="19"/>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0.9</w:t>
            </w:r>
          </w:p>
        </w:tc>
      </w:tr>
      <w:tr>
        <w:trPr>
          <w:trHeight w:val="21"/>
        </w:trPr>
        <w:tc>
          <w:tcPr>
            <w:tcW w:w="2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7.1</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7.6</w:t>
            </w:r>
          </w:p>
        </w:tc>
      </w:tr>
      <w:tr>
        <w:trPr>
          <w:trHeight w:val="27"/>
        </w:trPr>
        <w:tc>
          <w:tcPr>
            <w:tcW w:w="2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2840" w:hanging="550"/>
        <w:spacing w:after="0" w:line="259" w:lineRule="auto"/>
        <w:tabs>
          <w:tab w:leader="none" w:pos="2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internal control over financial reporting as required by the Sarbanes-Oxley Act of 2002.</w:t>
      </w:r>
    </w:p>
    <w:p>
      <w:pPr>
        <w:spacing w:after="0" w:line="221" w:lineRule="exact"/>
        <w:rPr>
          <w:rFonts w:ascii="Arial" w:cs="Arial" w:eastAsia="Arial" w:hAnsi="Arial"/>
          <w:sz w:val="18"/>
          <w:szCs w:val="18"/>
          <w:color w:val="auto"/>
        </w:rPr>
      </w:pPr>
    </w:p>
    <w:p>
      <w:pPr>
        <w:jc w:val="both"/>
        <w:ind w:left="2840" w:hanging="550"/>
        <w:spacing w:after="0" w:line="256" w:lineRule="auto"/>
        <w:tabs>
          <w:tab w:leader="none" w:pos="2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Fiscal 2011 primarily reflects fees for debt restructuring, new debt offerings and other services in connection with application of new accounting guidance and one-time transactions. Fiscal 2010 primarily reflects fees for due diligence matters in connection with the acquisition of Numonyx and Transform Solar Pty Limited and audits of supply arrangements.</w:t>
      </w:r>
    </w:p>
    <w:p>
      <w:pPr>
        <w:spacing w:after="0" w:line="210" w:lineRule="exact"/>
        <w:rPr>
          <w:rFonts w:ascii="Arial" w:cs="Arial" w:eastAsia="Arial" w:hAnsi="Arial"/>
          <w:sz w:val="18"/>
          <w:szCs w:val="18"/>
          <w:color w:val="auto"/>
        </w:rPr>
      </w:pPr>
    </w:p>
    <w:p>
      <w:pPr>
        <w:ind w:left="2840" w:hanging="550"/>
        <w:spacing w:after="0" w:line="268" w:lineRule="auto"/>
        <w:tabs>
          <w:tab w:leader="none" w:pos="2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Primarily reflects fees for Numonyx integration support services provided in connection with the acquisition of Numonyx.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31" w:lineRule="exact"/>
        <w:rPr>
          <w:sz w:val="20"/>
          <w:szCs w:val="20"/>
          <w:color w:val="auto"/>
        </w:rPr>
      </w:pPr>
    </w:p>
    <w:p>
      <w:pPr>
        <w:jc w:val="both"/>
        <w:ind w:firstLine="512"/>
        <w:spacing w:after="0" w:line="256" w:lineRule="auto"/>
        <w:rPr>
          <w:sz w:val="20"/>
          <w:szCs w:val="20"/>
          <w:color w:val="auto"/>
        </w:rPr>
      </w:pPr>
      <w:r>
        <w:rPr>
          <w:rFonts w:ascii="Arial" w:cs="Arial" w:eastAsia="Arial" w:hAnsi="Arial"/>
          <w:sz w:val="18"/>
          <w:szCs w:val="18"/>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 In fiscal 2011 and 2010, all audit and non-audit services provided by PwC were approved by the Audit Committee in advance of services being provided.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2011. The Board of Directors determined that each Audit Committee member qualified as an "audit committee financial expert" for purposes of the rules and regulations of the SEC. The Board of Directors also determined that during their period of service on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Audit Committee, each member satisfied the independence requirements of applicable federal laws and the Listing Rules of NASDAQ.</w:t>
      </w:r>
    </w:p>
    <w:p>
      <w:pPr>
        <w:spacing w:after="0" w:line="225"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161" w:lineRule="exact"/>
        <w:rPr>
          <w:sz w:val="20"/>
          <w:szCs w:val="20"/>
          <w:color w:val="auto"/>
        </w:rPr>
      </w:pPr>
    </w:p>
    <w:p>
      <w:pPr>
        <w:jc w:val="both"/>
        <w:ind w:firstLine="356"/>
        <w:spacing w:after="0" w:line="290"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PricewaterhouseCoopers LLP ("PwC"), our Independent Registered Public Accounting Firm for fiscal 2011,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172"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2011; appointed PwC as our Independent Registered Public Accounting Firm for the fiscal year ending August 30, 2012, and approved and authorized PwC to carry out and perform certain specified non-audit services for us in fiscal 2012.</w:t>
      </w:r>
    </w:p>
    <w:p>
      <w:pPr>
        <w:spacing w:after="0" w:line="197"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While the Audit Committee has performed the above functions, management, and not the Audit Committee, has the primary responsibility for (i) 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1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E. Switz</w:t>
      </w:r>
    </w:p>
    <w:p>
      <w:pPr>
        <w:spacing w:after="0" w:line="200" w:lineRule="exact"/>
        <w:rPr>
          <w:sz w:val="20"/>
          <w:szCs w:val="20"/>
          <w:color w:val="auto"/>
        </w:rPr>
      </w:pPr>
    </w:p>
    <w:p>
      <w:pPr>
        <w:spacing w:after="0" w:line="22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PROPOSAL 4—ADVISORY VOTE ON THE COMPENSATION OF</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19"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161" w:lineRule="exact"/>
        <w:rPr>
          <w:sz w:val="20"/>
          <w:szCs w:val="20"/>
          <w:color w:val="auto"/>
        </w:rPr>
      </w:pPr>
    </w:p>
    <w:p>
      <w:pPr>
        <w:jc w:val="both"/>
        <w:ind w:firstLine="482"/>
        <w:spacing w:after="0" w:line="259"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firstLine="561"/>
        <w:spacing w:after="0" w:line="268" w:lineRule="auto"/>
        <w:rPr>
          <w:sz w:val="20"/>
          <w:szCs w:val="20"/>
          <w:color w:val="auto"/>
        </w:rPr>
      </w:pPr>
      <w:r>
        <w:rPr>
          <w:rFonts w:ascii="Arial" w:cs="Arial" w:eastAsia="Arial" w:hAnsi="Arial"/>
          <w:sz w:val="18"/>
          <w:szCs w:val="18"/>
          <w:color w:val="auto"/>
        </w:rPr>
        <w:t>Accordingly, the Board invites you to review carefully the Compensation Discussion and Analysis beginning on page 13 and the tabular and other disclosures on compensation under Executive Compensation beginning on page 13, and cast a vote "for" the following resolution:</w:t>
      </w:r>
    </w:p>
    <w:p>
      <w:pPr>
        <w:spacing w:after="0" w:line="186"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194"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The Board of Directors and Compensation Committee value the opinions of our shareholders and to the extent there is any significant vote against the Named Executive Officer compensation as disclosed in this proxy statement, the Board will consider the shareholders' concerns and the Compensation Committee will evaluate whether any actions are necessary to address those concerns.</w:t>
      </w:r>
    </w:p>
    <w:p>
      <w:pPr>
        <w:spacing w:after="0" w:line="164"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180"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5—ADVISORY VOTE ON THE FREQUENCY WITH WHICH SHAREHOLDERS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WILL VOTE ON SAY-ON-PAY PROPOSALS IN FUTURE YEARS</w:t>
      </w:r>
    </w:p>
    <w:p>
      <w:pPr>
        <w:spacing w:after="0" w:line="21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Dodd-Frank Act also enables our shareholders to indicate how frequently we should seek an advisory say-on-pay vote on the compensation of its Named Executive Officers, such as Item 4 included on page 45 of this proxy statement. By voting on this Item 5, shareholders may indicate whether they would prefer an advisory say-on-pay vote on Named Executive Officer compensation once every one, two, or three years.</w:t>
      </w:r>
    </w:p>
    <w:p>
      <w:pPr>
        <w:spacing w:after="0" w:line="16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 Board of Directors has determined that an advisory say-on-pay vote on executive compensation that occurs every year is the most appropriate alternative for us, and therefore the Board recommends that you vote for a one-year interval for the advisory say-on-pay vote on executive compensation. We understand that our shareholders may have different views as to what is the best approach for us, and we look forward to hearing from our shareholders on this proposal.</w:t>
      </w:r>
    </w:p>
    <w:p>
      <w:pPr>
        <w:spacing w:after="0" w:line="142" w:lineRule="exact"/>
        <w:rPr>
          <w:sz w:val="20"/>
          <w:szCs w:val="20"/>
          <w:color w:val="auto"/>
        </w:rPr>
      </w:pPr>
    </w:p>
    <w:p>
      <w:pPr>
        <w:jc w:val="both"/>
        <w:ind w:firstLine="363"/>
        <w:spacing w:after="0" w:line="332" w:lineRule="auto"/>
        <w:rPr>
          <w:sz w:val="20"/>
          <w:szCs w:val="20"/>
          <w:color w:val="auto"/>
        </w:rPr>
      </w:pPr>
      <w:r>
        <w:rPr>
          <w:rFonts w:ascii="Arial" w:cs="Arial" w:eastAsia="Arial" w:hAnsi="Arial"/>
          <w:sz w:val="16"/>
          <w:szCs w:val="16"/>
          <w:color w:val="auto"/>
        </w:rPr>
        <w:t>Shareholders who have concerns about executive compensation during the interval between say-on-pay votes are welcome to bring their specific concerns to the attention of the Board. Please refer to "Communications with the Board of Directors" on page 9 for information about communicating with the Board.</w:t>
      </w:r>
    </w:p>
    <w:p>
      <w:pPr>
        <w:spacing w:after="0" w:line="139"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Please mark on the proxy card your preference as to the frequency of holding shareholder advisory votes on executive compensation, as either every year, every two years, or every three years, or you may abstain from voting.</w:t>
      </w:r>
    </w:p>
    <w:p>
      <w:pPr>
        <w:spacing w:after="0" w:line="186"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shareholders will be the frequency for the advisory vote on executive compensation that has been selected by shareholders. The Board will take the results of the vote into account when deciding when to call for the next advisory vote on executive compensation. However, because this vote is advisory and not binding on the Board of Directors in any way, the Board may decide that it is in our and our shareholders best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interests to hold an advisory vote on executive compensation more or less frequently than the option approved by our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scheduling vote similar to this Item 5 will occur at least once every six years.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Every ONE Year" on Proposal 5.</w:t>
      </w:r>
    </w:p>
    <w:p>
      <w:pPr>
        <w:spacing w:after="0" w:line="231"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24, 2012. The Proxy Statement and Annual Report on Form 10-K are available at www.proxydocs.com/mu.</w:t>
      </w:r>
    </w:p>
    <w:p>
      <w:pPr>
        <w:spacing w:after="0" w:line="186"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As permitted by rules recently adopted by the Securities and Exchange Commission,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31"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2011. The Annual Report on Form 10-K for fiscal 2011 accompanies this Proxy Statement. Copies of the Annual Report on Form 10-K for fiscal 2011 may be obtained by sending a written request to: Micron Technology, Inc., Attn.: Corporate Secretary, P.O. Box 6, MS-1-507, Boise, Idaho 83707-0006. Our Annual Reports on Form 10-K are also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3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197" w:lineRule="exact"/>
        <w:rPr>
          <w:sz w:val="20"/>
          <w:szCs w:val="20"/>
          <w:color w:val="auto"/>
        </w:rPr>
      </w:pPr>
    </w:p>
    <w:p>
      <w:pPr>
        <w:jc w:val="both"/>
        <w:ind w:firstLine="503"/>
        <w:spacing w:after="0" w:line="254" w:lineRule="auto"/>
        <w:rPr>
          <w:sz w:val="20"/>
          <w:szCs w:val="20"/>
          <w:color w:val="auto"/>
        </w:rPr>
      </w:pPr>
      <w:r>
        <w:rPr>
          <w:rFonts w:ascii="Arial" w:cs="Arial" w:eastAsia="Arial" w:hAnsi="Arial"/>
          <w:sz w:val="18"/>
          <w:szCs w:val="18"/>
          <w:color w:val="auto"/>
        </w:rPr>
        <w:t>If you share an address with other registered shareholders and your household receives one copy of the notice of Internet availability or of this Proxy Statement and 2011 Annual Report on Form 10-K and you decide you want a separate copy of this Proxy Statement and 2011 Annual Report on Form 10-K through the date of the Annual Meeting, we will promptly deliver your separate copy if you contact us at Micron Technology, Inc., Attn.: Corporate Secretary, P.O. Box 6, MS-1-507, Boise, Idaho 83707-0006 or corporatesecretary@micron.com or (208) 368-4500. Additionally, to resume the mailing of individual copies of future annual reports, proxy statements, proxy statements combined with a prospectus, and information statements to a particular shareholder, you may contact Wells Fargo Bank, N.A., Attn.: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8"/>
          <w:szCs w:val="18"/>
          <w:color w:val="auto"/>
        </w:rPr>
        <w:t>Householding, P.O. Box 64854, St. Paul, Minnesota 55164-0854 or at (800) 347-8625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2011 Annual Report on Form 10-K by contacting your bank, broker or other nominee.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FISCAL 2012 ANNUAL MEETING</w:t>
      </w:r>
    </w:p>
    <w:p>
      <w:pPr>
        <w:spacing w:after="0" w:line="219"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Proposals by our shareholders which are intended to be presented at our fiscal 2012 Annual Meeting of Shareholders must be received by us at its principal executive offices located at 8000 South Federal Way, Boise, Idaho 83716-9632, no later than August 17, 2012, and must also be in compliance with our Restated Certificate of Incorporation and its Bylaws and with applicable laws and regulations in order to be included in the Proxy Statement and form of proxy relating to that meeting. Proposals which are received after August 17, 2012, will be untimely and will not be considered at the meeting.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December 15, 2011</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ind w:left="10300"/>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2004 EQUITY INCENTIVE PLAN</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94" w:lineRule="exact"/>
        <w:rPr>
          <w:sz w:val="20"/>
          <w:szCs w:val="20"/>
          <w:color w:val="auto"/>
        </w:rPr>
      </w:pPr>
    </w:p>
    <w:p>
      <w:pPr>
        <w:ind w:left="540" w:firstLine="378"/>
        <w:spacing w:after="0" w:line="268" w:lineRule="auto"/>
        <w:tabs>
          <w:tab w:leader="none" w:pos="12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85" w:lineRule="exact"/>
        <w:rPr>
          <w:rFonts w:ascii="Arial" w:cs="Arial" w:eastAsia="Arial" w:hAnsi="Arial"/>
          <w:sz w:val="18"/>
          <w:szCs w:val="18"/>
          <w:color w:val="auto"/>
        </w:rPr>
      </w:pPr>
    </w:p>
    <w:p>
      <w:pPr>
        <w:ind w:left="540" w:firstLine="491"/>
        <w:spacing w:after="0" w:line="268" w:lineRule="auto"/>
        <w:tabs>
          <w:tab w:leader="none" w:pos="1408" w:val="left"/>
        </w:tabs>
        <w:numPr>
          <w:ilvl w:val="2"/>
          <w:numId w:val="44"/>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85" w:lineRule="exact"/>
        <w:rPr>
          <w:rFonts w:ascii="Arial" w:cs="Arial" w:eastAsia="Arial" w:hAnsi="Arial"/>
          <w:sz w:val="18"/>
          <w:szCs w:val="18"/>
          <w:color w:val="auto"/>
        </w:rPr>
      </w:pPr>
    </w:p>
    <w:p>
      <w:pPr>
        <w:jc w:val="both"/>
        <w:ind w:left="540" w:firstLine="532"/>
        <w:spacing w:after="0" w:line="259" w:lineRule="auto"/>
        <w:tabs>
          <w:tab w:leader="none" w:pos="1454" w:val="left"/>
        </w:tabs>
        <w:numPr>
          <w:ilvl w:val="3"/>
          <w:numId w:val="44"/>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jc w:val="both"/>
        <w:ind w:left="1080" w:firstLine="569"/>
        <w:spacing w:after="0" w:line="290" w:lineRule="auto"/>
        <w:tabs>
          <w:tab w:leader="none" w:pos="1919" w:val="left"/>
        </w:tabs>
        <w:numPr>
          <w:ilvl w:val="5"/>
          <w:numId w:val="45"/>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2" w:lineRule="exact"/>
        <w:rPr>
          <w:rFonts w:ascii="Arial" w:cs="Arial" w:eastAsia="Arial" w:hAnsi="Arial"/>
          <w:sz w:val="16"/>
          <w:szCs w:val="16"/>
          <w:color w:val="auto"/>
        </w:rPr>
      </w:pPr>
    </w:p>
    <w:p>
      <w:pPr>
        <w:jc w:val="both"/>
        <w:ind w:left="1080" w:firstLine="417"/>
        <w:spacing w:after="0" w:line="259" w:lineRule="auto"/>
        <w:tabs>
          <w:tab w:leader="none" w:pos="1794" w:val="left"/>
        </w:tabs>
        <w:numPr>
          <w:ilvl w:val="4"/>
          <w:numId w:val="45"/>
        </w:numPr>
        <w:rPr>
          <w:rFonts w:ascii="Arial" w:cs="Arial" w:eastAsia="Arial" w:hAnsi="Arial"/>
          <w:sz w:val="18"/>
          <w:szCs w:val="18"/>
          <w:color w:val="auto"/>
        </w:rPr>
      </w:pPr>
      <w:r>
        <w:rPr>
          <w:rFonts w:ascii="Arial" w:cs="Arial" w:eastAsia="Arial" w:hAnsi="Arial"/>
          <w:sz w:val="18"/>
          <w:szCs w:val="18"/>
          <w:color w:val="auto"/>
        </w:rPr>
        <w:t>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both"/>
        <w:ind w:left="540"/>
        <w:spacing w:after="0" w:line="255" w:lineRule="auto"/>
        <w:rPr>
          <w:sz w:val="20"/>
          <w:szCs w:val="20"/>
          <w:color w:val="auto"/>
        </w:rPr>
      </w:pPr>
      <w:r>
        <w:rPr>
          <w:rFonts w:ascii="Arial" w:cs="Arial" w:eastAsia="Arial" w:hAnsi="Arial"/>
          <w:sz w:val="18"/>
          <w:szCs w:val="18"/>
          <w:color w:val="auto"/>
        </w:rPr>
        <w:t xml:space="preserve">securities eligible to vote for the election of directors (the "Company Voting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97" w:lineRule="exact"/>
        <w:rPr>
          <w:sz w:val="20"/>
          <w:szCs w:val="20"/>
          <w:color w:val="auto"/>
        </w:rPr>
      </w:pPr>
    </w:p>
    <w:p>
      <w:pPr>
        <w:jc w:val="both"/>
        <w:ind w:left="540" w:firstLine="360"/>
        <w:spacing w:after="0" w:line="285" w:lineRule="auto"/>
        <w:tabs>
          <w:tab w:leader="none" w:pos="1242" w:val="left"/>
        </w:tabs>
        <w:numPr>
          <w:ilvl w:val="3"/>
          <w:numId w:val="46"/>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5" w:lineRule="exact"/>
        <w:rPr>
          <w:rFonts w:ascii="Arial" w:cs="Arial" w:eastAsia="Arial" w:hAnsi="Arial"/>
          <w:sz w:val="16"/>
          <w:szCs w:val="16"/>
          <w:color w:val="auto"/>
        </w:rPr>
      </w:pPr>
    </w:p>
    <w:p>
      <w:pPr>
        <w:ind w:left="1240" w:hanging="340"/>
        <w:spacing w:after="0"/>
        <w:tabs>
          <w:tab w:leader="none" w:pos="1240" w:val="left"/>
        </w:tabs>
        <w:numPr>
          <w:ilvl w:val="3"/>
          <w:numId w:val="46"/>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jc w:val="both"/>
        <w:ind w:firstLine="407"/>
        <w:spacing w:after="0" w:line="335" w:lineRule="auto"/>
        <w:tabs>
          <w:tab w:leader="none" w:pos="774" w:val="left"/>
        </w:tabs>
        <w:numPr>
          <w:ilvl w:val="1"/>
          <w:numId w:val="47"/>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from time to time, and includes a reference to the underlying final regulations.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42" w:lineRule="exact"/>
        <w:rPr>
          <w:rFonts w:ascii="Arial" w:cs="Arial" w:eastAsia="Arial" w:hAnsi="Arial"/>
          <w:sz w:val="15"/>
          <w:szCs w:val="15"/>
          <w:color w:val="auto"/>
        </w:rPr>
      </w:pPr>
    </w:p>
    <w:p>
      <w:pPr>
        <w:ind w:left="700" w:hanging="34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jc w:val="both"/>
        <w:ind w:firstLine="478"/>
        <w:spacing w:after="0" w:line="256" w:lineRule="auto"/>
        <w:tabs>
          <w:tab w:leader="none" w:pos="870" w:val="left"/>
        </w:tabs>
        <w:numPr>
          <w:ilvl w:val="2"/>
          <w:numId w:val="48"/>
        </w:numPr>
        <w:rPr>
          <w:rFonts w:ascii="Arial" w:cs="Arial" w:eastAsia="Arial" w:hAnsi="Arial"/>
          <w:sz w:val="18"/>
          <w:szCs w:val="18"/>
          <w:color w:val="auto"/>
        </w:rPr>
      </w:pPr>
      <w:r>
        <w:rPr>
          <w:rFonts w:ascii="Arial" w:cs="Arial" w:eastAsia="Arial" w:hAnsi="Arial"/>
          <w:sz w:val="18"/>
          <w:szCs w:val="18"/>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52" w:name="page53"/>
    <w:bookmarkEnd w:id="52"/>
    <w:p>
      <w:pPr>
        <w:jc w:val="both"/>
        <w:spacing w:after="0" w:line="318" w:lineRule="auto"/>
        <w:rPr>
          <w:sz w:val="20"/>
          <w:szCs w:val="20"/>
          <w:color w:val="auto"/>
        </w:rPr>
      </w:pPr>
      <w:r>
        <w:rPr>
          <w:rFonts w:ascii="Arial" w:cs="Arial" w:eastAsia="Arial" w:hAnsi="Arial"/>
          <w:sz w:val="15"/>
          <w:szCs w:val="15"/>
          <w:color w:val="auto"/>
        </w:rPr>
        <w:t>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54" w:lineRule="exact"/>
        <w:rPr>
          <w:sz w:val="20"/>
          <w:szCs w:val="20"/>
          <w:color w:val="auto"/>
        </w:rPr>
      </w:pPr>
    </w:p>
    <w:p>
      <w:pPr>
        <w:ind w:left="700" w:hanging="34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jc w:val="both"/>
        <w:ind w:firstLine="518"/>
        <w:spacing w:after="0" w:line="289" w:lineRule="auto"/>
        <w:tabs>
          <w:tab w:leader="none" w:pos="906"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72" w:lineRule="exact"/>
        <w:rPr>
          <w:sz w:val="20"/>
          <w:szCs w:val="20"/>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225" w:lineRule="exact"/>
        <w:rPr>
          <w:rFonts w:ascii="Arial" w:cs="Arial" w:eastAsia="Arial" w:hAnsi="Arial"/>
          <w:sz w:val="18"/>
          <w:szCs w:val="18"/>
          <w:color w:val="auto"/>
        </w:rPr>
      </w:pPr>
    </w:p>
    <w:p>
      <w:pPr>
        <w:ind w:firstLine="393"/>
        <w:spacing w:after="0" w:line="268" w:lineRule="auto"/>
        <w:tabs>
          <w:tab w:leader="none" w:pos="734"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85" w:lineRule="exact"/>
        <w:rPr>
          <w:rFonts w:ascii="Arial" w:cs="Arial" w:eastAsia="Arial" w:hAnsi="Arial"/>
          <w:sz w:val="18"/>
          <w:szCs w:val="18"/>
          <w:color w:val="auto"/>
        </w:rPr>
      </w:pPr>
    </w:p>
    <w:p>
      <w:pPr>
        <w:jc w:val="both"/>
        <w:ind w:firstLine="435"/>
        <w:spacing w:after="0" w:line="289" w:lineRule="auto"/>
        <w:tabs>
          <w:tab w:leader="none" w:pos="792" w:val="left"/>
        </w:tabs>
        <w:numPr>
          <w:ilvl w:val="2"/>
          <w:numId w:val="50"/>
        </w:numPr>
        <w:rPr>
          <w:rFonts w:ascii="Arial" w:cs="Arial" w:eastAsia="Arial" w:hAnsi="Arial"/>
          <w:sz w:val="16"/>
          <w:szCs w:val="16"/>
          <w:color w:val="auto"/>
        </w:rPr>
      </w:pPr>
      <w:r>
        <w:rPr>
          <w:rFonts w:ascii="Arial" w:cs="Arial" w:eastAsia="Arial" w:hAnsi="Arial"/>
          <w:sz w:val="16"/>
          <w:szCs w:val="16"/>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72" w:lineRule="exact"/>
        <w:rPr>
          <w:sz w:val="20"/>
          <w:szCs w:val="20"/>
          <w:color w:val="auto"/>
        </w:rPr>
      </w:pPr>
    </w:p>
    <w:p>
      <w:pPr>
        <w:ind w:left="660" w:hanging="301"/>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w:t>
      </w:r>
    </w:p>
    <w:p>
      <w:pPr>
        <w:spacing w:after="0" w:line="225" w:lineRule="exact"/>
        <w:rPr>
          <w:rFonts w:ascii="Arial" w:cs="Arial" w:eastAsia="Arial" w:hAnsi="Arial"/>
          <w:sz w:val="18"/>
          <w:szCs w:val="18"/>
          <w:color w:val="auto"/>
        </w:rPr>
      </w:pPr>
    </w:p>
    <w:p>
      <w:pPr>
        <w:jc w:val="both"/>
        <w:ind w:firstLine="464"/>
        <w:spacing w:after="0" w:line="259" w:lineRule="auto"/>
        <w:tabs>
          <w:tab w:leader="none" w:pos="8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53" w:name="page54"/>
    <w:bookmarkEnd w:id="53"/>
    <w:p>
      <w:pPr>
        <w:ind w:right="20" w:firstLine="443"/>
        <w:spacing w:after="0" w:line="268" w:lineRule="auto"/>
        <w:tabs>
          <w:tab w:leader="none" w:pos="817"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 an Affiliate.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sz w:val="20"/>
          <w:szCs w:val="20"/>
          <w:color w:val="auto"/>
        </w:rPr>
      </w:pPr>
    </w:p>
    <w:p>
      <w:pPr>
        <w:ind w:firstLine="401"/>
        <w:spacing w:after="0" w:line="268" w:lineRule="auto"/>
        <w:tabs>
          <w:tab w:leader="none" w:pos="734" w:val="left"/>
        </w:tabs>
        <w:numPr>
          <w:ilvl w:val="1"/>
          <w:numId w:val="54"/>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85" w:lineRule="exact"/>
        <w:rPr>
          <w:rFonts w:ascii="Arial" w:cs="Arial" w:eastAsia="Arial" w:hAnsi="Arial"/>
          <w:sz w:val="18"/>
          <w:szCs w:val="18"/>
          <w:color w:val="auto"/>
        </w:rPr>
      </w:pPr>
    </w:p>
    <w:p>
      <w:pPr>
        <w:ind w:firstLine="430"/>
        <w:spacing w:after="0" w:line="268" w:lineRule="auto"/>
        <w:tabs>
          <w:tab w:leader="none" w:pos="785" w:val="left"/>
        </w:tabs>
        <w:numPr>
          <w:ilvl w:val="1"/>
          <w:numId w:val="54"/>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85" w:lineRule="exact"/>
        <w:rPr>
          <w:rFonts w:ascii="Arial" w:cs="Arial" w:eastAsia="Arial" w:hAnsi="Arial"/>
          <w:sz w:val="18"/>
          <w:szCs w:val="18"/>
          <w:color w:val="auto"/>
        </w:rPr>
      </w:pPr>
    </w:p>
    <w:p>
      <w:pPr>
        <w:jc w:val="both"/>
        <w:ind w:firstLine="568"/>
        <w:spacing w:after="0" w:line="259" w:lineRule="auto"/>
        <w:tabs>
          <w:tab w:leader="none" w:pos="975" w:val="left"/>
        </w:tabs>
        <w:numPr>
          <w:ilvl w:val="2"/>
          <w:numId w:val="54"/>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94" w:lineRule="exact"/>
        <w:rPr>
          <w:rFonts w:ascii="Arial" w:cs="Arial" w:eastAsia="Arial" w:hAnsi="Arial"/>
          <w:sz w:val="18"/>
          <w:szCs w:val="18"/>
          <w:color w:val="auto"/>
        </w:rPr>
      </w:pPr>
    </w:p>
    <w:p>
      <w:pPr>
        <w:jc w:val="both"/>
        <w:ind w:firstLine="415"/>
        <w:spacing w:after="0" w:line="306" w:lineRule="auto"/>
        <w:tabs>
          <w:tab w:leader="none" w:pos="754"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61" w:lineRule="exact"/>
        <w:rPr>
          <w:sz w:val="20"/>
          <w:szCs w:val="20"/>
          <w:color w:val="auto"/>
        </w:rPr>
      </w:pPr>
    </w:p>
    <w:p>
      <w:pPr>
        <w:ind w:firstLine="413"/>
        <w:spacing w:after="0" w:line="332" w:lineRule="auto"/>
        <w:tabs>
          <w:tab w:leader="none" w:pos="793" w:val="left"/>
        </w:tabs>
        <w:numPr>
          <w:ilvl w:val="3"/>
          <w:numId w:val="56"/>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39" w:lineRule="exact"/>
        <w:rPr>
          <w:rFonts w:ascii="Arial" w:cs="Arial" w:eastAsia="Arial" w:hAnsi="Arial"/>
          <w:sz w:val="16"/>
          <w:szCs w:val="16"/>
          <w:color w:val="auto"/>
        </w:rPr>
      </w:pPr>
    </w:p>
    <w:p>
      <w:pPr>
        <w:ind w:left="740" w:hanging="390"/>
        <w:spacing w:after="0"/>
        <w:tabs>
          <w:tab w:leader="none" w:pos="740" w:val="left"/>
        </w:tabs>
        <w:numPr>
          <w:ilvl w:val="2"/>
          <w:numId w:val="57"/>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13(d)(3) or 14(d)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 the 1934 Act.</w:t>
      </w:r>
    </w:p>
    <w:p>
      <w:pPr>
        <w:spacing w:after="0" w:line="218" w:lineRule="exact"/>
        <w:rPr>
          <w:rFonts w:ascii="Arial" w:cs="Arial" w:eastAsia="Arial" w:hAnsi="Arial"/>
          <w:sz w:val="18"/>
          <w:szCs w:val="18"/>
          <w:color w:val="auto"/>
        </w:rPr>
      </w:pPr>
    </w:p>
    <w:p>
      <w:pPr>
        <w:ind w:left="680" w:hanging="365"/>
        <w:spacing w:after="0"/>
        <w:tabs>
          <w:tab w:leader="none" w:pos="6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"Plan" means the Micron Technology, Inc. 2004 Equity Incentive Plan, as amended from time to time.</w:t>
      </w:r>
    </w:p>
    <w:p>
      <w:pPr>
        <w:spacing w:after="0" w:line="225" w:lineRule="exact"/>
        <w:rPr>
          <w:rFonts w:ascii="Arial" w:cs="Arial" w:eastAsia="Arial" w:hAnsi="Arial"/>
          <w:sz w:val="18"/>
          <w:szCs w:val="18"/>
          <w:color w:val="auto"/>
        </w:rPr>
      </w:pPr>
    </w:p>
    <w:p>
      <w:pPr>
        <w:ind w:firstLine="469"/>
        <w:spacing w:after="0" w:line="268" w:lineRule="auto"/>
        <w:tabs>
          <w:tab w:leader="none" w:pos="885" w:val="left"/>
        </w:tabs>
        <w:numPr>
          <w:ilvl w:val="4"/>
          <w:numId w:val="58"/>
        </w:numPr>
        <w:rPr>
          <w:rFonts w:ascii="Arial" w:cs="Arial" w:eastAsia="Arial" w:hAnsi="Arial"/>
          <w:sz w:val="18"/>
          <w:szCs w:val="18"/>
          <w:color w:val="auto"/>
        </w:rPr>
      </w:pPr>
      <w:r>
        <w:rPr>
          <w:rFonts w:ascii="Arial" w:cs="Arial" w:eastAsia="Arial" w:hAnsi="Arial"/>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185" w:lineRule="exact"/>
        <w:rPr>
          <w:rFonts w:ascii="Arial" w:cs="Arial" w:eastAsia="Arial" w:hAnsi="Arial"/>
          <w:sz w:val="18"/>
          <w:szCs w:val="18"/>
          <w:color w:val="auto"/>
        </w:rPr>
      </w:pPr>
    </w:p>
    <w:p>
      <w:pPr>
        <w:ind w:right="20" w:firstLine="417"/>
        <w:spacing w:after="0" w:line="268" w:lineRule="auto"/>
        <w:tabs>
          <w:tab w:leader="none" w:pos="798" w:val="left"/>
        </w:tabs>
        <w:numPr>
          <w:ilvl w:val="3"/>
          <w:numId w:val="58"/>
        </w:numPr>
        <w:rPr>
          <w:rFonts w:ascii="Arial" w:cs="Arial" w:eastAsia="Arial" w:hAnsi="Arial"/>
          <w:sz w:val="18"/>
          <w:szCs w:val="18"/>
          <w:color w:val="auto"/>
        </w:rPr>
      </w:pPr>
      <w:r>
        <w:rPr>
          <w:rFonts w:ascii="Arial" w:cs="Arial" w:eastAsia="Arial" w:hAnsi="Arial"/>
          <w:sz w:val="18"/>
          <w:szCs w:val="18"/>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86" w:lineRule="exact"/>
        <w:rPr>
          <w:sz w:val="20"/>
          <w:szCs w:val="20"/>
          <w:color w:val="auto"/>
        </w:rPr>
      </w:pPr>
    </w:p>
    <w:p>
      <w:pPr>
        <w:ind w:firstLine="428"/>
        <w:spacing w:after="0" w:line="268" w:lineRule="auto"/>
        <w:tabs>
          <w:tab w:leader="none" w:pos="7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85" w:lineRule="exact"/>
        <w:rPr>
          <w:rFonts w:ascii="Arial" w:cs="Arial" w:eastAsia="Arial" w:hAnsi="Arial"/>
          <w:sz w:val="18"/>
          <w:szCs w:val="18"/>
          <w:color w:val="auto"/>
        </w:rPr>
      </w:pPr>
    </w:p>
    <w:p>
      <w:pPr>
        <w:ind w:left="700" w:hanging="385"/>
        <w:spacing w:after="0"/>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 forfeiture.</w:t>
      </w:r>
    </w:p>
    <w:p>
      <w:pPr>
        <w:spacing w:after="0" w:line="248" w:lineRule="exact"/>
        <w:rPr>
          <w:sz w:val="20"/>
          <w:szCs w:val="20"/>
          <w:color w:val="auto"/>
        </w:rPr>
      </w:pPr>
    </w:p>
    <w:p>
      <w:pPr>
        <w:ind w:firstLine="378"/>
        <w:spacing w:after="0" w:line="332" w:lineRule="auto"/>
        <w:tabs>
          <w:tab w:leader="none" w:pos="767"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39" w:lineRule="exact"/>
        <w:rPr>
          <w:sz w:val="20"/>
          <w:szCs w:val="20"/>
          <w:color w:val="auto"/>
        </w:rPr>
      </w:pPr>
    </w:p>
    <w:p>
      <w:pPr>
        <w:ind w:firstLine="437"/>
        <w:spacing w:after="0" w:line="268" w:lineRule="auto"/>
        <w:tabs>
          <w:tab w:leader="none" w:pos="7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4" w:name="page55"/>
    <w:bookmarkEnd w:id="54"/>
    <w:p>
      <w:pPr>
        <w:ind w:left="540" w:firstLine="425"/>
        <w:spacing w:after="0" w:line="332" w:lineRule="auto"/>
        <w:tabs>
          <w:tab w:leader="none" w:pos="1264" w:val="left"/>
        </w:tabs>
        <w:numPr>
          <w:ilvl w:val="0"/>
          <w:numId w:val="63"/>
        </w:numPr>
        <w:rPr>
          <w:rFonts w:ascii="Arial" w:cs="Arial" w:eastAsia="Arial" w:hAnsi="Arial"/>
          <w:sz w:val="16"/>
          <w:szCs w:val="16"/>
          <w:color w:val="auto"/>
        </w:rPr>
      </w:pPr>
      <w:r>
        <w:rPr>
          <w:rFonts w:ascii="Arial" w:cs="Arial" w:eastAsia="Arial" w:hAnsi="Arial"/>
          <w:sz w:val="16"/>
          <w:szCs w:val="16"/>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39" w:lineRule="exact"/>
        <w:rPr>
          <w:sz w:val="20"/>
          <w:szCs w:val="20"/>
          <w:color w:val="auto"/>
        </w:rPr>
      </w:pPr>
    </w:p>
    <w:p>
      <w:pPr>
        <w:ind w:left="540" w:firstLine="404"/>
        <w:spacing w:after="0" w:line="268" w:lineRule="auto"/>
        <w:tabs>
          <w:tab w:leader="none" w:pos="1342" w:val="left"/>
        </w:tabs>
        <w:numPr>
          <w:ilvl w:val="2"/>
          <w:numId w:val="64"/>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85" w:lineRule="exact"/>
        <w:rPr>
          <w:rFonts w:ascii="Arial" w:cs="Arial" w:eastAsia="Arial" w:hAnsi="Arial"/>
          <w:sz w:val="18"/>
          <w:szCs w:val="18"/>
          <w:color w:val="auto"/>
        </w:rPr>
      </w:pPr>
    </w:p>
    <w:p>
      <w:pPr>
        <w:ind w:left="540" w:firstLine="403"/>
        <w:spacing w:after="0" w:line="332" w:lineRule="auto"/>
        <w:tabs>
          <w:tab w:leader="none" w:pos="1237" w:val="left"/>
        </w:tabs>
        <w:numPr>
          <w:ilvl w:val="2"/>
          <w:numId w:val="64"/>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39" w:lineRule="exact"/>
        <w:rPr>
          <w:rFonts w:ascii="Arial" w:cs="Arial" w:eastAsia="Arial" w:hAnsi="Arial"/>
          <w:sz w:val="16"/>
          <w:szCs w:val="16"/>
          <w:color w:val="auto"/>
        </w:rPr>
      </w:pPr>
    </w:p>
    <w:p>
      <w:pPr>
        <w:jc w:val="both"/>
        <w:ind w:left="540" w:firstLine="196"/>
        <w:spacing w:after="0" w:line="259" w:lineRule="auto"/>
        <w:tabs>
          <w:tab w:leader="none" w:pos="12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94" w:lineRule="exact"/>
        <w:rPr>
          <w:rFonts w:ascii="Arial" w:cs="Arial" w:eastAsia="Arial" w:hAnsi="Arial"/>
          <w:sz w:val="18"/>
          <w:szCs w:val="18"/>
          <w:color w:val="auto"/>
        </w:rPr>
      </w:pPr>
    </w:p>
    <w:p>
      <w:pPr>
        <w:ind w:left="1240" w:hanging="385"/>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240" w:hanging="385"/>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EFFECTIVE TERM OF PLAN</w:t>
      </w:r>
    </w:p>
    <w:p>
      <w:pPr>
        <w:spacing w:after="0" w:line="219"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the date it is approved by both the Board and the stockholders of the Company (the "Effective Date").</w:t>
      </w:r>
    </w:p>
    <w:p>
      <w:pPr>
        <w:spacing w:after="0" w:line="186" w:lineRule="exact"/>
        <w:rPr>
          <w:sz w:val="20"/>
          <w:szCs w:val="20"/>
          <w:color w:val="auto"/>
        </w:rPr>
      </w:pPr>
    </w:p>
    <w:p>
      <w:pPr>
        <w:jc w:val="both"/>
        <w:ind w:right="20" w:firstLine="365"/>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The termination of the Plan on such date shall not affect the validity of any Award outstanding on the date of termination.</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ACTION AND INTERPRETATIONS BY THE COMMITTEE.</w:t>
      </w:r>
      <w:r>
        <w:rPr>
          <w:rFonts w:ascii="Arial" w:cs="Arial" w:eastAsia="Arial" w:hAnsi="Arial"/>
          <w:sz w:val="18"/>
          <w:szCs w:val="18"/>
          <w:color w:val="auto"/>
        </w:rPr>
        <w:t xml:space="preserve"> For purposes of administering the Plan, the Committee may from time to time adopt rules, regulations, guidelines and procedures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both"/>
        <w:spacing w:after="0" w:line="254" w:lineRule="auto"/>
        <w:rPr>
          <w:sz w:val="20"/>
          <w:szCs w:val="20"/>
          <w:color w:val="auto"/>
        </w:rPr>
      </w:pPr>
      <w:r>
        <w:rPr>
          <w:rFonts w:ascii="Arial" w:cs="Arial" w:eastAsia="Arial" w:hAnsi="Arial"/>
          <w:sz w:val="18"/>
          <w:szCs w:val="18"/>
          <w:color w:val="auto"/>
        </w:rPr>
        <w:t>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98" w:lineRule="exact"/>
        <w:rPr>
          <w:sz w:val="20"/>
          <w:szCs w:val="20"/>
          <w:color w:val="auto"/>
        </w:rPr>
      </w:pPr>
    </w:p>
    <w:p>
      <w:pPr>
        <w:ind w:left="360"/>
        <w:spacing w:after="0"/>
        <w:tabs>
          <w:tab w:leader="none" w:pos="780" w:val="left"/>
          <w:tab w:leader="none" w:pos="3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AUTHORITY OF COMMITTEE.</w:t>
      </w:r>
      <w:r>
        <w:rPr>
          <w:sz w:val="20"/>
          <w:szCs w:val="20"/>
          <w:color w:val="auto"/>
        </w:rPr>
        <w:tab/>
      </w:r>
      <w:r>
        <w:rPr>
          <w:rFonts w:ascii="Arial" w:cs="Arial" w:eastAsia="Arial" w:hAnsi="Arial"/>
          <w:sz w:val="15"/>
          <w:szCs w:val="15"/>
          <w:color w:val="auto"/>
        </w:rPr>
        <w:t>Except as provided below, the Committee has the exclusive power, authority and discretion to:</w:t>
      </w:r>
    </w:p>
    <w:p>
      <w:pPr>
        <w:spacing w:after="0" w:line="225" w:lineRule="exact"/>
        <w:rPr>
          <w:sz w:val="20"/>
          <w:szCs w:val="20"/>
          <w:color w:val="auto"/>
        </w:rPr>
      </w:pPr>
    </w:p>
    <w:p>
      <w:pPr>
        <w:ind w:left="1220" w:hanging="321"/>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25" w:lineRule="exact"/>
        <w:rPr>
          <w:rFonts w:ascii="Arial" w:cs="Arial" w:eastAsia="Arial" w:hAnsi="Arial"/>
          <w:sz w:val="18"/>
          <w:szCs w:val="18"/>
          <w:color w:val="auto"/>
        </w:rPr>
      </w:pPr>
    </w:p>
    <w:p>
      <w:pPr>
        <w:jc w:val="both"/>
        <w:ind w:left="540" w:firstLine="369"/>
        <w:spacing w:after="0" w:line="306" w:lineRule="auto"/>
        <w:tabs>
          <w:tab w:leader="none" w:pos="1231"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60" w:lineRule="exact"/>
        <w:rPr>
          <w:rFonts w:ascii="Arial" w:cs="Arial" w:eastAsia="Arial" w:hAnsi="Arial"/>
          <w:sz w:val="16"/>
          <w:szCs w:val="16"/>
          <w:color w:val="auto"/>
        </w:rPr>
      </w:pPr>
    </w:p>
    <w:p>
      <w:pPr>
        <w:ind w:left="540" w:firstLine="445"/>
        <w:spacing w:after="0" w:line="268" w:lineRule="auto"/>
        <w:tabs>
          <w:tab w:leader="none" w:pos="13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85" w:lineRule="exact"/>
        <w:rPr>
          <w:rFonts w:ascii="Arial" w:cs="Arial" w:eastAsia="Arial" w:hAnsi="Arial"/>
          <w:sz w:val="18"/>
          <w:szCs w:val="18"/>
          <w:color w:val="auto"/>
        </w:rPr>
      </w:pPr>
    </w:p>
    <w:p>
      <w:pPr>
        <w:ind w:left="540" w:firstLine="371"/>
        <w:spacing w:after="0" w:line="268" w:lineRule="auto"/>
        <w:tabs>
          <w:tab w:leader="none" w:pos="12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86" w:lineRule="exact"/>
        <w:rPr>
          <w:sz w:val="20"/>
          <w:szCs w:val="20"/>
          <w:color w:val="auto"/>
        </w:rPr>
      </w:pPr>
    </w:p>
    <w:p>
      <w:pPr>
        <w:ind w:left="1240" w:hanging="34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48" w:lineRule="exact"/>
        <w:rPr>
          <w:sz w:val="20"/>
          <w:szCs w:val="20"/>
          <w:color w:val="auto"/>
        </w:rPr>
      </w:pPr>
    </w:p>
    <w:p>
      <w:pPr>
        <w:ind w:left="540" w:firstLine="552"/>
        <w:spacing w:after="0" w:line="268" w:lineRule="auto"/>
        <w:tabs>
          <w:tab w:leader="none" w:pos="1492"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sz w:val="20"/>
          <w:szCs w:val="20"/>
          <w:color w:val="auto"/>
        </w:rPr>
      </w:pPr>
    </w:p>
    <w:p>
      <w:pPr>
        <w:jc w:val="both"/>
        <w:ind w:left="540" w:firstLine="521"/>
        <w:spacing w:after="0" w:line="259" w:lineRule="auto"/>
        <w:tabs>
          <w:tab w:leader="none" w:pos="142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94"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jc w:val="both"/>
        <w:ind w:firstLine="412"/>
        <w:spacing w:after="0" w:line="290" w:lineRule="auto"/>
        <w:rPr>
          <w:sz w:val="20"/>
          <w:szCs w:val="20"/>
          <w:color w:val="auto"/>
        </w:rPr>
      </w:pPr>
      <w:r>
        <w:rPr>
          <w:rFonts w:ascii="Arial" w:cs="Arial" w:eastAsia="Arial" w:hAnsi="Arial"/>
          <w:sz w:val="16"/>
          <w:szCs w:val="16"/>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7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SUBJECT TO THE PLAN</w:t>
      </w:r>
    </w:p>
    <w:p>
      <w:pPr>
        <w:spacing w:after="0" w:line="219"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76,000,000;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97"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the grant, but shall be added back to the Plan share reserve in accordance with Section 5.2.</w:t>
      </w:r>
    </w:p>
    <w:p>
      <w:pPr>
        <w:spacing w:after="0" w:line="186" w:lineRule="exact"/>
        <w:rPr>
          <w:sz w:val="20"/>
          <w:szCs w:val="20"/>
          <w:color w:val="auto"/>
        </w:rPr>
      </w:pPr>
    </w:p>
    <w:p>
      <w:pPr>
        <w:ind w:left="540" w:right="20" w:firstLine="387"/>
        <w:spacing w:after="0" w:line="268" w:lineRule="auto"/>
        <w:tabs>
          <w:tab w:leader="none" w:pos="12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225" w:lineRule="exact"/>
        <w:rPr>
          <w:rFonts w:ascii="Arial" w:cs="Arial" w:eastAsia="Arial" w:hAnsi="Arial"/>
          <w:sz w:val="18"/>
          <w:szCs w:val="18"/>
          <w:color w:val="auto"/>
        </w:rPr>
      </w:pPr>
    </w:p>
    <w:p>
      <w:pPr>
        <w:ind w:left="540" w:firstLine="440"/>
        <w:spacing w:after="0" w:line="268" w:lineRule="auto"/>
        <w:tabs>
          <w:tab w:leader="none" w:pos="1329" w:val="left"/>
        </w:tabs>
        <w:numPr>
          <w:ilvl w:val="2"/>
          <w:numId w:val="72"/>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8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86"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37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ELIGIBILITY</w:t>
      </w:r>
    </w:p>
    <w:p>
      <w:pPr>
        <w:spacing w:after="0" w:line="219"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ind w:left="360"/>
        <w:spacing w:after="0"/>
        <w:tabs>
          <w:tab w:leader="none" w:pos="780" w:val="left"/>
          <w:tab w:leader="none" w:pos="1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The Committee is authorized to grant Options to Participants on the following terms and conditions:</w:t>
      </w:r>
    </w:p>
    <w:p>
      <w:pPr>
        <w:spacing w:after="0" w:line="225" w:lineRule="exact"/>
        <w:rPr>
          <w:sz w:val="20"/>
          <w:szCs w:val="20"/>
          <w:color w:val="auto"/>
        </w:rPr>
      </w:pPr>
    </w:p>
    <w:p>
      <w:pPr>
        <w:ind w:left="540" w:firstLine="427"/>
        <w:spacing w:after="0" w:line="268" w:lineRule="auto"/>
        <w:tabs>
          <w:tab w:leader="none" w:pos="1311"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EXERCISE PRICE. The exercise price per Share under an Option shall be determined by the Committee; provided that the exercise price for any Option shall not be less than the Fair Market Value as of the Grant Date.</w:t>
      </w:r>
    </w:p>
    <w:p>
      <w:pPr>
        <w:spacing w:after="0" w:line="185" w:lineRule="exact"/>
        <w:rPr>
          <w:rFonts w:ascii="Arial" w:cs="Arial" w:eastAsia="Arial" w:hAnsi="Arial"/>
          <w:sz w:val="18"/>
          <w:szCs w:val="18"/>
          <w:color w:val="auto"/>
        </w:rPr>
      </w:pPr>
    </w:p>
    <w:p>
      <w:pPr>
        <w:jc w:val="both"/>
        <w:ind w:left="540" w:firstLine="369"/>
        <w:spacing w:after="0" w:line="294" w:lineRule="auto"/>
        <w:tabs>
          <w:tab w:leader="none" w:pos="123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69" w:lineRule="exact"/>
        <w:rPr>
          <w:rFonts w:ascii="Arial" w:cs="Arial" w:eastAsia="Arial" w:hAnsi="Arial"/>
          <w:sz w:val="16"/>
          <w:szCs w:val="16"/>
          <w:color w:val="auto"/>
        </w:rPr>
      </w:pPr>
    </w:p>
    <w:p>
      <w:pPr>
        <w:jc w:val="both"/>
        <w:ind w:left="540" w:firstLine="376"/>
        <w:spacing w:after="0" w:line="255" w:lineRule="auto"/>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96" w:lineRule="exact"/>
        <w:rPr>
          <w:rFonts w:ascii="Arial" w:cs="Arial" w:eastAsia="Arial" w:hAnsi="Arial"/>
          <w:sz w:val="18"/>
          <w:szCs w:val="18"/>
          <w:color w:val="auto"/>
        </w:rPr>
      </w:pPr>
    </w:p>
    <w:p>
      <w:pPr>
        <w:ind w:left="1240" w:hanging="34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EXERCISE TERM. In no event may any Option be exercisable for more than six years from the Grant Date.</w:t>
      </w:r>
    </w:p>
    <w:p>
      <w:pPr>
        <w:spacing w:after="0" w:line="225" w:lineRule="exact"/>
        <w:rPr>
          <w:rFonts w:ascii="Arial" w:cs="Arial" w:eastAsia="Arial" w:hAnsi="Arial"/>
          <w:sz w:val="18"/>
          <w:szCs w:val="18"/>
          <w:color w:val="auto"/>
        </w:rPr>
      </w:pPr>
    </w:p>
    <w:p>
      <w:pPr>
        <w:ind w:left="540" w:right="20" w:firstLine="485"/>
        <w:spacing w:after="0" w:line="332" w:lineRule="auto"/>
        <w:tabs>
          <w:tab w:leader="none" w:pos="1390" w:val="left"/>
        </w:tabs>
        <w:numPr>
          <w:ilvl w:val="2"/>
          <w:numId w:val="74"/>
        </w:numPr>
        <w:rPr>
          <w:rFonts w:ascii="Arial" w:cs="Arial" w:eastAsia="Arial" w:hAnsi="Arial"/>
          <w:sz w:val="16"/>
          <w:szCs w:val="16"/>
          <w:color w:val="auto"/>
        </w:rPr>
      </w:pPr>
      <w:r>
        <w:rPr>
          <w:rFonts w:ascii="Arial" w:cs="Arial" w:eastAsia="Arial" w:hAnsi="Arial"/>
          <w:sz w:val="16"/>
          <w:szCs w:val="16"/>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39" w:lineRule="exact"/>
        <w:rPr>
          <w:sz w:val="20"/>
          <w:szCs w:val="20"/>
          <w:color w:val="auto"/>
        </w:rPr>
      </w:pPr>
    </w:p>
    <w:p>
      <w:pPr>
        <w:ind w:left="360"/>
        <w:spacing w:after="0"/>
        <w:tabs>
          <w:tab w:leader="none" w:pos="780" w:val="left"/>
          <w:tab w:leader="none" w:pos="32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INCENTIVE STOCK OPTIONS.</w:t>
      </w:r>
      <w:r>
        <w:rPr>
          <w:sz w:val="20"/>
          <w:szCs w:val="20"/>
          <w:color w:val="auto"/>
        </w:rPr>
        <w:tab/>
      </w:r>
      <w:r>
        <w:rPr>
          <w:rFonts w:ascii="Arial" w:cs="Arial" w:eastAsia="Arial" w:hAnsi="Arial"/>
          <w:sz w:val="16"/>
          <w:szCs w:val="16"/>
          <w:color w:val="auto"/>
        </w:rPr>
        <w:t>The terms of any Incentive Stock Options granted under the Plan must comply with the following additional rules:</w:t>
      </w:r>
    </w:p>
    <w:p>
      <w:pPr>
        <w:spacing w:after="0" w:line="225" w:lineRule="exact"/>
        <w:rPr>
          <w:sz w:val="20"/>
          <w:szCs w:val="20"/>
          <w:color w:val="auto"/>
        </w:rPr>
      </w:pPr>
    </w:p>
    <w:p>
      <w:pPr>
        <w:ind w:left="1220" w:hanging="321"/>
        <w:spacing w:after="0"/>
        <w:tabs>
          <w:tab w:leader="none" w:pos="1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EXERCISE PRICE. The exercise price of an Incentive Stock Option shall not be less than the Fair Market Value as of the Grant Date.</w:t>
      </w:r>
    </w:p>
    <w:p>
      <w:pPr>
        <w:spacing w:after="0" w:line="248" w:lineRule="exact"/>
        <w:rPr>
          <w:rFonts w:ascii="Arial" w:cs="Arial" w:eastAsia="Arial" w:hAnsi="Arial"/>
          <w:sz w:val="16"/>
          <w:szCs w:val="16"/>
          <w:color w:val="auto"/>
        </w:rPr>
      </w:pPr>
    </w:p>
    <w:p>
      <w:pPr>
        <w:jc w:val="both"/>
        <w:ind w:left="540" w:firstLine="460"/>
        <w:spacing w:after="0" w:line="298" w:lineRule="auto"/>
        <w:tabs>
          <w:tab w:leader="none" w:pos="1366" w:val="left"/>
        </w:tabs>
        <w:numPr>
          <w:ilvl w:val="1"/>
          <w:numId w:val="75"/>
        </w:numPr>
        <w:rPr>
          <w:rFonts w:ascii="Arial" w:cs="Arial" w:eastAsia="Arial" w:hAnsi="Arial"/>
          <w:sz w:val="16"/>
          <w:szCs w:val="16"/>
          <w:color w:val="auto"/>
        </w:rPr>
      </w:pPr>
      <w:r>
        <w:rPr>
          <w:rFonts w:ascii="Arial" w:cs="Arial" w:eastAsia="Arial" w:hAnsi="Arial"/>
          <w:sz w:val="16"/>
          <w:szCs w:val="16"/>
          <w:color w:val="auto"/>
        </w:rPr>
        <w:t>LAPSE OF OPTION.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66" w:lineRule="exact"/>
        <w:rPr>
          <w:rFonts w:ascii="Arial" w:cs="Arial" w:eastAsia="Arial" w:hAnsi="Arial"/>
          <w:sz w:val="16"/>
          <w:szCs w:val="16"/>
          <w:color w:val="auto"/>
        </w:rPr>
      </w:pPr>
    </w:p>
    <w:p>
      <w:pPr>
        <w:ind w:left="1780" w:hanging="340"/>
        <w:spacing w:after="0"/>
        <w:tabs>
          <w:tab w:leader="none" w:pos="17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expiration date set forth in the Award Certificate.</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ind w:left="1080" w:right="20" w:firstLine="550"/>
        <w:spacing w:after="0" w:line="268" w:lineRule="auto"/>
        <w:tabs>
          <w:tab w:leader="none" w:pos="2026"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Three months after termination of the Participant's Continuous Status as a Participant for any reason other than the Participant's Disability or death.</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 year after the Participant's Continuous Status as a Participant by reason of the Participant's Disability.</w:t>
      </w:r>
    </w:p>
    <w:p>
      <w:pPr>
        <w:spacing w:after="0" w:line="225" w:lineRule="exact"/>
        <w:rPr>
          <w:rFonts w:ascii="Arial" w:cs="Arial" w:eastAsia="Arial" w:hAnsi="Arial"/>
          <w:sz w:val="18"/>
          <w:szCs w:val="18"/>
          <w:color w:val="auto"/>
        </w:rPr>
      </w:pPr>
    </w:p>
    <w:p>
      <w:pPr>
        <w:ind w:left="1080" w:firstLine="532"/>
        <w:spacing w:after="0" w:line="332" w:lineRule="auto"/>
        <w:tabs>
          <w:tab w:leader="none" w:pos="2005" w:val="left"/>
        </w:tabs>
        <w:numPr>
          <w:ilvl w:val="1"/>
          <w:numId w:val="77"/>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39" w:lineRule="exact"/>
        <w:rPr>
          <w:sz w:val="20"/>
          <w:szCs w:val="20"/>
          <w:color w:val="auto"/>
        </w:rPr>
      </w:pPr>
    </w:p>
    <w:p>
      <w:pPr>
        <w:jc w:val="both"/>
        <w:ind w:firstLine="470"/>
        <w:spacing w:after="0" w:line="306" w:lineRule="auto"/>
        <w:rPr>
          <w:sz w:val="20"/>
          <w:szCs w:val="20"/>
          <w:color w:val="auto"/>
        </w:rPr>
      </w:pPr>
      <w:r>
        <w:rPr>
          <w:rFonts w:ascii="Arial" w:cs="Arial" w:eastAsia="Arial" w:hAnsi="Arial"/>
          <w:sz w:val="16"/>
          <w:szCs w:val="16"/>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61" w:lineRule="exact"/>
        <w:rPr>
          <w:sz w:val="20"/>
          <w:szCs w:val="20"/>
          <w:color w:val="auto"/>
        </w:rPr>
      </w:pPr>
    </w:p>
    <w:p>
      <w:pPr>
        <w:ind w:left="540" w:right="20" w:firstLine="373"/>
        <w:spacing w:after="0" w:line="268" w:lineRule="auto"/>
        <w:tabs>
          <w:tab w:leader="none" w:pos="12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INDIVIDUAL DOLLAR LIMITATION. The aggregate Fair Market Value (determined as of the Grant Date) of all Shares with respect to which Incentive Stock Options are first exercisable by a Participant in any calendar year may not exceed $100,000.00.</w:t>
      </w:r>
    </w:p>
    <w:p>
      <w:pPr>
        <w:spacing w:after="0" w:line="185" w:lineRule="exact"/>
        <w:rPr>
          <w:rFonts w:ascii="Arial" w:cs="Arial" w:eastAsia="Arial" w:hAnsi="Arial"/>
          <w:sz w:val="18"/>
          <w:szCs w:val="18"/>
          <w:color w:val="auto"/>
        </w:rPr>
      </w:pPr>
    </w:p>
    <w:p>
      <w:pPr>
        <w:jc w:val="both"/>
        <w:ind w:left="540" w:firstLine="400"/>
        <w:spacing w:after="0" w:line="306" w:lineRule="auto"/>
        <w:tabs>
          <w:tab w:leader="none" w:pos="12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TEN PERCENT OWNERS.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60" w:lineRule="exact"/>
        <w:rPr>
          <w:rFonts w:ascii="Arial" w:cs="Arial" w:eastAsia="Arial" w:hAnsi="Arial"/>
          <w:sz w:val="16"/>
          <w:szCs w:val="16"/>
          <w:color w:val="auto"/>
        </w:rPr>
      </w:pPr>
    </w:p>
    <w:p>
      <w:pPr>
        <w:ind w:left="540" w:firstLine="452"/>
        <w:spacing w:after="0" w:line="332" w:lineRule="auto"/>
        <w:tabs>
          <w:tab w:leader="none" w:pos="1345" w:val="left"/>
        </w:tabs>
        <w:numPr>
          <w:ilvl w:val="2"/>
          <w:numId w:val="78"/>
        </w:numPr>
        <w:rPr>
          <w:rFonts w:ascii="Arial" w:cs="Arial" w:eastAsia="Arial" w:hAnsi="Arial"/>
          <w:sz w:val="16"/>
          <w:szCs w:val="16"/>
          <w:color w:val="auto"/>
        </w:rPr>
      </w:pPr>
      <w:r>
        <w:rPr>
          <w:rFonts w:ascii="Arial" w:cs="Arial" w:eastAsia="Arial" w:hAnsi="Arial"/>
          <w:sz w:val="16"/>
          <w:szCs w:val="16"/>
          <w:color w:val="auto"/>
        </w:rPr>
        <w:t>EXPIRATION OF AUTHORITY TO GRANT INCENTIVE STOCK OPTIONS. No Incentive Stock Option may be granted pursuant to the Plan after the day immediately prior to the tenth anniversary of the date the Plan was adopted by the Board, or the termination of the Plan, if earlier.</w:t>
      </w:r>
    </w:p>
    <w:p>
      <w:pPr>
        <w:spacing w:after="0" w:line="139" w:lineRule="exact"/>
        <w:rPr>
          <w:sz w:val="20"/>
          <w:szCs w:val="20"/>
          <w:color w:val="auto"/>
        </w:rPr>
      </w:pPr>
    </w:p>
    <w:p>
      <w:pPr>
        <w:ind w:left="540" w:firstLine="417"/>
        <w:spacing w:after="0" w:line="268" w:lineRule="auto"/>
        <w:tabs>
          <w:tab w:leader="none" w:pos="13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RIGHT TO EXERCISE. During a Participant's lifetime, an Incentive Stock Option may be exercised only by the Participant or, in the case of the Participant's Disability, by the Participant's guardian or legal representative.</w:t>
      </w:r>
    </w:p>
    <w:p>
      <w:pPr>
        <w:spacing w:after="0" w:line="185" w:lineRule="exact"/>
        <w:rPr>
          <w:rFonts w:ascii="Arial" w:cs="Arial" w:eastAsia="Arial" w:hAnsi="Arial"/>
          <w:sz w:val="18"/>
          <w:szCs w:val="18"/>
          <w:color w:val="auto"/>
        </w:rPr>
      </w:pPr>
    </w:p>
    <w:p>
      <w:pPr>
        <w:ind w:left="540" w:firstLine="387"/>
        <w:spacing w:after="0" w:line="268" w:lineRule="auto"/>
        <w:tabs>
          <w:tab w:leader="none" w:pos="1266" w:val="left"/>
        </w:tabs>
        <w:numPr>
          <w:ilvl w:val="0"/>
          <w:numId w:val="79"/>
        </w:numPr>
        <w:rPr>
          <w:rFonts w:ascii="Arial" w:cs="Arial" w:eastAsia="Arial" w:hAnsi="Arial"/>
          <w:sz w:val="18"/>
          <w:szCs w:val="18"/>
          <w:color w:val="auto"/>
        </w:rPr>
      </w:pPr>
      <w:r>
        <w:rPr>
          <w:rFonts w:ascii="Arial" w:cs="Arial" w:eastAsia="Arial" w:hAnsi="Arial"/>
          <w:sz w:val="18"/>
          <w:szCs w:val="18"/>
          <w:color w:val="auto"/>
        </w:rPr>
        <w:t>ELIGIBLE GRANTEES. The Committee may not grant an Incentive Stock Option to a person who is not at the Grant Date an employee of the Company or a Parent or Subsidiary.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APPRECIATION RIGHTS</w:t>
      </w:r>
    </w:p>
    <w:p>
      <w:pPr>
        <w:spacing w:after="0" w:line="219" w:lineRule="exact"/>
        <w:rPr>
          <w:sz w:val="20"/>
          <w:szCs w:val="20"/>
          <w:color w:val="auto"/>
        </w:rPr>
      </w:pPr>
    </w:p>
    <w:p>
      <w:pPr>
        <w:ind w:firstLine="419"/>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86" w:lineRule="exact"/>
        <w:rPr>
          <w:sz w:val="20"/>
          <w:szCs w:val="20"/>
          <w:color w:val="auto"/>
        </w:rPr>
      </w:pPr>
    </w:p>
    <w:p>
      <w:pPr>
        <w:ind w:left="540" w:firstLine="474"/>
        <w:spacing w:after="0" w:line="268" w:lineRule="auto"/>
        <w:tabs>
          <w:tab w:leader="none" w:pos="13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the excess, if any, of:</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080" w:firstLine="410"/>
        <w:spacing w:after="0" w:line="268" w:lineRule="auto"/>
        <w:tabs>
          <w:tab w:leader="none" w:pos="1834" w:val="left"/>
        </w:tabs>
        <w:numPr>
          <w:ilvl w:val="3"/>
          <w:numId w:val="80"/>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85" w:lineRule="exact"/>
        <w:rPr>
          <w:rFonts w:ascii="Arial" w:cs="Arial" w:eastAsia="Arial" w:hAnsi="Arial"/>
          <w:sz w:val="18"/>
          <w:szCs w:val="18"/>
          <w:color w:val="auto"/>
        </w:rPr>
      </w:pPr>
    </w:p>
    <w:p>
      <w:pPr>
        <w:jc w:val="both"/>
        <w:ind w:left="540" w:firstLine="525"/>
        <w:spacing w:after="0" w:line="259" w:lineRule="auto"/>
        <w:tabs>
          <w:tab w:leader="none" w:pos="14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ind w:left="540"/>
        <w:spacing w:after="0"/>
        <w:rPr>
          <w:sz w:val="20"/>
          <w:szCs w:val="20"/>
          <w:color w:val="auto"/>
        </w:rPr>
      </w:pPr>
      <w:r>
        <w:rPr>
          <w:rFonts w:ascii="Arial" w:cs="Arial" w:eastAsia="Arial" w:hAnsi="Arial"/>
          <w:sz w:val="18"/>
          <w:szCs w:val="18"/>
          <w:color w:val="auto"/>
        </w:rPr>
        <w:t>Certificate. In no event may any Stock Appreciation Rights be exercisable for more than six years from the Grant Date.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SHARES</w:t>
      </w:r>
    </w:p>
    <w:p>
      <w:pPr>
        <w:spacing w:after="0" w:line="21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PERFORMANCE SHARES.</w:t>
      </w:r>
      <w:r>
        <w:rPr>
          <w:rFonts w:ascii="Arial" w:cs="Arial" w:eastAsia="Arial" w:hAnsi="Arial"/>
          <w:sz w:val="18"/>
          <w:szCs w:val="18"/>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97"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w:t>
      </w:r>
    </w:p>
    <w:p>
      <w:pPr>
        <w:spacing w:after="0" w:line="177"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97"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ISSUANCE AND RESTRICTIONS.</w:t>
      </w:r>
      <w:r>
        <w:rPr>
          <w:rFonts w:ascii="Arial" w:cs="Arial" w:eastAsia="Arial" w:hAnsi="Arial"/>
          <w:sz w:val="18"/>
          <w:szCs w:val="18"/>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6"/>
          <w:szCs w:val="16"/>
          <w:color w:val="auto"/>
        </w:rPr>
        <w:t>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5" w:lineRule="exact"/>
        <w:rPr>
          <w:sz w:val="20"/>
          <w:szCs w:val="20"/>
          <w:color w:val="auto"/>
        </w:rPr>
      </w:pPr>
    </w:p>
    <w:p>
      <w:pPr>
        <w:jc w:val="both"/>
        <w:ind w:firstLine="513"/>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98"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DEFERRED STOCK UNITS</w:t>
      </w:r>
    </w:p>
    <w:p>
      <w:pPr>
        <w:spacing w:after="0" w:line="2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EQUIVALENTS</w:t>
      </w:r>
    </w:p>
    <w:p>
      <w:pPr>
        <w:spacing w:after="0" w:line="21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 Certificate, Dividend Equivalents will be paid or distributed no later than the 15th day of the 3rd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OR OTHER STOCK-BASED AWARDS</w:t>
      </w:r>
    </w:p>
    <w:p>
      <w:pPr>
        <w:spacing w:after="0" w:line="21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PROVISIONS APPLICABLE TO AWARDS</w:t>
      </w:r>
    </w:p>
    <w:p>
      <w:pPr>
        <w:spacing w:after="0" w:line="219"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94"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97"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LIMITS ON TRANSFER.</w:t>
      </w:r>
      <w:r>
        <w:rPr>
          <w:rFonts w:ascii="Arial" w:cs="Arial" w:eastAsia="Arial" w:hAnsi="Arial"/>
          <w:sz w:val="16"/>
          <w:szCs w:val="16"/>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jc w:val="both"/>
        <w:spacing w:after="0" w:line="298" w:lineRule="auto"/>
        <w:rPr>
          <w:sz w:val="20"/>
          <w:szCs w:val="20"/>
          <w:color w:val="auto"/>
        </w:rPr>
      </w:pPr>
      <w:r>
        <w:rPr>
          <w:rFonts w:ascii="Arial" w:cs="Arial" w:eastAsia="Arial" w:hAnsi="Arial"/>
          <w:sz w:val="16"/>
          <w:szCs w:val="16"/>
          <w:color w:val="auto"/>
        </w:rPr>
        <w:t>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67"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74"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CERTIFICATES.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97"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72" w:lineRule="exact"/>
        <w:rPr>
          <w:sz w:val="20"/>
          <w:szCs w:val="20"/>
          <w:color w:val="auto"/>
        </w:rPr>
      </w:pPr>
    </w:p>
    <w:p>
      <w:pPr>
        <w:jc w:val="both"/>
        <w:ind w:firstLine="365"/>
        <w:spacing w:after="0" w:line="288"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i w:val="1"/>
          <w:iCs w:val="1"/>
          <w:color w:val="auto"/>
        </w:rPr>
        <w:t>ACCELERATION UPON DEATH OR DISABILITY.</w:t>
      </w:r>
      <w:r>
        <w:rPr>
          <w:rFonts w:ascii="Arial" w:cs="Arial" w:eastAsia="Arial" w:hAnsi="Arial"/>
          <w:sz w:val="16"/>
          <w:szCs w:val="16"/>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74"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ACCELERATION FOR ANY OTHER REASON.</w:t>
      </w:r>
      <w:r>
        <w:rPr>
          <w:rFonts w:ascii="Arial" w:cs="Arial" w:eastAsia="Arial" w:hAnsi="Arial"/>
          <w:sz w:val="16"/>
          <w:szCs w:val="16"/>
          <w:color w:val="auto"/>
        </w:rPr>
        <w:t xml:space="preserve"> Regardless of whether an event has occurred as described in Section 14.7 or 14.8 above, and subject to Section 14.11 as to Qualified Performance-Based Awards, the Committee may in its sole discretion at any time determine that all or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jc w:val="both"/>
        <w:spacing w:after="0" w:line="287" w:lineRule="auto"/>
        <w:rPr>
          <w:sz w:val="20"/>
          <w:szCs w:val="20"/>
          <w:color w:val="auto"/>
        </w:rPr>
      </w:pPr>
      <w:r>
        <w:rPr>
          <w:rFonts w:ascii="Arial" w:cs="Arial" w:eastAsia="Arial" w:hAnsi="Arial"/>
          <w:sz w:val="16"/>
          <w:szCs w:val="16"/>
          <w:color w:val="auto"/>
        </w:rPr>
        <w:t>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77" w:lineRule="exact"/>
        <w:rPr>
          <w:sz w:val="20"/>
          <w:szCs w:val="20"/>
          <w:color w:val="auto"/>
        </w:rPr>
      </w:pPr>
    </w:p>
    <w:p>
      <w:pPr>
        <w:jc w:val="both"/>
        <w:ind w:firstLine="459"/>
        <w:spacing w:after="0" w:line="289"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i w:val="1"/>
          <w:iCs w:val="1"/>
          <w:color w:val="auto"/>
        </w:rPr>
        <w:t>EFFECT OF ACCELERATION.</w:t>
      </w:r>
      <w:r>
        <w:rPr>
          <w:rFonts w:ascii="Arial" w:cs="Arial" w:eastAsia="Arial" w:hAnsi="Arial"/>
          <w:sz w:val="16"/>
          <w:szCs w:val="16"/>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72"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i w:val="1"/>
          <w:iCs w:val="1"/>
          <w:color w:val="auto"/>
        </w:rPr>
        <w:t>QUALIFIED PERFORMANCE-BASED AWARDS.</w:t>
      </w:r>
    </w:p>
    <w:p>
      <w:pPr>
        <w:spacing w:after="0" w:line="225" w:lineRule="exact"/>
        <w:rPr>
          <w:sz w:val="20"/>
          <w:szCs w:val="20"/>
          <w:color w:val="auto"/>
        </w:rPr>
      </w:pPr>
    </w:p>
    <w:p>
      <w:pPr>
        <w:jc w:val="both"/>
        <w:ind w:left="540" w:firstLine="417"/>
        <w:spacing w:after="0" w:line="259" w:lineRule="auto"/>
        <w:tabs>
          <w:tab w:leader="none" w:pos="12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94" w:lineRule="exact"/>
        <w:rPr>
          <w:rFonts w:ascii="Arial" w:cs="Arial" w:eastAsia="Arial" w:hAnsi="Arial"/>
          <w:sz w:val="18"/>
          <w:szCs w:val="18"/>
          <w:color w:val="auto"/>
        </w:rPr>
      </w:pPr>
    </w:p>
    <w:p>
      <w:pPr>
        <w:jc w:val="both"/>
        <w:ind w:left="540" w:firstLine="613"/>
        <w:spacing w:after="0" w:line="254" w:lineRule="auto"/>
        <w:tabs>
          <w:tab w:leader="none" w:pos="1573" w:val="left"/>
        </w:tabs>
        <w:numPr>
          <w:ilvl w:val="1"/>
          <w:numId w:val="81"/>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12" w:lineRule="exact"/>
        <w:rPr>
          <w:sz w:val="20"/>
          <w:szCs w:val="20"/>
          <w:color w:val="auto"/>
        </w:rPr>
      </w:pPr>
    </w:p>
    <w:p>
      <w:pPr>
        <w:ind w:left="1620" w:hanging="532"/>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4" w:name="page65"/>
    <w:bookmarkEnd w:id="64"/>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38"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39" w:lineRule="exact"/>
        <w:rPr>
          <w:sz w:val="20"/>
          <w:szCs w:val="20"/>
          <w:color w:val="auto"/>
        </w:rPr>
      </w:pPr>
    </w:p>
    <w:p>
      <w:pPr>
        <w:jc w:val="both"/>
        <w:ind w:firstLine="527"/>
        <w:spacing w:after="0" w:line="291"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74" w:lineRule="exact"/>
        <w:rPr>
          <w:sz w:val="20"/>
          <w:szCs w:val="20"/>
          <w:color w:val="auto"/>
        </w:rPr>
      </w:pPr>
    </w:p>
    <w:p>
      <w:pPr>
        <w:jc w:val="both"/>
        <w:ind w:firstLine="464"/>
        <w:spacing w:after="0" w:line="290" w:lineRule="auto"/>
        <w:tabs>
          <w:tab w:leader="none" w:pos="821" w:val="left"/>
        </w:tabs>
        <w:numPr>
          <w:ilvl w:val="2"/>
          <w:numId w:val="84"/>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72" w:lineRule="exact"/>
        <w:rPr>
          <w:rFonts w:ascii="Arial" w:cs="Arial" w:eastAsia="Arial" w:hAnsi="Arial"/>
          <w:sz w:val="16"/>
          <w:szCs w:val="16"/>
          <w:color w:val="auto"/>
        </w:rPr>
      </w:pPr>
    </w:p>
    <w:p>
      <w:pPr>
        <w:jc w:val="both"/>
        <w:ind w:firstLine="387"/>
        <w:spacing w:after="0" w:line="286" w:lineRule="auto"/>
        <w:tabs>
          <w:tab w:leader="none" w:pos="723"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w:t>
      </w:r>
    </w:p>
    <w:p>
      <w:pPr>
        <w:jc w:val="both"/>
        <w:ind w:firstLine="8"/>
        <w:spacing w:after="0" w:line="281" w:lineRule="auto"/>
        <w:tabs>
          <w:tab w:leader="none" w:pos="263"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w:t>
      </w:r>
    </w:p>
    <w:p>
      <w:pPr>
        <w:spacing w:after="0" w:line="2" w:lineRule="exact"/>
        <w:rPr>
          <w:rFonts w:ascii="Arial" w:cs="Arial" w:eastAsia="Arial" w:hAnsi="Arial"/>
          <w:sz w:val="16"/>
          <w:szCs w:val="16"/>
          <w:color w:val="auto"/>
        </w:rPr>
      </w:pPr>
    </w:p>
    <w:p>
      <w:pPr>
        <w:ind w:firstLine="8"/>
        <w:spacing w:after="0" w:line="323" w:lineRule="auto"/>
        <w:tabs>
          <w:tab w:leader="none" w:pos="258" w:val="left"/>
        </w:tabs>
        <w:numPr>
          <w:ilvl w:val="0"/>
          <w:numId w:val="87"/>
        </w:numPr>
        <w:rPr>
          <w:rFonts w:ascii="Arial" w:cs="Arial" w:eastAsia="Arial" w:hAnsi="Arial"/>
          <w:sz w:val="16"/>
          <w:szCs w:val="16"/>
          <w:color w:val="auto"/>
        </w:rPr>
      </w:pPr>
      <w:r>
        <w:rPr>
          <w:rFonts w:ascii="Arial" w:cs="Arial" w:eastAsia="Arial" w:hAnsi="Arial"/>
          <w:sz w:val="16"/>
          <w:szCs w:val="16"/>
          <w:color w:val="auto"/>
        </w:rPr>
        <w:t>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45" w:right="239" w:bottom="1440" w:gutter="0" w:footer="0" w:header="0"/>
        </w:sectPr>
      </w:pPr>
    </w:p>
    <w:bookmarkStart w:id="65" w:name="page66"/>
    <w:bookmarkEnd w:id="65"/>
    <w:p>
      <w:pPr>
        <w:jc w:val="both"/>
        <w:ind w:left="540" w:firstLine="367"/>
        <w:spacing w:after="0" w:line="286" w:lineRule="auto"/>
        <w:tabs>
          <w:tab w:leader="none" w:pos="1218"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81" w:lineRule="exact"/>
        <w:rPr>
          <w:rFonts w:ascii="Arial" w:cs="Arial" w:eastAsia="Arial" w:hAnsi="Arial"/>
          <w:sz w:val="16"/>
          <w:szCs w:val="16"/>
          <w:color w:val="auto"/>
        </w:rPr>
      </w:pPr>
    </w:p>
    <w:p>
      <w:pPr>
        <w:ind w:left="540" w:firstLine="398"/>
        <w:spacing w:after="0" w:line="268" w:lineRule="auto"/>
        <w:tabs>
          <w:tab w:leader="none" w:pos="1301" w:val="left"/>
        </w:tabs>
        <w:numPr>
          <w:ilvl w:val="2"/>
          <w:numId w:val="88"/>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or dollar value that may be granted in any one-year period to a Participant in designated forms of Qualified Performance-Based Awards.</w:t>
      </w:r>
    </w:p>
    <w:p>
      <w:pPr>
        <w:spacing w:after="0" w:line="185" w:lineRule="exact"/>
        <w:rPr>
          <w:rFonts w:ascii="Arial" w:cs="Arial" w:eastAsia="Arial" w:hAnsi="Arial"/>
          <w:sz w:val="18"/>
          <w:szCs w:val="18"/>
          <w:color w:val="auto"/>
        </w:rPr>
      </w:pPr>
    </w:p>
    <w:p>
      <w:pPr>
        <w:jc w:val="both"/>
        <w:ind w:left="540" w:firstLine="359"/>
        <w:spacing w:after="0" w:line="283" w:lineRule="auto"/>
        <w:tabs>
          <w:tab w:leader="none" w:pos="1224" w:val="left"/>
        </w:tabs>
        <w:numPr>
          <w:ilvl w:val="2"/>
          <w:numId w:val="88"/>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w:t>
      </w:r>
    </w:p>
    <w:p>
      <w:pPr>
        <w:spacing w:after="0" w:line="2" w:lineRule="exact"/>
        <w:rPr>
          <w:rFonts w:ascii="Arial" w:cs="Arial" w:eastAsia="Arial" w:hAnsi="Arial"/>
          <w:sz w:val="16"/>
          <w:szCs w:val="16"/>
          <w:color w:val="auto"/>
        </w:rPr>
      </w:pPr>
    </w:p>
    <w:p>
      <w:pPr>
        <w:jc w:val="both"/>
        <w:ind w:left="540" w:firstLine="8"/>
        <w:spacing w:after="0" w:line="255" w:lineRule="auto"/>
        <w:tabs>
          <w:tab w:leader="none" w:pos="8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8" w:lineRule="exact"/>
        <w:rPr>
          <w:sz w:val="20"/>
          <w:szCs w:val="20"/>
          <w:color w:val="auto"/>
        </w:rPr>
      </w:pPr>
    </w:p>
    <w:p>
      <w:pPr>
        <w:jc w:val="both"/>
        <w:ind w:firstLine="419"/>
        <w:spacing w:after="0" w:line="290"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72" w:lineRule="exact"/>
        <w:rPr>
          <w:sz w:val="20"/>
          <w:szCs w:val="20"/>
          <w:color w:val="auto"/>
        </w:rPr>
      </w:pPr>
    </w:p>
    <w:p>
      <w:pPr>
        <w:jc w:val="both"/>
        <w:ind w:firstLine="419"/>
        <w:spacing w:after="0" w:line="294"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i w:val="1"/>
          <w:iCs w:val="1"/>
          <w:color w:val="auto"/>
        </w:rPr>
        <w:t>DEFERRAL.</w:t>
      </w:r>
      <w:r>
        <w:rPr>
          <w:rFonts w:ascii="Arial" w:cs="Arial" w:eastAsia="Arial" w:hAnsi="Arial"/>
          <w:sz w:val="16"/>
          <w:szCs w:val="16"/>
          <w:color w:val="auto"/>
        </w:rPr>
        <w:t xml:space="preserve">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 in compliance with Section 409A of the Code and other applicable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jc w:val="both"/>
        <w:ind w:firstLine="392"/>
        <w:spacing w:after="0" w:line="294"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70"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CAPITAL STRUCTURE</w:t>
      </w:r>
    </w:p>
    <w:p>
      <w:pPr>
        <w:spacing w:after="0" w:line="219"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MANDATORY ADJUSTMENTS.</w:t>
      </w:r>
      <w:r>
        <w:rPr>
          <w:rFonts w:ascii="Arial" w:cs="Arial" w:eastAsia="Arial" w:hAnsi="Arial"/>
          <w:sz w:val="16"/>
          <w:szCs w:val="16"/>
          <w:color w:val="auto"/>
        </w:rPr>
        <w:t xml:space="preserve"> Subject to any required action by the shareholders of the Company, the number of shares of Common Stock covered by each outstanding Award, and the number of issued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78" w:lineRule="exact"/>
        <w:rPr>
          <w:sz w:val="20"/>
          <w:szCs w:val="20"/>
          <w:color w:val="auto"/>
        </w:rPr>
      </w:pPr>
    </w:p>
    <w:p>
      <w:pPr>
        <w:jc w:val="both"/>
        <w:ind w:firstLine="554"/>
        <w:spacing w:after="0" w:line="288"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xml:space="preserve"> Upon the occurrence or in anticipation of any corporate event or transaction involving the Company (including, without limitation, any merger, reorganization, recapitalization or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jc w:val="both"/>
        <w:ind w:firstLine="405"/>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Article 16. To the extent that any adjustments made pursuant to this Article 15 cause Incentive Stock Options to cease to qualify as Incentive Stock Options, such Options shall be deemed to be Nonstatutory Stock Options.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9"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74"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186" w:lineRule="exact"/>
        <w:rPr>
          <w:sz w:val="20"/>
          <w:szCs w:val="20"/>
          <w:color w:val="auto"/>
        </w:rPr>
      </w:pPr>
    </w:p>
    <w:p>
      <w:pPr>
        <w:jc w:val="both"/>
        <w:ind w:left="540" w:firstLine="512"/>
        <w:spacing w:after="0" w:line="298" w:lineRule="auto"/>
        <w:tabs>
          <w:tab w:leader="none" w:pos="1428" w:val="left"/>
        </w:tabs>
        <w:numPr>
          <w:ilvl w:val="2"/>
          <w:numId w:val="90"/>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jc w:val="both"/>
        <w:ind w:left="540" w:firstLine="359"/>
        <w:spacing w:after="0" w:line="298" w:lineRule="auto"/>
        <w:tabs>
          <w:tab w:leader="none" w:pos="1218"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Except as otherwise provided in Article 15, the exercise price of an Option or SAR may not be reduced, directly or indirectly by cancellation and exchange for cash or another award or otherwise, without the prior approval of the stockholders of the Company, and the Company may not, without the prior approval of stockholders of the Company, repurchase an Option or SAR for value from a Participant if the current Fair Market Value of the Shares underlying the Option or SAR is lower than the exercise price or base price per share of the Option or SAR.</w:t>
      </w:r>
    </w:p>
    <w:p>
      <w:pPr>
        <w:spacing w:after="0" w:line="166" w:lineRule="exact"/>
        <w:rPr>
          <w:rFonts w:ascii="Arial" w:cs="Arial" w:eastAsia="Arial" w:hAnsi="Arial"/>
          <w:sz w:val="16"/>
          <w:szCs w:val="16"/>
          <w:color w:val="auto"/>
        </w:rPr>
      </w:pPr>
    </w:p>
    <w:p>
      <w:pPr>
        <w:jc w:val="both"/>
        <w:ind w:left="540" w:firstLine="373"/>
        <w:spacing w:after="0" w:line="294" w:lineRule="auto"/>
        <w:tabs>
          <w:tab w:leader="none" w:pos="1247"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70" w:lineRule="exact"/>
        <w:rPr>
          <w:sz w:val="20"/>
          <w:szCs w:val="20"/>
          <w:color w:val="auto"/>
        </w:rPr>
      </w:pPr>
    </w:p>
    <w:p>
      <w:pPr>
        <w:ind w:firstLine="378"/>
        <w:spacing w:after="0" w:line="268"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COMPLIANCE AMENDMENTS.</w:t>
      </w:r>
      <w:r>
        <w:rPr>
          <w:rFonts w:ascii="Arial" w:cs="Arial" w:eastAsia="Arial" w:hAnsi="Arial"/>
          <w:sz w:val="18"/>
          <w:szCs w:val="18"/>
          <w:color w:val="auto"/>
        </w:rPr>
        <w:t xml:space="preserve"> Notwithstanding anything in the Plan or in any Award Certificate to the contrary, the Committee may amend the Plan or an Award Certificate, to take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jc w:val="both"/>
        <w:spacing w:after="0" w:line="256" w:lineRule="auto"/>
        <w:rPr>
          <w:sz w:val="20"/>
          <w:szCs w:val="20"/>
          <w:color w:val="auto"/>
        </w:rPr>
      </w:pPr>
      <w:r>
        <w:rPr>
          <w:rFonts w:ascii="Arial" w:cs="Arial" w:eastAsia="Arial" w:hAnsi="Arial"/>
          <w:sz w:val="18"/>
          <w:szCs w:val="18"/>
          <w:color w:val="auto"/>
        </w:rPr>
        <w:t>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9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17.3. SPECIAL PROVISIONS RELATED TO SECTION 409A OF THE CODE</w:t>
      </w:r>
      <w:r>
        <w:rPr>
          <w:rFonts w:ascii="Arial" w:cs="Arial" w:eastAsia="Arial" w:hAnsi="Arial"/>
          <w:sz w:val="18"/>
          <w:szCs w:val="18"/>
          <w:color w:val="auto"/>
        </w:rPr>
        <w:t>.</w:t>
      </w:r>
    </w:p>
    <w:p>
      <w:pPr>
        <w:spacing w:after="0" w:line="225" w:lineRule="exact"/>
        <w:rPr>
          <w:sz w:val="20"/>
          <w:szCs w:val="20"/>
          <w:color w:val="auto"/>
        </w:rPr>
      </w:pPr>
    </w:p>
    <w:p>
      <w:pPr>
        <w:jc w:val="both"/>
        <w:ind w:left="540" w:firstLine="401"/>
        <w:spacing w:after="0" w:line="283" w:lineRule="auto"/>
        <w:tabs>
          <w:tab w:leader="none" w:pos="1275"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w:t>
      </w:r>
    </w:p>
    <w:p>
      <w:pPr>
        <w:spacing w:after="0" w:line="1" w:lineRule="exact"/>
        <w:rPr>
          <w:rFonts w:ascii="Arial" w:cs="Arial" w:eastAsia="Arial" w:hAnsi="Arial"/>
          <w:sz w:val="16"/>
          <w:szCs w:val="16"/>
          <w:color w:val="auto"/>
        </w:rPr>
      </w:pPr>
    </w:p>
    <w:p>
      <w:pPr>
        <w:jc w:val="both"/>
        <w:ind w:left="540" w:firstLine="8"/>
        <w:spacing w:after="0" w:line="295" w:lineRule="auto"/>
        <w:tabs>
          <w:tab w:leader="none" w:pos="804"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payment or distribution of such amount or benefit would be exempt from the application of Section 409A of the Code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169" w:lineRule="exact"/>
        <w:rPr>
          <w:rFonts w:ascii="Arial" w:cs="Arial" w:eastAsia="Arial" w:hAnsi="Arial"/>
          <w:sz w:val="16"/>
          <w:szCs w:val="16"/>
          <w:color w:val="auto"/>
        </w:rPr>
      </w:pPr>
    </w:p>
    <w:p>
      <w:pPr>
        <w:jc w:val="both"/>
        <w:ind w:left="540" w:firstLine="467"/>
        <w:spacing w:after="0" w:line="306" w:lineRule="auto"/>
        <w:tabs>
          <w:tab w:leader="none" w:pos="1376" w:val="left"/>
        </w:tabs>
        <w:numPr>
          <w:ilvl w:val="3"/>
          <w:numId w:val="93"/>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160" w:lineRule="exact"/>
        <w:rPr>
          <w:rFonts w:ascii="Arial" w:cs="Arial" w:eastAsia="Arial" w:hAnsi="Arial"/>
          <w:sz w:val="16"/>
          <w:szCs w:val="16"/>
          <w:color w:val="auto"/>
        </w:rPr>
      </w:pPr>
    </w:p>
    <w:p>
      <w:pPr>
        <w:jc w:val="both"/>
        <w:ind w:left="540" w:firstLine="451"/>
        <w:spacing w:after="0" w:line="256" w:lineRule="auto"/>
        <w:tabs>
          <w:tab w:leader="none" w:pos="1343" w:val="left"/>
        </w:tabs>
        <w:numPr>
          <w:ilvl w:val="2"/>
          <w:numId w:val="93"/>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ind w:left="540"/>
        <w:spacing w:after="0"/>
        <w:rPr>
          <w:sz w:val="20"/>
          <w:szCs w:val="20"/>
          <w:color w:val="auto"/>
        </w:rPr>
      </w:pPr>
      <w:r>
        <w:rPr>
          <w:rFonts w:ascii="Arial" w:cs="Arial" w:eastAsia="Arial" w:hAnsi="Arial"/>
          <w:sz w:val="16"/>
          <w:szCs w:val="16"/>
          <w:color w:val="auto"/>
        </w:rPr>
        <w:t>of payment by the Committee under Treas. Reg. Section 1.409A-3(j)(4)(ii) (domestic relations order), (j)(4)(iii) (conflicts of interest), or (j)(4)(vi)</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(payment of employment taxes):</w:t>
      </w:r>
    </w:p>
    <w:p>
      <w:pPr>
        <w:spacing w:after="0" w:line="219" w:lineRule="exact"/>
        <w:rPr>
          <w:sz w:val="20"/>
          <w:szCs w:val="20"/>
          <w:color w:val="auto"/>
        </w:rPr>
      </w:pPr>
    </w:p>
    <w:p>
      <w:pPr>
        <w:jc w:val="both"/>
        <w:ind w:left="1080" w:firstLine="550"/>
        <w:spacing w:after="0" w:line="259" w:lineRule="auto"/>
        <w:tabs>
          <w:tab w:leader="none" w:pos="18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94" w:lineRule="exact"/>
        <w:rPr>
          <w:sz w:val="20"/>
          <w:szCs w:val="20"/>
          <w:color w:val="auto"/>
        </w:rPr>
      </w:pPr>
    </w:p>
    <w:p>
      <w:pPr>
        <w:jc w:val="both"/>
        <w:ind w:left="1080" w:firstLine="529"/>
        <w:spacing w:after="0" w:line="294" w:lineRule="auto"/>
        <w:tabs>
          <w:tab w:leader="none" w:pos="1931"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0"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6"/>
          <w:szCs w:val="16"/>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67"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i w:val="1"/>
          <w:iCs w:val="1"/>
          <w:color w:val="auto"/>
        </w:rPr>
        <w:t>WITHHOLDING.</w:t>
      </w:r>
      <w:r>
        <w:rPr>
          <w:rFonts w:ascii="Arial" w:cs="Arial" w:eastAsia="Arial" w:hAnsi="Arial"/>
          <w:sz w:val="16"/>
          <w:szCs w:val="16"/>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77"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97"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 w:name="page71"/>
    <w:bookmarkEnd w:id="70"/>
    <w:p>
      <w:pPr>
        <w:ind w:firstLine="392"/>
        <w:spacing w:after="0" w:line="33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39" w:lineRule="exact"/>
        <w:rPr>
          <w:sz w:val="20"/>
          <w:szCs w:val="20"/>
          <w:color w:val="auto"/>
        </w:rPr>
      </w:pPr>
    </w:p>
    <w:p>
      <w:pPr>
        <w:ind w:left="360"/>
        <w:spacing w:after="0"/>
        <w:tabs>
          <w:tab w:leader="none" w:pos="860" w:val="left"/>
          <w:tab w:leader="none" w:pos="19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i w:val="1"/>
          <w:iCs w:val="1"/>
          <w:color w:val="auto"/>
        </w:rPr>
        <w:t>EXPENSES.</w:t>
      </w:r>
      <w:r>
        <w:rPr>
          <w:sz w:val="20"/>
          <w:szCs w:val="20"/>
          <w:color w:val="auto"/>
        </w:rPr>
        <w:tab/>
      </w:r>
      <w:r>
        <w:rPr>
          <w:rFonts w:ascii="Arial" w:cs="Arial" w:eastAsia="Arial" w:hAnsi="Arial"/>
          <w:sz w:val="15"/>
          <w:szCs w:val="15"/>
          <w:color w:val="auto"/>
        </w:rPr>
        <w:t>The expenses of administering the Plan shall be borne by the Company and its Affiliates.</w:t>
      </w:r>
    </w:p>
    <w:p>
      <w:pPr>
        <w:spacing w:after="0" w:line="225" w:lineRule="exact"/>
        <w:rPr>
          <w:sz w:val="20"/>
          <w:szCs w:val="20"/>
          <w:color w:val="auto"/>
        </w:rPr>
      </w:pPr>
    </w:p>
    <w:p>
      <w:pPr>
        <w:ind w:firstLine="473"/>
        <w:spacing w:after="0" w:line="268"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86" w:lineRule="exact"/>
        <w:rPr>
          <w:sz w:val="20"/>
          <w:szCs w:val="20"/>
          <w:color w:val="auto"/>
        </w:rPr>
      </w:pPr>
    </w:p>
    <w:p>
      <w:pPr>
        <w:ind w:firstLine="378"/>
        <w:spacing w:after="0" w:line="268"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86" w:lineRule="exact"/>
        <w:rPr>
          <w:sz w:val="20"/>
          <w:szCs w:val="20"/>
          <w:color w:val="auto"/>
        </w:rPr>
      </w:pPr>
    </w:p>
    <w:p>
      <w:pPr>
        <w:ind w:firstLine="378"/>
        <w:spacing w:after="0" w:line="268"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8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i w:val="1"/>
          <w:iCs w:val="1"/>
          <w:color w:val="auto"/>
        </w:rPr>
        <w:t>GOVERNMENT AND OTHER REGULATIONS.</w:t>
      </w:r>
    </w:p>
    <w:p>
      <w:pPr>
        <w:spacing w:after="0" w:line="225" w:lineRule="exact"/>
        <w:rPr>
          <w:sz w:val="20"/>
          <w:szCs w:val="20"/>
          <w:color w:val="auto"/>
        </w:rPr>
      </w:pPr>
    </w:p>
    <w:p>
      <w:pPr>
        <w:jc w:val="both"/>
        <w:ind w:left="540" w:firstLine="428"/>
        <w:spacing w:after="0" w:line="255" w:lineRule="auto"/>
        <w:tabs>
          <w:tab w:leader="none" w:pos="1312"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96" w:lineRule="exact"/>
        <w:rPr>
          <w:rFonts w:ascii="Arial" w:cs="Arial" w:eastAsia="Arial" w:hAnsi="Arial"/>
          <w:sz w:val="18"/>
          <w:szCs w:val="18"/>
          <w:color w:val="auto"/>
        </w:rPr>
      </w:pPr>
    </w:p>
    <w:p>
      <w:pPr>
        <w:jc w:val="both"/>
        <w:ind w:left="540" w:firstLine="376"/>
        <w:spacing w:after="0" w:line="287" w:lineRule="auto"/>
        <w:tabs>
          <w:tab w:leader="none" w:pos="125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7" w:lineRule="exact"/>
        <w:rPr>
          <w:sz w:val="20"/>
          <w:szCs w:val="20"/>
          <w:color w:val="auto"/>
        </w:rPr>
      </w:pPr>
    </w:p>
    <w:p>
      <w:pPr>
        <w:ind w:firstLine="432"/>
        <w:spacing w:after="0" w:line="268"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86" w:lineRule="exact"/>
        <w:rPr>
          <w:sz w:val="20"/>
          <w:szCs w:val="20"/>
          <w:color w:val="auto"/>
        </w:rPr>
      </w:pPr>
    </w:p>
    <w:p>
      <w:pPr>
        <w:ind w:firstLine="419"/>
        <w:spacing w:after="0" w:line="268"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186" w:lineRule="exact"/>
        <w:rPr>
          <w:sz w:val="20"/>
          <w:szCs w:val="20"/>
          <w:color w:val="auto"/>
        </w:rPr>
      </w:pPr>
    </w:p>
    <w:p>
      <w:pPr>
        <w:ind w:right="20" w:firstLine="392"/>
        <w:spacing w:after="0" w:line="332"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jc w:val="both"/>
        <w:spacing w:after="0" w:line="298" w:lineRule="auto"/>
        <w:rPr>
          <w:sz w:val="20"/>
          <w:szCs w:val="20"/>
          <w:color w:val="auto"/>
        </w:rPr>
      </w:pPr>
      <w:r>
        <w:rPr>
          <w:rFonts w:ascii="Arial" w:cs="Arial" w:eastAsia="Arial" w:hAnsi="Arial"/>
          <w:sz w:val="16"/>
          <w:szCs w:val="16"/>
          <w:color w:val="auto"/>
        </w:rPr>
        <w:t>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67"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 xml:space="preserve">17.16.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149225</wp:posOffset>
            </wp:positionV>
            <wp:extent cx="108077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080770" cy="386080"/>
                    </a:xfrm>
                    <a:prstGeom prst="rect">
                      <a:avLst/>
                    </a:prstGeom>
                    <a:noFill/>
                  </pic:spPr>
                </pic:pic>
              </a:graphicData>
            </a:graphic>
          </wp:anchor>
        </w:drawing>
        <w:drawing>
          <wp:anchor simplePos="0" relativeHeight="251657728" behindDoc="1" locked="0" layoutInCell="0" allowOverlap="1">
            <wp:simplePos x="0" y="0"/>
            <wp:positionH relativeFrom="page">
              <wp:posOffset>2747645</wp:posOffset>
            </wp:positionH>
            <wp:positionV relativeFrom="page">
              <wp:posOffset>328930</wp:posOffset>
            </wp:positionV>
            <wp:extent cx="205740"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t>Annual Meeting of Shareholders of Micron Technology, Inc.</w:t>
      </w:r>
    </w:p>
    <w:p>
      <w:pPr>
        <w:spacing w:after="0" w:line="91"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Thursday, January 24, 2012</w:t>
      </w:r>
    </w:p>
    <w:p>
      <w:pPr>
        <w:spacing w:after="0" w:line="1" w:lineRule="exact"/>
        <w:rPr>
          <w:sz w:val="20"/>
          <w:szCs w:val="20"/>
          <w:color w:val="auto"/>
        </w:rPr>
      </w:pPr>
    </w:p>
    <w:p>
      <w:pPr>
        <w:ind w:right="680" w:firstLine="594"/>
        <w:spacing w:after="0" w:line="241" w:lineRule="auto"/>
        <w:rPr>
          <w:sz w:val="20"/>
          <w:szCs w:val="20"/>
          <w:color w:val="auto"/>
        </w:rPr>
      </w:pPr>
      <w:r>
        <w:rPr>
          <w:rFonts w:ascii="Arial" w:cs="Arial" w:eastAsia="Arial" w:hAnsi="Arial"/>
          <w:sz w:val="14"/>
          <w:szCs w:val="14"/>
          <w:color w:val="auto"/>
        </w:rPr>
        <w:t>Company Headquarters, 8000 South Federal Way, Boise, Idaho 83716-Place: 9632</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Time:</w:t>
      </w:r>
      <w:r>
        <w:rPr>
          <w:sz w:val="20"/>
          <w:szCs w:val="20"/>
          <w:color w:val="auto"/>
        </w:rPr>
        <w:tab/>
      </w:r>
      <w:r>
        <w:rPr>
          <w:rFonts w:ascii="Arial" w:cs="Arial" w:eastAsia="Arial" w:hAnsi="Arial"/>
          <w:sz w:val="14"/>
          <w:szCs w:val="14"/>
          <w:color w:val="auto"/>
        </w:rPr>
        <w:t>9:00 am, Mountain Standard Time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color w:val="auto"/>
        </w:rPr>
        <w:t>Annual Meeting of Shareholders of 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-577850</wp:posOffset>
            </wp:positionV>
            <wp:extent cx="1423670" cy="403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23670" cy="403225"/>
                    </a:xfrm>
                    <a:prstGeom prst="rect">
                      <a:avLst/>
                    </a:prstGeom>
                    <a:noFill/>
                  </pic:spPr>
                </pic:pic>
              </a:graphicData>
            </a:graphic>
          </wp:anchor>
        </w:drawing>
      </w:r>
    </w:p>
    <w:p>
      <w:pPr>
        <w:ind w:left="800"/>
        <w:spacing w:after="0"/>
        <w:rPr>
          <w:sz w:val="20"/>
          <w:szCs w:val="20"/>
          <w:color w:val="auto"/>
        </w:rPr>
      </w:pPr>
      <w:r>
        <w:rPr>
          <w:rFonts w:ascii="Arial" w:cs="Arial" w:eastAsia="Arial" w:hAnsi="Arial"/>
          <w:sz w:val="22"/>
          <w:szCs w:val="22"/>
          <w:b w:val="1"/>
          <w:bCs w:val="1"/>
          <w:color w:val="auto"/>
        </w:rPr>
        <w:t>Technology, Inc. to be held</w:t>
      </w:r>
    </w:p>
    <w:p>
      <w:pPr>
        <w:ind w:left="780"/>
        <w:spacing w:after="0" w:line="230" w:lineRule="auto"/>
        <w:rPr>
          <w:sz w:val="20"/>
          <w:szCs w:val="20"/>
          <w:color w:val="auto"/>
        </w:rPr>
      </w:pPr>
      <w:r>
        <w:rPr>
          <w:rFonts w:ascii="Arial" w:cs="Arial" w:eastAsia="Arial" w:hAnsi="Arial"/>
          <w:sz w:val="22"/>
          <w:szCs w:val="22"/>
          <w:b w:val="1"/>
          <w:bCs w:val="1"/>
          <w:color w:val="auto"/>
        </w:rPr>
        <w:t>Thursday, January 24, 2012</w:t>
      </w:r>
    </w:p>
    <w:p>
      <w:pPr>
        <w:ind w:left="280"/>
        <w:spacing w:after="0" w:line="231" w:lineRule="auto"/>
        <w:rPr>
          <w:sz w:val="20"/>
          <w:szCs w:val="20"/>
          <w:color w:val="auto"/>
        </w:rPr>
      </w:pPr>
      <w:r>
        <w:rPr>
          <w:rFonts w:ascii="Arial" w:cs="Arial" w:eastAsia="Arial" w:hAnsi="Arial"/>
          <w:sz w:val="22"/>
          <w:szCs w:val="22"/>
          <w:b w:val="1"/>
          <w:bCs w:val="1"/>
          <w:color w:val="auto"/>
        </w:rPr>
        <w:t>For Holders as of November 28, 2011</w:t>
      </w:r>
    </w:p>
    <w:p>
      <w:pPr>
        <w:spacing w:after="0" w:line="1" w:lineRule="exact"/>
        <w:rPr>
          <w:sz w:val="20"/>
          <w:szCs w:val="20"/>
          <w:color w:val="auto"/>
        </w:rPr>
      </w:pPr>
    </w:p>
    <w:p>
      <w:pPr>
        <w:sectPr>
          <w:pgSz w:w="11900" w:h="16838" w:orient="portrait"/>
          <w:cols w:equalWidth="0" w:num="2">
            <w:col w:w="5840" w:space="720"/>
            <w:col w:w="4860"/>
          </w:cols>
          <w:pgMar w:left="240" w:top="886" w:right="239" w:bottom="0" w:gutter="0" w:footer="0" w:header="0"/>
        </w:sectPr>
      </w:pPr>
    </w:p>
    <w:p>
      <w:pPr>
        <w:spacing w:after="0"/>
        <w:rPr>
          <w:sz w:val="20"/>
          <w:szCs w:val="20"/>
          <w:color w:val="auto"/>
        </w:rPr>
      </w:pPr>
      <w:r>
        <w:rPr>
          <w:rFonts w:ascii="Arial" w:cs="Arial" w:eastAsia="Arial" w:hAnsi="Arial"/>
          <w:sz w:val="12"/>
          <w:szCs w:val="12"/>
          <w:b w:val="1"/>
          <w:bCs w:val="1"/>
          <w:color w:val="auto"/>
        </w:rPr>
        <w:t>Please make your marks like this: x Use dark black pencil or pen only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unanimously recommends that you vote:</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"FOR"</w:t>
      </w:r>
      <w:r>
        <w:rPr>
          <w:rFonts w:ascii="Arial" w:cs="Arial" w:eastAsia="Arial" w:hAnsi="Arial"/>
          <w:sz w:val="13"/>
          <w:szCs w:val="13"/>
          <w:color w:val="auto"/>
        </w:rPr>
        <w:t xml:space="preserve"> the election of the Directors in Proposal 1;</w:t>
      </w:r>
    </w:p>
    <w:p>
      <w:pPr>
        <w:spacing w:after="0" w:line="1" w:lineRule="exact"/>
        <w:rPr>
          <w:sz w:val="20"/>
          <w:szCs w:val="20"/>
          <w:color w:val="auto"/>
        </w:rPr>
      </w:pPr>
    </w:p>
    <w:p>
      <w:pPr>
        <w:ind w:left="260"/>
        <w:spacing w:after="0" w:line="216"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"FOR"</w:t>
      </w:r>
      <w:r>
        <w:rPr>
          <w:rFonts w:ascii="Arial" w:cs="Arial" w:eastAsia="Arial" w:hAnsi="Arial"/>
          <w:sz w:val="13"/>
          <w:szCs w:val="13"/>
          <w:color w:val="auto"/>
        </w:rPr>
        <w:t xml:space="preserve"> Proposals 2, 3 and 4;</w:t>
      </w:r>
    </w:p>
    <w:p>
      <w:pPr>
        <w:ind w:left="2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"1 YEAR"</w:t>
      </w:r>
      <w:r>
        <w:rPr>
          <w:rFonts w:ascii="Arial" w:cs="Arial" w:eastAsia="Arial" w:hAnsi="Arial"/>
          <w:sz w:val="13"/>
          <w:szCs w:val="13"/>
          <w:color w:val="auto"/>
        </w:rPr>
        <w:t xml:space="preserve"> on Proposal 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60" w:type="dxa"/>
            <w:vAlign w:val="bottom"/>
            <w:gridSpan w:val="2"/>
            <w:vMerge w:val="restart"/>
          </w:tcPr>
          <w:p>
            <w:pPr>
              <w:spacing w:after="0"/>
              <w:rPr>
                <w:sz w:val="20"/>
                <w:szCs w:val="20"/>
                <w:color w:val="auto"/>
              </w:rPr>
            </w:pPr>
            <w:r>
              <w:rPr>
                <w:rFonts w:ascii="Arial" w:cs="Arial" w:eastAsia="Arial" w:hAnsi="Arial"/>
                <w:sz w:val="13"/>
                <w:szCs w:val="13"/>
                <w:color w:val="auto"/>
              </w:rPr>
              <w:t>1. To elect directors to serve for the</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4"/>
              </w:rPr>
              <w:t>Against</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4"/>
              </w:rPr>
              <w:t>Abstain</w:t>
            </w:r>
          </w:p>
        </w:tc>
        <w:tc>
          <w:tcPr>
            <w:tcW w:w="0" w:type="dxa"/>
            <w:vAlign w:val="bottom"/>
          </w:tcPr>
          <w:p>
            <w:pPr>
              <w:spacing w:after="0"/>
              <w:rPr>
                <w:sz w:val="1"/>
                <w:szCs w:val="1"/>
                <w:color w:val="auto"/>
              </w:rPr>
            </w:pPr>
          </w:p>
        </w:tc>
      </w:tr>
      <w:tr>
        <w:trPr>
          <w:trHeight w:val="124"/>
        </w:trPr>
        <w:tc>
          <w:tcPr>
            <w:tcW w:w="24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spacing w:after="0" w:line="135" w:lineRule="exact"/>
              <w:rPr>
                <w:sz w:val="20"/>
                <w:szCs w:val="20"/>
                <w:color w:val="auto"/>
              </w:rPr>
            </w:pPr>
            <w:r>
              <w:rPr>
                <w:rFonts w:ascii="Arial" w:cs="Arial" w:eastAsia="Arial" w:hAnsi="Arial"/>
                <w:sz w:val="13"/>
                <w:szCs w:val="13"/>
                <w:color w:val="auto"/>
              </w:rPr>
              <w:t>ensuing year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and until their successors are elected</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and</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60" w:type="dxa"/>
            <w:vAlign w:val="bottom"/>
            <w:gridSpan w:val="2"/>
          </w:tcPr>
          <w:p>
            <w:pPr>
              <w:ind w:left="180"/>
              <w:spacing w:after="0"/>
              <w:rPr>
                <w:sz w:val="20"/>
                <w:szCs w:val="20"/>
                <w:color w:val="auto"/>
              </w:rPr>
            </w:pPr>
            <w:r>
              <w:rPr>
                <w:rFonts w:ascii="Arial" w:cs="Arial" w:eastAsia="Arial" w:hAnsi="Arial"/>
                <w:sz w:val="13"/>
                <w:szCs w:val="13"/>
                <w:color w:val="auto"/>
              </w:rPr>
              <w:t>qualified:</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320" w:type="dxa"/>
            <w:vAlign w:val="bottom"/>
          </w:tcPr>
          <w:p>
            <w:pPr>
              <w:ind w:left="180"/>
              <w:spacing w:after="0"/>
              <w:rPr>
                <w:sz w:val="20"/>
                <w:szCs w:val="20"/>
                <w:color w:val="auto"/>
              </w:rPr>
            </w:pPr>
            <w:r>
              <w:rPr>
                <w:rFonts w:ascii="Arial" w:cs="Arial" w:eastAsia="Arial" w:hAnsi="Arial"/>
                <w:sz w:val="13"/>
                <w:szCs w:val="13"/>
                <w:color w:val="auto"/>
                <w:w w:val="82"/>
              </w:rPr>
              <w:t>01</w:t>
            </w:r>
          </w:p>
        </w:tc>
        <w:tc>
          <w:tcPr>
            <w:tcW w:w="2140" w:type="dxa"/>
            <w:vAlign w:val="bottom"/>
          </w:tcPr>
          <w:p>
            <w:pPr>
              <w:ind w:left="20"/>
              <w:spacing w:after="0"/>
              <w:rPr>
                <w:sz w:val="20"/>
                <w:szCs w:val="20"/>
                <w:color w:val="auto"/>
              </w:rPr>
            </w:pPr>
            <w:r>
              <w:rPr>
                <w:rFonts w:ascii="Arial" w:cs="Arial" w:eastAsia="Arial" w:hAnsi="Arial"/>
                <w:sz w:val="13"/>
                <w:szCs w:val="13"/>
                <w:color w:val="auto"/>
              </w:rPr>
              <w:t>Steven R. Appleton</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84"/>
        </w:trPr>
        <w:tc>
          <w:tcPr>
            <w:tcW w:w="320" w:type="dxa"/>
            <w:vAlign w:val="bottom"/>
          </w:tcPr>
          <w:p>
            <w:pPr>
              <w:ind w:left="180"/>
              <w:spacing w:after="0"/>
              <w:rPr>
                <w:sz w:val="20"/>
                <w:szCs w:val="20"/>
                <w:color w:val="auto"/>
              </w:rPr>
            </w:pPr>
            <w:r>
              <w:rPr>
                <w:rFonts w:ascii="Arial" w:cs="Arial" w:eastAsia="Arial" w:hAnsi="Arial"/>
                <w:sz w:val="13"/>
                <w:szCs w:val="13"/>
                <w:color w:val="auto"/>
                <w:w w:val="82"/>
              </w:rPr>
              <w:t>02</w:t>
            </w:r>
          </w:p>
        </w:tc>
        <w:tc>
          <w:tcPr>
            <w:tcW w:w="2140" w:type="dxa"/>
            <w:vAlign w:val="bottom"/>
          </w:tcPr>
          <w:p>
            <w:pPr>
              <w:ind w:left="20"/>
              <w:spacing w:after="0"/>
              <w:rPr>
                <w:sz w:val="20"/>
                <w:szCs w:val="20"/>
                <w:color w:val="auto"/>
              </w:rPr>
            </w:pPr>
            <w:r>
              <w:rPr>
                <w:rFonts w:ascii="Arial" w:cs="Arial" w:eastAsia="Arial" w:hAnsi="Arial"/>
                <w:sz w:val="13"/>
                <w:szCs w:val="13"/>
                <w:color w:val="auto"/>
              </w:rPr>
              <w:t>Robert L. Bailey</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84"/>
        </w:trPr>
        <w:tc>
          <w:tcPr>
            <w:tcW w:w="320" w:type="dxa"/>
            <w:vAlign w:val="bottom"/>
          </w:tcPr>
          <w:p>
            <w:pPr>
              <w:ind w:left="180"/>
              <w:spacing w:after="0"/>
              <w:rPr>
                <w:sz w:val="20"/>
                <w:szCs w:val="20"/>
                <w:color w:val="auto"/>
              </w:rPr>
            </w:pPr>
            <w:r>
              <w:rPr>
                <w:rFonts w:ascii="Arial" w:cs="Arial" w:eastAsia="Arial" w:hAnsi="Arial"/>
                <w:sz w:val="13"/>
                <w:szCs w:val="13"/>
                <w:color w:val="auto"/>
                <w:w w:val="82"/>
              </w:rPr>
              <w:t>03</w:t>
            </w:r>
          </w:p>
        </w:tc>
        <w:tc>
          <w:tcPr>
            <w:tcW w:w="2140" w:type="dxa"/>
            <w:vAlign w:val="bottom"/>
          </w:tcPr>
          <w:p>
            <w:pPr>
              <w:ind w:left="20"/>
              <w:spacing w:after="0"/>
              <w:rPr>
                <w:sz w:val="20"/>
                <w:szCs w:val="20"/>
                <w:color w:val="auto"/>
              </w:rPr>
            </w:pPr>
            <w:r>
              <w:rPr>
                <w:rFonts w:ascii="Arial" w:cs="Arial" w:eastAsia="Arial" w:hAnsi="Arial"/>
                <w:sz w:val="13"/>
                <w:szCs w:val="13"/>
                <w:color w:val="auto"/>
              </w:rPr>
              <w:t>Patrick J. Byrne</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84"/>
        </w:trPr>
        <w:tc>
          <w:tcPr>
            <w:tcW w:w="320" w:type="dxa"/>
            <w:vAlign w:val="bottom"/>
          </w:tcPr>
          <w:p>
            <w:pPr>
              <w:ind w:left="180"/>
              <w:spacing w:after="0"/>
              <w:rPr>
                <w:sz w:val="20"/>
                <w:szCs w:val="20"/>
                <w:color w:val="auto"/>
              </w:rPr>
            </w:pPr>
            <w:r>
              <w:rPr>
                <w:rFonts w:ascii="Arial" w:cs="Arial" w:eastAsia="Arial" w:hAnsi="Arial"/>
                <w:sz w:val="13"/>
                <w:szCs w:val="13"/>
                <w:color w:val="auto"/>
                <w:w w:val="82"/>
              </w:rPr>
              <w:t>04</w:t>
            </w:r>
          </w:p>
        </w:tc>
        <w:tc>
          <w:tcPr>
            <w:tcW w:w="2140" w:type="dxa"/>
            <w:vAlign w:val="bottom"/>
          </w:tcPr>
          <w:p>
            <w:pPr>
              <w:ind w:left="20"/>
              <w:spacing w:after="0"/>
              <w:rPr>
                <w:sz w:val="20"/>
                <w:szCs w:val="20"/>
                <w:color w:val="auto"/>
              </w:rPr>
            </w:pPr>
            <w:r>
              <w:rPr>
                <w:rFonts w:ascii="Arial" w:cs="Arial" w:eastAsia="Arial" w:hAnsi="Arial"/>
                <w:sz w:val="13"/>
                <w:szCs w:val="13"/>
                <w:color w:val="auto"/>
              </w:rPr>
              <w:t>Mercedes Johnson</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84"/>
        </w:trPr>
        <w:tc>
          <w:tcPr>
            <w:tcW w:w="320" w:type="dxa"/>
            <w:vAlign w:val="bottom"/>
          </w:tcPr>
          <w:p>
            <w:pPr>
              <w:ind w:left="180"/>
              <w:spacing w:after="0"/>
              <w:rPr>
                <w:sz w:val="20"/>
                <w:szCs w:val="20"/>
                <w:color w:val="auto"/>
              </w:rPr>
            </w:pPr>
            <w:r>
              <w:rPr>
                <w:rFonts w:ascii="Arial" w:cs="Arial" w:eastAsia="Arial" w:hAnsi="Arial"/>
                <w:sz w:val="13"/>
                <w:szCs w:val="13"/>
                <w:color w:val="auto"/>
                <w:w w:val="82"/>
              </w:rPr>
              <w:t>05</w:t>
            </w:r>
          </w:p>
        </w:tc>
        <w:tc>
          <w:tcPr>
            <w:tcW w:w="2140" w:type="dxa"/>
            <w:vAlign w:val="bottom"/>
          </w:tcPr>
          <w:p>
            <w:pPr>
              <w:ind w:left="20"/>
              <w:spacing w:after="0"/>
              <w:rPr>
                <w:sz w:val="20"/>
                <w:szCs w:val="20"/>
                <w:color w:val="auto"/>
              </w:rPr>
            </w:pPr>
            <w:r>
              <w:rPr>
                <w:rFonts w:ascii="Arial" w:cs="Arial" w:eastAsia="Arial" w:hAnsi="Arial"/>
                <w:sz w:val="13"/>
                <w:szCs w:val="13"/>
                <w:color w:val="auto"/>
              </w:rPr>
              <w:t>Lawrence N. Mondry</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84"/>
        </w:trPr>
        <w:tc>
          <w:tcPr>
            <w:tcW w:w="320" w:type="dxa"/>
            <w:vAlign w:val="bottom"/>
          </w:tcPr>
          <w:p>
            <w:pPr>
              <w:ind w:left="180"/>
              <w:spacing w:after="0"/>
              <w:rPr>
                <w:sz w:val="20"/>
                <w:szCs w:val="20"/>
                <w:color w:val="auto"/>
              </w:rPr>
            </w:pPr>
            <w:r>
              <w:rPr>
                <w:rFonts w:ascii="Arial" w:cs="Arial" w:eastAsia="Arial" w:hAnsi="Arial"/>
                <w:sz w:val="13"/>
                <w:szCs w:val="13"/>
                <w:color w:val="auto"/>
                <w:w w:val="82"/>
              </w:rPr>
              <w:t>06</w:t>
            </w:r>
          </w:p>
        </w:tc>
        <w:tc>
          <w:tcPr>
            <w:tcW w:w="2140" w:type="dxa"/>
            <w:vAlign w:val="bottom"/>
          </w:tcPr>
          <w:p>
            <w:pPr>
              <w:ind w:left="20"/>
              <w:spacing w:after="0"/>
              <w:rPr>
                <w:sz w:val="20"/>
                <w:szCs w:val="20"/>
                <w:color w:val="auto"/>
              </w:rPr>
            </w:pPr>
            <w:r>
              <w:rPr>
                <w:rFonts w:ascii="Arial" w:cs="Arial" w:eastAsia="Arial" w:hAnsi="Arial"/>
                <w:sz w:val="13"/>
                <w:szCs w:val="13"/>
                <w:color w:val="auto"/>
              </w:rPr>
              <w:t>Robert E. Switz</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53"/>
        </w:trPr>
        <w:tc>
          <w:tcPr>
            <w:tcW w:w="2460" w:type="dxa"/>
            <w:vAlign w:val="bottom"/>
            <w:gridSpan w:val="2"/>
          </w:tcPr>
          <w:p>
            <w:pPr>
              <w:spacing w:after="0"/>
              <w:rPr>
                <w:sz w:val="20"/>
                <w:szCs w:val="20"/>
                <w:color w:val="auto"/>
              </w:rPr>
            </w:pPr>
            <w:r>
              <w:rPr>
                <w:rFonts w:ascii="Arial" w:cs="Arial" w:eastAsia="Arial" w:hAnsi="Arial"/>
                <w:sz w:val="13"/>
                <w:szCs w:val="13"/>
                <w:color w:val="auto"/>
              </w:rPr>
              <w:t>2. To approve an amendment to the</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bl>
    <w:p>
      <w:pPr>
        <w:ind w:left="200"/>
        <w:spacing w:after="0" w:line="216" w:lineRule="auto"/>
        <w:rPr>
          <w:sz w:val="20"/>
          <w:szCs w:val="20"/>
          <w:color w:val="auto"/>
        </w:rPr>
      </w:pPr>
      <w:r>
        <w:rPr>
          <w:rFonts w:ascii="Arial" w:cs="Arial" w:eastAsia="Arial" w:hAnsi="Arial"/>
          <w:sz w:val="13"/>
          <w:szCs w:val="13"/>
          <w:color w:val="auto"/>
        </w:rPr>
        <w:t>Company’s 2004 Equity Incentive Plan</w:t>
      </w:r>
    </w:p>
    <w:p>
      <w:pPr>
        <w:ind w:left="200"/>
        <w:spacing w:after="0" w:line="217" w:lineRule="auto"/>
        <w:rPr>
          <w:sz w:val="20"/>
          <w:szCs w:val="20"/>
          <w:color w:val="auto"/>
        </w:rPr>
      </w:pPr>
      <w:r>
        <w:rPr>
          <w:rFonts w:ascii="Arial" w:cs="Arial" w:eastAsia="Arial" w:hAnsi="Arial"/>
          <w:sz w:val="13"/>
          <w:szCs w:val="13"/>
          <w:color w:val="auto"/>
        </w:rPr>
        <w:t>to increase the number of shares</w:t>
      </w:r>
    </w:p>
    <w:p>
      <w:pPr>
        <w:ind w:left="200"/>
        <w:spacing w:after="0" w:line="217" w:lineRule="auto"/>
        <w:rPr>
          <w:sz w:val="20"/>
          <w:szCs w:val="20"/>
          <w:color w:val="auto"/>
        </w:rPr>
      </w:pPr>
      <w:r>
        <w:rPr>
          <w:rFonts w:ascii="Arial" w:cs="Arial" w:eastAsia="Arial" w:hAnsi="Arial"/>
          <w:sz w:val="13"/>
          <w:szCs w:val="13"/>
          <w:color w:val="auto"/>
        </w:rPr>
        <w:t>reserved for issuance thereunder by</w:t>
      </w:r>
    </w:p>
    <w:p>
      <w:pPr>
        <w:ind w:left="200"/>
        <w:spacing w:after="0"/>
        <w:rPr>
          <w:sz w:val="20"/>
          <w:szCs w:val="20"/>
          <w:color w:val="auto"/>
        </w:rPr>
      </w:pPr>
      <w:r>
        <w:rPr>
          <w:rFonts w:ascii="Arial" w:cs="Arial" w:eastAsia="Arial" w:hAnsi="Arial"/>
          <w:sz w:val="13"/>
          <w:szCs w:val="13"/>
          <w:color w:val="auto"/>
        </w:rPr>
        <w:t>20,000,000.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Directors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Recommend</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ê</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br w:type="column"/>
      </w:r>
    </w:p>
    <w:p>
      <w:pPr>
        <w:jc w:val="center"/>
        <w:ind w:left="200"/>
        <w:spacing w:after="0" w:line="238" w:lineRule="auto"/>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6" w:lineRule="exact"/>
        <w:rPr>
          <w:sz w:val="20"/>
          <w:szCs w:val="20"/>
          <w:color w:val="auto"/>
        </w:rPr>
      </w:pPr>
    </w:p>
    <w:p>
      <w:pPr>
        <w:ind w:left="860"/>
        <w:spacing w:after="0"/>
        <w:rPr>
          <w:sz w:val="20"/>
          <w:szCs w:val="20"/>
          <w:color w:val="auto"/>
        </w:rPr>
      </w:pPr>
      <w:r>
        <w:rPr>
          <w:sz w:val="1"/>
          <w:szCs w:val="1"/>
          <w:color w:val="auto"/>
        </w:rPr>
        <w:drawing>
          <wp:inline distT="0" distB="0" distL="0" distR="0">
            <wp:extent cx="248920" cy="2400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8920" cy="240030"/>
                    </a:xfrm>
                    <a:prstGeom prst="rect">
                      <a:avLst/>
                    </a:prstGeom>
                    <a:noFill/>
                    <a:ln>
                      <a:noFill/>
                    </a:ln>
                  </pic:spPr>
                </pic:pic>
              </a:graphicData>
            </a:graphic>
          </wp:inline>
        </w:drawing>
      </w:r>
      <w:r>
        <w:rPr>
          <w:rFonts w:ascii="Arial" w:cs="Arial" w:eastAsia="Arial" w:hAnsi="Arial"/>
          <w:sz w:val="20"/>
          <w:szCs w:val="20"/>
          <w:b w:val="1"/>
          <w:bCs w:val="1"/>
          <w:u w:val="single" w:color="auto"/>
          <w:color w:val="auto"/>
        </w:rPr>
        <w:t xml:space="preserve">INTERNET             </w:t>
      </w:r>
      <w:r>
        <w:rPr>
          <w:sz w:val="1"/>
          <w:szCs w:val="1"/>
          <w:color w:val="auto"/>
        </w:rPr>
        <w:drawing>
          <wp:inline distT="0" distB="0" distL="0" distR="0">
            <wp:extent cx="257175" cy="19748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 cy="197485"/>
                    </a:xfrm>
                    <a:prstGeom prst="rect">
                      <a:avLst/>
                    </a:prstGeom>
                    <a:noFill/>
                    <a:ln>
                      <a:noFill/>
                    </a:ln>
                  </pic:spPr>
                </pic:pic>
              </a:graphicData>
            </a:graphic>
          </wp:inline>
        </w:drawing>
      </w:r>
      <w:r>
        <w:rPr>
          <w:rFonts w:ascii="Arial" w:cs="Arial" w:eastAsia="Arial" w:hAnsi="Arial"/>
          <w:sz w:val="20"/>
          <w:szCs w:val="20"/>
          <w:b w:val="1"/>
          <w:bCs w:val="1"/>
          <w:u w:val="single" w:color="auto"/>
          <w:color w:val="auto"/>
        </w:rPr>
        <w:t>TELEPHONE</w:t>
      </w:r>
    </w:p>
    <w:tbl>
      <w:tblPr>
        <w:tblLayout w:type="fixed"/>
        <w:tblInd w:w="0" w:type="dxa"/>
        <w:tblCellMar>
          <w:top w:w="0" w:type="dxa"/>
          <w:left w:w="0" w:type="dxa"/>
          <w:bottom w:w="0" w:type="dxa"/>
          <w:right w:w="0" w:type="dxa"/>
        </w:tblCellMar>
      </w:tblPr>
      <w:tr>
        <w:trPr>
          <w:trHeight w:val="193"/>
        </w:trPr>
        <w:tc>
          <w:tcPr>
            <w:tcW w:w="2220" w:type="dxa"/>
            <w:vAlign w:val="bottom"/>
          </w:tcPr>
          <w:p>
            <w:pPr>
              <w:spacing w:after="0"/>
              <w:rPr>
                <w:sz w:val="20"/>
                <w:szCs w:val="20"/>
                <w:color w:val="auto"/>
              </w:rPr>
            </w:pPr>
            <w:r>
              <w:rPr>
                <w:rFonts w:ascii="Arial" w:cs="Arial" w:eastAsia="Arial" w:hAnsi="Arial"/>
                <w:sz w:val="14"/>
                <w:szCs w:val="14"/>
                <w:color w:val="auto"/>
              </w:rPr>
              <w:t>Go To</w:t>
            </w:r>
          </w:p>
        </w:tc>
        <w:tc>
          <w:tcPr>
            <w:tcW w:w="2940" w:type="dxa"/>
            <w:vAlign w:val="bottom"/>
          </w:tcPr>
          <w:p>
            <w:pPr>
              <w:ind w:left="1660"/>
              <w:spacing w:after="0" w:line="194" w:lineRule="exact"/>
              <w:rPr>
                <w:sz w:val="20"/>
                <w:szCs w:val="20"/>
                <w:color w:val="auto"/>
              </w:rPr>
            </w:pPr>
            <w:r>
              <w:rPr>
                <w:rFonts w:ascii="Arial" w:cs="Arial" w:eastAsia="Arial" w:hAnsi="Arial"/>
                <w:sz w:val="18"/>
                <w:szCs w:val="18"/>
                <w:b w:val="1"/>
                <w:bCs w:val="1"/>
                <w:color w:val="auto"/>
                <w:w w:val="98"/>
              </w:rPr>
              <w:t>1-866-586-3108</w:t>
            </w:r>
          </w:p>
        </w:tc>
      </w:tr>
      <w:tr>
        <w:trPr>
          <w:trHeight w:val="216"/>
        </w:trPr>
        <w:tc>
          <w:tcPr>
            <w:tcW w:w="2220" w:type="dxa"/>
            <w:vAlign w:val="bottom"/>
          </w:tcPr>
          <w:p>
            <w:pPr>
              <w:spacing w:after="0"/>
              <w:rPr>
                <w:sz w:val="20"/>
                <w:szCs w:val="20"/>
                <w:color w:val="auto"/>
              </w:rPr>
            </w:pPr>
            <w:r>
              <w:rPr>
                <w:rFonts w:ascii="Arial" w:cs="Arial" w:eastAsia="Arial" w:hAnsi="Arial"/>
                <w:sz w:val="18"/>
                <w:szCs w:val="18"/>
                <w:b w:val="1"/>
                <w:bCs w:val="1"/>
                <w:color w:val="auto"/>
              </w:rPr>
              <w:t>www.proxypush.com/mu</w:t>
            </w:r>
          </w:p>
        </w:tc>
        <w:tc>
          <w:tcPr>
            <w:tcW w:w="2940" w:type="dxa"/>
            <w:vAlign w:val="bottom"/>
          </w:tcPr>
          <w:p>
            <w:pPr>
              <w:spacing w:after="0"/>
              <w:rPr>
                <w:sz w:val="18"/>
                <w:szCs w:val="18"/>
                <w:color w:val="auto"/>
              </w:rPr>
            </w:pPr>
          </w:p>
        </w:tc>
      </w:tr>
      <w:tr>
        <w:trPr>
          <w:trHeight w:val="190"/>
        </w:trPr>
        <w:tc>
          <w:tcPr>
            <w:tcW w:w="2220" w:type="dxa"/>
            <w:vAlign w:val="bottom"/>
          </w:tcPr>
          <w:p>
            <w:pPr>
              <w:spacing w:after="0"/>
              <w:rPr>
                <w:sz w:val="20"/>
                <w:szCs w:val="20"/>
                <w:color w:val="auto"/>
              </w:rPr>
            </w:pPr>
            <w:r>
              <w:rPr>
                <w:rFonts w:ascii="Arial" w:cs="Arial" w:eastAsia="Arial" w:hAnsi="Arial"/>
                <w:sz w:val="16"/>
                <w:szCs w:val="16"/>
                <w:color w:val="auto"/>
              </w:rPr>
              <w:t>· Cast your vote online.</w:t>
            </w:r>
          </w:p>
        </w:tc>
        <w:tc>
          <w:tcPr>
            <w:tcW w:w="2940" w:type="dxa"/>
            <w:vAlign w:val="bottom"/>
          </w:tcPr>
          <w:p>
            <w:pPr>
              <w:ind w:left="620"/>
              <w:spacing w:after="0"/>
              <w:rPr>
                <w:sz w:val="20"/>
                <w:szCs w:val="20"/>
                <w:color w:val="auto"/>
              </w:rPr>
            </w:pPr>
            <w:r>
              <w:rPr>
                <w:rFonts w:ascii="Arial" w:cs="Arial" w:eastAsia="Arial" w:hAnsi="Arial"/>
                <w:sz w:val="16"/>
                <w:szCs w:val="16"/>
                <w:color w:val="auto"/>
              </w:rPr>
              <w:t>· Use any touch-tone telephone.</w:t>
            </w:r>
          </w:p>
        </w:tc>
      </w:tr>
      <w:tr>
        <w:trPr>
          <w:trHeight w:val="216"/>
        </w:trPr>
        <w:tc>
          <w:tcPr>
            <w:tcW w:w="22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b w:val="1"/>
                <w:bCs w:val="1"/>
                <w:color w:val="auto"/>
              </w:rPr>
              <w:t xml:space="preserve">OR   </w:t>
            </w:r>
            <w:r>
              <w:rPr>
                <w:rFonts w:ascii="Arial" w:cs="Arial" w:eastAsia="Arial" w:hAnsi="Arial"/>
                <w:sz w:val="16"/>
                <w:szCs w:val="16"/>
                <w:color w:val="auto"/>
              </w:rPr>
              <w:t>·</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Have your Proxy Card ready.</w:t>
            </w:r>
          </w:p>
        </w:tc>
      </w:tr>
      <w:tr>
        <w:trPr>
          <w:trHeight w:val="206"/>
        </w:trPr>
        <w:tc>
          <w:tcPr>
            <w:tcW w:w="2220" w:type="dxa"/>
            <w:vAlign w:val="bottom"/>
          </w:tcPr>
          <w:p>
            <w:pPr>
              <w:spacing w:after="0"/>
              <w:rPr>
                <w:sz w:val="17"/>
                <w:szCs w:val="17"/>
                <w:color w:val="auto"/>
              </w:rPr>
            </w:pPr>
          </w:p>
        </w:tc>
        <w:tc>
          <w:tcPr>
            <w:tcW w:w="2940" w:type="dxa"/>
            <w:vAlign w:val="bottom"/>
          </w:tcPr>
          <w:p>
            <w:pPr>
              <w:ind w:left="620"/>
              <w:spacing w:after="0"/>
              <w:rPr>
                <w:sz w:val="20"/>
                <w:szCs w:val="20"/>
                <w:color w:val="auto"/>
              </w:rPr>
            </w:pPr>
            <w:r>
              <w:rPr>
                <w:rFonts w:ascii="Arial" w:cs="Arial" w:eastAsia="Arial" w:hAnsi="Arial"/>
                <w:sz w:val="16"/>
                <w:szCs w:val="16"/>
                <w:color w:val="auto"/>
              </w:rPr>
              <w:t>· Follow the simple recorded</w:t>
            </w:r>
          </w:p>
        </w:tc>
      </w:tr>
      <w:tr>
        <w:trPr>
          <w:trHeight w:val="203"/>
        </w:trPr>
        <w:tc>
          <w:tcPr>
            <w:tcW w:w="2220" w:type="dxa"/>
            <w:vAlign w:val="bottom"/>
          </w:tcPr>
          <w:p>
            <w:pPr>
              <w:spacing w:after="0"/>
              <w:rPr>
                <w:sz w:val="17"/>
                <w:szCs w:val="17"/>
                <w:color w:val="auto"/>
              </w:rPr>
            </w:pPr>
          </w:p>
        </w:tc>
        <w:tc>
          <w:tcPr>
            <w:tcW w:w="2940" w:type="dxa"/>
            <w:vAlign w:val="bottom"/>
          </w:tcPr>
          <w:p>
            <w:pPr>
              <w:ind w:left="620"/>
              <w:spacing w:after="0"/>
              <w:rPr>
                <w:sz w:val="20"/>
                <w:szCs w:val="20"/>
                <w:color w:val="auto"/>
              </w:rPr>
            </w:pPr>
            <w:r>
              <w:rPr>
                <w:rFonts w:ascii="Arial" w:cs="Arial" w:eastAsia="Arial" w:hAnsi="Arial"/>
                <w:sz w:val="16"/>
                <w:szCs w:val="16"/>
                <w:color w:val="auto"/>
              </w:rPr>
              <w:t>instructions.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-3810</wp:posOffset>
            </wp:positionV>
            <wp:extent cx="257175" cy="248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1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MAIL</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OR</w:t>
            </w:r>
          </w:p>
        </w:tc>
        <w:tc>
          <w:tcPr>
            <w:tcW w:w="2860" w:type="dxa"/>
            <w:vAlign w:val="bottom"/>
            <w:gridSpan w:val="3"/>
          </w:tcPr>
          <w:p>
            <w:pPr>
              <w:ind w:left="80"/>
              <w:spacing w:after="0"/>
              <w:rPr>
                <w:sz w:val="20"/>
                <w:szCs w:val="20"/>
                <w:color w:val="auto"/>
              </w:rPr>
            </w:pPr>
            <w:r>
              <w:rPr>
                <w:rFonts w:ascii="Arial" w:cs="Arial" w:eastAsia="Arial" w:hAnsi="Arial"/>
                <w:sz w:val="16"/>
                <w:szCs w:val="16"/>
                <w:color w:val="auto"/>
              </w:rPr>
              <w:t>· Mark, sign and date your Proxy Card.</w:t>
            </w:r>
          </w:p>
        </w:tc>
        <w:tc>
          <w:tcPr>
            <w:tcW w:w="0" w:type="dxa"/>
            <w:vAlign w:val="bottom"/>
          </w:tcPr>
          <w:p>
            <w:pPr>
              <w:spacing w:after="0"/>
              <w:rPr>
                <w:sz w:val="1"/>
                <w:szCs w:val="1"/>
                <w:color w:val="auto"/>
              </w:rPr>
            </w:pPr>
          </w:p>
        </w:tc>
      </w:tr>
      <w:tr>
        <w:trPr>
          <w:trHeight w:val="201"/>
        </w:trPr>
        <w:tc>
          <w:tcPr>
            <w:tcW w:w="360" w:type="dxa"/>
            <w:vAlign w:val="bottom"/>
            <w:vMerge w:val="continue"/>
          </w:tcPr>
          <w:p>
            <w:pPr>
              <w:spacing w:after="0"/>
              <w:rPr>
                <w:sz w:val="17"/>
                <w:szCs w:val="17"/>
                <w:color w:val="auto"/>
              </w:rPr>
            </w:pPr>
          </w:p>
        </w:tc>
        <w:tc>
          <w:tcPr>
            <w:tcW w:w="2860" w:type="dxa"/>
            <w:vAlign w:val="bottom"/>
            <w:gridSpan w:val="3"/>
          </w:tcPr>
          <w:p>
            <w:pPr>
              <w:ind w:left="80"/>
              <w:spacing w:after="0"/>
              <w:rPr>
                <w:sz w:val="20"/>
                <w:szCs w:val="20"/>
                <w:color w:val="auto"/>
              </w:rPr>
            </w:pPr>
            <w:r>
              <w:rPr>
                <w:rFonts w:ascii="Arial" w:cs="Arial" w:eastAsia="Arial" w:hAnsi="Arial"/>
                <w:sz w:val="16"/>
                <w:szCs w:val="16"/>
                <w:color w:val="auto"/>
              </w:rPr>
              <w:t>· Detach your Proxy Card.</w:t>
            </w:r>
          </w:p>
        </w:tc>
        <w:tc>
          <w:tcPr>
            <w:tcW w:w="0" w:type="dxa"/>
            <w:vAlign w:val="bottom"/>
          </w:tcPr>
          <w:p>
            <w:pPr>
              <w:spacing w:after="0"/>
              <w:rPr>
                <w:sz w:val="1"/>
                <w:szCs w:val="1"/>
                <w:color w:val="auto"/>
              </w:rPr>
            </w:pPr>
          </w:p>
        </w:tc>
      </w:tr>
    </w:tbl>
    <w:p>
      <w:pPr>
        <w:ind w:left="1040" w:right="400" w:firstLine="10"/>
        <w:spacing w:after="0" w:line="232" w:lineRule="auto"/>
        <w:tabs>
          <w:tab w:leader="none" w:pos="1126"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Return your Proxy Card in the postage-paid envelope provided.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Revocable Proxy - Micron Technology, Inc.</w:t>
      </w:r>
    </w:p>
    <w:p>
      <w:pPr>
        <w:spacing w:after="0" w:line="68"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The undersigned shareholder(s) of Micron Technology, Inc., a Delaware corporation, hereby acknowledge(s) receipt of the Notice of 2011 Annual Meeting of Shareholders and Proxy Statement and hereby appoints Steven R.Appleton and D. Mark Durcan., and each of them, proxies and attorneys-in-fact, with full power to each of substitution, on behalf and in the name of the undersigned, to represent the</w:t>
      </w:r>
    </w:p>
    <w:p>
      <w:pPr>
        <w:spacing w:after="0" w:line="1" w:lineRule="exact"/>
        <w:rPr>
          <w:sz w:val="20"/>
          <w:szCs w:val="20"/>
          <w:color w:val="auto"/>
        </w:rPr>
      </w:pPr>
    </w:p>
    <w:p>
      <w:pPr>
        <w:sectPr>
          <w:pgSz w:w="11900" w:h="16838" w:orient="portrait"/>
          <w:cols w:equalWidth="0" w:num="3">
            <w:col w:w="4160" w:space="560"/>
            <w:col w:w="640" w:space="700"/>
            <w:col w:w="5360"/>
          </w:cols>
          <w:pgMar w:left="240" w:top="886" w:right="239" w:bottom="0" w:gutter="0" w:footer="0" w:header="0"/>
          <w:type w:val="continuous"/>
        </w:sectPr>
      </w:pPr>
    </w:p>
    <w:p>
      <w:pPr>
        <w:ind w:left="200" w:hanging="192"/>
        <w:spacing w:after="0"/>
        <w:tabs>
          <w:tab w:leader="none" w:pos="178"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To ratify the appointment of PricewaterhouseCoopers LLP as the Independent Registered Public Accounting Firm of the Company for the fiscal year ending August 30, 2012.</w:t>
      </w:r>
    </w:p>
    <w:p>
      <w:pPr>
        <w:spacing w:after="0" w:line="120" w:lineRule="exact"/>
        <w:rPr>
          <w:rFonts w:ascii="Arial" w:cs="Arial" w:eastAsia="Arial" w:hAnsi="Arial"/>
          <w:sz w:val="12"/>
          <w:szCs w:val="12"/>
          <w:color w:val="auto"/>
        </w:rPr>
      </w:pPr>
    </w:p>
    <w:p>
      <w:pPr>
        <w:ind w:left="200" w:right="20" w:hanging="192"/>
        <w:spacing w:after="0" w:line="223" w:lineRule="auto"/>
        <w:tabs>
          <w:tab w:leader="none" w:pos="178"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To approve a non-binding resolution to approve the compensation of our Named Executive Officers as described in the proxy statement.</w:t>
      </w:r>
    </w:p>
    <w:p>
      <w:pPr>
        <w:spacing w:after="0" w:line="241" w:lineRule="exact"/>
        <w:rPr>
          <w:rFonts w:ascii="Arial" w:cs="Arial" w:eastAsia="Arial" w:hAnsi="Arial"/>
          <w:sz w:val="13"/>
          <w:szCs w:val="13"/>
          <w:color w:val="auto"/>
        </w:rPr>
      </w:pPr>
    </w:p>
    <w:p>
      <w:pPr>
        <w:ind w:left="200" w:right="60" w:hanging="192"/>
        <w:spacing w:after="0"/>
        <w:tabs>
          <w:tab w:leader="none" w:pos="178"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To approve, in a non-binding vote, the frequency (every one, two or three years) with which our shareholders will be entitled to have an advisory vote on executive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center"/>
              <w:ind w:right="17"/>
              <w:spacing w:after="0"/>
              <w:rPr>
                <w:sz w:val="20"/>
                <w:szCs w:val="20"/>
                <w:color w:val="auto"/>
              </w:rPr>
            </w:pPr>
            <w:r>
              <w:rPr>
                <w:rFonts w:ascii="Arial" w:cs="Arial" w:eastAsia="Arial" w:hAnsi="Arial"/>
                <w:sz w:val="18"/>
                <w:szCs w:val="18"/>
                <w:color w:val="auto"/>
                <w:w w:val="99"/>
              </w:rPr>
              <w:t>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5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r>
      <w:tr>
        <w:trPr>
          <w:trHeight w:val="802"/>
        </w:trPr>
        <w:tc>
          <w:tcPr>
            <w:tcW w:w="480" w:type="dxa"/>
            <w:vAlign w:val="bottom"/>
          </w:tcPr>
          <w:p>
            <w:pPr>
              <w:jc w:val="center"/>
              <w:ind w:right="17"/>
              <w:spacing w:after="0"/>
              <w:rPr>
                <w:sz w:val="20"/>
                <w:szCs w:val="20"/>
                <w:color w:val="auto"/>
              </w:rPr>
            </w:pPr>
            <w:r>
              <w:rPr>
                <w:rFonts w:ascii="Arial" w:cs="Arial" w:eastAsia="Arial" w:hAnsi="Arial"/>
                <w:sz w:val="18"/>
                <w:szCs w:val="18"/>
                <w:color w:val="auto"/>
                <w:w w:val="99"/>
              </w:rPr>
              <w:t>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5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r>
      <w:tr>
        <w:trPr>
          <w:trHeight w:val="470"/>
        </w:trPr>
        <w:tc>
          <w:tcPr>
            <w:tcW w:w="480" w:type="dxa"/>
            <w:vAlign w:val="bottom"/>
          </w:tcPr>
          <w:p>
            <w:pPr>
              <w:jc w:val="center"/>
              <w:ind w:right="17"/>
              <w:spacing w:after="0"/>
              <w:rPr>
                <w:sz w:val="20"/>
                <w:szCs w:val="20"/>
                <w:color w:val="auto"/>
              </w:rPr>
            </w:pPr>
            <w:r>
              <w:rPr>
                <w:rFonts w:ascii="Arial" w:cs="Arial" w:eastAsia="Arial" w:hAnsi="Arial"/>
                <w:sz w:val="13"/>
                <w:szCs w:val="13"/>
                <w:b w:val="1"/>
                <w:bCs w:val="1"/>
                <w:color w:val="auto"/>
              </w:rPr>
              <w:t>1 year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3"/>
              </w:rPr>
              <w:t>2 years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3"/>
              </w:rPr>
              <w:t>3 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580" w:type="dxa"/>
            <w:vAlign w:val="bottom"/>
          </w:tcPr>
          <w:p>
            <w:pPr>
              <w:spacing w:after="0"/>
              <w:rPr>
                <w:sz w:val="24"/>
                <w:szCs w:val="24"/>
                <w:color w:val="auto"/>
              </w:rPr>
            </w:pPr>
          </w:p>
        </w:tc>
      </w:tr>
      <w:tr>
        <w:trPr>
          <w:trHeight w:val="327"/>
        </w:trPr>
        <w:tc>
          <w:tcPr>
            <w:tcW w:w="480" w:type="dxa"/>
            <w:vAlign w:val="bottom"/>
          </w:tcPr>
          <w:p>
            <w:pPr>
              <w:jc w:val="center"/>
              <w:ind w:right="17"/>
              <w:spacing w:after="0"/>
              <w:rPr>
                <w:sz w:val="20"/>
                <w:szCs w:val="20"/>
                <w:color w:val="auto"/>
              </w:rPr>
            </w:pPr>
            <w:r>
              <w:rPr>
                <w:rFonts w:ascii="Arial" w:cs="Arial" w:eastAsia="Arial" w:hAnsi="Arial"/>
                <w:sz w:val="18"/>
                <w:szCs w:val="18"/>
                <w:color w:val="auto"/>
                <w:w w:val="99"/>
              </w:rPr>
              <w:t>o</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1 YEAR</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undersigned at the Annual Meeting of Shareholders of Micron Technology, Inc., and at any adjournment or adjournments thereof, and to vote (including cumulatively, if required) all shares of Common Stock which the undersigned would be entitled to vote, if then and there personally present, on the matters set forth, and in their discretion, upon such other matter or matters which may properly come before the meeting or any adjournment or adjournments thereof.</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 xml:space="preserve">THE SHARES REPRESENTED BY THIS PROXY WHEN PROPERLY EXECUTED WILL BE VOTED IN THE MANNER DIRECTED HEREIN BY THE UNDERSIGNED SHAREHOLDER(S). </w:t>
      </w:r>
      <w:r>
        <w:rPr>
          <w:rFonts w:ascii="Arial" w:cs="Arial" w:eastAsia="Arial" w:hAnsi="Arial"/>
          <w:sz w:val="14"/>
          <w:szCs w:val="14"/>
          <w:b w:val="1"/>
          <w:bCs w:val="1"/>
          <w:color w:val="auto"/>
        </w:rPr>
        <w:t>IF NO DIRECTION IS MADE, THIS PROXY WILL BE VOTED</w:t>
      </w:r>
      <w:r>
        <w:rPr>
          <w:rFonts w:ascii="Arial" w:cs="Arial" w:eastAsia="Arial" w:hAnsi="Arial"/>
          <w:sz w:val="14"/>
          <w:szCs w:val="14"/>
          <w:color w:val="auto"/>
        </w:rPr>
        <w:t xml:space="preserve"> </w:t>
      </w:r>
      <w:r>
        <w:rPr>
          <w:rFonts w:ascii="Arial" w:cs="Arial" w:eastAsia="Arial" w:hAnsi="Arial"/>
          <w:sz w:val="14"/>
          <w:szCs w:val="14"/>
          <w:b w:val="1"/>
          <w:bCs w:val="1"/>
          <w:color w:val="auto"/>
        </w:rPr>
        <w:t>FOR PROPOSALS 1, 2, 3 AND 4 AND 1 YEAR ON PROPOSAL 5.</w:t>
      </w:r>
    </w:p>
    <w:p>
      <w:pPr>
        <w:spacing w:after="0" w:line="51" w:lineRule="exact"/>
        <w:rPr>
          <w:sz w:val="20"/>
          <w:szCs w:val="20"/>
          <w:color w:val="auto"/>
        </w:rPr>
      </w:pPr>
    </w:p>
    <w:p>
      <w:pPr>
        <w:jc w:val="center"/>
        <w:ind w:left="20"/>
        <w:spacing w:after="0" w:line="275" w:lineRule="auto"/>
        <w:rPr>
          <w:sz w:val="20"/>
          <w:szCs w:val="20"/>
          <w:color w:val="auto"/>
        </w:rPr>
      </w:pPr>
      <w:r>
        <w:rPr>
          <w:rFonts w:ascii="Arial" w:cs="Arial" w:eastAsia="Arial" w:hAnsi="Arial"/>
          <w:sz w:val="21"/>
          <w:szCs w:val="21"/>
          <w:b w:val="1"/>
          <w:bCs w:val="1"/>
          <w:color w:val="auto"/>
        </w:rPr>
        <w:t>All votes must be received by 11:59 pm, Eastern Time, January 23, 2012.</w:t>
      </w:r>
    </w:p>
    <w:p>
      <w:pPr>
        <w:spacing w:after="0" w:line="18" w:lineRule="exact"/>
        <w:rPr>
          <w:sz w:val="20"/>
          <w:szCs w:val="20"/>
          <w:color w:val="auto"/>
        </w:rPr>
      </w:pPr>
    </w:p>
    <w:p>
      <w:pPr>
        <w:sectPr>
          <w:pgSz w:w="11900" w:h="16838" w:orient="portrait"/>
          <w:cols w:equalWidth="0" w:num="3">
            <w:col w:w="2420" w:space="160"/>
            <w:col w:w="2760" w:space="720"/>
            <w:col w:w="5360"/>
          </w:cols>
          <w:pgMar w:left="240" w:top="886" w:right="239" w:bottom="0" w:gutter="0" w:footer="0" w:header="0"/>
          <w:type w:val="continuous"/>
        </w:sectPr>
      </w:pPr>
    </w:p>
    <w:p>
      <w:pPr>
        <w:spacing w:after="0" w:line="88" w:lineRule="exact"/>
        <w:rPr>
          <w:sz w:val="20"/>
          <w:szCs w:val="20"/>
          <w:color w:val="auto"/>
        </w:rPr>
      </w:pPr>
    </w:p>
    <w:p>
      <w:pPr>
        <w:jc w:val="center"/>
        <w:ind w:left="180" w:right="140"/>
        <w:spacing w:after="0" w:line="254" w:lineRule="auto"/>
        <w:rPr>
          <w:sz w:val="20"/>
          <w:szCs w:val="20"/>
          <w:color w:val="auto"/>
        </w:rPr>
      </w:pPr>
      <w:r>
        <w:rPr>
          <w:sz w:val="1"/>
          <w:szCs w:val="1"/>
          <w:color w:val="auto"/>
        </w:rPr>
        <w:drawing>
          <wp:inline distT="0" distB="0" distL="0" distR="0">
            <wp:extent cx="85725" cy="10287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4"/>
          <w:szCs w:val="14"/>
          <w:color w:val="auto"/>
        </w:rPr>
        <w:t xml:space="preserve"> Please separate carefully at the perforation and return just this portion in the envelope provided. </w:t>
      </w:r>
      <w:r>
        <w:rPr>
          <w:sz w:val="1"/>
          <w:szCs w:val="1"/>
          <w:color w:val="auto"/>
        </w:rPr>
        <w:drawing>
          <wp:inline distT="0" distB="0" distL="0" distR="0">
            <wp:extent cx="85725" cy="1028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right="1720"/>
        <w:spacing w:after="0" w:line="285" w:lineRule="auto"/>
        <w:rPr>
          <w:sz w:val="20"/>
          <w:szCs w:val="20"/>
          <w:color w:val="auto"/>
        </w:rPr>
      </w:pPr>
      <w:r>
        <w:rPr>
          <w:rFonts w:ascii="Arial" w:cs="Arial" w:eastAsia="Arial" w:hAnsi="Arial"/>
          <w:sz w:val="14"/>
          <w:szCs w:val="14"/>
          <w:b w:val="1"/>
          <w:bCs w:val="1"/>
          <w:color w:val="auto"/>
        </w:rPr>
        <w:t>Authorized Signatures - This section must be completed for your instructions to be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125730</wp:posOffset>
            </wp:positionV>
            <wp:extent cx="31470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20574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-233680</wp:posOffset>
            </wp:positionV>
            <wp:extent cx="205740"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188" w:lineRule="exact"/>
        <w:rPr>
          <w:sz w:val="20"/>
          <w:szCs w:val="20"/>
          <w:color w:val="auto"/>
        </w:rPr>
      </w:pPr>
    </w:p>
    <w:p>
      <w:pPr>
        <w:ind w:left="1180"/>
        <w:spacing w:after="0"/>
        <w:tabs>
          <w:tab w:leader="none" w:pos="3720" w:val="left"/>
        </w:tabs>
        <w:rPr>
          <w:sz w:val="20"/>
          <w:szCs w:val="20"/>
          <w:color w:val="auto"/>
        </w:rPr>
      </w:pPr>
      <w:r>
        <w:rPr>
          <w:rFonts w:ascii="Arial" w:cs="Arial" w:eastAsia="Arial" w:hAnsi="Arial"/>
          <w:sz w:val="11"/>
          <w:szCs w:val="11"/>
          <w:color w:val="auto"/>
        </w:rPr>
        <w:t>Please Sign Here</w:t>
      </w:r>
      <w:r>
        <w:rPr>
          <w:sz w:val="20"/>
          <w:szCs w:val="20"/>
          <w:color w:val="auto"/>
        </w:rPr>
        <w:tab/>
      </w:r>
      <w:r>
        <w:rPr>
          <w:rFonts w:ascii="Arial" w:cs="Arial" w:eastAsia="Arial" w:hAnsi="Arial"/>
          <w:sz w:val="10"/>
          <w:szCs w:val="10"/>
          <w:color w:val="auto"/>
        </w:rPr>
        <w:t>Please Date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153035</wp:posOffset>
            </wp:positionV>
            <wp:extent cx="31470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740"/>
        <w:spacing w:after="0"/>
        <w:rPr>
          <w:sz w:val="20"/>
          <w:szCs w:val="20"/>
          <w:color w:val="auto"/>
        </w:rPr>
      </w:pPr>
      <w:r>
        <w:rPr>
          <w:rFonts w:ascii="Arial" w:cs="Arial" w:eastAsia="Arial" w:hAnsi="Arial"/>
          <w:sz w:val="16"/>
          <w:szCs w:val="16"/>
          <w:b w:val="1"/>
          <w:bCs w:val="1"/>
          <w:color w:val="auto"/>
        </w:rPr>
        <w:t>PROXY TABULATOR FOR</w:t>
      </w:r>
    </w:p>
    <w:p>
      <w:pPr>
        <w:ind w:left="2740"/>
        <w:spacing w:after="0" w:line="211" w:lineRule="auto"/>
        <w:rPr>
          <w:sz w:val="20"/>
          <w:szCs w:val="20"/>
          <w:color w:val="auto"/>
        </w:rPr>
      </w:pPr>
      <w:r>
        <w:rPr>
          <w:rFonts w:ascii="Arial" w:cs="Arial" w:eastAsia="Arial" w:hAnsi="Arial"/>
          <w:sz w:val="16"/>
          <w:szCs w:val="16"/>
          <w:b w:val="1"/>
          <w:bCs w:val="1"/>
          <w:color w:val="808080"/>
        </w:rPr>
        <w:t>MICRON TECHNOLOGY, INC.</w:t>
      </w:r>
    </w:p>
    <w:p>
      <w:pPr>
        <w:ind w:left="2740"/>
        <w:spacing w:after="0" w:line="211" w:lineRule="auto"/>
        <w:rPr>
          <w:sz w:val="20"/>
          <w:szCs w:val="20"/>
          <w:color w:val="auto"/>
        </w:rPr>
      </w:pPr>
      <w:r>
        <w:rPr>
          <w:rFonts w:ascii="Arial" w:cs="Arial" w:eastAsia="Arial" w:hAnsi="Arial"/>
          <w:sz w:val="16"/>
          <w:szCs w:val="16"/>
          <w:b w:val="1"/>
          <w:bCs w:val="1"/>
          <w:color w:val="808080"/>
        </w:rPr>
        <w:t>P.O. BOX 8016</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808080"/>
        </w:rPr>
        <w:t>CARY, NC 27512-9903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112770" cy="4546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1277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CLIENT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8" w:lineRule="exact"/>
        <w:rPr>
          <w:sz w:val="20"/>
          <w:szCs w:val="20"/>
          <w:color w:val="auto"/>
        </w:rPr>
      </w:pPr>
    </w:p>
    <w:p>
      <w:pPr>
        <w:sectPr>
          <w:pgSz w:w="11900" w:h="16838" w:orient="portrait"/>
          <w:cols w:equalWidth="0" w:num="2">
            <w:col w:w="5340" w:space="720"/>
            <w:col w:w="5360"/>
          </w:cols>
          <w:pgMar w:left="240" w:top="886" w:right="239" w:bottom="0" w:gutter="0" w:footer="0" w:header="0"/>
          <w:type w:val="continuous"/>
        </w:sectPr>
      </w:pPr>
    </w:p>
    <w:p>
      <w:pPr>
        <w:ind w:left="1180"/>
        <w:spacing w:after="0"/>
        <w:tabs>
          <w:tab w:leader="none" w:pos="3720" w:val="left"/>
        </w:tabs>
        <w:rPr>
          <w:sz w:val="20"/>
          <w:szCs w:val="20"/>
          <w:color w:val="auto"/>
        </w:rPr>
      </w:pPr>
      <w:r>
        <w:rPr>
          <w:rFonts w:ascii="Arial" w:cs="Arial" w:eastAsia="Arial" w:hAnsi="Arial"/>
          <w:sz w:val="11"/>
          <w:szCs w:val="11"/>
          <w:color w:val="auto"/>
        </w:rPr>
        <w:t>Please Sign Here</w:t>
      </w:r>
      <w:r>
        <w:rPr>
          <w:sz w:val="20"/>
          <w:szCs w:val="20"/>
          <w:color w:val="auto"/>
        </w:rPr>
        <w:tab/>
      </w:r>
      <w:r>
        <w:rPr>
          <w:rFonts w:ascii="Arial" w:cs="Arial" w:eastAsia="Arial" w:hAnsi="Arial"/>
          <w:sz w:val="10"/>
          <w:szCs w:val="10"/>
          <w:color w:val="auto"/>
        </w:rPr>
        <w:t>Please Date Above</w:t>
      </w:r>
    </w:p>
    <w:p>
      <w:pPr>
        <w:spacing w:after="0"/>
        <w:rPr>
          <w:sz w:val="20"/>
          <w:szCs w:val="20"/>
          <w:color w:val="auto"/>
        </w:rPr>
      </w:pPr>
      <w:r>
        <w:rPr>
          <w:rFonts w:ascii="Arial" w:cs="Arial" w:eastAsia="Arial" w:hAnsi="Arial"/>
          <w:sz w:val="22"/>
          <w:szCs w:val="22"/>
          <w:color w:val="auto"/>
        </w:rPr>
        <w:t>QuickLinks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6788785</wp:posOffset>
            </wp:positionH>
            <wp:positionV relativeFrom="paragraph">
              <wp:posOffset>-149225</wp:posOffset>
            </wp:positionV>
            <wp:extent cx="17145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14605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-149225</wp:posOffset>
            </wp:positionV>
            <wp:extent cx="17145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146050"/>
                    </a:xfrm>
                    <a:prstGeom prst="rect">
                      <a:avLst/>
                    </a:prstGeom>
                    <a:noFill/>
                  </pic:spPr>
                </pic:pic>
              </a:graphicData>
            </a:graphic>
          </wp:anchor>
        </w:drawing>
      </w:r>
    </w:p>
    <w:p>
      <w:pPr>
        <w:spacing w:after="0" w:line="69" w:lineRule="exact"/>
        <w:rPr>
          <w:sz w:val="20"/>
          <w:szCs w:val="20"/>
          <w:color w:val="auto"/>
        </w:rPr>
      </w:pPr>
    </w:p>
    <w:p>
      <w:pPr>
        <w:ind w:left="6060"/>
        <w:spacing w:after="0"/>
        <w:rPr>
          <w:sz w:val="20"/>
          <w:szCs w:val="20"/>
          <w:color w:val="auto"/>
        </w:rPr>
      </w:pPr>
      <w:r>
        <w:rPr>
          <w:rFonts w:ascii="Arial" w:cs="Arial" w:eastAsia="Arial" w:hAnsi="Arial"/>
          <w:sz w:val="11"/>
          <w:szCs w:val="11"/>
          <w:color w:val="auto"/>
        </w:rPr>
        <w:t>Copyright © 2011 Mediant Communications LLC. All Rights Reserved</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Fiscal 2011 Annual Meeting of Shareholders January 24, 2012</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INFORMATION CONCERNING SOLICITATION AND VOTING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PROPOSAL 1—ELECTION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CORPORATE GOVERNANCE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COMPENSATION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PRINCIPAL SHAREHOLDERS</w:t>
        </w:r>
      </w:hyperlink>
    </w:p>
    <w:p>
      <w:pPr>
        <w:spacing w:after="0" w:line="9" w:lineRule="exact"/>
        <w:rPr>
          <w:sz w:val="20"/>
          <w:szCs w:val="20"/>
          <w:color w:val="auto"/>
        </w:rPr>
      </w:pPr>
    </w:p>
    <w:p>
      <w:pPr>
        <w:ind w:right="2720"/>
        <w:spacing w:after="0" w:line="250"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EXECUTIVE COMPENSATION AND RELATED INFORMATION COMPENSATION DISCUSSION AND ANALYSIS</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COMPENSATION COMMITTEE REPORT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FISCAL 2011 SUMMARY COMPENSATION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GRANTS OF PLAN-BASED AWARDS IN FISCAL 2011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OUTSTANDING EQUITY AWARDS AT 2011 FISCAL YEAR-END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OPTION EXERCISES AND STOCK VESTED IN FISCAL 2011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POTENTIAL PAYMENTS UPON TERMINATION OR CHANGE IN CONTROL</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EQUITY COMPENSATION PLAN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ind w:right="160"/>
        <w:spacing w:after="0" w:line="250"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PROPOSAL 2. APPROVAL OF AN AMENDMENT TO OUR 2004 EQUITY INCENTIVE PLAN INCREASING THE NUMBER OF SHARES RESERVED</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FOR ISSUANCE THEREUNDER BY 20,000,000.</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PROPOSAL 3—RATIFICATION OF PRICEWATERHOUSECOOPERS LLP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PROPOSAL 4—ADVISORY VOTE ON THE COMPENSATION OF OUR NAMED EXECUTIVE OFFICERS ("SAY-ON-PAY")</w:t>
        </w:r>
      </w:hyperlink>
    </w:p>
    <w:p>
      <w:pPr>
        <w:spacing w:after="0" w:line="9" w:lineRule="exact"/>
        <w:rPr>
          <w:sz w:val="20"/>
          <w:szCs w:val="20"/>
          <w:color w:val="auto"/>
        </w:rPr>
      </w:pPr>
    </w:p>
    <w:p>
      <w:pPr>
        <w:ind w:right="120"/>
        <w:spacing w:after="0" w:line="261"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PROPOSAL 5—ADVISORY VOTE ON THE FREQUENCY WITH WHICH SHAREHOLDERS WILL VOTE ON SAY-ON-PAY PROPOSALS IN FUTURE</w:t>
        </w:r>
      </w:hyperlink>
      <w:r>
        <w:rPr>
          <w:rFonts w:ascii="Arial" w:cs="Arial" w:eastAsia="Arial" w:hAnsi="Arial"/>
          <w:sz w:val="18"/>
          <w:szCs w:val="18"/>
          <w:u w:val="single" w:color="auto"/>
          <w:color w:val="0000EE"/>
        </w:rPr>
        <w:t xml:space="preserve"> </w:t>
      </w:r>
      <w:hyperlink w:anchor="page48">
        <w:r>
          <w:rPr>
            <w:rFonts w:ascii="Arial" w:cs="Arial" w:eastAsia="Arial" w:hAnsi="Arial"/>
            <w:sz w:val="18"/>
            <w:szCs w:val="18"/>
            <w:u w:val="single" w:color="auto"/>
            <w:color w:val="0000EE"/>
          </w:rPr>
          <w:t>YEARS</w:t>
        </w:r>
      </w:hyperlink>
    </w:p>
    <w:p>
      <w:pPr>
        <w:sectPr>
          <w:pgSz w:w="11900" w:h="16838" w:orient="portrait"/>
          <w:cols w:equalWidth="0" w:num="1">
            <w:col w:w="11420"/>
          </w:cols>
          <w:pgMar w:left="240" w:top="886" w:right="239" w:bottom="0" w:gutter="0" w:footer="0" w:header="0"/>
          <w:type w:val="continuous"/>
        </w:sectPr>
      </w:pPr>
    </w:p>
    <w:bookmarkStart w:id="73" w:name="page74"/>
    <w:bookmarkEnd w:id="73"/>
    <w:p>
      <w:pPr>
        <w:ind w:right="4159"/>
        <w:spacing w:after="0" w:line="284" w:lineRule="auto"/>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NOTICE OF ELECTRONIC AVAILABILITY OF PROXY MATERIALS</w:t>
        </w:r>
      </w:hyperlink>
      <w:r>
        <w:rPr>
          <w:rFonts w:ascii="Arial" w:cs="Arial" w:eastAsia="Arial" w:hAnsi="Arial"/>
          <w:sz w:val="16"/>
          <w:szCs w:val="16"/>
          <w:u w:val="single" w:color="auto"/>
          <w:color w:val="0000EE"/>
        </w:rPr>
        <w:t xml:space="preserve"> </w:t>
      </w:r>
      <w:hyperlink w:anchor="page49">
        <w:r>
          <w:rPr>
            <w:rFonts w:ascii="Arial" w:cs="Arial" w:eastAsia="Arial" w:hAnsi="Arial"/>
            <w:sz w:val="16"/>
            <w:szCs w:val="16"/>
            <w:u w:val="single" w:color="auto"/>
            <w:color w:val="0000EE"/>
          </w:rPr>
          <w:t>INCORPORATION BY REFERENCE OF CERTAIN FINANCIAL INFORMATION</w:t>
        </w:r>
      </w:hyperlink>
      <w:r>
        <w:rPr>
          <w:rFonts w:ascii="Arial" w:cs="Arial" w:eastAsia="Arial" w:hAnsi="Arial"/>
          <w:sz w:val="16"/>
          <w:szCs w:val="16"/>
          <w:u w:val="single" w:color="auto"/>
          <w:color w:val="0000EE"/>
        </w:rPr>
        <w:t xml:space="preserve"> </w:t>
      </w:r>
      <w:hyperlink w:anchor="page49">
        <w:r>
          <w:rPr>
            <w:rFonts w:ascii="Arial" w:cs="Arial" w:eastAsia="Arial" w:hAnsi="Arial"/>
            <w:sz w:val="16"/>
            <w:szCs w:val="16"/>
            <w:u w:val="single" w:color="auto"/>
            <w:color w:val="0000EE"/>
          </w:rPr>
          <w:t>HOUSEHOLDING OF PROXY STATEMENTS AND ANNUAL REPORTS</w:t>
        </w:r>
      </w:hyperlink>
    </w:p>
    <w:p>
      <w:pPr>
        <w:spacing w:after="0" w:line="1"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DEADLINE FOR RECEIPT OF SHAREHOLDER PROPOSALS FOR FISCAL 2012 ANNUAL MEETING</w:t>
        </w:r>
      </w:hyperlink>
    </w:p>
    <w:p>
      <w:pPr>
        <w:spacing w:after="0" w:line="24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APPENDIX A</w:t>
        </w:r>
      </w:hyperlink>
    </w:p>
    <w:p>
      <w:pPr>
        <w:spacing w:after="0" w:line="22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MICRON TECHNOLOGY, INC. 2004 EQUITY INCENTIVE PLAN</w:t>
        </w:r>
      </w:hyperlink>
    </w:p>
    <w:p>
      <w:pPr>
        <w:spacing w:after="0" w:line="1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ARTICLE 1 PURPOSE</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ARTICLE 2 DEFINITIONS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3 EFFECTIVE TERM OF PLAN</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ARTICLE 4 ADMINISTRATION</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ARTICLE 5 SHARES SUBJECT TO THE PLAN</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ARTICLE 6 ELIGIBILITY</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ARTICLE 7 STOCK OPTIONS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ARTICLE 8 STOCK APPRECIATION RIGHTS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ARTICLE 9 PERFORMANCE SHARES</w:t>
        </w:r>
      </w:hyperlink>
    </w:p>
    <w:p>
      <w:pPr>
        <w:spacing w:after="0" w:line="9" w:lineRule="exact"/>
        <w:rPr>
          <w:rFonts w:ascii="Arial" w:cs="Arial" w:eastAsia="Arial" w:hAnsi="Arial"/>
          <w:sz w:val="16"/>
          <w:szCs w:val="16"/>
          <w:u w:val="single" w:color="auto"/>
          <w:color w:val="0000EE"/>
        </w:rPr>
      </w:pPr>
    </w:p>
    <w:p>
      <w:pPr>
        <w:ind w:right="4159"/>
        <w:spacing w:after="0" w:line="250" w:lineRule="auto"/>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ARTICLE 10 RESTRICTED STOCK AND RESTRICTED STOCK UNIT AWARDS</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ARTICLE 11 DEFERRED STOCK UNITS</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ARTICLE 12 DIVIDEND EQUIVALENTS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ARTICLE 13 STOCK OR OTHER STOCK-BASED AWARDS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ARTICLE 14 PROVISIONS APPLICABLE TO AWARDS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ARTICLE 15 CHANGES IN CAPITAL STRUCTURE</w:t>
        </w:r>
      </w:hyperlink>
    </w:p>
    <w:p>
      <w:pPr>
        <w:spacing w:after="0" w:line="9" w:lineRule="exact"/>
        <w:rPr>
          <w:rFonts w:ascii="Arial" w:cs="Arial" w:eastAsia="Arial" w:hAnsi="Arial"/>
          <w:sz w:val="18"/>
          <w:szCs w:val="18"/>
          <w:u w:val="single" w:color="auto"/>
          <w:color w:val="0000EE"/>
        </w:rPr>
      </w:pPr>
    </w:p>
    <w:p>
      <w:pPr>
        <w:ind w:right="5059"/>
        <w:spacing w:after="0" w:line="261" w:lineRule="auto"/>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ARTICLE 16 AMENDMENT, MODIFICATION AND TERMINATION</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ARTICLE 17 GENERAL PROVISIONS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o"/>
      <w:numFmt w:val="bullet"/>
      <w:start w:val="1"/>
    </w:lvl>
    <w:lvl w:ilvl="1">
      <w:lvlJc w:val="left"/>
      <w:lvlText w:val="(%2)"/>
      <w:numFmt w:val="decimal"/>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1)"/>
      <w:numFmt w:val="decimal"/>
      <w:start w:val="1"/>
    </w:lvl>
    <w:lvl w:ilvl="1">
      <w:lvlJc w:val="left"/>
      <w:lvlText w:val="**"/>
      <w:numFmt w:val="bullet"/>
      <w:start w:val="1"/>
    </w:lvl>
  </w:abstractNum>
  <w:abstractNum w:abstractNumId="12">
    <w:nsid w:val="39386575"/>
    <w:multiLevelType w:val="hybridMultilevel"/>
    <w:lvl w:ilvl="0">
      <w:lvlJc w:val="left"/>
      <w:lvlText w:val="(%1)"/>
      <w:numFmt w:val="lowerRoman"/>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lvl w:ilvl="1">
      <w:lvlJc w:val="left"/>
      <w:lvlText w:val="•"/>
      <w:numFmt w:val="bullet"/>
      <w:start w:val="1"/>
    </w:lvl>
  </w:abstractNum>
  <w:abstractNum w:abstractNumId="19">
    <w:nsid w:val="741226BB"/>
    <w:multiLevelType w:val="hybridMultilevel"/>
    <w:lvl w:ilvl="0">
      <w:lvlJc w:val="left"/>
      <w:lvlText w:val="•"/>
      <w:numFmt w:val="bullet"/>
      <w:start w:val="1"/>
    </w:lvl>
    <w:lvl w:ilvl="1">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1)"/>
      <w:numFmt w:val="lowerLetter"/>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1)"/>
      <w:numFmt w:val="decimal"/>
      <w:start w:val="1"/>
    </w:lvl>
    <w:lvl w:ilvl="1">
      <w:lvlJc w:val="left"/>
      <w:lvlText w:val="•"/>
      <w:numFmt w:val="bullet"/>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2"/>
    </w:lvl>
    <w:lvl w:ilvl="3">
      <w:lvlJc w:val="left"/>
      <w:lvlText w:val="(%4)"/>
      <w:numFmt w:val="lowerLetter"/>
      <w:start w:val="3"/>
    </w:lvl>
    <w:lvl w:ilvl="4">
      <w:lvlJc w:val="left"/>
      <w:lvlText w:val="%5"/>
      <w:numFmt w:val="lowerRoman"/>
      <w:start w:val="1"/>
    </w:lvl>
    <w:lvl w:ilvl="5">
      <w:lvlJc w:val="left"/>
      <w:lvlText w:val="%6"/>
      <w:numFmt w:val="lowerRoman"/>
      <w:start w:val="1"/>
    </w:lvl>
  </w:abstractNum>
  <w:abstractNum w:abstractNumId="44">
    <w:nsid w:val="168E121F"/>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4"/>
    </w:lvl>
    <w:lvl w:ilvl="5">
      <w:lvlJc w:val="left"/>
      <w:lvlText w:val="(%6)"/>
      <w:numFmt w:val="lowerRoman"/>
      <w:start w:val="1"/>
    </w:lvl>
  </w:abstractNum>
  <w:abstractNum w:abstractNumId="45">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46">
    <w:nsid w:val="661E3F1E"/>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47">
    <w:nsid w:val="5DC79EA8"/>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8">
    <w:nsid w:val="540A471C"/>
    <w:multiLevelType w:val="hybridMultilevel"/>
    <w:lvl w:ilvl="0">
      <w:lvlJc w:val="left"/>
      <w:lvlText w:val="(%1)"/>
      <w:numFmt w:val="lowerLetter"/>
      <w:start w:val="10"/>
    </w:lvl>
    <w:lvl w:ilvl="1">
      <w:lvlJc w:val="left"/>
      <w:lvlText w:val="(%2)"/>
      <w:numFmt w:val="lowerLetter"/>
      <w:start w:val="11"/>
    </w:lvl>
  </w:abstractNum>
  <w:abstractNum w:abstractNumId="49">
    <w:nsid w:val="7BD3EE7B"/>
    <w:multiLevelType w:val="hybridMultilevel"/>
    <w:lvl w:ilvl="0">
      <w:lvlJc w:val="left"/>
      <w:lvlText w:val="(%1)"/>
      <w:numFmt w:val="lowerLetter"/>
      <w:start w:val="12"/>
    </w:lvl>
    <w:lvl w:ilvl="1">
      <w:lvlJc w:val="left"/>
      <w:lvlText w:val="(%2)"/>
      <w:numFmt w:val="lowerLetter"/>
      <w:start w:val="16"/>
    </w:lvl>
    <w:lvl w:ilvl="2">
      <w:lvlJc w:val="left"/>
      <w:lvlText w:val="(%3)"/>
      <w:numFmt w:val="lowerLetter"/>
      <w:start w:val="17"/>
    </w:lvl>
  </w:abstractNum>
  <w:abstractNum w:abstractNumId="50">
    <w:nsid w:val="51D9C564"/>
    <w:multiLevelType w:val="hybridMultilevel"/>
    <w:lvl w:ilvl="0">
      <w:lvlJc w:val="left"/>
      <w:lvlText w:val="(%1)"/>
      <w:numFmt w:val="lowerLetter"/>
      <w:start w:val="18"/>
    </w:lvl>
    <w:lvl w:ilvl="1">
      <w:lvlJc w:val="left"/>
      <w:lvlText w:val="(%2)"/>
      <w:numFmt w:val="lowerLetter"/>
      <w:start w:val="19"/>
    </w:lvl>
  </w:abstractNum>
  <w:abstractNum w:abstractNumId="51">
    <w:nsid w:val="613EFDC5"/>
    <w:multiLevelType w:val="hybridMultilevel"/>
    <w:lvl w:ilvl="0">
      <w:lvlJc w:val="left"/>
      <w:lvlText w:val="%1"/>
      <w:numFmt w:val="lowerLetter"/>
      <w:start w:val="1"/>
    </w:lvl>
    <w:lvl w:ilvl="1">
      <w:lvlJc w:val="left"/>
      <w:lvlText w:val="(%2)"/>
      <w:numFmt w:val="lowerLetter"/>
      <w:start w:val="20"/>
    </w:lvl>
  </w:abstractNum>
  <w:abstractNum w:abstractNumId="52">
    <w:nsid w:val="BF72B14"/>
    <w:multiLevelType w:val="hybridMultilevel"/>
    <w:lvl w:ilvl="0">
      <w:lvlJc w:val="left"/>
      <w:lvlText w:val="(%1)"/>
      <w:numFmt w:val="lowerLetter"/>
      <w:start w:val="21"/>
    </w:lvl>
    <w:lvl w:ilvl="1">
      <w:lvlJc w:val="left"/>
      <w:lvlText w:val="%2"/>
      <w:numFmt w:val="lowerLetter"/>
      <w:start w:val="1"/>
    </w:lvl>
  </w:abstractNum>
  <w:abstractNum w:abstractNumId="53">
    <w:nsid w:val="11447B73"/>
    <w:multiLevelType w:val="hybridMultilevel"/>
    <w:lvl w:ilvl="0">
      <w:lvlJc w:val="left"/>
      <w:lvlText w:val="%1"/>
      <w:numFmt w:val="lowerLetter"/>
      <w:start w:val="1"/>
    </w:lvl>
    <w:lvl w:ilvl="1">
      <w:lvlJc w:val="left"/>
      <w:lvlText w:val="(%2)"/>
      <w:numFmt w:val="lowerLetter"/>
      <w:start w:val="23"/>
    </w:lvl>
    <w:lvl w:ilvl="2">
      <w:lvlJc w:val="left"/>
      <w:lvlText w:val="(%3)"/>
      <w:numFmt w:val="lowerLetter"/>
      <w:start w:val="25"/>
    </w:lvl>
  </w:abstractNum>
  <w:abstractNum w:abstractNumId="54">
    <w:nsid w:val="42963E5A"/>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1"/>
    </w:lvl>
  </w:abstractNum>
  <w:abstractNum w:abstractNumId="55">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7"/>
    </w:lvl>
    <w:lvl w:ilvl="4">
      <w:lvlJc w:val="left"/>
      <w:lvlText w:val="%5"/>
      <w:numFmt w:val="lowerLetter"/>
      <w:start w:val="1"/>
    </w:lvl>
  </w:abstractNum>
  <w:abstractNum w:abstractNumId="56">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8"/>
    </w:lvl>
    <w:lvl w:ilvl="3">
      <w:lvlJc w:val="left"/>
      <w:lvlText w:val="%4"/>
      <w:numFmt w:val="lowerLetter"/>
      <w:start w:val="1"/>
    </w:lvl>
    <w:lvl w:ilvl="4">
      <w:lvlJc w:val="left"/>
      <w:lvlText w:val="%5"/>
      <w:numFmt w:val="lowerLetter"/>
      <w:start w:val="1"/>
    </w:lvl>
  </w:abstractNum>
  <w:abstractNum w:abstractNumId="57">
    <w:nsid w:val="1A32234B"/>
    <w:multiLevelType w:val="hybridMultilevel"/>
    <w:lvl w:ilvl="0">
      <w:lvlJc w:val="left"/>
      <w:lvlText w:val="(%1)"/>
      <w:numFmt w:val="decimal"/>
      <w:start w:val="2"/>
    </w:lvl>
    <w:lvl w:ilvl="1">
      <w:lvlJc w:val="left"/>
      <w:lvlText w:val="(%2)"/>
      <w:numFmt w:val="lowerLetter"/>
      <w:start w:val="29"/>
    </w:lvl>
    <w:lvl w:ilvl="2">
      <w:lvlJc w:val="left"/>
      <w:lvlText w:val="%3"/>
      <w:numFmt w:val="lowerLetter"/>
      <w:start w:val="1"/>
    </w:lvl>
    <w:lvl w:ilvl="3">
      <w:lvlJc w:val="left"/>
      <w:lvlText w:val="(%4)"/>
      <w:numFmt w:val="lowerLetter"/>
      <w:start w:val="30"/>
    </w:lvl>
    <w:lvl w:ilvl="4">
      <w:lvlJc w:val="left"/>
      <w:lvlText w:val="(%5)"/>
      <w:numFmt w:val="lowerLetter"/>
      <w:start w:val="30"/>
    </w:lvl>
  </w:abstractNum>
  <w:abstractNum w:abstractNumId="58">
    <w:nsid w:val="3B0FD379"/>
    <w:multiLevelType w:val="hybridMultilevel"/>
    <w:lvl w:ilvl="0">
      <w:lvlJc w:val="left"/>
      <w:lvlText w:val="%1"/>
      <w:numFmt w:val="lowerLetter"/>
      <w:start w:val="1"/>
    </w:lvl>
    <w:lvl w:ilvl="1">
      <w:lvlJc w:val="left"/>
      <w:lvlText w:val="(%2)"/>
      <w:numFmt w:val="lowerLetter"/>
      <w:start w:val="32"/>
    </w:lvl>
  </w:abstractNum>
  <w:abstractNum w:abstractNumId="59">
    <w:nsid w:val="68EB2F63"/>
    <w:multiLevelType w:val="hybridMultilevel"/>
    <w:lvl w:ilvl="0">
      <w:lvlJc w:val="left"/>
      <w:lvlText w:val="(%1)"/>
      <w:numFmt w:val="lowerLetter"/>
      <w:start w:val="33"/>
    </w:lvl>
    <w:lvl w:ilvl="1">
      <w:lvlJc w:val="left"/>
      <w:lvlText w:val="%2"/>
      <w:numFmt w:val="lowerLetter"/>
      <w:start w:val="1"/>
    </w:lvl>
  </w:abstractNum>
  <w:abstractNum w:abstractNumId="60">
    <w:nsid w:val="4962813B"/>
    <w:multiLevelType w:val="hybridMultilevel"/>
    <w:lvl w:ilvl="0">
      <w:lvlJc w:val="left"/>
      <w:lvlText w:val="(%1)"/>
      <w:numFmt w:val="lowerLetter"/>
      <w:start w:val="34"/>
    </w:lvl>
  </w:abstractNum>
  <w:abstractNum w:abstractNumId="61">
    <w:nsid w:val="60B6DF70"/>
    <w:multiLevelType w:val="hybridMultilevel"/>
    <w:lvl w:ilvl="0">
      <w:lvlJc w:val="left"/>
      <w:lvlText w:val="(%1)"/>
      <w:numFmt w:val="lowerRoman"/>
      <w:start w:val="2"/>
    </w:lvl>
  </w:abstractNum>
  <w:abstractNum w:abstractNumId="62">
    <w:nsid w:val="6A5EE64"/>
    <w:multiLevelType w:val="hybridMultilevel"/>
    <w:lvl w:ilvl="0">
      <w:lvlJc w:val="left"/>
      <w:lvlText w:val="(%1)"/>
      <w:numFmt w:val="lowerLetter"/>
      <w:start w:val="36"/>
    </w:lvl>
  </w:abstractNum>
  <w:abstractNum w:abstractNumId="63">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7"/>
    </w:lvl>
  </w:abstractNum>
  <w:abstractNum w:abstractNumId="64">
    <w:nsid w:val="7FFFCA11"/>
    <w:multiLevelType w:val="hybridMultilevel"/>
    <w:lvl w:ilvl="0">
      <w:lvlJc w:val="left"/>
      <w:lvlText w:val="(%1)"/>
      <w:numFmt w:val="lowerLetter"/>
      <w:start w:val="39"/>
    </w:lvl>
    <w:lvl w:ilvl="1">
      <w:lvlJc w:val="left"/>
      <w:lvlText w:val="(%2)"/>
      <w:numFmt w:val="lowerLetter"/>
      <w:start w:val="40"/>
    </w:lvl>
    <w:lvl w:ilvl="2">
      <w:lvlJc w:val="left"/>
      <w:lvlText w:val="%3"/>
      <w:numFmt w:val="lowerLetter"/>
      <w:start w:val="1"/>
    </w:lvl>
  </w:abstractNum>
  <w:abstractNum w:abstractNumId="65">
    <w:nsid w:val="1A27709E"/>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6"/>
    </w:lvl>
  </w:abstractNum>
  <w:abstractNum w:abstractNumId="66">
    <w:nsid w:val="71EA1109"/>
    <w:multiLevelType w:val="hybridMultilevel"/>
    <w:lvl w:ilvl="0">
      <w:lvlJc w:val="left"/>
      <w:lvlText w:val="(%1)"/>
      <w:numFmt w:val="lowerLetter"/>
      <w:start w:val="8"/>
    </w:lvl>
  </w:abstractNum>
  <w:abstractNum w:abstractNumId="67">
    <w:nsid w:val="100F59DC"/>
    <w:multiLevelType w:val="hybridMultilevel"/>
    <w:lvl w:ilvl="0">
      <w:lvlJc w:val="left"/>
      <w:lvlText w:val="%1"/>
      <w:numFmt w:val="lowerLetter"/>
      <w:start w:val="1"/>
    </w:lvl>
    <w:lvl w:ilvl="1">
      <w:lvlJc w:val="left"/>
      <w:lvlText w:val="(%2)"/>
      <w:numFmt w:val="lowerLetter"/>
      <w:start w:val="11"/>
    </w:lvl>
  </w:abstractNum>
  <w:abstractNum w:abstractNumId="68">
    <w:nsid w:val="7FB7E0AA"/>
    <w:multiLevelType w:val="hybridMultilevel"/>
    <w:lvl w:ilvl="0">
      <w:lvlJc w:val="left"/>
      <w:lvlText w:val="(%1)"/>
      <w:numFmt w:val="lowerLetter"/>
      <w:start w:val="12"/>
    </w:lvl>
    <w:lvl w:ilvl="1">
      <w:lvlJc w:val="left"/>
      <w:lvlText w:val="%2"/>
      <w:numFmt w:val="lowerLetter"/>
      <w:start w:val="1"/>
    </w:lvl>
  </w:abstractNum>
  <w:abstractNum w:abstractNumId="69">
    <w:nsid w:val="6EB5BD4"/>
    <w:multiLevelType w:val="hybridMultilevel"/>
    <w:lvl w:ilvl="0">
      <w:lvlJc w:val="left"/>
      <w:lvlText w:val="(%1)"/>
      <w:numFmt w:val="lowerLetter"/>
      <w:start w:val="13"/>
    </w:lvl>
  </w:abstractNum>
  <w:abstractNum w:abstractNumId="70">
    <w:nsid w:val="6F6DD9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1">
    <w:nsid w:val="94211F2"/>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72">
    <w:nsid w:val="885E1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3">
    <w:nsid w:val="76272110"/>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5"/>
    </w:lvl>
  </w:abstractNum>
  <w:abstractNum w:abstractNumId="74">
    <w:nsid w:val="4C04A8AF"/>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5">
    <w:nsid w:val="1716703B"/>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76">
    <w:nsid w:val="14E17E33"/>
    <w:multiLevelType w:val="hybridMultilevel"/>
    <w:lvl w:ilvl="0">
      <w:lvlJc w:val="left"/>
      <w:lvlText w:val="(%1)"/>
      <w:numFmt w:val="decimal"/>
      <w:start w:val="4"/>
    </w:lvl>
    <w:lvl w:ilvl="1">
      <w:lvlJc w:val="left"/>
      <w:lvlText w:val="(%2)"/>
      <w:numFmt w:val="decimal"/>
      <w:start w:val="5"/>
    </w:lvl>
    <w:lvl w:ilvl="2">
      <w:lvlJc w:val="left"/>
      <w:lvlText w:val="%3"/>
      <w:numFmt w:val="decimal"/>
      <w:start w:val="1"/>
    </w:lvl>
  </w:abstractNum>
  <w:abstractNum w:abstractNumId="77">
    <w:nsid w:val="3222E7CD"/>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78">
    <w:nsid w:val="74DE0EE3"/>
    <w:multiLevelType w:val="hybridMultilevel"/>
    <w:lvl w:ilvl="0">
      <w:lvlJc w:val="left"/>
      <w:lvlText w:val="(%1)"/>
      <w:numFmt w:val="lowerLetter"/>
      <w:start w:val="6"/>
    </w:lvl>
  </w:abstractNum>
  <w:abstractNum w:abstractNumId="79">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80">
    <w:nsid w:val="2DF6D648"/>
    <w:multiLevelType w:val="hybridMultilevel"/>
    <w:lvl w:ilvl="0">
      <w:lvlJc w:val="left"/>
      <w:lvlText w:val="(%1)"/>
      <w:numFmt w:val="lowerLetter"/>
      <w:start w:val="1"/>
    </w:lvl>
    <w:lvl w:ilvl="1">
      <w:lvlJc w:val="left"/>
      <w:lvlText w:val="(%2)"/>
      <w:numFmt w:val="lowerLetter"/>
      <w:start w:val="2"/>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84">
    <w:nsid w:val="57FC4FB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85">
    <w:nsid w:val="CC1016F"/>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86">
    <w:nsid w:val="43F18422"/>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87">
    <w:nsid w:val="60EF011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6"/>
    </w:lvl>
  </w:abstractNum>
  <w:abstractNum w:abstractNumId="88">
    <w:nsid w:val="26F324BA"/>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89">
    <w:nsid w:val="7F0157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0">
    <w:nsid w:val="49DA307D"/>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1"/>
    </w:lvl>
  </w:abstractNum>
  <w:abstractNum w:abstractNumId="91">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92">
    <w:nsid w:val="5FB8370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93">
    <w:nsid w:val="50801EE1"/>
    <w:multiLevelType w:val="hybridMultilevel"/>
    <w:lvl w:ilvl="0">
      <w:lvlJc w:val="left"/>
      <w:lvlText w:val="(%1)"/>
      <w:numFmt w:val="lowerRoman"/>
      <w:start w:val="1"/>
    </w:lvl>
  </w:abstractNum>
  <w:abstractNum w:abstractNumId="94">
    <w:nsid w:val="488AC1A"/>
    <w:multiLevelType w:val="hybridMultilevel"/>
    <w:lvl w:ilvl="0">
      <w:lvlJc w:val="left"/>
      <w:lvlText w:val="(%1)"/>
      <w:numFmt w:val="lowerRoman"/>
      <w:start w:val="2"/>
    </w:lvl>
  </w:abstractNum>
  <w:abstractNum w:abstractNumId="95">
    <w:nsid w:val="5FB8011C"/>
    <w:multiLevelType w:val="hybridMultilevel"/>
    <w:lvl w:ilvl="0">
      <w:lvlJc w:val="left"/>
      <w:lvlText w:val="%1"/>
      <w:numFmt w:val="lowerLetter"/>
      <w:start w:val="1"/>
    </w:lvl>
    <w:lvl w:ilvl="1">
      <w:lvlJc w:val="left"/>
      <w:lvlText w:val="(%2)"/>
      <w:numFmt w:val="lowerLetter"/>
      <w:start w:val="1"/>
    </w:lvl>
  </w:abstractNum>
  <w:abstractNum w:abstractNumId="96">
    <w:nsid w:val="6AA78F7F"/>
    <w:multiLevelType w:val="hybridMultilevel"/>
    <w:lvl w:ilvl="0">
      <w:lvlJc w:val="left"/>
      <w:lvlText w:val="(%1)"/>
      <w:numFmt w:val="lowerLetter"/>
      <w:start w:val="2"/>
    </w:lvl>
    <w:lvl w:ilvl="1">
      <w:lvlJc w:val="left"/>
      <w:lvlText w:val="%2"/>
      <w:numFmt w:val="lowerLetter"/>
      <w:start w:val="1"/>
    </w:lvl>
  </w:abstractNum>
  <w:abstractNum w:abstractNumId="97">
    <w:nsid w:val="7672BD23"/>
    <w:multiLevelType w:val="hybridMultilevel"/>
    <w:lvl w:ilvl="0">
      <w:lvlJc w:val="left"/>
      <w:lvlText w:val="\emdash "/>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2019-12-10T06:33:55Z</dcterms:created>
  <dcterms:modified xsi:type="dcterms:W3CDTF">2019-12-10T06:33:55Z</dcterms:modified>
</cp:coreProperties>
</file>