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160655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September 29, 2022, we announced the financial results for our fourth quarter and full year of fiscal 2022 ended September 1, 2022. The full text of the press release issued in connection with the announcement is attached as Exhibit 99.1 to this Current Report on Form 8-K.</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71"/>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16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3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0000FF"/>
              </w:rPr>
              <w:t>Press Release issued on September 29, 2022</w:t>
            </w:r>
          </w:p>
        </w:tc>
        <w:tc>
          <w:tcPr>
            <w:tcW w:w="14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254"/>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20" w:type="dxa"/>
            <w:vAlign w:val="bottom"/>
          </w:tcPr>
          <w:p>
            <w:pPr>
              <w:spacing w:after="0"/>
              <w:rPr>
                <w:sz w:val="21"/>
                <w:szCs w:val="21"/>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20" w:type="dxa"/>
            <w:vAlign w:val="bottom"/>
          </w:tcPr>
          <w:p>
            <w:pPr>
              <w:spacing w:after="0"/>
              <w:rPr>
                <w:sz w:val="20"/>
                <w:szCs w:val="20"/>
                <w:color w:val="auto"/>
              </w:rPr>
            </w:pPr>
            <w:r>
              <w:rPr>
                <w:rFonts w:ascii="Arial" w:cs="Arial" w:eastAsia="Arial" w:hAnsi="Arial"/>
                <w:sz w:val="18"/>
                <w:szCs w:val="18"/>
                <w:color w:val="auto"/>
              </w:rPr>
              <w:t>Date:   September 29, 2022</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20" w:type="dxa"/>
            <w:vAlign w:val="bottom"/>
          </w:tcPr>
          <w:p>
            <w:pPr>
              <w:spacing w:after="0"/>
              <w:rPr>
                <w:sz w:val="18"/>
                <w:szCs w:val="18"/>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2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95" w:lineRule="exact"/>
              <w:rPr>
                <w:sz w:val="20"/>
                <w:szCs w:val="20"/>
                <w:color w:val="auto"/>
              </w:rPr>
            </w:pPr>
            <w:r>
              <w:rPr>
                <w:rFonts w:ascii="Arial" w:cs="Arial" w:eastAsia="Arial" w:hAnsi="Arial"/>
                <w:sz w:val="18"/>
                <w:szCs w:val="18"/>
                <w:color w:val="0090DA"/>
              </w:rPr>
              <w:t>epompen@micron.com</w:t>
            </w:r>
          </w:p>
        </w:tc>
      </w:tr>
      <w:tr>
        <w:trPr>
          <w:trHeight w:val="254"/>
        </w:trPr>
        <w:tc>
          <w:tcPr>
            <w:tcW w:w="1500" w:type="dxa"/>
            <w:vAlign w:val="bottom"/>
          </w:tcPr>
          <w:p>
            <w:pPr>
              <w:spacing w:after="0"/>
              <w:rPr>
                <w:sz w:val="22"/>
                <w:szCs w:val="22"/>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2"/>
                <w:szCs w:val="22"/>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revenue year in mobile, auto, industrial, and networking markets</w:t>
      </w:r>
    </w:p>
    <w:p>
      <w:pPr>
        <w:spacing w:after="0" w:line="25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September 29, 2022 – Micron Technology, Inc. (Nasdaq: MU) today announced results for its fourth quarter and full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2022, which ended September 1,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2022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$6.64 billion versus $8.64 billion for the prior quarter and $8.27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$1.49 billion, or $1.35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$1.62 billion, or $1.45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$3.78 billion versus $3.84 billion for the prior quarter and $3.88 billion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2022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$30.76 billion versus $27.71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$8.69 billion, or $7.75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$9.48 billion, or $8.35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$15.18 billion versus $12.47 billion for the prior year</w:t>
      </w: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2022, Micron generated record revenue of $30.8 billion and delivered our sixth consecutive year of positive free cash flow, allowing us to return a record $2.9 billion to our shareholders,” said Micron Technology President and CEO Sanjay Mehrotra. “Our technology and manufacturing leadership in both DRAM and NAND, deep customer relationships, diverse product portfolio, and strong balance sheet put Micron on solid footing to navigate the weakened near-term supply-demand environment. We are taking decisive steps to reduce our supply growth including a nearly 50% wafer fab equipment capex cut versus last year, and we expect to emerge from this downcycle well positioned to capitalize on the long-term demand for memory and storage.”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FQ4-22</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FQ3-22</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FQ4-21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FQ4-22</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FQ3-22</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FQ4-21</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6,643</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8,274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6,643</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8,642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8,274</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2,622</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4,035</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2,676</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3,964</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39.5 %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46.7 %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47.3 %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40.3 %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47.4 %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47.9 %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1,101</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891</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3,004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3,144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3,073</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22.9 %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34.8 %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36.4 %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1,621</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2,939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2,778</w:t>
            </w: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00" w:type="dxa"/>
            <w:vAlign w:val="bottom"/>
          </w:tcPr>
          <w:p>
            <w:pPr>
              <w:spacing w:after="0"/>
              <w:rPr>
                <w:sz w:val="22"/>
                <w:szCs w:val="22"/>
                <w:color w:val="auto"/>
              </w:rPr>
            </w:pPr>
          </w:p>
        </w:tc>
        <w:tc>
          <w:tcPr>
            <w:tcW w:w="15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40" w:type="dxa"/>
            <w:vAlign w:val="bottom"/>
            <w:tcBorders>
              <w:bottom w:val="single" w:sz="8" w:color="0090DA"/>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50"/>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22</w:t>
            </w:r>
          </w:p>
        </w:tc>
        <w:tc>
          <w:tcPr>
            <w:tcW w:w="3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FY 21</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FY 22</w:t>
            </w:r>
          </w:p>
        </w:tc>
        <w:tc>
          <w:tcPr>
            <w:tcW w:w="24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21</w:t>
            </w:r>
          </w:p>
        </w:tc>
      </w:tr>
      <w:tr>
        <w:trPr>
          <w:trHeight w:val="34"/>
        </w:trPr>
        <w:tc>
          <w:tcPr>
            <w:tcW w:w="64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340" w:type="dxa"/>
            <w:vAlign w:val="bottom"/>
            <w:tcBorders>
              <w:top w:val="single" w:sz="8" w:color="0090DA"/>
            </w:tcBorders>
          </w:tcPr>
          <w:p>
            <w:pPr>
              <w:spacing w:after="0"/>
              <w:rPr>
                <w:sz w:val="2"/>
                <w:szCs w:val="2"/>
                <w:color w:val="auto"/>
              </w:rPr>
            </w:pPr>
          </w:p>
        </w:tc>
        <w:tc>
          <w:tcPr>
            <w:tcW w:w="8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30,758</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27,705</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   30,758</w:t>
            </w:r>
          </w:p>
        </w:tc>
        <w:tc>
          <w:tcPr>
            <w:tcW w:w="24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27,705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13,898</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14,113</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10,987</w:t>
            </w: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45.2 %</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37.6 %</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45.9 %</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39.7 %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4,196</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3,832</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3,320</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9,702</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10,281</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7,667</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31.5 %</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22.7 %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33.4 %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27.7 %</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8,687</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9,475</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6,976</w:t>
            </w: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7.75</w:t>
            </w:r>
          </w:p>
        </w:tc>
        <w:tc>
          <w:tcPr>
            <w:tcW w:w="3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6.06</w:t>
            </w:r>
          </w:p>
        </w:tc>
      </w:tr>
    </w:tbl>
    <w:p>
      <w:pPr>
        <w:spacing w:after="0" w:line="30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Investments in capital expenditures, net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were $3.58 billion for the fourth quarter of 2022 and $11.98 billion for the full year of 2022, which resulted in adjusted free cash flows</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$196 million for the fourth quarter of 2022 and $3.21 billion for the full year of 2022. Micron repurchased approximately 13.2 million shares of its common stock for $784 million during the fourth quarter of 2022 and 35.4 million shares of its common stock for $2.43 billion during the full year of 2022 and ended the year with cash, marketable investments, and restricted cash of $11.06 billion, for a net cash</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position of $4.15 billion. On September 29, 2022, Micron’s Board of Directors declared a quarterly dividend of $0.115 per share, payable in cash on October 26, 2022, to shareholders of record as of the close of business on October 11,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3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2023:</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3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FQ1-23</w:t>
            </w:r>
          </w:p>
        </w:tc>
        <w:tc>
          <w:tcPr>
            <w:tcW w:w="2620" w:type="dxa"/>
            <w:vAlign w:val="bottom"/>
            <w:tcBorders>
              <w:bottom w:val="single" w:sz="8" w:color="0090DA"/>
            </w:tcBorders>
          </w:tcPr>
          <w:p>
            <w:pPr>
              <w:jc w:val="right"/>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$4.25 billion ± $250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$4.25 billion ± $250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spacing w:after="0"/>
              <w:rPr>
                <w:sz w:val="20"/>
                <w:szCs w:val="20"/>
                <w:color w:val="auto"/>
              </w:rPr>
            </w:pPr>
            <w:r>
              <w:rPr>
                <w:rFonts w:ascii="Arial" w:cs="Arial" w:eastAsia="Arial" w:hAnsi="Arial"/>
                <w:sz w:val="18"/>
                <w:szCs w:val="18"/>
                <w:color w:val="auto"/>
              </w:rPr>
              <w:t>25.0% ± 2.0%</w:t>
            </w:r>
          </w:p>
        </w:tc>
        <w:tc>
          <w:tcPr>
            <w:tcW w:w="2240" w:type="dxa"/>
            <w:vAlign w:val="bottom"/>
          </w:tcPr>
          <w:p>
            <w:pPr>
              <w:jc w:val="right"/>
              <w:spacing w:after="0"/>
              <w:rPr>
                <w:sz w:val="20"/>
                <w:szCs w:val="20"/>
                <w:color w:val="auto"/>
              </w:rPr>
            </w:pPr>
            <w:r>
              <w:rPr>
                <w:rFonts w:ascii="Arial" w:cs="Arial" w:eastAsia="Arial" w:hAnsi="Arial"/>
                <w:sz w:val="18"/>
                <w:szCs w:val="18"/>
                <w:color w:val="auto"/>
              </w:rPr>
              <w:t>26.0% ± 2.0%</w:t>
            </w:r>
          </w:p>
        </w:tc>
      </w:tr>
      <w:tr>
        <w:trPr>
          <w:trHeight w:val="229"/>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$1.09 billion ± $25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 billion ± $25 million</w:t>
            </w: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20" w:type="dxa"/>
            <w:vAlign w:val="bottom"/>
          </w:tcPr>
          <w:p>
            <w:pPr>
              <w:jc w:val="right"/>
              <w:spacing w:after="0"/>
              <w:rPr>
                <w:sz w:val="20"/>
                <w:szCs w:val="20"/>
                <w:color w:val="auto"/>
              </w:rPr>
            </w:pPr>
            <w:r>
              <w:rPr>
                <w:rFonts w:ascii="Arial" w:cs="Arial" w:eastAsia="Arial" w:hAnsi="Arial"/>
                <w:sz w:val="18"/>
                <w:szCs w:val="18"/>
                <w:color w:val="auto"/>
              </w:rPr>
              <w:t>($0.09) ± $0.10</w:t>
            </w:r>
          </w:p>
        </w:tc>
        <w:tc>
          <w:tcPr>
            <w:tcW w:w="2240" w:type="dxa"/>
            <w:vAlign w:val="bottom"/>
          </w:tcPr>
          <w:p>
            <w:pPr>
              <w:jc w:val="right"/>
              <w:spacing w:after="0"/>
              <w:rPr>
                <w:sz w:val="20"/>
                <w:szCs w:val="20"/>
                <w:color w:val="auto"/>
              </w:rPr>
            </w:pPr>
            <w:r>
              <w:rPr>
                <w:rFonts w:ascii="Arial" w:cs="Arial" w:eastAsia="Arial" w:hAnsi="Arial"/>
                <w:sz w:val="18"/>
                <w:szCs w:val="18"/>
                <w:color w:val="auto"/>
              </w:rPr>
              <w:t>$0.04 ± $0.10</w:t>
            </w:r>
          </w:p>
        </w:tc>
      </w:tr>
    </w:tbl>
    <w:p>
      <w:pPr>
        <w:spacing w:after="0" w:line="29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Micron will host a conference call on Thursday, September 29, 2022 at 2:30 p.m. Mountain Time to discuss its fourth quarter financial results and provide forward-looking guidance for its first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04"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2022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7"/>
          <w:szCs w:val="17"/>
          <w:u w:val="single" w:color="auto"/>
          <w:color w:val="0090DA"/>
        </w:rPr>
        <w:t>micron.com/certainfactors</w:t>
      </w:r>
      <w:r>
        <w:rPr>
          <w:rFonts w:ascii="Arial" w:cs="Arial" w:eastAsia="Arial" w:hAnsi="Arial"/>
          <w:sz w:val="17"/>
          <w:szCs w:val="17"/>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300" w:type="dxa"/>
            <w:vAlign w:val="bottom"/>
          </w:tcPr>
          <w:p>
            <w:pPr>
              <w:spacing w:after="0"/>
              <w:rPr>
                <w:sz w:val="19"/>
                <w:szCs w:val="19"/>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1"/>
        </w:trPr>
        <w:tc>
          <w:tcPr>
            <w:tcW w:w="4580" w:type="dxa"/>
            <w:vAlign w:val="bottom"/>
          </w:tcPr>
          <w:p>
            <w:pPr>
              <w:spacing w:after="0"/>
              <w:rPr>
                <w:sz w:val="15"/>
                <w:szCs w:val="15"/>
                <w:color w:val="auto"/>
              </w:rPr>
            </w:pP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24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June 2,</w:t>
            </w: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2,</w:t>
            </w:r>
          </w:p>
        </w:tc>
        <w:tc>
          <w:tcPr>
            <w:tcW w:w="1340" w:type="dxa"/>
            <w:vAlign w:val="bottom"/>
            <w:gridSpan w:val="2"/>
          </w:tcPr>
          <w:p>
            <w:pPr>
              <w:jc w:val="right"/>
              <w:ind w:right="10"/>
              <w:spacing w:after="0" w:line="181" w:lineRule="exact"/>
              <w:rPr>
                <w:sz w:val="20"/>
                <w:szCs w:val="20"/>
                <w:color w:val="auto"/>
              </w:rPr>
            </w:pPr>
            <w:r>
              <w:rPr>
                <w:rFonts w:ascii="Arial" w:cs="Arial" w:eastAsia="Arial" w:hAnsi="Arial"/>
                <w:sz w:val="18"/>
                <w:szCs w:val="18"/>
                <w:b w:val="1"/>
                <w:bCs w:val="1"/>
                <w:color w:val="auto"/>
              </w:rPr>
              <w:t>September 1,</w:t>
            </w:r>
          </w:p>
        </w:tc>
        <w:tc>
          <w:tcPr>
            <w:tcW w:w="1340" w:type="dxa"/>
            <w:vAlign w:val="bottom"/>
            <w:gridSpan w:val="2"/>
          </w:tcPr>
          <w:p>
            <w:pPr>
              <w:jc w:val="right"/>
              <w:ind w:right="10"/>
              <w:spacing w:after="0" w:line="181" w:lineRule="exact"/>
              <w:rPr>
                <w:sz w:val="20"/>
                <w:szCs w:val="20"/>
                <w:color w:val="auto"/>
              </w:rPr>
            </w:pPr>
            <w:r>
              <w:rPr>
                <w:rFonts w:ascii="Arial" w:cs="Arial" w:eastAsia="Arial" w:hAnsi="Arial"/>
                <w:sz w:val="18"/>
                <w:szCs w:val="18"/>
                <w:b w:val="1"/>
                <w:bCs w:val="1"/>
                <w:color w:val="auto"/>
              </w:rPr>
              <w:t>September 2,</w:t>
            </w:r>
          </w:p>
        </w:tc>
      </w:tr>
      <w:tr>
        <w:trPr>
          <w:trHeight w:val="243"/>
        </w:trPr>
        <w:tc>
          <w:tcPr>
            <w:tcW w:w="458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34"/>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8,274</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6,283</w:t>
            </w:r>
          </w:p>
        </w:tc>
      </w:tr>
      <w:tr>
        <w:trPr>
          <w:trHeight w:val="256"/>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6,218</w:t>
            </w:r>
          </w:p>
        </w:tc>
      </w:tr>
      <w:tr>
        <w:trPr>
          <w:trHeight w:val="257"/>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57"/>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r>
      <w:tr>
        <w:trPr>
          <w:trHeight w:val="23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1,</w:t>
            </w:r>
          </w:p>
        </w:tc>
        <w:tc>
          <w:tcPr>
            <w:tcW w:w="24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0090DA"/>
            </w:tcBorders>
            <w:vMerge w:val="continue"/>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9,157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5,629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21,781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22,708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38,549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36,665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5,788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6,856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16,376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16,015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47,274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45,916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(6,343)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49,907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49,281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2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Restructure and asset impairment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(12,067)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(11,585)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(2,980)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5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Texas Instruments Incorporated ("TI”) and closed the sale on October 22, 2021.</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The impairment charge was based on Level 3 inputs including expected consideration and the composition of assets included in the sale, which were derived from the agreement with TI. We also recognized a charge of $49 million to cost of goods sold in 2021 to write down 3D XPoint inventory due to our decision to cease further development of this technology. Our 3D XPoint technology development and Lehi facility operations were primarily included in our CNBU segment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November 1, 2021, we issued in a public offering $ 1.00 billion in principal amount of 2.703% senior notes due 2032 (green bonds), $500 million in principal amount of 3.366% senior notes due 2041, and $500 million in principal amount of 3.477% senior notes due 2051, and received aggregate net proceeds of $1.99 billion.</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On November 17, 2021, we redeemed $1.25 billion in principal amount of our 2.497% senior notes due 2023 and $600 million in principal amount of our 4.640% senior notes due 2024 for $1.93 billion in cash and recognized a non-operating loss of $83 million.</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4th Qtr.</w:t>
            </w:r>
          </w:p>
        </w:tc>
        <w:tc>
          <w:tcPr>
            <w:tcW w:w="22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4th Qtr.</w:t>
            </w:r>
          </w:p>
        </w:tc>
        <w:tc>
          <w:tcPr>
            <w:tcW w:w="280" w:type="dxa"/>
            <w:vAlign w:val="bottom"/>
          </w:tcPr>
          <w:p>
            <w:pPr>
              <w:spacing w:after="0"/>
              <w:rPr>
                <w:sz w:val="19"/>
                <w:szCs w:val="19"/>
                <w:color w:val="auto"/>
              </w:rPr>
            </w:pPr>
          </w:p>
        </w:tc>
        <w:tc>
          <w:tcPr>
            <w:tcW w:w="23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220" w:type="dxa"/>
            <w:vAlign w:val="bottom"/>
          </w:tcPr>
          <w:p>
            <w:pPr>
              <w:spacing w:after="0"/>
              <w:rPr>
                <w:sz w:val="15"/>
                <w:szCs w:val="15"/>
                <w:color w:val="auto"/>
              </w:rPr>
            </w:pPr>
          </w:p>
        </w:tc>
        <w:tc>
          <w:tcPr>
            <w:tcW w:w="106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9"/>
              </w:rPr>
              <w:t>June 2,</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September 2,</w:t>
            </w:r>
          </w:p>
        </w:tc>
        <w:tc>
          <w:tcPr>
            <w:tcW w:w="130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rPr>
              <w:t>September 1,</w:t>
            </w:r>
          </w:p>
        </w:tc>
        <w:tc>
          <w:tcPr>
            <w:tcW w:w="132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2,676</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4,097</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3,964</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14,113</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0"/>
        </w:trPr>
        <w:tc>
          <w:tcPr>
            <w:tcW w:w="47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957</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4,196</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8,687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(Gain) loss on debt repurchases and conversions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Impact of Idaho income tax reform</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GAAP weighted-average common shares outstanding</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1,122</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 Diluted</w:t>
            </w:r>
          </w:p>
        </w:tc>
        <w:tc>
          <w:tcPr>
            <w:tcW w:w="2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Non-GAAP weighted-average common shares</w:t>
            </w:r>
          </w:p>
        </w:tc>
        <w:tc>
          <w:tcPr>
            <w:tcW w:w="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outstanding - Diluted</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6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90" w:right="339" w:bottom="1440" w:gutter="0" w:footer="0" w:header="0"/>
          <w:type w:val="continuous"/>
        </w:sectPr>
      </w:pPr>
    </w:p>
    <w:bookmarkStart w:id="11" w:name="page12"/>
    <w:bookmarkEnd w:id="11"/>
    <w:tbl>
      <w:tblPr>
        <w:tblLayout w:type="fixed"/>
        <w:tblInd w:w="120" w:type="dxa"/>
        <w:tblCellMar>
          <w:top w:w="0" w:type="dxa"/>
          <w:left w:w="0" w:type="dxa"/>
          <w:bottom w:w="0" w:type="dxa"/>
          <w:right w:w="0" w:type="dxa"/>
        </w:tblCellMar>
      </w:tblPr>
      <w:tr>
        <w:trPr>
          <w:trHeight w:val="247"/>
        </w:trPr>
        <w:tc>
          <w:tcPr>
            <w:tcW w:w="8660" w:type="dxa"/>
            <w:vAlign w:val="bottom"/>
            <w:gridSpan w:val="8"/>
          </w:tcPr>
          <w:p>
            <w:pPr>
              <w:ind w:left="278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4th Qtr.</w:t>
            </w:r>
          </w:p>
        </w:tc>
        <w:tc>
          <w:tcPr>
            <w:tcW w:w="260" w:type="dxa"/>
            <w:vAlign w:val="bottom"/>
          </w:tcPr>
          <w:p>
            <w:pPr>
              <w:spacing w:after="0"/>
              <w:rPr>
                <w:sz w:val="24"/>
                <w:szCs w:val="24"/>
                <w:color w:val="auto"/>
              </w:rPr>
            </w:pP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2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1,</w:t>
            </w:r>
          </w:p>
        </w:tc>
        <w:tc>
          <w:tcPr>
            <w:tcW w:w="240" w:type="dxa"/>
            <w:vAlign w:val="bottom"/>
          </w:tcPr>
          <w:p>
            <w:pPr>
              <w:spacing w:after="0"/>
              <w:rPr>
                <w:sz w:val="15"/>
                <w:szCs w:val="15"/>
                <w:color w:val="auto"/>
              </w:rPr>
            </w:pPr>
          </w:p>
        </w:tc>
        <w:tc>
          <w:tcPr>
            <w:tcW w:w="106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9"/>
              </w:rPr>
              <w:t>June 2,</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September 2,</w:t>
            </w: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rPr>
              <w:t>September 1,</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0090DA"/>
            </w:tcBorders>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30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3,777</w:t>
            </w:r>
          </w:p>
        </w:tc>
        <w:tc>
          <w:tcPr>
            <w:tcW w:w="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3,884</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15,181</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(3,613)</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(2,578)</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(12,067)</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Amounts funded by partners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4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(3,581)</w:t>
            </w:r>
          </w:p>
        </w:tc>
        <w:tc>
          <w:tcPr>
            <w:tcW w:w="2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(2,528)</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(2,007)</w:t>
            </w:r>
          </w:p>
        </w:tc>
        <w:tc>
          <w:tcPr>
            <w:tcW w:w="2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(11,976)</w:t>
            </w: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1,</w:t>
            </w:r>
          </w:p>
        </w:tc>
        <w:tc>
          <w:tcPr>
            <w:tcW w:w="260" w:type="dxa"/>
            <w:vAlign w:val="bottom"/>
          </w:tcPr>
          <w:p>
            <w:pPr>
              <w:spacing w:after="0"/>
              <w:rPr>
                <w:sz w:val="24"/>
                <w:szCs w:val="24"/>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June 2,</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0090DA"/>
            </w:tcBorders>
            <w:vMerge w:val="continue"/>
          </w:tcPr>
          <w:p>
            <w:pPr>
              <w:spacing w:after="0"/>
              <w:rPr>
                <w:sz w:val="21"/>
                <w:szCs w:val="21"/>
                <w:color w:val="auto"/>
              </w:rPr>
            </w:pPr>
          </w:p>
        </w:tc>
        <w:tc>
          <w:tcPr>
            <w:tcW w:w="22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30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140"/>
        <w:spacing w:after="0"/>
        <w:rPr>
          <w:sz w:val="20"/>
          <w:szCs w:val="20"/>
          <w:color w:val="auto"/>
        </w:rPr>
      </w:pPr>
      <w:r>
        <w:rPr>
          <w:rFonts w:ascii="Arial" w:cs="Arial" w:eastAsia="Arial" w:hAnsi="Arial"/>
          <w:sz w:val="18"/>
          <w:szCs w:val="18"/>
          <w:color w:val="auto"/>
        </w:rPr>
        <w:t>Cash and short-term 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and long-term debt</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8,633</w:t>
            </w:r>
          </w:p>
        </w:tc>
      </w:tr>
      <w:tr>
        <w:trPr>
          <w:trHeight w:val="229"/>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35"/>
        </w:trPr>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-770890</wp:posOffset>
            </wp:positionV>
            <wp:extent cx="700341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14605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-479425</wp:posOffset>
            </wp:positionV>
            <wp:extent cx="700341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-187960</wp:posOffset>
            </wp:positionV>
            <wp:extent cx="70034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20"/>
          </w:cols>
          <w:pgMar w:left="320" w:top="890" w:right="339" w:bottom="1440" w:gutter="0" w:footer="0" w:header="0"/>
          <w:type w:val="continuous"/>
        </w:sectPr>
      </w:pPr>
    </w:p>
    <w:p>
      <w:pPr>
        <w:spacing w:after="0" w:line="1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 and 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50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90"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r>
              <w:rPr>
                <w:rFonts w:ascii="Arial" w:cs="Arial" w:eastAsia="Arial" w:hAnsi="Arial"/>
                <w:sz w:val="18"/>
                <w:szCs w:val="18"/>
                <w:b w:val="1"/>
                <w:bCs w:val="1"/>
                <w:color w:val="auto"/>
              </w:rPr>
              <w:t>FQ1-23</w:t>
            </w:r>
          </w:p>
        </w:tc>
        <w:tc>
          <w:tcPr>
            <w:tcW w:w="2360" w:type="dxa"/>
            <w:vAlign w:val="bottom"/>
            <w:gridSpan w:val="2"/>
          </w:tcPr>
          <w:p>
            <w:pPr>
              <w:ind w:left="500"/>
              <w:spacing w:after="0"/>
              <w:rPr>
                <w:sz w:val="20"/>
                <w:szCs w:val="20"/>
                <w:color w:val="auto"/>
              </w:rPr>
            </w:pPr>
            <w:r>
              <w:rPr>
                <w:rFonts w:ascii="Arial" w:cs="Arial" w:eastAsia="Arial" w:hAnsi="Arial"/>
                <w:sz w:val="18"/>
                <w:szCs w:val="18"/>
                <w:b w:val="1"/>
                <w:bCs w:val="1"/>
                <w:color w:val="auto"/>
              </w:rPr>
              <w:t>GAAP Outlook</w:t>
            </w:r>
          </w:p>
        </w:tc>
        <w:tc>
          <w:tcPr>
            <w:tcW w:w="24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Adjustments</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040" w:type="dxa"/>
            <w:vAlign w:val="bottom"/>
            <w:tcBorders>
              <w:top w:val="single" w:sz="8" w:color="0090DA"/>
            </w:tcBorders>
          </w:tcPr>
          <w:p>
            <w:pPr>
              <w:spacing w:after="0"/>
              <w:rPr>
                <w:sz w:val="2"/>
                <w:szCs w:val="2"/>
                <w:color w:val="auto"/>
              </w:rPr>
            </w:pPr>
          </w:p>
        </w:tc>
        <w:tc>
          <w:tcPr>
            <w:tcW w:w="224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r>
      <w:tr>
        <w:trPr>
          <w:trHeight w:val="229"/>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$4.25 billion ± $250 million</w:t>
            </w:r>
          </w:p>
        </w:tc>
        <w:tc>
          <w:tcPr>
            <w:tcW w:w="2480" w:type="dxa"/>
            <w:vAlign w:val="bottom"/>
            <w:gridSpan w:val="3"/>
            <w:shd w:val="clear" w:color="auto" w:fill="CBCBCB"/>
          </w:tcPr>
          <w:p>
            <w:pPr>
              <w:jc w:val="right"/>
              <w:ind w:right="119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BCBCB"/>
          </w:tcPr>
          <w:p>
            <w:pPr>
              <w:jc w:val="right"/>
              <w:spacing w:after="0"/>
              <w:rPr>
                <w:sz w:val="20"/>
                <w:szCs w:val="20"/>
                <w:color w:val="auto"/>
              </w:rPr>
            </w:pPr>
            <w:r>
              <w:rPr>
                <w:rFonts w:ascii="Arial" w:cs="Arial" w:eastAsia="Arial" w:hAnsi="Arial"/>
                <w:sz w:val="18"/>
                <w:szCs w:val="18"/>
                <w:color w:val="auto"/>
                <w:w w:val="99"/>
              </w:rPr>
              <w:t>$4.25 billion ± $250 million</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tcPr>
          <w:p>
            <w:pPr>
              <w:jc w:val="right"/>
              <w:spacing w:after="0"/>
              <w:rPr>
                <w:sz w:val="20"/>
                <w:szCs w:val="20"/>
                <w:color w:val="auto"/>
              </w:rPr>
            </w:pPr>
            <w:r>
              <w:rPr>
                <w:rFonts w:ascii="Arial" w:cs="Arial" w:eastAsia="Arial" w:hAnsi="Arial"/>
                <w:sz w:val="18"/>
                <w:szCs w:val="18"/>
                <w:color w:val="auto"/>
              </w:rPr>
              <w:t>25.0% ± 2.0%</w:t>
            </w:r>
          </w:p>
        </w:tc>
        <w:tc>
          <w:tcPr>
            <w:tcW w:w="120" w:type="dxa"/>
            <w:vAlign w:val="bottom"/>
          </w:tcPr>
          <w:p>
            <w:pPr>
              <w:spacing w:after="0"/>
              <w:rPr>
                <w:sz w:val="19"/>
                <w:szCs w:val="19"/>
                <w:color w:val="auto"/>
              </w:rPr>
            </w:pPr>
          </w:p>
        </w:tc>
        <w:tc>
          <w:tcPr>
            <w:tcW w:w="2480" w:type="dxa"/>
            <w:vAlign w:val="bottom"/>
            <w:gridSpan w:val="3"/>
          </w:tcPr>
          <w:p>
            <w:pPr>
              <w:jc w:val="right"/>
              <w:ind w:right="970"/>
              <w:spacing w:after="0"/>
              <w:rPr>
                <w:sz w:val="20"/>
                <w:szCs w:val="20"/>
                <w:color w:val="auto"/>
              </w:rPr>
            </w:pPr>
            <w:r>
              <w:rPr>
                <w:rFonts w:ascii="Arial" w:cs="Arial" w:eastAsia="Arial" w:hAnsi="Arial"/>
                <w:sz w:val="18"/>
                <w:szCs w:val="18"/>
                <w:color w:val="auto"/>
              </w:rPr>
              <w:t>1% A</w:t>
            </w:r>
          </w:p>
        </w:tc>
        <w:tc>
          <w:tcPr>
            <w:tcW w:w="2140" w:type="dxa"/>
            <w:vAlign w:val="bottom"/>
          </w:tcPr>
          <w:p>
            <w:pPr>
              <w:jc w:val="right"/>
              <w:spacing w:after="0"/>
              <w:rPr>
                <w:sz w:val="20"/>
                <w:szCs w:val="20"/>
                <w:color w:val="auto"/>
              </w:rPr>
            </w:pPr>
            <w:r>
              <w:rPr>
                <w:rFonts w:ascii="Arial" w:cs="Arial" w:eastAsia="Arial" w:hAnsi="Arial"/>
                <w:sz w:val="18"/>
                <w:szCs w:val="18"/>
                <w:color w:val="auto"/>
              </w:rPr>
              <w:t>26.0% ± 2.0%</w:t>
            </w:r>
          </w:p>
        </w:tc>
      </w:tr>
      <w:tr>
        <w:trPr>
          <w:trHeight w:val="230"/>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$1.09 billion ± $25 million</w:t>
            </w:r>
          </w:p>
        </w:tc>
        <w:tc>
          <w:tcPr>
            <w:tcW w:w="2480" w:type="dxa"/>
            <w:vAlign w:val="bottom"/>
            <w:gridSpan w:val="3"/>
            <w:shd w:val="clear" w:color="auto" w:fill="CBCBCB"/>
          </w:tcPr>
          <w:p>
            <w:pPr>
              <w:jc w:val="right"/>
              <w:ind w:right="970"/>
              <w:spacing w:after="0"/>
              <w:rPr>
                <w:sz w:val="20"/>
                <w:szCs w:val="20"/>
                <w:color w:val="auto"/>
              </w:rPr>
            </w:pPr>
            <w:r>
              <w:rPr>
                <w:rFonts w:ascii="Arial" w:cs="Arial" w:eastAsia="Arial" w:hAnsi="Arial"/>
                <w:sz w:val="18"/>
                <w:szCs w:val="18"/>
                <w:color w:val="auto"/>
              </w:rPr>
              <w:t>$91 million B</w:t>
            </w:r>
          </w:p>
        </w:tc>
        <w:tc>
          <w:tcPr>
            <w:tcW w:w="2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 billion ± $25 million</w:t>
            </w:r>
          </w:p>
        </w:tc>
      </w:tr>
      <w:tr>
        <w:trPr>
          <w:trHeight w:val="311"/>
        </w:trPr>
        <w:tc>
          <w:tcPr>
            <w:tcW w:w="40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240" w:type="dxa"/>
            <w:vAlign w:val="bottom"/>
          </w:tcPr>
          <w:p>
            <w:pPr>
              <w:jc w:val="right"/>
              <w:spacing w:after="0"/>
              <w:rPr>
                <w:sz w:val="20"/>
                <w:szCs w:val="20"/>
                <w:color w:val="auto"/>
              </w:rPr>
            </w:pPr>
            <w:r>
              <w:rPr>
                <w:rFonts w:ascii="Arial" w:cs="Arial" w:eastAsia="Arial" w:hAnsi="Arial"/>
                <w:sz w:val="18"/>
                <w:szCs w:val="18"/>
                <w:color w:val="auto"/>
              </w:rPr>
              <w:t>($0.09) ± $0.10</w:t>
            </w:r>
          </w:p>
        </w:tc>
        <w:tc>
          <w:tcPr>
            <w:tcW w:w="120" w:type="dxa"/>
            <w:vAlign w:val="bottom"/>
          </w:tcPr>
          <w:p>
            <w:pPr>
              <w:spacing w:after="0"/>
              <w:rPr>
                <w:sz w:val="24"/>
                <w:szCs w:val="24"/>
                <w:color w:val="auto"/>
              </w:rPr>
            </w:pPr>
          </w:p>
        </w:tc>
        <w:tc>
          <w:tcPr>
            <w:tcW w:w="2480" w:type="dxa"/>
            <w:vAlign w:val="bottom"/>
            <w:gridSpan w:val="3"/>
          </w:tcPr>
          <w:p>
            <w:pPr>
              <w:jc w:val="right"/>
              <w:ind w:right="510"/>
              <w:spacing w:after="0"/>
              <w:rPr>
                <w:sz w:val="20"/>
                <w:szCs w:val="20"/>
                <w:color w:val="auto"/>
              </w:rPr>
            </w:pPr>
            <w:r>
              <w:rPr>
                <w:rFonts w:ascii="Arial" w:cs="Arial" w:eastAsia="Arial" w:hAnsi="Arial"/>
                <w:sz w:val="18"/>
                <w:szCs w:val="18"/>
                <w:color w:val="auto"/>
              </w:rPr>
              <w:t>$0.13 A, B, C</w:t>
            </w:r>
          </w:p>
        </w:tc>
        <w:tc>
          <w:tcPr>
            <w:tcW w:w="2140" w:type="dxa"/>
            <w:vAlign w:val="bottom"/>
          </w:tcPr>
          <w:p>
            <w:pPr>
              <w:jc w:val="right"/>
              <w:spacing w:after="0"/>
              <w:rPr>
                <w:sz w:val="20"/>
                <w:szCs w:val="20"/>
                <w:color w:val="auto"/>
              </w:rPr>
            </w:pPr>
            <w:r>
              <w:rPr>
                <w:rFonts w:ascii="Arial" w:cs="Arial" w:eastAsia="Arial" w:hAnsi="Arial"/>
                <w:sz w:val="18"/>
                <w:szCs w:val="18"/>
                <w:color w:val="auto"/>
              </w:rPr>
              <w:t>$0.04 ± $0.10</w:t>
            </w: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40"/>
        </w:trPr>
        <w:tc>
          <w:tcPr>
            <w:tcW w:w="4040" w:type="dxa"/>
            <w:vAlign w:val="bottom"/>
            <w:tcBorders>
              <w:bottom w:val="single" w:sz="8" w:color="0090DA"/>
            </w:tcBorders>
          </w:tcPr>
          <w:p>
            <w:pPr>
              <w:spacing w:after="0"/>
              <w:rPr>
                <w:sz w:val="20"/>
                <w:szCs w:val="20"/>
                <w:color w:val="auto"/>
              </w:rPr>
            </w:pPr>
            <w:r>
              <w:rPr>
                <w:rFonts w:ascii="Arial" w:cs="Arial" w:eastAsia="Arial" w:hAnsi="Arial"/>
                <w:sz w:val="18"/>
                <w:szCs w:val="18"/>
                <w:i w:val="1"/>
                <w:iCs w:val="1"/>
                <w:color w:val="auto"/>
              </w:rPr>
              <w:t>(in millions)</w:t>
            </w:r>
          </w:p>
        </w:tc>
        <w:tc>
          <w:tcPr>
            <w:tcW w:w="224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2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2140" w:type="dxa"/>
            <w:vAlign w:val="bottom"/>
            <w:tcBorders>
              <w:bottom w:val="single" w:sz="8" w:color="0090DA"/>
            </w:tcBorders>
          </w:tcPr>
          <w:p>
            <w:pPr>
              <w:spacing w:after="0"/>
              <w:rPr>
                <w:sz w:val="20"/>
                <w:szCs w:val="20"/>
                <w:color w:val="auto"/>
              </w:rPr>
            </w:pPr>
          </w:p>
        </w:tc>
      </w:tr>
      <w:tr>
        <w:trPr>
          <w:trHeight w:val="37"/>
        </w:trPr>
        <w:tc>
          <w:tcPr>
            <w:tcW w:w="40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29"/>
        </w:trPr>
        <w:tc>
          <w:tcPr>
            <w:tcW w:w="64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48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400" w:type="dxa"/>
            <w:vAlign w:val="bottom"/>
            <w:gridSpan w:val="3"/>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40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tcBorders>
              <w:bottom w:val="single" w:sz="8" w:color="auto"/>
            </w:tcBorders>
            <w:shd w:val="clear" w:color="auto" w:fill="D1D2D4"/>
          </w:tcPr>
          <w:p>
            <w:pPr>
              <w:spacing w:after="0"/>
              <w:rPr>
                <w:sz w:val="19"/>
                <w:szCs w:val="19"/>
                <w:color w:val="auto"/>
              </w:rPr>
            </w:pPr>
          </w:p>
        </w:tc>
        <w:tc>
          <w:tcPr>
            <w:tcW w:w="2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0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
        </w:trPr>
        <w:tc>
          <w:tcPr>
            <w:tcW w:w="4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1.10 billion diluted shares and non-GAAP earnings per share based on approximately 1.12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2022-09-29T15:09:52Z</dcterms:created>
  <dcterms:modified xsi:type="dcterms:W3CDTF">2022-09-29T15:09:52Z</dcterms:modified>
</cp:coreProperties>
</file>