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333-220882</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6555F"/>
        </w:rPr>
        <w:t>Subject to completion, dated October 10, 2017.</w:t>
      </w:r>
    </w:p>
    <w:p>
      <w:pPr>
        <w:spacing w:after="0" w:line="212" w:lineRule="exact"/>
        <w:rPr>
          <w:sz w:val="24"/>
          <w:szCs w:val="24"/>
          <w:color w:val="auto"/>
        </w:rPr>
      </w:pPr>
    </w:p>
    <w:p>
      <w:pPr>
        <w:ind w:right="200"/>
        <w:spacing w:after="0" w:line="244" w:lineRule="auto"/>
        <w:rPr>
          <w:sz w:val="20"/>
          <w:szCs w:val="20"/>
          <w:color w:val="auto"/>
        </w:rPr>
      </w:pPr>
      <w:r>
        <w:rPr>
          <w:rFonts w:ascii="Arial" w:cs="Arial" w:eastAsia="Arial" w:hAnsi="Arial"/>
          <w:sz w:val="18"/>
          <w:szCs w:val="18"/>
          <w:b w:val="1"/>
          <w:bCs w:val="1"/>
          <w:color w:val="A6555F"/>
        </w:rPr>
        <w:t>The information in this preliminary prospectus supplement and the accompanying prospectus is not complete and may be changed. A registration statement relating to these shares of common stock has become effective under the Securities Act of 1933, as amended. This preliminary prospectus supplement is not an offer to sell shares of common stock and it is not soliciting an offer to buy shares of common stock in any jurisdiction where the offer or sale is not permitted.</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172"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257302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Micron Technology, Inc.</w:t>
      </w:r>
    </w:p>
    <w:p>
      <w:pPr>
        <w:spacing w:after="0" w:line="226"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266" w:lineRule="exact"/>
        <w:rPr>
          <w:sz w:val="24"/>
          <w:szCs w:val="24"/>
          <w:color w:val="auto"/>
        </w:rPr>
      </w:pPr>
    </w:p>
    <w:p>
      <w:pPr>
        <w:ind w:right="580"/>
        <w:spacing w:after="0" w:line="239" w:lineRule="auto"/>
        <w:rPr>
          <w:sz w:val="20"/>
          <w:szCs w:val="20"/>
          <w:color w:val="auto"/>
        </w:rPr>
      </w:pPr>
      <w:r>
        <w:rPr>
          <w:rFonts w:ascii="Arial" w:cs="Arial" w:eastAsia="Arial" w:hAnsi="Arial"/>
          <w:sz w:val="18"/>
          <w:szCs w:val="18"/>
          <w:color w:val="auto"/>
        </w:rPr>
        <w:t>We are offering shares of our common stock with an aggregate offering price of approximately $1,000,000,000 as described in this prospectus supplement and the accompanying prospectus.</w:t>
      </w:r>
    </w:p>
    <w:p>
      <w:pPr>
        <w:spacing w:after="0" w:line="209" w:lineRule="exact"/>
        <w:rPr>
          <w:sz w:val="24"/>
          <w:szCs w:val="24"/>
          <w:color w:val="auto"/>
        </w:rPr>
      </w:pPr>
    </w:p>
    <w:p>
      <w:pPr>
        <w:ind w:right="360"/>
        <w:spacing w:after="0" w:line="239"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bottom w:val="single" w:sz="8" w:color="auto"/>
            </w:tcBorders>
          </w:tcPr>
          <w:p>
            <w:pPr>
              <w:spacing w:after="0"/>
              <w:rPr>
                <w:sz w:val="21"/>
                <w:szCs w:val="21"/>
                <w:color w:val="auto"/>
              </w:rPr>
            </w:pPr>
          </w:p>
        </w:tc>
        <w:tc>
          <w:tcPr>
            <w:tcW w:w="3640" w:type="dxa"/>
            <w:vAlign w:val="bottom"/>
            <w:tcBorders>
              <w:top w:val="single" w:sz="8" w:color="auto"/>
              <w:bottom w:val="single" w:sz="8" w:color="auto"/>
            </w:tcBorders>
          </w:tcPr>
          <w:p>
            <w:pPr>
              <w:ind w:left="2320"/>
              <w:spacing w:after="0"/>
              <w:rPr>
                <w:sz w:val="20"/>
                <w:szCs w:val="20"/>
                <w:color w:val="auto"/>
              </w:rPr>
            </w:pPr>
            <w:r>
              <w:rPr>
                <w:rFonts w:ascii="Arial" w:cs="Arial" w:eastAsia="Arial" w:hAnsi="Arial"/>
                <w:sz w:val="18"/>
                <w:szCs w:val="18"/>
                <w:b w:val="1"/>
                <w:bCs w:val="1"/>
                <w:color w:val="auto"/>
              </w:rPr>
              <w:t>Per share</w:t>
            </w:r>
          </w:p>
        </w:tc>
        <w:tc>
          <w:tcPr>
            <w:tcW w:w="19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w:t>
            </w:r>
          </w:p>
        </w:tc>
      </w:tr>
      <w:tr>
        <w:trPr>
          <w:trHeight w:val="208"/>
        </w:trPr>
        <w:tc>
          <w:tcPr>
            <w:tcW w:w="5720" w:type="dxa"/>
            <w:vAlign w:val="bottom"/>
          </w:tcPr>
          <w:p>
            <w:pPr>
              <w:spacing w:after="0"/>
              <w:rPr>
                <w:sz w:val="20"/>
                <w:szCs w:val="20"/>
                <w:color w:val="auto"/>
              </w:rPr>
            </w:pPr>
            <w:r>
              <w:rPr>
                <w:rFonts w:ascii="Arial" w:cs="Arial" w:eastAsia="Arial" w:hAnsi="Arial"/>
                <w:sz w:val="18"/>
                <w:szCs w:val="18"/>
                <w:color w:val="auto"/>
              </w:rPr>
              <w:t>Public offering price</w:t>
            </w:r>
          </w:p>
        </w:tc>
        <w:tc>
          <w:tcPr>
            <w:tcW w:w="3640" w:type="dxa"/>
            <w:vAlign w:val="bottom"/>
          </w:tcPr>
          <w:p>
            <w:pPr>
              <w:ind w:left="2320"/>
              <w:spacing w:after="0"/>
              <w:rPr>
                <w:sz w:val="20"/>
                <w:szCs w:val="20"/>
                <w:color w:val="auto"/>
              </w:rPr>
            </w:pPr>
            <w:r>
              <w:rPr>
                <w:rFonts w:ascii="Arial" w:cs="Arial" w:eastAsia="Arial" w:hAnsi="Arial"/>
                <w:sz w:val="18"/>
                <w:szCs w:val="18"/>
                <w:color w:val="auto"/>
              </w:rPr>
              <w:t>$</w:t>
            </w:r>
          </w:p>
        </w:tc>
        <w:tc>
          <w:tcPr>
            <w:tcW w:w="19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419"/>
        </w:trPr>
        <w:tc>
          <w:tcPr>
            <w:tcW w:w="572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640" w:type="dxa"/>
            <w:vAlign w:val="bottom"/>
          </w:tcPr>
          <w:p>
            <w:pPr>
              <w:ind w:left="2320"/>
              <w:spacing w:after="0"/>
              <w:rPr>
                <w:sz w:val="20"/>
                <w:szCs w:val="20"/>
                <w:color w:val="auto"/>
              </w:rPr>
            </w:pPr>
            <w:r>
              <w:rPr>
                <w:rFonts w:ascii="Arial" w:cs="Arial" w:eastAsia="Arial" w:hAnsi="Arial"/>
                <w:sz w:val="18"/>
                <w:szCs w:val="18"/>
                <w:color w:val="auto"/>
              </w:rPr>
              <w:t>$</w:t>
            </w:r>
          </w:p>
        </w:tc>
        <w:tc>
          <w:tcPr>
            <w:tcW w:w="19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407"/>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to Micron, before expenses</w:t>
            </w:r>
          </w:p>
        </w:tc>
        <w:tc>
          <w:tcPr>
            <w:tcW w:w="364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bl>
    <w:p>
      <w:pPr>
        <w:spacing w:after="0" w:line="22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refer you to "Underwriting" beginning on page S-37 of this prospectus supplement for additional information regarding underwriting compensation.</w:t>
      </w:r>
    </w:p>
    <w:p>
      <w:pPr>
        <w:spacing w:after="0" w:line="211" w:lineRule="exact"/>
        <w:rPr>
          <w:sz w:val="24"/>
          <w:szCs w:val="24"/>
          <w:color w:val="auto"/>
        </w:rPr>
      </w:pPr>
    </w:p>
    <w:p>
      <w:pPr>
        <w:spacing w:after="0"/>
        <w:tabs>
          <w:tab w:leader="none" w:pos="7300" w:val="left"/>
        </w:tabs>
        <w:rPr>
          <w:sz w:val="20"/>
          <w:szCs w:val="20"/>
          <w:color w:val="auto"/>
        </w:rPr>
      </w:pPr>
      <w:r>
        <w:rPr>
          <w:rFonts w:ascii="Arial" w:cs="Arial" w:eastAsia="Arial" w:hAnsi="Arial"/>
          <w:sz w:val="18"/>
          <w:szCs w:val="18"/>
          <w:color w:val="auto"/>
        </w:rPr>
        <w:t>We have granted the underwriter an option for a period of 30 days to purchase up to</w:t>
      </w:r>
      <w:r>
        <w:rPr>
          <w:sz w:val="20"/>
          <w:szCs w:val="20"/>
          <w:color w:val="auto"/>
        </w:rPr>
        <w:tab/>
      </w:r>
      <w:r>
        <w:rPr>
          <w:rFonts w:ascii="Arial" w:cs="Arial" w:eastAsia="Arial" w:hAnsi="Arial"/>
          <w:sz w:val="16"/>
          <w:szCs w:val="16"/>
          <w:color w:val="auto"/>
        </w:rPr>
        <w:t>additional shares of our common stock, representing</w:t>
      </w:r>
    </w:p>
    <w:p>
      <w:pPr>
        <w:spacing w:after="0"/>
        <w:rPr>
          <w:sz w:val="20"/>
          <w:szCs w:val="20"/>
          <w:color w:val="auto"/>
        </w:rPr>
      </w:pPr>
      <w:r>
        <w:rPr>
          <w:rFonts w:ascii="Arial" w:cs="Arial" w:eastAsia="Arial" w:hAnsi="Arial"/>
          <w:sz w:val="18"/>
          <w:szCs w:val="18"/>
          <w:color w:val="auto"/>
        </w:rPr>
        <w:t>an aggregate offering price of up to approximately $150,000,000.</w:t>
      </w:r>
    </w:p>
    <w:p>
      <w:pPr>
        <w:spacing w:after="0" w:line="190" w:lineRule="exact"/>
        <w:rPr>
          <w:sz w:val="24"/>
          <w:szCs w:val="24"/>
          <w:color w:val="auto"/>
        </w:rPr>
      </w:pPr>
    </w:p>
    <w:p>
      <w:pPr>
        <w:ind w:right="300"/>
        <w:spacing w:after="0" w:line="249" w:lineRule="auto"/>
        <w:rPr>
          <w:sz w:val="20"/>
          <w:szCs w:val="20"/>
          <w:color w:val="auto"/>
        </w:rPr>
      </w:pPr>
      <w:r>
        <w:rPr>
          <w:rFonts w:ascii="Arial" w:cs="Arial" w:eastAsia="Arial" w:hAnsi="Arial"/>
          <w:sz w:val="18"/>
          <w:szCs w:val="18"/>
          <w:b w:val="1"/>
          <w:bCs w:val="1"/>
          <w:color w:val="auto"/>
        </w:rPr>
        <w:t>Investing in our common stock involves risks. See "Risk factors" on page S-7 of this prospectus supplement and in the documents incorporated by reference in this prospectus supplement or the accompanying prospectus for a discussion of the factors you should carefully consider before deciding to purchase shares of our common stock.</w:t>
      </w:r>
    </w:p>
    <w:p>
      <w:pPr>
        <w:spacing w:after="0" w:line="180" w:lineRule="exact"/>
        <w:rPr>
          <w:sz w:val="24"/>
          <w:szCs w:val="24"/>
          <w:color w:val="auto"/>
        </w:rPr>
      </w:pPr>
    </w:p>
    <w:p>
      <w:pPr>
        <w:jc w:val="both"/>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20"/>
                <w:szCs w:val="20"/>
                <w:color w:val="auto"/>
              </w:rPr>
            </w:pPr>
            <w:r>
              <w:rPr>
                <w:rFonts w:ascii="Arial" w:cs="Arial" w:eastAsia="Arial" w:hAnsi="Arial"/>
                <w:sz w:val="18"/>
                <w:szCs w:val="18"/>
                <w:color w:val="auto"/>
              </w:rPr>
              <w:t>The underwriter expects to deliver the shares on or about October</w:t>
            </w:r>
          </w:p>
        </w:tc>
        <w:tc>
          <w:tcPr>
            <w:tcW w:w="74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Underwriter</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J.P. Morgan</w:t>
      </w:r>
    </w:p>
    <w:p>
      <w:pPr>
        <w:sectPr>
          <w:pgSz w:w="11900" w:h="16838" w:orient="portrait"/>
          <w:cols w:equalWidth="0" w:num="1">
            <w:col w:w="11420"/>
          </w:cols>
          <w:pgMar w:left="240" w:top="685" w:right="239" w:bottom="1440" w:gutter="0" w:footer="0" w:header="0"/>
        </w:sectPr>
      </w:pPr>
    </w:p>
    <w:p>
      <w:pPr>
        <w:spacing w:after="0" w:line="261" w:lineRule="exact"/>
        <w:rPr>
          <w:sz w:val="24"/>
          <w:szCs w:val="24"/>
          <w:color w:val="auto"/>
        </w:rPr>
      </w:pPr>
    </w:p>
    <w:p>
      <w:pPr>
        <w:spacing w:after="0"/>
        <w:tabs>
          <w:tab w:leader="none" w:pos="900" w:val="left"/>
        </w:tabs>
        <w:rPr>
          <w:sz w:val="20"/>
          <w:szCs w:val="20"/>
          <w:color w:val="auto"/>
        </w:rPr>
      </w:pPr>
      <w:r>
        <w:rPr>
          <w:rFonts w:ascii="Arial" w:cs="Arial" w:eastAsia="Arial" w:hAnsi="Arial"/>
          <w:sz w:val="16"/>
          <w:szCs w:val="16"/>
          <w:color w:val="auto"/>
        </w:rPr>
        <w:t>October</w:t>
      </w:r>
      <w:r>
        <w:rPr>
          <w:sz w:val="20"/>
          <w:szCs w:val="20"/>
          <w:color w:val="auto"/>
        </w:rPr>
        <w:tab/>
      </w:r>
      <w:r>
        <w:rPr>
          <w:rFonts w:ascii="Arial" w:cs="Arial" w:eastAsia="Arial" w:hAnsi="Arial"/>
          <w:sz w:val="16"/>
          <w:szCs w:val="16"/>
          <w:color w:val="auto"/>
        </w:rPr>
        <w: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Table of contents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b w:val="1"/>
                <w:bCs w:val="1"/>
                <w:color w:val="auto"/>
              </w:rPr>
              <w:t>Page</w:t>
            </w:r>
          </w:p>
        </w:tc>
      </w:tr>
      <w:tr>
        <w:trPr>
          <w:trHeight w:val="446"/>
        </w:trPr>
        <w:tc>
          <w:tcPr>
            <w:tcW w:w="7680" w:type="dxa"/>
            <w:vAlign w:val="bottom"/>
            <w:gridSpan w:val="25"/>
          </w:tcPr>
          <w:p>
            <w:pPr>
              <w:spacing w:after="0"/>
              <w:rPr>
                <w:sz w:val="20"/>
                <w:szCs w:val="20"/>
                <w:color w:val="auto"/>
              </w:rPr>
            </w:pPr>
            <w:r>
              <w:rPr>
                <w:rFonts w:ascii="Arial" w:cs="Arial" w:eastAsia="Arial" w:hAnsi="Arial"/>
                <w:sz w:val="18"/>
                <w:szCs w:val="18"/>
                <w:b w:val="1"/>
                <w:bCs w:val="1"/>
                <w:color w:val="auto"/>
              </w:rPr>
              <w:t>Prospectus supplement</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266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 supplement</w:t>
              </w:r>
            </w:hyperlink>
          </w:p>
        </w:tc>
        <w:tc>
          <w:tcPr>
            <w:tcW w:w="502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S-ii</w:t>
              </w:r>
            </w:hyperlink>
          </w:p>
        </w:tc>
      </w:tr>
      <w:tr>
        <w:trPr>
          <w:trHeight w:val="183"/>
        </w:trPr>
        <w:tc>
          <w:tcPr>
            <w:tcW w:w="420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Cautionary note regarding forward-looking statements</w:t>
              </w:r>
            </w:hyperlink>
          </w:p>
        </w:tc>
        <w:tc>
          <w:tcPr>
            <w:tcW w:w="34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0000EE"/>
            </w:tcBorders>
            <w:gridSpan w:val="5"/>
          </w:tcPr>
          <w:p>
            <w:pPr>
              <w:jc w:val="right"/>
              <w:spacing w:after="0" w:line="182"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S-iii</w:t>
              </w:r>
            </w:hyperlink>
          </w:p>
        </w:tc>
      </w:tr>
      <w:tr>
        <w:trPr>
          <w:trHeight w:val="183"/>
        </w:trPr>
        <w:tc>
          <w:tcPr>
            <w:tcW w:w="262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Prospectus supplement summary</w:t>
              </w:r>
            </w:hyperlink>
          </w:p>
        </w:tc>
        <w:tc>
          <w:tcPr>
            <w:tcW w:w="5060" w:type="dxa"/>
            <w:vAlign w:val="bottom"/>
            <w:gridSpan w:val="8"/>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S-1</w:t>
              </w:r>
            </w:hyperlink>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5"/>
          </w:tcPr>
          <w:p>
            <w:pPr>
              <w:jc w:val="right"/>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S-4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Summary of historical consolidated financial information</w:t>
              </w:r>
            </w:hyperlink>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5"/>
          </w:tcPr>
          <w:p>
            <w:pPr>
              <w:jc w:val="right"/>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S-5</w:t>
              </w:r>
            </w:hyperlink>
          </w:p>
        </w:tc>
      </w:tr>
      <w:tr>
        <w:trPr>
          <w:trHeight w:val="183"/>
        </w:trPr>
        <w:tc>
          <w:tcPr>
            <w:tcW w:w="43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34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S-7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3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Use of proceeds</w:t>
              </w:r>
            </w:hyperlink>
          </w:p>
        </w:tc>
        <w:tc>
          <w:tcPr>
            <w:tcW w:w="6380" w:type="dxa"/>
            <w:vAlign w:val="bottom"/>
            <w:gridSpan w:val="17"/>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bottom w:val="single" w:sz="8" w:color="0000EE"/>
            </w:tcBorders>
            <w:gridSpan w:val="6"/>
          </w:tcPr>
          <w:p>
            <w:pPr>
              <w:jc w:val="right"/>
              <w:spacing w:after="0" w:line="182"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S-24</w:t>
              </w:r>
            </w:hyperlink>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Capitalization</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S-25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Price range of common stock</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S-28</w:t>
              </w:r>
            </w:hyperlink>
          </w:p>
        </w:tc>
      </w:tr>
      <w:tr>
        <w:trPr>
          <w:trHeight w:val="183"/>
        </w:trPr>
        <w:tc>
          <w:tcPr>
            <w:tcW w:w="22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Dividend policy</w:t>
              </w:r>
            </w:hyperlink>
          </w:p>
        </w:tc>
        <w:tc>
          <w:tcPr>
            <w:tcW w:w="540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top w:val="single" w:sz="8" w:color="0000EE"/>
            </w:tcBorders>
            <w:gridSpan w:val="6"/>
          </w:tcPr>
          <w:p>
            <w:pPr>
              <w:jc w:val="right"/>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S-29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common stock</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Material U.S. federal income tax consequences to non-U.S. holders</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S-32</w:t>
              </w:r>
            </w:hyperlink>
          </w:p>
        </w:tc>
      </w:tr>
      <w:tr>
        <w:trPr>
          <w:trHeight w:val="183"/>
        </w:trPr>
        <w:tc>
          <w:tcPr>
            <w:tcW w:w="10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Underwriting</w:t>
              </w:r>
            </w:hyperlink>
          </w:p>
        </w:tc>
        <w:tc>
          <w:tcPr>
            <w:tcW w:w="4180" w:type="dxa"/>
            <w:vAlign w:val="bottom"/>
            <w:tcBorders>
              <w:top w:val="single" w:sz="8" w:color="0000EE"/>
            </w:tcBorders>
            <w:gridSpan w:val="19"/>
          </w:tcPr>
          <w:p>
            <w:pPr>
              <w:spacing w:after="0"/>
              <w:rPr>
                <w:sz w:val="15"/>
                <w:szCs w:val="15"/>
                <w:color w:val="auto"/>
              </w:rPr>
            </w:pPr>
          </w:p>
        </w:tc>
        <w:tc>
          <w:tcPr>
            <w:tcW w:w="24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top w:val="single" w:sz="8" w:color="0000EE"/>
              <w:bottom w:val="single" w:sz="8" w:color="0000EE"/>
            </w:tcBorders>
            <w:gridSpan w:val="6"/>
          </w:tcPr>
          <w:p>
            <w:pPr>
              <w:jc w:val="right"/>
              <w:spacing w:after="0" w:line="182"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S-37</w:t>
              </w:r>
            </w:hyperlink>
          </w:p>
        </w:tc>
      </w:tr>
      <w:tr>
        <w:trPr>
          <w:trHeight w:val="183"/>
        </w:trPr>
        <w:tc>
          <w:tcPr>
            <w:tcW w:w="108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Legal matters</w:t>
              </w:r>
            </w:hyperlink>
          </w:p>
        </w:tc>
        <w:tc>
          <w:tcPr>
            <w:tcW w:w="6600" w:type="dxa"/>
            <w:vAlign w:val="bottom"/>
            <w:gridSpan w:val="20"/>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bottom w:val="single" w:sz="8" w:color="0000EE"/>
            </w:tcBorders>
            <w:gridSpan w:val="6"/>
          </w:tcPr>
          <w:p>
            <w:pPr>
              <w:jc w:val="right"/>
              <w:spacing w:after="0" w:line="182"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S-50</w:t>
              </w:r>
            </w:hyperlink>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S-50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S-51</w:t>
              </w:r>
            </w:hyperlink>
          </w:p>
        </w:tc>
      </w:tr>
      <w:tr>
        <w:trPr>
          <w:trHeight w:val="183"/>
        </w:trPr>
        <w:tc>
          <w:tcPr>
            <w:tcW w:w="20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Incorporation by reference</w:t>
              </w:r>
            </w:hyperlink>
          </w:p>
        </w:tc>
        <w:tc>
          <w:tcPr>
            <w:tcW w:w="820" w:type="dxa"/>
            <w:vAlign w:val="bottom"/>
            <w:tcBorders>
              <w:top w:val="single" w:sz="8" w:color="0000EE"/>
            </w:tcBorders>
            <w:gridSpan w:val="7"/>
          </w:tcPr>
          <w:p>
            <w:pPr>
              <w:spacing w:after="0"/>
              <w:rPr>
                <w:sz w:val="15"/>
                <w:szCs w:val="15"/>
                <w:color w:val="auto"/>
              </w:rPr>
            </w:pPr>
          </w:p>
        </w:tc>
        <w:tc>
          <w:tcPr>
            <w:tcW w:w="480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top w:val="single" w:sz="8" w:color="0000EE"/>
              <w:bottom w:val="single" w:sz="8" w:color="0000EE"/>
            </w:tcBorders>
            <w:gridSpan w:val="6"/>
          </w:tcPr>
          <w:p>
            <w:pPr>
              <w:jc w:val="right"/>
              <w:spacing w:after="0" w:line="182"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S-52</w:t>
              </w:r>
            </w:hyperlink>
          </w:p>
        </w:tc>
      </w:tr>
      <w:tr>
        <w:trPr>
          <w:trHeight w:val="437"/>
        </w:trPr>
        <w:tc>
          <w:tcPr>
            <w:tcW w:w="7680" w:type="dxa"/>
            <w:vAlign w:val="bottom"/>
            <w:gridSpan w:val="25"/>
          </w:tcPr>
          <w:p>
            <w:pPr>
              <w:spacing w:after="0"/>
              <w:rPr>
                <w:sz w:val="20"/>
                <w:szCs w:val="20"/>
                <w:color w:val="auto"/>
              </w:rPr>
            </w:pPr>
            <w:r>
              <w:rPr>
                <w:rFonts w:ascii="Arial" w:cs="Arial" w:eastAsia="Arial" w:hAnsi="Arial"/>
                <w:sz w:val="18"/>
                <w:szCs w:val="18"/>
                <w:b w:val="1"/>
                <w:bCs w:val="1"/>
                <w:color w:val="auto"/>
              </w:rPr>
              <w:t>Prospectus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7680" w:type="dxa"/>
            <w:vAlign w:val="bottom"/>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1300" w:type="dxa"/>
            <w:vAlign w:val="bottom"/>
            <w:gridSpan w:val="7"/>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1</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6800" w:type="dxa"/>
            <w:vAlign w:val="bottom"/>
            <w:gridSpan w:val="24"/>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WHERE YOU CAN FIND MORE INFORMATION; INCORPORATION BY REFERENCE</w:t>
              </w:r>
            </w:hyperlink>
          </w:p>
        </w:tc>
        <w:tc>
          <w:tcPr>
            <w:tcW w:w="880" w:type="dxa"/>
            <w:vAlign w:val="bottom"/>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2</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6800" w:type="dxa"/>
            <w:vAlign w:val="bottom"/>
            <w:gridSpan w:val="24"/>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THE COMPANY</w:t>
              </w:r>
            </w:hyperlink>
          </w:p>
        </w:tc>
        <w:tc>
          <w:tcPr>
            <w:tcW w:w="880" w:type="dxa"/>
            <w:vAlign w:val="bottom"/>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4</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300" w:type="dxa"/>
            <w:vAlign w:val="bottom"/>
            <w:gridSpan w:val="8"/>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RISK FACTORS</w:t>
              </w:r>
            </w:hyperlink>
          </w:p>
        </w:tc>
        <w:tc>
          <w:tcPr>
            <w:tcW w:w="6380" w:type="dxa"/>
            <w:vAlign w:val="bottom"/>
            <w:gridSpan w:val="17"/>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5</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700" w:type="dxa"/>
            <w:vAlign w:val="bottom"/>
            <w:gridSpan w:val="10"/>
          </w:tcPr>
          <w:p>
            <w:pPr>
              <w:spacing w:after="0" w:line="182"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USE OF PROCEEDS</w:t>
              </w:r>
            </w:hyperlink>
          </w:p>
        </w:tc>
        <w:tc>
          <w:tcPr>
            <w:tcW w:w="5980" w:type="dxa"/>
            <w:vAlign w:val="bottom"/>
            <w:gridSpan w:val="15"/>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6</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RATIO OF EARNINGS TO FIXED CHARGES</w:t>
              </w:r>
            </w:hyperlink>
          </w:p>
        </w:tc>
        <w:tc>
          <w:tcPr>
            <w:tcW w:w="1300" w:type="dxa"/>
            <w:vAlign w:val="bottom"/>
            <w:gridSpan w:val="7"/>
          </w:tcPr>
          <w:p>
            <w:pPr>
              <w:jc w:val="right"/>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7</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3560" w:type="dxa"/>
            <w:vAlign w:val="bottom"/>
            <w:gridSpan w:val="2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SECURITIES</w:t>
              </w:r>
            </w:hyperlink>
          </w:p>
        </w:tc>
        <w:tc>
          <w:tcPr>
            <w:tcW w:w="4120" w:type="dxa"/>
            <w:vAlign w:val="bottom"/>
            <w:gridSpan w:val="5"/>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8</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2600" w:type="dxa"/>
            <w:vAlign w:val="bottom"/>
            <w:gridSpan w:val="16"/>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5080" w:type="dxa"/>
            <w:vAlign w:val="bottom"/>
            <w:gridSpan w:val="9"/>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9</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40" w:type="dxa"/>
            <w:vAlign w:val="bottom"/>
            <w:gridSpan w:val="14"/>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2040" w:type="dxa"/>
            <w:vAlign w:val="bottom"/>
            <w:gridSpan w:val="11"/>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5640" w:type="dxa"/>
            <w:vAlign w:val="bottom"/>
            <w:gridSpan w:val="14"/>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10</w:t>
              </w:r>
            </w:hyperlink>
          </w:p>
        </w:tc>
      </w:tr>
      <w:tr>
        <w:trPr>
          <w:trHeight w:val="183"/>
        </w:trPr>
        <w:tc>
          <w:tcPr>
            <w:tcW w:w="14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6240" w:type="dxa"/>
            <w:vAlign w:val="bottom"/>
            <w:gridSpan w:val="16"/>
          </w:tcPr>
          <w:p>
            <w:pPr>
              <w:spacing w:after="0"/>
              <w:rPr>
                <w:sz w:val="15"/>
                <w:szCs w:val="15"/>
                <w:color w:val="auto"/>
              </w:rPr>
            </w:pPr>
          </w:p>
        </w:tc>
        <w:tc>
          <w:tcPr>
            <w:tcW w:w="1100" w:type="dxa"/>
            <w:vAlign w:val="bottom"/>
            <w:gridSpan w:val="5"/>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10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About this prospectus supplement</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prospectus supplement and the accompanying prospectus dated October 10, 2017 are part of a registration statement that we filed with the Securities and Exchange Commission (the "SEC"), using a "shelf" registration process. Under this shelf registration process, we may from time to time offer to sell shares of common stock in one or more offerings.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 and "Incorporation by Reference."</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 have authorized anyone to provide you with different information. This prospectus supplement and the accompanying prospectus do not constitute an offer to sell or the solicitation of an offer to buy our common stock other than our common stock described in this prospectus supplement or an offer to sell or the solicitation of an offer to buy our common stock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common stock offered by this prospectus supplement.</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Cautionary note regarding forward-looking statements</w:t>
      </w:r>
    </w:p>
    <w:p>
      <w:pPr>
        <w:spacing w:after="0" w:line="261"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w:t>
      </w:r>
    </w:p>
    <w:p>
      <w:pPr>
        <w:spacing w:after="0" w:line="1"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"would" and similar expressions or the negative of these words and phrases, other variations of these words and phrases or comparable terminology.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212"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spending in 2018;</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proceeds and use of proceeds from the issuance of common stock in offering;</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use of debt financing;</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 of new memory technologies;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investments in development of product and process technologies;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with full control of Inotera shares during litigation proceedings;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of our common stock price;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not pay cash dividends on our common stock;</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information for our fiscal year ended August 31, 2017 presented in "recent financial data;"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 from time to time, to engage in additional financing transactions;</w:t>
      </w:r>
    </w:p>
    <w:p>
      <w:pPr>
        <w:spacing w:after="0" w:line="211"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and investments, cash flows from operations, and available financing to meet our requirements for at least the next 12 months; and</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payments for certain contractual obligations.</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83"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84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Prospectus supplement summary</w:t>
      </w:r>
    </w:p>
    <w:p>
      <w:pPr>
        <w:spacing w:after="0" w:line="243"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i w:val="1"/>
          <w:iCs w:val="1"/>
          <w:color w:val="auto"/>
        </w:rPr>
        <w:t>The following summary highlights information about us and this offering. This summary does not contain all of the information that may be important to you. You should read and carefully consider the following summary together with the entire prospectus supplement, the accompanying prospectus, the information incorporated by reference in this prospectus supplement and the accompanying prospectus, and any free writing prospectus that we have authorized for use in connection with this offering, before deciding to invest in our common stock. Some of the statements in this prospectus supplement constitute forward-looking statements that involve risks and uncertainties. See "Cautionary note regarding forward-looking statements." Our actual results could differ materially from those anticipated in such forward-looking statements as a result of certain factors, including those discussed in the "Risk factors" and other sections included or incorporated by reference in this prospectus supplement.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About Micron</w:t>
      </w:r>
    </w:p>
    <w:p>
      <w:pPr>
        <w:spacing w:after="0" w:line="242" w:lineRule="exact"/>
        <w:rPr>
          <w:sz w:val="20"/>
          <w:szCs w:val="20"/>
          <w:color w:val="auto"/>
        </w:rPr>
      </w:pPr>
    </w:p>
    <w:p>
      <w:pPr>
        <w:ind w:left="240"/>
        <w:spacing w:after="0" w:line="227" w:lineRule="auto"/>
        <w:rPr>
          <w:sz w:val="20"/>
          <w:szCs w:val="20"/>
          <w:color w:val="auto"/>
        </w:rPr>
      </w:pPr>
      <w:r>
        <w:rPr>
          <w:rFonts w:ascii="Arial" w:cs="Arial" w:eastAsia="Arial" w:hAnsi="Arial"/>
          <w:sz w:val="18"/>
          <w:szCs w:val="18"/>
          <w:color w:val="auto"/>
        </w:rPr>
        <w:t>We are an industry leader in innovative memory and storage solutions. Through our global brands—Micron®, Crucial®, and Ballistix®,—our broad portfolio of high-performance memory and storage technologies, including DRAM, NAND, NOR Flash, and 3D XPoint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 We market our products through our internal sales force, independent sales representatives, and distributors primarily to original equipment manufacturers and retailers located around the world. We face intense competition in the semiconductor memory and storage markets and, in order to remain competitive, we must continuously develop and implement new products and technologies and decrease manufacturing costs. Our success is largely dependent on market acceptance of our diversified portfolio of semiconductor—based memory and storage solutions, efficient utilization of our manufacturing infrastructure, successful ongoing development and integration of advanced product and process technology, return—driven capital spending, and successful R&amp;D investments.</w:t>
      </w:r>
    </w:p>
    <w:p>
      <w:pPr>
        <w:spacing w:after="0" w:line="212" w:lineRule="exact"/>
        <w:rPr>
          <w:sz w:val="20"/>
          <w:szCs w:val="20"/>
          <w:color w:val="auto"/>
        </w:rPr>
      </w:pPr>
    </w:p>
    <w:p>
      <w:pPr>
        <w:ind w:left="240" w:right="360"/>
        <w:spacing w:after="0" w:line="299" w:lineRule="auto"/>
        <w:rPr>
          <w:sz w:val="20"/>
          <w:szCs w:val="20"/>
          <w:color w:val="auto"/>
        </w:rPr>
      </w:pPr>
      <w:r>
        <w:rPr>
          <w:rFonts w:ascii="Arial" w:cs="Arial" w:eastAsia="Arial" w:hAnsi="Arial"/>
          <w:sz w:val="16"/>
          <w:szCs w:val="16"/>
          <w:color w:val="auto"/>
        </w:rPr>
        <w:t>We produce products for sale to our customers from our wholly-owned manufacturing facilities and our joint venture. In recent years, we have increased our manufacturing scale and product diversity through strategic acquisitions and various partnering arrangements.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Recent developments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of 2022 Notes</w:t>
      </w:r>
    </w:p>
    <w:p>
      <w:pPr>
        <w:spacing w:after="0" w:line="230" w:lineRule="exact"/>
        <w:rPr>
          <w:sz w:val="20"/>
          <w:szCs w:val="20"/>
          <w:color w:val="auto"/>
        </w:rPr>
      </w:pPr>
    </w:p>
    <w:p>
      <w:pPr>
        <w:ind w:left="240" w:right="700"/>
        <w:spacing w:after="0" w:line="239" w:lineRule="auto"/>
        <w:rPr>
          <w:sz w:val="20"/>
          <w:szCs w:val="20"/>
          <w:color w:val="auto"/>
        </w:rPr>
      </w:pPr>
      <w:r>
        <w:rPr>
          <w:rFonts w:ascii="Arial" w:cs="Arial" w:eastAsia="Arial" w:hAnsi="Arial"/>
          <w:sz w:val="18"/>
          <w:szCs w:val="18"/>
          <w:color w:val="auto"/>
        </w:rPr>
        <w:t>On August 11, 2017, we redeemed our 5.875% Senior Notes due 2022 (the "2022 Notes") in full (the "2022 Note Redemption") at a redemption price of approximately $644 million including accrued and unpaid interest thereon.</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Recent financial results</w:t>
      </w:r>
    </w:p>
    <w:p>
      <w:pPr>
        <w:spacing w:after="0" w:line="242" w:lineRule="exact"/>
        <w:rPr>
          <w:sz w:val="20"/>
          <w:szCs w:val="20"/>
          <w:color w:val="auto"/>
        </w:rPr>
      </w:pPr>
    </w:p>
    <w:p>
      <w:pPr>
        <w:ind w:left="240" w:right="220"/>
        <w:spacing w:after="0" w:line="237" w:lineRule="auto"/>
        <w:rPr>
          <w:sz w:val="20"/>
          <w:szCs w:val="20"/>
          <w:color w:val="auto"/>
        </w:rPr>
      </w:pPr>
      <w:r>
        <w:rPr>
          <w:rFonts w:ascii="Arial" w:cs="Arial" w:eastAsia="Arial" w:hAnsi="Arial"/>
          <w:sz w:val="18"/>
          <w:szCs w:val="18"/>
          <w:color w:val="auto"/>
        </w:rPr>
        <w:t>On September 26, 2017, we announced results of operations for our fiscal year ended August 31, 2017, which is set forth below. The financial information for our fiscal year ended August 31, 2017 is unaudited financial data and, as a result, during the course of our preparation of our complete consolidated financial statements for the fiscal year ended August 31, 2017, we may identify items that would require us to make adjustments to the financial information presented below. In addition, our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093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09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accounting firm has not yet completed an audit of this financial information, and it is possible that their audit with respect to the fiscal year ended August 31, 2017 may result in adjustments to the financial information. As a result, the financial information below constitutes forward-looking information and is subject to risks and uncertainties, including possible adjustments to such financial information and you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732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73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960"/>
        <w:spacing w:after="0" w:line="239" w:lineRule="auto"/>
        <w:rPr>
          <w:sz w:val="20"/>
          <w:szCs w:val="20"/>
          <w:color w:val="auto"/>
        </w:rPr>
      </w:pPr>
      <w:r>
        <w:rPr>
          <w:rFonts w:ascii="Arial" w:cs="Arial" w:eastAsia="Arial" w:hAnsi="Arial"/>
          <w:sz w:val="18"/>
          <w:szCs w:val="18"/>
          <w:color w:val="auto"/>
        </w:rPr>
        <w:t>In connection with our announcement of recent financial information, we also announced that we currently expect fiscal 2018 capital expenditures, net of partner contributions, to be in the range of $7.5 billion, plus or minus 5 percent.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1"/>
                <w:szCs w:val="21"/>
                <w:color w:val="auto"/>
              </w:rPr>
            </w:pPr>
          </w:p>
        </w:tc>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August 31, 2017</w:t>
            </w:r>
          </w:p>
        </w:tc>
        <w:tc>
          <w:tcPr>
            <w:tcW w:w="15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34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98"/>
              </w:rPr>
              <w:t>(in millions except</w:t>
            </w:r>
          </w:p>
        </w:tc>
        <w:tc>
          <w:tcPr>
            <w:tcW w:w="15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jc w:val="right"/>
              <w:ind w:right="1500"/>
              <w:spacing w:after="0" w:line="202" w:lineRule="exact"/>
              <w:rPr>
                <w:sz w:val="20"/>
                <w:szCs w:val="20"/>
                <w:color w:val="auto"/>
              </w:rPr>
            </w:pPr>
            <w:r>
              <w:rPr>
                <w:rFonts w:ascii="Arial" w:cs="Arial" w:eastAsia="Arial" w:hAnsi="Arial"/>
                <w:sz w:val="18"/>
                <w:szCs w:val="18"/>
                <w:b w:val="1"/>
                <w:bCs w:val="1"/>
                <w:color w:val="auto"/>
              </w:rPr>
              <w:t>per share data)</w:t>
            </w: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3"/>
          </w:tcPr>
          <w:p>
            <w:pPr>
              <w:jc w:val="right"/>
              <w:ind w:right="15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20,322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11,886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8,436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743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1,824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(income) expense, 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5,868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Other non-operating income (expense), 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income of equity method investees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5,090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vMerge w:val="restart"/>
          </w:tcPr>
          <w:p>
            <w:pPr>
              <w:ind w:left="18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5,089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67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4.67</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67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31, 2017</w:t>
            </w:r>
          </w:p>
        </w:tc>
        <w:tc>
          <w:tcPr>
            <w:tcW w:w="15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30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rPr>
              <w:t>(in millions) (unaudited)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activity</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8,153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w w:val="99"/>
              </w:rPr>
              <w:t>Depreciation and amortization of property, plant, and equipment and intangible assets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3,861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(4,734)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Payments for equipment purchase contracts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attributed to intercompany balances with Inotera</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67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6780" w:type="dxa"/>
            <w:vAlign w:val="bottom"/>
          </w:tcPr>
          <w:p>
            <w:pPr>
              <w:ind w:left="4240"/>
              <w:spacing w:after="0"/>
              <w:rPr>
                <w:sz w:val="20"/>
                <w:szCs w:val="20"/>
                <w:color w:val="auto"/>
              </w:rPr>
            </w:pPr>
            <w:r>
              <w:rPr>
                <w:rFonts w:ascii="Arial" w:cs="Arial" w:eastAsia="Arial" w:hAnsi="Arial"/>
                <w:sz w:val="18"/>
                <w:szCs w:val="18"/>
                <w:color w:val="auto"/>
              </w:rPr>
              <w:t>S-3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808080"/>
            </w:tcBorders>
          </w:tcPr>
          <w:p>
            <w:pPr>
              <w:spacing w:after="0"/>
              <w:rPr>
                <w:sz w:val="18"/>
                <w:szCs w:val="18"/>
                <w:color w:val="auto"/>
              </w:rPr>
            </w:pPr>
          </w:p>
        </w:tc>
        <w:tc>
          <w:tcPr>
            <w:tcW w:w="67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921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5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2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31, 2017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 (unaudited)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equivalents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marketable investments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Debt</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740" w:type="dxa"/>
            <w:vAlign w:val="bottom"/>
            <w:gridSpan w:val="5"/>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840" w:type="dxa"/>
            <w:vAlign w:val="bottom"/>
            <w:gridSpan w:val="6"/>
          </w:tcPr>
          <w:p>
            <w:pPr>
              <w:jc w:val="right"/>
              <w:ind w:right="792"/>
              <w:spacing w:after="0"/>
              <w:rPr>
                <w:sz w:val="20"/>
                <w:szCs w:val="20"/>
                <w:color w:val="auto"/>
              </w:rPr>
            </w:pPr>
            <w:r>
              <w:rPr>
                <w:rFonts w:ascii="Arial" w:cs="Arial" w:eastAsia="Arial" w:hAnsi="Arial"/>
                <w:sz w:val="18"/>
                <w:szCs w:val="18"/>
                <w:color w:val="auto"/>
                <w:w w:val="97"/>
              </w:rPr>
              <w:t>Details of certain components of our operating expenses or charges are presented below:</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100" w:type="dxa"/>
            <w:vAlign w:val="bottom"/>
          </w:tcPr>
          <w:p>
            <w:pPr>
              <w:spacing w:after="0"/>
              <w:rPr>
                <w:sz w:val="24"/>
                <w:szCs w:val="24"/>
                <w:color w:val="auto"/>
              </w:rPr>
            </w:pPr>
          </w:p>
        </w:tc>
        <w:tc>
          <w:tcPr>
            <w:tcW w:w="50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5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2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1, 2016</w:t>
            </w:r>
          </w:p>
        </w:tc>
        <w:tc>
          <w:tcPr>
            <w:tcW w:w="4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31, 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 (unaudited)</w:t>
            </w:r>
          </w:p>
        </w:tc>
        <w:tc>
          <w:tcPr>
            <w:tcW w:w="2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millions) (unaudited)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Flow-through of Inotera inventory step up</w:t>
            </w:r>
          </w:p>
        </w:tc>
        <w:tc>
          <w:tcPr>
            <w:tcW w:w="280" w:type="dxa"/>
            <w:vAlign w:val="bottom"/>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Inotera acquisition costs</w:t>
            </w:r>
          </w:p>
        </w:tc>
        <w:tc>
          <w:tcPr>
            <w:tcW w:w="28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Restructure and asset impairments</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left="240"/>
        <w:spacing w:after="0" w:line="299" w:lineRule="auto"/>
        <w:rPr>
          <w:sz w:val="20"/>
          <w:szCs w:val="20"/>
          <w:color w:val="auto"/>
        </w:rPr>
      </w:pPr>
      <w:r>
        <w:rPr>
          <w:rFonts w:ascii="Arial" w:cs="Arial" w:eastAsia="Arial" w:hAnsi="Arial"/>
          <w:sz w:val="16"/>
          <w:szCs w:val="16"/>
          <w:color w:val="auto"/>
        </w:rPr>
        <w:t>We are a Delaware corporation, originally incorporated in 1978. Our executive offices are located at 8000 South Federal Way, Boise, Idaho 83716-9632 and our telephone number is (208) 368-4000. Our common stock is currently listed on NASDAQ under the symbol "MU."</w:t>
      </w:r>
    </w:p>
    <w:p>
      <w:pPr>
        <w:spacing w:after="0" w:line="145" w:lineRule="exact"/>
        <w:rPr>
          <w:sz w:val="20"/>
          <w:szCs w:val="20"/>
          <w:color w:val="auto"/>
        </w:rPr>
      </w:pPr>
    </w:p>
    <w:p>
      <w:pPr>
        <w:ind w:left="240" w:right="80"/>
        <w:spacing w:after="0" w:line="293"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www.micron.com</w:t>
      </w:r>
      <w:r>
        <w:rPr>
          <w:rFonts w:ascii="Arial" w:cs="Arial" w:eastAsia="Arial" w:hAnsi="Arial"/>
          <w:sz w:val="16"/>
          <w:szCs w:val="16"/>
          <w:color w:val="auto"/>
        </w:rPr>
        <w:t>. Our website and the information contained on, or that can be accessed through, the website will not be deemed to be incorporated by reference in, and are not considered part of, this prospectus supplement or the accompanying prospectus. You should not rely on any such information in making your decision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43" w:right="6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7139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713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The offering</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12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280" w:type="dxa"/>
            <w:vAlign w:val="bottom"/>
            <w:gridSpan w:val="3"/>
          </w:tcPr>
          <w:p>
            <w:pPr>
              <w:ind w:left="100"/>
              <w:spacing w:after="0"/>
              <w:rPr>
                <w:sz w:val="20"/>
                <w:szCs w:val="20"/>
                <w:color w:val="auto"/>
              </w:rPr>
            </w:pPr>
            <w:r>
              <w:rPr>
                <w:rFonts w:ascii="Arial" w:cs="Arial" w:eastAsia="Arial" w:hAnsi="Arial"/>
                <w:sz w:val="18"/>
                <w:szCs w:val="18"/>
                <w:color w:val="auto"/>
              </w:rPr>
              <w:t>Micron Technology, Inc., a Delaware corporation</w:t>
            </w:r>
          </w:p>
        </w:tc>
        <w:tc>
          <w:tcPr>
            <w:tcW w:w="204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15"/>
        </w:trPr>
        <w:tc>
          <w:tcPr>
            <w:tcW w:w="1280" w:type="dxa"/>
            <w:vAlign w:val="bottom"/>
          </w:tcPr>
          <w:p>
            <w:pPr>
              <w:spacing w:after="0"/>
              <w:rPr>
                <w:sz w:val="20"/>
                <w:szCs w:val="20"/>
                <w:color w:val="auto"/>
              </w:rPr>
            </w:pPr>
            <w:r>
              <w:rPr>
                <w:rFonts w:ascii="Arial" w:cs="Arial" w:eastAsia="Arial" w:hAnsi="Arial"/>
                <w:sz w:val="18"/>
                <w:szCs w:val="18"/>
                <w:b w:val="1"/>
                <w:bCs w:val="1"/>
                <w:color w:val="auto"/>
              </w:rPr>
              <w:t>Common</w:t>
            </w:r>
          </w:p>
        </w:tc>
        <w:tc>
          <w:tcPr>
            <w:tcW w:w="720" w:type="dxa"/>
            <w:vAlign w:val="bottom"/>
          </w:tcPr>
          <w:p>
            <w:pPr>
              <w:spacing w:after="0"/>
              <w:rPr>
                <w:sz w:val="24"/>
                <w:szCs w:val="24"/>
                <w:color w:val="auto"/>
              </w:rPr>
            </w:pPr>
          </w:p>
        </w:tc>
        <w:tc>
          <w:tcPr>
            <w:tcW w:w="3560" w:type="dxa"/>
            <w:vAlign w:val="bottom"/>
            <w:gridSpan w:val="2"/>
          </w:tcPr>
          <w:p>
            <w:pPr>
              <w:ind w:left="400"/>
              <w:spacing w:after="0"/>
              <w:rPr>
                <w:sz w:val="20"/>
                <w:szCs w:val="20"/>
                <w:color w:val="auto"/>
              </w:rPr>
            </w:pPr>
            <w:r>
              <w:rPr>
                <w:rFonts w:ascii="Arial" w:cs="Arial" w:eastAsia="Arial" w:hAnsi="Arial"/>
                <w:sz w:val="18"/>
                <w:szCs w:val="18"/>
                <w:color w:val="auto"/>
              </w:rPr>
              <w:t>shares of common stock (or</w:t>
            </w:r>
          </w:p>
        </w:tc>
        <w:tc>
          <w:tcPr>
            <w:tcW w:w="5340" w:type="dxa"/>
            <w:vAlign w:val="bottom"/>
            <w:gridSpan w:val="2"/>
          </w:tcPr>
          <w:p>
            <w:pPr>
              <w:ind w:left="40"/>
              <w:spacing w:after="0"/>
              <w:rPr>
                <w:sz w:val="20"/>
                <w:szCs w:val="20"/>
                <w:color w:val="auto"/>
              </w:rPr>
            </w:pPr>
            <w:r>
              <w:rPr>
                <w:rFonts w:ascii="Arial" w:cs="Arial" w:eastAsia="Arial" w:hAnsi="Arial"/>
                <w:sz w:val="18"/>
                <w:szCs w:val="18"/>
                <w:color w:val="auto"/>
                <w:w w:val="99"/>
              </w:rPr>
              <w:t>shares if the underwriter exercises its option to purchase additional</w:t>
            </w:r>
          </w:p>
        </w:tc>
      </w:tr>
      <w:tr>
        <w:trPr>
          <w:trHeight w:val="233"/>
        </w:trPr>
        <w:tc>
          <w:tcPr>
            <w:tcW w:w="1280" w:type="dxa"/>
            <w:vAlign w:val="bottom"/>
          </w:tcPr>
          <w:p>
            <w:pPr>
              <w:spacing w:after="0"/>
              <w:rPr>
                <w:sz w:val="20"/>
                <w:szCs w:val="20"/>
                <w:color w:val="auto"/>
              </w:rPr>
            </w:pPr>
            <w:r>
              <w:rPr>
                <w:rFonts w:ascii="Arial" w:cs="Arial" w:eastAsia="Arial" w:hAnsi="Arial"/>
                <w:sz w:val="18"/>
                <w:szCs w:val="18"/>
                <w:b w:val="1"/>
                <w:bCs w:val="1"/>
                <w:color w:val="auto"/>
              </w:rPr>
              <w:t>Stock Offered</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shares of common stock in full)</w:t>
            </w:r>
          </w:p>
        </w:tc>
        <w:tc>
          <w:tcPr>
            <w:tcW w:w="1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15"/>
        </w:trPr>
        <w:tc>
          <w:tcPr>
            <w:tcW w:w="1280" w:type="dxa"/>
            <w:vAlign w:val="bottom"/>
          </w:tcPr>
          <w:p>
            <w:pPr>
              <w:spacing w:after="0"/>
              <w:rPr>
                <w:sz w:val="20"/>
                <w:szCs w:val="20"/>
                <w:color w:val="auto"/>
              </w:rPr>
            </w:pPr>
            <w:r>
              <w:rPr>
                <w:rFonts w:ascii="Arial" w:cs="Arial" w:eastAsia="Arial" w:hAnsi="Arial"/>
                <w:sz w:val="18"/>
                <w:szCs w:val="18"/>
                <w:b w:val="1"/>
                <w:bCs w:val="1"/>
                <w:color w:val="auto"/>
              </w:rPr>
              <w:t>Common</w:t>
            </w: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b w:val="1"/>
                <w:bCs w:val="1"/>
                <w:color w:val="auto"/>
              </w:rPr>
              <w:t>Stock to be</w:t>
            </w:r>
          </w:p>
        </w:tc>
        <w:tc>
          <w:tcPr>
            <w:tcW w:w="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b w:val="1"/>
                <w:bCs w:val="1"/>
                <w:color w:val="auto"/>
              </w:rPr>
              <w:t>Outstanding</w:t>
            </w:r>
          </w:p>
        </w:tc>
        <w:tc>
          <w:tcPr>
            <w:tcW w:w="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b w:val="1"/>
                <w:bCs w:val="1"/>
                <w:color w:val="auto"/>
              </w:rPr>
              <w:t>Immediately</w:t>
            </w:r>
          </w:p>
        </w:tc>
        <w:tc>
          <w:tcPr>
            <w:tcW w:w="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b w:val="1"/>
                <w:bCs w:val="1"/>
                <w:color w:val="auto"/>
              </w:rPr>
              <w:t>Following this</w:t>
            </w:r>
          </w:p>
        </w:tc>
        <w:tc>
          <w:tcPr>
            <w:tcW w:w="720" w:type="dxa"/>
            <w:vAlign w:val="bottom"/>
          </w:tcPr>
          <w:p>
            <w:pPr>
              <w:spacing w:after="0"/>
              <w:rPr>
                <w:sz w:val="17"/>
                <w:szCs w:val="17"/>
                <w:color w:val="auto"/>
              </w:rPr>
            </w:pPr>
          </w:p>
        </w:tc>
        <w:tc>
          <w:tcPr>
            <w:tcW w:w="2020" w:type="dxa"/>
            <w:vAlign w:val="bottom"/>
          </w:tcPr>
          <w:p>
            <w:pPr>
              <w:ind w:left="400"/>
              <w:spacing w:after="0" w:line="202" w:lineRule="exact"/>
              <w:rPr>
                <w:sz w:val="20"/>
                <w:szCs w:val="20"/>
                <w:color w:val="auto"/>
              </w:rPr>
            </w:pPr>
            <w:r>
              <w:rPr>
                <w:rFonts w:ascii="Arial" w:cs="Arial" w:eastAsia="Arial" w:hAnsi="Arial"/>
                <w:sz w:val="18"/>
                <w:szCs w:val="18"/>
                <w:color w:val="auto"/>
              </w:rPr>
              <w:t>shares (or</w:t>
            </w:r>
          </w:p>
        </w:tc>
        <w:tc>
          <w:tcPr>
            <w:tcW w:w="6880" w:type="dxa"/>
            <w:vAlign w:val="bottom"/>
            <w:gridSpan w:val="3"/>
          </w:tcPr>
          <w:p>
            <w:pPr>
              <w:ind w:left="200"/>
              <w:spacing w:after="0" w:line="202" w:lineRule="exact"/>
              <w:rPr>
                <w:sz w:val="20"/>
                <w:szCs w:val="20"/>
                <w:color w:val="auto"/>
              </w:rPr>
            </w:pPr>
            <w:r>
              <w:rPr>
                <w:rFonts w:ascii="Arial" w:cs="Arial" w:eastAsia="Arial" w:hAnsi="Arial"/>
                <w:sz w:val="18"/>
                <w:szCs w:val="18"/>
                <w:color w:val="auto"/>
                <w:w w:val="97"/>
              </w:rPr>
              <w:t>shares if the underwriter exercises its option to purchase additional shares of common</w:t>
            </w:r>
          </w:p>
        </w:tc>
      </w:tr>
      <w:tr>
        <w:trPr>
          <w:trHeight w:val="233"/>
        </w:trPr>
        <w:tc>
          <w:tcPr>
            <w:tcW w:w="1280" w:type="dxa"/>
            <w:vAlign w:val="bottom"/>
          </w:tcPr>
          <w:p>
            <w:pPr>
              <w:spacing w:after="0"/>
              <w:rPr>
                <w:sz w:val="20"/>
                <w:szCs w:val="20"/>
                <w:color w:val="auto"/>
              </w:rPr>
            </w:pPr>
            <w:r>
              <w:rPr>
                <w:rFonts w:ascii="Arial" w:cs="Arial" w:eastAsia="Arial" w:hAnsi="Arial"/>
                <w:sz w:val="18"/>
                <w:szCs w:val="18"/>
                <w:b w:val="1"/>
                <w:bCs w:val="1"/>
                <w:color w:val="auto"/>
              </w:rPr>
              <w:t>Offering</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stock in full)</w:t>
            </w:r>
          </w:p>
        </w:tc>
        <w:tc>
          <w:tcPr>
            <w:tcW w:w="1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15"/>
        </w:trPr>
        <w:tc>
          <w:tcPr>
            <w:tcW w:w="128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3"/>
        </w:trPr>
        <w:tc>
          <w:tcPr>
            <w:tcW w:w="1280" w:type="dxa"/>
            <w:vAlign w:val="bottom"/>
          </w:tcPr>
          <w:p>
            <w:pPr>
              <w:spacing w:after="0"/>
              <w:rPr>
                <w:sz w:val="20"/>
                <w:szCs w:val="20"/>
                <w:color w:val="auto"/>
              </w:rPr>
            </w:pPr>
            <w:r>
              <w:rPr>
                <w:rFonts w:ascii="Arial" w:cs="Arial" w:eastAsia="Arial" w:hAnsi="Arial"/>
                <w:sz w:val="18"/>
                <w:szCs w:val="18"/>
                <w:b w:val="1"/>
                <w:bCs w:val="1"/>
                <w:color w:val="auto"/>
              </w:rPr>
              <w:t>Option</w:t>
            </w:r>
          </w:p>
        </w:tc>
        <w:tc>
          <w:tcPr>
            <w:tcW w:w="720" w:type="dxa"/>
            <w:vAlign w:val="bottom"/>
          </w:tcPr>
          <w:p>
            <w:pPr>
              <w:ind w:left="100"/>
              <w:spacing w:after="0"/>
              <w:rPr>
                <w:sz w:val="20"/>
                <w:szCs w:val="20"/>
                <w:color w:val="auto"/>
              </w:rPr>
            </w:pPr>
            <w:r>
              <w:rPr>
                <w:rFonts w:ascii="Arial" w:cs="Arial" w:eastAsia="Arial" w:hAnsi="Arial"/>
                <w:sz w:val="18"/>
                <w:szCs w:val="18"/>
                <w:color w:val="auto"/>
              </w:rPr>
              <w:t>Up to</w:t>
            </w:r>
          </w:p>
        </w:tc>
        <w:tc>
          <w:tcPr>
            <w:tcW w:w="3560" w:type="dxa"/>
            <w:vAlign w:val="bottom"/>
            <w:gridSpan w:val="2"/>
          </w:tcPr>
          <w:p>
            <w:pPr>
              <w:ind w:left="820"/>
              <w:spacing w:after="0"/>
              <w:rPr>
                <w:sz w:val="20"/>
                <w:szCs w:val="20"/>
                <w:color w:val="auto"/>
              </w:rPr>
            </w:pPr>
            <w:r>
              <w:rPr>
                <w:rFonts w:ascii="Arial" w:cs="Arial" w:eastAsia="Arial" w:hAnsi="Arial"/>
                <w:sz w:val="18"/>
                <w:szCs w:val="18"/>
                <w:color w:val="auto"/>
                <w:w w:val="98"/>
              </w:rPr>
              <w:t>additional shares of common stock</w:t>
            </w:r>
          </w:p>
        </w:tc>
        <w:tc>
          <w:tcPr>
            <w:tcW w:w="204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15"/>
        </w:trPr>
        <w:tc>
          <w:tcPr>
            <w:tcW w:w="1280" w:type="dxa"/>
            <w:vAlign w:val="bottom"/>
          </w:tcPr>
          <w:p>
            <w:pPr>
              <w:spacing w:after="0"/>
              <w:rPr>
                <w:sz w:val="20"/>
                <w:szCs w:val="20"/>
                <w:color w:val="auto"/>
              </w:rPr>
            </w:pPr>
            <w:r>
              <w:rPr>
                <w:rFonts w:ascii="Arial" w:cs="Arial" w:eastAsia="Arial" w:hAnsi="Arial"/>
                <w:sz w:val="18"/>
                <w:szCs w:val="18"/>
                <w:b w:val="1"/>
                <w:bCs w:val="1"/>
                <w:color w:val="auto"/>
              </w:rPr>
              <w:t>Use of</w:t>
            </w:r>
          </w:p>
        </w:tc>
        <w:tc>
          <w:tcPr>
            <w:tcW w:w="6320" w:type="dxa"/>
            <w:vAlign w:val="bottom"/>
            <w:gridSpan w:val="4"/>
          </w:tcPr>
          <w:p>
            <w:pPr>
              <w:ind w:left="100"/>
              <w:spacing w:after="0"/>
              <w:rPr>
                <w:sz w:val="20"/>
                <w:szCs w:val="20"/>
                <w:color w:val="auto"/>
              </w:rPr>
            </w:pPr>
            <w:r>
              <w:rPr>
                <w:rFonts w:ascii="Arial" w:cs="Arial" w:eastAsia="Arial" w:hAnsi="Arial"/>
                <w:sz w:val="18"/>
                <w:szCs w:val="18"/>
                <w:color w:val="auto"/>
              </w:rPr>
              <w:t>We estimate that the net proceeds from this offering will be approximately $</w:t>
            </w:r>
          </w:p>
        </w:tc>
        <w:tc>
          <w:tcPr>
            <w:tcW w:w="3300" w:type="dxa"/>
            <w:vAlign w:val="bottom"/>
          </w:tcPr>
          <w:p>
            <w:pPr>
              <w:ind w:left="360"/>
              <w:spacing w:after="0"/>
              <w:rPr>
                <w:sz w:val="20"/>
                <w:szCs w:val="20"/>
                <w:color w:val="auto"/>
              </w:rPr>
            </w:pPr>
            <w:r>
              <w:rPr>
                <w:rFonts w:ascii="Arial" w:cs="Arial" w:eastAsia="Arial" w:hAnsi="Arial"/>
                <w:sz w:val="18"/>
                <w:szCs w:val="18"/>
                <w:color w:val="auto"/>
              </w:rPr>
              <w:t>million, or approximately</w:t>
            </w:r>
          </w:p>
        </w:tc>
      </w:tr>
      <w:tr>
        <w:trPr>
          <w:trHeight w:val="225"/>
        </w:trPr>
        <w:tc>
          <w:tcPr>
            <w:tcW w:w="1280" w:type="dxa"/>
            <w:vAlign w:val="bottom"/>
          </w:tcPr>
          <w:p>
            <w:pPr>
              <w:spacing w:after="0"/>
              <w:rPr>
                <w:sz w:val="20"/>
                <w:szCs w:val="20"/>
                <w:color w:val="auto"/>
              </w:rPr>
            </w:pPr>
            <w:r>
              <w:rPr>
                <w:rFonts w:ascii="Arial" w:cs="Arial" w:eastAsia="Arial" w:hAnsi="Arial"/>
                <w:sz w:val="18"/>
                <w:szCs w:val="18"/>
                <w:b w:val="1"/>
                <w:bCs w:val="1"/>
                <w:color w:val="auto"/>
              </w:rPr>
              <w:t>Proceeds</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8900" w:type="dxa"/>
            <w:vAlign w:val="bottom"/>
            <w:gridSpan w:val="4"/>
          </w:tcPr>
          <w:p>
            <w:pPr>
              <w:ind w:left="220"/>
              <w:spacing w:after="0"/>
              <w:rPr>
                <w:sz w:val="20"/>
                <w:szCs w:val="20"/>
                <w:color w:val="auto"/>
              </w:rPr>
            </w:pPr>
            <w:r>
              <w:rPr>
                <w:rFonts w:ascii="Arial" w:cs="Arial" w:eastAsia="Arial" w:hAnsi="Arial"/>
                <w:sz w:val="18"/>
                <w:szCs w:val="18"/>
                <w:color w:val="auto"/>
                <w:w w:val="98"/>
              </w:rPr>
              <w:t>million if the underwriter exercises its option to purchase additional shares of our common stock in full, in each</w:t>
            </w:r>
          </w:p>
        </w:tc>
      </w:tr>
      <w:tr>
        <w:trPr>
          <w:trHeight w:val="203"/>
        </w:trPr>
        <w:tc>
          <w:tcPr>
            <w:tcW w:w="1280" w:type="dxa"/>
            <w:vAlign w:val="bottom"/>
          </w:tcPr>
          <w:p>
            <w:pPr>
              <w:spacing w:after="0"/>
              <w:rPr>
                <w:sz w:val="17"/>
                <w:szCs w:val="17"/>
                <w:color w:val="auto"/>
              </w:rPr>
            </w:pPr>
          </w:p>
        </w:tc>
        <w:tc>
          <w:tcPr>
            <w:tcW w:w="9620" w:type="dxa"/>
            <w:vAlign w:val="bottom"/>
            <w:gridSpan w:val="5"/>
          </w:tcPr>
          <w:p>
            <w:pPr>
              <w:ind w:left="100"/>
              <w:spacing w:after="0" w:line="202" w:lineRule="exact"/>
              <w:rPr>
                <w:sz w:val="20"/>
                <w:szCs w:val="20"/>
                <w:color w:val="auto"/>
              </w:rPr>
            </w:pPr>
            <w:r>
              <w:rPr>
                <w:rFonts w:ascii="Arial" w:cs="Arial" w:eastAsia="Arial" w:hAnsi="Arial"/>
                <w:sz w:val="18"/>
                <w:szCs w:val="18"/>
                <w:color w:val="auto"/>
                <w:w w:val="97"/>
              </w:rPr>
              <w:t>case after deducting estimated underwriting discounts and commissions, fees and estimated offering expenses payable by</w:t>
            </w:r>
          </w:p>
        </w:tc>
      </w:tr>
      <w:tr>
        <w:trPr>
          <w:trHeight w:val="211"/>
        </w:trPr>
        <w:tc>
          <w:tcPr>
            <w:tcW w:w="128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us.</w:t>
            </w:r>
          </w:p>
        </w:tc>
        <w:tc>
          <w:tcPr>
            <w:tcW w:w="2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300" w:type="dxa"/>
            <w:vAlign w:val="bottom"/>
          </w:tcPr>
          <w:p>
            <w:pPr>
              <w:spacing w:after="0"/>
              <w:rPr>
                <w:sz w:val="18"/>
                <w:szCs w:val="18"/>
                <w:color w:val="auto"/>
              </w:rPr>
            </w:pPr>
          </w:p>
        </w:tc>
      </w:tr>
    </w:tbl>
    <w:p>
      <w:pPr>
        <w:spacing w:after="0" w:line="235" w:lineRule="exact"/>
        <w:rPr>
          <w:sz w:val="20"/>
          <w:szCs w:val="20"/>
          <w:color w:val="auto"/>
        </w:rPr>
      </w:pPr>
    </w:p>
    <w:p>
      <w:pPr>
        <w:ind w:left="1620"/>
        <w:spacing w:after="0" w:line="273" w:lineRule="auto"/>
        <w:rPr>
          <w:sz w:val="20"/>
          <w:szCs w:val="20"/>
          <w:color w:val="auto"/>
        </w:rPr>
      </w:pPr>
      <w:r>
        <w:rPr>
          <w:rFonts w:ascii="Arial" w:cs="Arial" w:eastAsia="Arial" w:hAnsi="Arial"/>
          <w:sz w:val="16"/>
          <w:szCs w:val="16"/>
          <w:color w:val="auto"/>
        </w:rPr>
        <w:t>We expect to use approximately $476 million of the net proceeds from this offering to redeem approximately $438 million in aggregate principal amount of our 7.500% Senior Secured Notes due 2023 (the "2023 Notes") and pay accrued and unpaid interest thereon. We anticipate that we will use the remaining net proceeds of this offering for the repurchase, redemption, retirement or other repayment of our outstanding debt securities, which may include any of our senior notes, senior secured notes or senior secured Term Loan B notes, and general corporate purposes. See "Use of proceeds."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NASDAQ</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Global Select</w:t>
      </w:r>
    </w:p>
    <w:p>
      <w:pPr>
        <w:ind w:left="240"/>
        <w:spacing w:after="0" w:line="234" w:lineRule="auto"/>
        <w:rPr>
          <w:sz w:val="20"/>
          <w:szCs w:val="20"/>
          <w:color w:val="auto"/>
        </w:rPr>
      </w:pPr>
      <w:r>
        <w:rPr>
          <w:rFonts w:ascii="Arial" w:cs="Arial" w:eastAsia="Arial" w:hAnsi="Arial"/>
          <w:sz w:val="18"/>
          <w:szCs w:val="18"/>
          <w:b w:val="1"/>
          <w:bCs w:val="1"/>
          <w:color w:val="auto"/>
        </w:rPr>
        <w:t>Market</w:t>
      </w:r>
    </w:p>
    <w:p>
      <w:pPr>
        <w:spacing w:after="0" w:line="1" w:lineRule="exact"/>
        <w:rPr>
          <w:sz w:val="20"/>
          <w:szCs w:val="20"/>
          <w:color w:val="auto"/>
        </w:rPr>
      </w:pPr>
    </w:p>
    <w:p>
      <w:pPr>
        <w:ind w:left="240"/>
        <w:spacing w:after="0"/>
        <w:tabs>
          <w:tab w:leader="none" w:pos="1600" w:val="left"/>
        </w:tabs>
        <w:rPr>
          <w:sz w:val="20"/>
          <w:szCs w:val="20"/>
          <w:color w:val="auto"/>
        </w:rPr>
      </w:pPr>
      <w:r>
        <w:rPr>
          <w:rFonts w:ascii="Arial" w:cs="Arial" w:eastAsia="Arial" w:hAnsi="Arial"/>
          <w:sz w:val="18"/>
          <w:szCs w:val="18"/>
          <w:b w:val="1"/>
          <w:bCs w:val="1"/>
          <w:color w:val="auto"/>
        </w:rPr>
        <w:t>Symbol</w:t>
      </w:r>
      <w:r>
        <w:rPr>
          <w:sz w:val="20"/>
          <w:szCs w:val="20"/>
          <w:color w:val="auto"/>
        </w:rPr>
        <w:tab/>
      </w:r>
      <w:r>
        <w:rPr>
          <w:rFonts w:ascii="Arial" w:cs="Arial" w:eastAsia="Arial" w:hAnsi="Arial"/>
          <w:sz w:val="18"/>
          <w:szCs w:val="18"/>
          <w:color w:val="auto"/>
        </w:rPr>
        <w:t>MU</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number of shares of our common stock to be outstanding after this offering set forth above is based on the number of outstanding</w:t>
      </w:r>
    </w:p>
    <w:p>
      <w:pPr>
        <w:ind w:left="240"/>
        <w:spacing w:after="0"/>
        <w:tabs>
          <w:tab w:leader="none" w:pos="5260" w:val="left"/>
          <w:tab w:leader="none" w:pos="7960" w:val="left"/>
        </w:tabs>
        <w:rPr>
          <w:sz w:val="20"/>
          <w:szCs w:val="20"/>
          <w:color w:val="auto"/>
        </w:rPr>
      </w:pPr>
      <w:r>
        <w:rPr>
          <w:rFonts w:ascii="Arial" w:cs="Arial" w:eastAsia="Arial" w:hAnsi="Arial"/>
          <w:sz w:val="18"/>
          <w:szCs w:val="18"/>
          <w:color w:val="auto"/>
        </w:rPr>
        <w:t>shares as of June 1, 2017 and assumes the sale of</w:t>
      </w:r>
      <w:r>
        <w:rPr>
          <w:sz w:val="20"/>
          <w:szCs w:val="20"/>
          <w:color w:val="auto"/>
        </w:rPr>
        <w:tab/>
      </w:r>
      <w:r>
        <w:rPr>
          <w:rFonts w:ascii="Arial" w:cs="Arial" w:eastAsia="Arial" w:hAnsi="Arial"/>
          <w:sz w:val="18"/>
          <w:szCs w:val="18"/>
          <w:color w:val="auto"/>
        </w:rPr>
        <w:t>shares of common stock at $</w:t>
      </w:r>
      <w:r>
        <w:rPr>
          <w:sz w:val="20"/>
          <w:szCs w:val="20"/>
          <w:color w:val="auto"/>
        </w:rPr>
        <w:tab/>
      </w:r>
      <w:r>
        <w:rPr>
          <w:rFonts w:ascii="Arial" w:cs="Arial" w:eastAsia="Arial" w:hAnsi="Arial"/>
          <w:sz w:val="16"/>
          <w:szCs w:val="16"/>
          <w:color w:val="auto"/>
        </w:rPr>
        <w:t>per share.</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number of shares of our common stock to be outstanding after this offering set forth above excludes:</w:t>
      </w:r>
    </w:p>
    <w:p>
      <w:pPr>
        <w:spacing w:after="0" w:line="225" w:lineRule="exact"/>
        <w:rPr>
          <w:sz w:val="20"/>
          <w:szCs w:val="20"/>
          <w:color w:val="auto"/>
        </w:rPr>
      </w:pPr>
    </w:p>
    <w:p>
      <w:pPr>
        <w:ind w:left="780" w:right="380" w:hanging="538"/>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36 million shares of our common stock issuable upon the exercise of stock options outstanding as of June 1, 2017 at a weighted-average exercise price of $18.87 per share;</w:t>
      </w:r>
    </w:p>
    <w:p>
      <w:pPr>
        <w:spacing w:after="0" w:line="195" w:lineRule="exact"/>
        <w:rPr>
          <w:rFonts w:ascii="Arial" w:cs="Arial" w:eastAsia="Arial" w:hAnsi="Arial"/>
          <w:sz w:val="18"/>
          <w:szCs w:val="18"/>
          <w:color w:val="auto"/>
        </w:rPr>
      </w:pPr>
    </w:p>
    <w:p>
      <w:pPr>
        <w:ind w:left="780" w:hanging="53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 million shares of our common stock issuable upon vesting of restricted stock units outstanding as of June 1, 2017;</w:t>
      </w:r>
    </w:p>
    <w:p>
      <w:pPr>
        <w:spacing w:after="0" w:line="198" w:lineRule="exact"/>
        <w:rPr>
          <w:rFonts w:ascii="Arial" w:cs="Arial" w:eastAsia="Arial" w:hAnsi="Arial"/>
          <w:sz w:val="18"/>
          <w:szCs w:val="18"/>
          <w:color w:val="auto"/>
        </w:rPr>
      </w:pPr>
    </w:p>
    <w:p>
      <w:pPr>
        <w:ind w:left="780" w:hanging="53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million shares of our common stock reserved for future issuance under our equity incentive plans as of June 1, 2017; and</w:t>
      </w:r>
    </w:p>
    <w:p>
      <w:pPr>
        <w:spacing w:after="0" w:line="211" w:lineRule="exact"/>
        <w:rPr>
          <w:rFonts w:ascii="Arial" w:cs="Arial" w:eastAsia="Arial" w:hAnsi="Arial"/>
          <w:sz w:val="18"/>
          <w:szCs w:val="18"/>
          <w:color w:val="auto"/>
        </w:rPr>
      </w:pPr>
    </w:p>
    <w:p>
      <w:pPr>
        <w:ind w:left="780" w:hanging="53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shares of our common stock reserved for issuance upon conversion of our outstanding convertible senior notes.</w:t>
      </w:r>
    </w:p>
    <w:p>
      <w:pPr>
        <w:spacing w:after="0" w:line="212" w:lineRule="exact"/>
        <w:rPr>
          <w:sz w:val="20"/>
          <w:szCs w:val="20"/>
          <w:color w:val="auto"/>
        </w:rPr>
      </w:pPr>
    </w:p>
    <w:p>
      <w:pPr>
        <w:ind w:left="240" w:right="140"/>
        <w:spacing w:after="0" w:line="239" w:lineRule="auto"/>
        <w:rPr>
          <w:sz w:val="20"/>
          <w:szCs w:val="20"/>
          <w:color w:val="auto"/>
        </w:rPr>
      </w:pPr>
      <w:r>
        <w:rPr>
          <w:rFonts w:ascii="Arial" w:cs="Arial" w:eastAsia="Arial" w:hAnsi="Arial"/>
          <w:sz w:val="18"/>
          <w:szCs w:val="18"/>
          <w:color w:val="auto"/>
        </w:rPr>
        <w:t>Unless we specifically state otherwise, the information in this prospectus supplement does not give effect to the exercise by the underwriter pursuant to this offering of its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56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56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Summary of historical consolidated financial information</w:t>
      </w:r>
    </w:p>
    <w:p>
      <w:pPr>
        <w:spacing w:after="0" w:line="261" w:lineRule="exact"/>
        <w:rPr>
          <w:sz w:val="20"/>
          <w:szCs w:val="20"/>
          <w:color w:val="auto"/>
        </w:rPr>
      </w:pPr>
    </w:p>
    <w:p>
      <w:pPr>
        <w:ind w:left="240"/>
        <w:spacing w:after="0" w:line="235" w:lineRule="auto"/>
        <w:rPr>
          <w:sz w:val="20"/>
          <w:szCs w:val="20"/>
          <w:color w:val="auto"/>
        </w:rPr>
      </w:pPr>
      <w:r>
        <w:rPr>
          <w:rFonts w:ascii="Arial" w:cs="Arial" w:eastAsia="Arial" w:hAnsi="Arial"/>
          <w:sz w:val="18"/>
          <w:szCs w:val="18"/>
          <w:color w:val="auto"/>
        </w:rPr>
        <w:t>The following tables summarize our consolidated financial data for the periods presented. You should read this summary consolidated financial data in conjunction with "Management's Discussion and Analysis of Financial Condition and Results of Operations" and our consolidated financial statements and related notes incorporated by reference in this prospectus supplement and the accompanying prospectus. The consolidated statement of operations data for the years ended August 28, 2014, September 3, 2015 and September 1, 2016 and the selected consolidated balance sheet data as of September 3, 2015 and September 1, 2016, were derived from our audited consolidated financial statements incorporated by reference in this prospectus supplement and the accompanying prospectus. The consolidated statement of operations data for the nine months ended June 2, 2016 and June 1, 2017 and the consolidated balance sheet data as of June 1, 2017 were derived from our unaudited interim condensed consolidated financial statements incorporated by reference in this prospectus supplement and the accompanying prospectus. We have prepared the unaudited interim financial statements on the same basis as the audited financial statements and have included, in our opinion, all necessary adjustments, consisting of a normal recurring nature to fairly state the financial information set forth in those statements. Our historical results are not necessarily indicative of the results to be expected in the future and our interim results are not necessarily indicative of the results to be expected for the full year or any future period.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053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053580"/>
                    </a:xfrm>
                    <a:prstGeom prst="rect">
                      <a:avLst/>
                    </a:prstGeom>
                    <a:noFill/>
                  </pic:spPr>
                </pic:pic>
              </a:graphicData>
            </a:graphic>
          </wp:anchor>
        </w:drawing>
      </w:r>
    </w:p>
    <w:p>
      <w:pPr>
        <w:spacing w:after="0" w:line="398" w:lineRule="exact"/>
        <w:rPr>
          <w:sz w:val="20"/>
          <w:szCs w:val="20"/>
          <w:color w:val="auto"/>
        </w:rPr>
      </w:pPr>
    </w:p>
    <w:tbl>
      <w:tblPr>
        <w:tblLayout w:type="fixed"/>
        <w:tblInd w:w="1340" w:type="dxa"/>
        <w:tblCellMar>
          <w:top w:w="0" w:type="dxa"/>
          <w:left w:w="0" w:type="dxa"/>
          <w:bottom w:w="0" w:type="dxa"/>
          <w:right w:w="0" w:type="dxa"/>
        </w:tblCellMar>
      </w:tblPr>
      <w:tr>
        <w:trPr>
          <w:trHeight w:val="224"/>
        </w:trPr>
        <w:tc>
          <w:tcPr>
            <w:tcW w:w="3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177"/>
        </w:trPr>
        <w:tc>
          <w:tcPr>
            <w:tcW w:w="3400" w:type="dxa"/>
            <w:vAlign w:val="bottom"/>
          </w:tcPr>
          <w:p>
            <w:pPr>
              <w:spacing w:after="0"/>
              <w:rPr>
                <w:sz w:val="15"/>
                <w:szCs w:val="15"/>
                <w:color w:val="auto"/>
              </w:rPr>
            </w:pPr>
          </w:p>
        </w:tc>
        <w:tc>
          <w:tcPr>
            <w:tcW w:w="104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b w:val="1"/>
                <w:bCs w:val="1"/>
                <w:color w:val="auto"/>
              </w:rPr>
              <w:t>August 28,</w:t>
            </w:r>
          </w:p>
        </w:tc>
        <w:tc>
          <w:tcPr>
            <w:tcW w:w="1280" w:type="dxa"/>
            <w:vAlign w:val="bottom"/>
            <w:tcBorders>
              <w:top w:val="single" w:sz="8" w:color="auto"/>
            </w:tcBorders>
            <w:gridSpan w:val="2"/>
          </w:tcPr>
          <w:p>
            <w:pPr>
              <w:ind w:left="60"/>
              <w:spacing w:after="0" w:line="177" w:lineRule="exact"/>
              <w:rPr>
                <w:sz w:val="20"/>
                <w:szCs w:val="20"/>
                <w:color w:val="auto"/>
              </w:rPr>
            </w:pPr>
            <w:r>
              <w:rPr>
                <w:rFonts w:ascii="Arial" w:cs="Arial" w:eastAsia="Arial" w:hAnsi="Arial"/>
                <w:sz w:val="18"/>
                <w:szCs w:val="18"/>
                <w:b w:val="1"/>
                <w:bCs w:val="1"/>
                <w:color w:val="auto"/>
              </w:rPr>
              <w:t>September 3,</w:t>
            </w:r>
          </w:p>
        </w:tc>
        <w:tc>
          <w:tcPr>
            <w:tcW w:w="116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b w:val="1"/>
                <w:bCs w:val="1"/>
                <w:color w:val="auto"/>
                <w:w w:val="97"/>
              </w:rPr>
              <w:t>September 1,</w:t>
            </w:r>
          </w:p>
        </w:tc>
        <w:tc>
          <w:tcPr>
            <w:tcW w:w="140" w:type="dxa"/>
            <w:vAlign w:val="bottom"/>
          </w:tcPr>
          <w:p>
            <w:pPr>
              <w:spacing w:after="0"/>
              <w:rPr>
                <w:sz w:val="15"/>
                <w:szCs w:val="15"/>
                <w:color w:val="auto"/>
              </w:rPr>
            </w:pPr>
          </w:p>
        </w:tc>
        <w:tc>
          <w:tcPr>
            <w:tcW w:w="820" w:type="dxa"/>
            <w:vAlign w:val="bottom"/>
            <w:tcBorders>
              <w:top w:val="single" w:sz="8" w:color="auto"/>
            </w:tcBorders>
            <w:gridSpan w:val="2"/>
          </w:tcPr>
          <w:p>
            <w:pPr>
              <w:jc w:val="right"/>
              <w:ind w:right="52"/>
              <w:spacing w:after="0" w:line="177" w:lineRule="exact"/>
              <w:rPr>
                <w:sz w:val="20"/>
                <w:szCs w:val="20"/>
                <w:color w:val="auto"/>
              </w:rPr>
            </w:pPr>
            <w:r>
              <w:rPr>
                <w:rFonts w:ascii="Arial" w:cs="Arial" w:eastAsia="Arial" w:hAnsi="Arial"/>
                <w:sz w:val="18"/>
                <w:szCs w:val="18"/>
                <w:b w:val="1"/>
                <w:bCs w:val="1"/>
                <w:color w:val="auto"/>
              </w:rPr>
              <w:t>June 2,</w:t>
            </w: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3"/>
              </w:rPr>
              <w:t>June 1,</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20" w:type="dxa"/>
            <w:vAlign w:val="bottom"/>
            <w:gridSpan w:val="8"/>
          </w:tcPr>
          <w:p>
            <w:pPr>
              <w:ind w:left="60"/>
              <w:spacing w:after="0" w:line="196" w:lineRule="exact"/>
              <w:rPr>
                <w:sz w:val="20"/>
                <w:szCs w:val="20"/>
                <w:color w:val="auto"/>
              </w:rPr>
            </w:pPr>
            <w:r>
              <w:rPr>
                <w:rFonts w:ascii="Arial" w:cs="Arial" w:eastAsia="Arial" w:hAnsi="Arial"/>
                <w:sz w:val="18"/>
                <w:szCs w:val="18"/>
                <w:b w:val="1"/>
                <w:bCs w:val="1"/>
                <w:color w:val="auto"/>
                <w:w w:val="97"/>
              </w:rPr>
              <w:t>(in millions except per share data)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Consolidated Statement of Operations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16,358</w:t>
            </w:r>
          </w:p>
        </w:tc>
        <w:tc>
          <w:tcPr>
            <w:tcW w:w="3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16,192</w:t>
            </w:r>
          </w:p>
        </w:tc>
        <w:tc>
          <w:tcPr>
            <w:tcW w:w="3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12,399</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9,182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14,184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10,921</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10,977</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9,894</w:t>
            </w:r>
          </w:p>
        </w:tc>
        <w:tc>
          <w:tcPr>
            <w:tcW w:w="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7,256</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8,860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7"/>
                <w:szCs w:val="17"/>
                <w:color w:val="auto"/>
              </w:rPr>
            </w:pPr>
          </w:p>
        </w:tc>
        <w:tc>
          <w:tcPr>
            <w:tcW w:w="7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5,437</w:t>
            </w:r>
          </w:p>
        </w:tc>
        <w:tc>
          <w:tcPr>
            <w:tcW w:w="38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5,215</w:t>
            </w:r>
          </w:p>
        </w:tc>
        <w:tc>
          <w:tcPr>
            <w:tcW w:w="3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2,505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1,926</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707</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719</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502</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1,371</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1,540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1,206</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Restructure and asset impairments</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(income) expense, net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3,087</w:t>
            </w: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2,998</w:t>
            </w: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200</w:t>
            </w: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3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(437)</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80" w:type="dxa"/>
            <w:vAlign w:val="bottom"/>
          </w:tcPr>
          <w:p>
            <w:pPr>
              <w:spacing w:after="0"/>
              <w:rPr>
                <w:sz w:val="17"/>
                <w:szCs w:val="17"/>
                <w:color w:val="auto"/>
              </w:rPr>
            </w:pPr>
          </w:p>
        </w:tc>
        <w:tc>
          <w:tcPr>
            <w:tcW w:w="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non-operating income (expense),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2,733</w:t>
            </w: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2,609</w:t>
            </w: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(281)</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6"/>
        </w:trPr>
        <w:tc>
          <w:tcPr>
            <w:tcW w:w="3400" w:type="dxa"/>
            <w:vAlign w:val="bottom"/>
          </w:tcPr>
          <w:p>
            <w:pPr>
              <w:spacing w:after="0" w:line="206" w:lineRule="exact"/>
              <w:rPr>
                <w:sz w:val="20"/>
                <w:szCs w:val="20"/>
                <w:color w:val="auto"/>
              </w:rPr>
            </w:pPr>
            <w:r>
              <w:rPr>
                <w:rFonts w:ascii="Arial" w:cs="Arial" w:eastAsia="Arial" w:hAnsi="Arial"/>
                <w:sz w:val="18"/>
                <w:szCs w:val="18"/>
                <w:color w:val="auto"/>
              </w:rPr>
              <w:t>Equity in net income (loss) of equity</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tcPr>
          <w:p>
            <w:pPr>
              <w:ind w:left="180"/>
              <w:spacing w:after="0" w:line="200" w:lineRule="exact"/>
              <w:rPr>
                <w:sz w:val="20"/>
                <w:szCs w:val="20"/>
                <w:color w:val="auto"/>
              </w:rPr>
            </w:pPr>
            <w:r>
              <w:rPr>
                <w:rFonts w:ascii="Arial" w:cs="Arial" w:eastAsia="Arial" w:hAnsi="Arial"/>
                <w:sz w:val="18"/>
                <w:szCs w:val="18"/>
                <w:color w:val="auto"/>
              </w:rPr>
              <w:t>method investees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474</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447</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3,079</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2,899</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2,721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tcPr>
          <w:p>
            <w:pPr>
              <w:spacing w:after="0" w:line="206"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tcPr>
          <w:p>
            <w:pPr>
              <w:ind w:left="180"/>
              <w:spacing w:after="0" w:line="200" w:lineRule="exact"/>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7"/>
                <w:szCs w:val="17"/>
                <w:color w:val="auto"/>
              </w:rPr>
            </w:pPr>
          </w:p>
        </w:tc>
        <w:tc>
          <w:tcPr>
            <w:tcW w:w="9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76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Micron</w:t>
            </w:r>
          </w:p>
        </w:tc>
        <w:tc>
          <w:tcPr>
            <w:tcW w:w="2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3,045</w:t>
            </w:r>
          </w:p>
        </w:tc>
        <w:tc>
          <w:tcPr>
            <w:tcW w:w="380" w:type="dxa"/>
            <w:vAlign w:val="bottom"/>
            <w:tcBorders>
              <w:top w:val="single" w:sz="8" w:color="auto"/>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2,899</w:t>
            </w:r>
          </w:p>
        </w:tc>
        <w:tc>
          <w:tcPr>
            <w:tcW w:w="380" w:type="dxa"/>
            <w:vAlign w:val="bottom"/>
            <w:tcBorders>
              <w:top w:val="single" w:sz="8" w:color="auto"/>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(276)</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2.87</w:t>
            </w:r>
          </w:p>
        </w:tc>
        <w:tc>
          <w:tcPr>
            <w:tcW w:w="3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2.54</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2.47</w:t>
            </w:r>
          </w:p>
        </w:tc>
        <w:tc>
          <w:tcPr>
            <w:tcW w:w="3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(0.27)</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Number of shares used in per share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calculations: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1,060</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1,070</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1,035</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1,198</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1,170</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1,035</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tcPr>
          <w:p>
            <w:pPr>
              <w:spacing w:after="0"/>
              <w:rPr>
                <w:sz w:val="19"/>
                <w:szCs w:val="19"/>
                <w:color w:val="auto"/>
              </w:rPr>
            </w:pPr>
          </w:p>
        </w:tc>
        <w:tc>
          <w:tcPr>
            <w:tcW w:w="404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rPr>
              <w:t>September 3,</w:t>
            </w:r>
          </w:p>
        </w:tc>
        <w:tc>
          <w:tcPr>
            <w:tcW w:w="13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September 1,</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6"/>
              </w:rPr>
              <w:t>June 1,</w:t>
            </w:r>
          </w:p>
        </w:tc>
        <w:tc>
          <w:tcPr>
            <w:tcW w:w="1480" w:type="dxa"/>
            <w:vAlign w:val="bottom"/>
            <w:gridSpan w:val="2"/>
          </w:tcPr>
          <w:p>
            <w:pPr>
              <w:spacing w:after="0"/>
              <w:rPr>
                <w:sz w:val="19"/>
                <w:szCs w:val="19"/>
                <w:color w:val="auto"/>
              </w:rPr>
            </w:pPr>
          </w:p>
        </w:tc>
      </w:tr>
      <w:tr>
        <w:trPr>
          <w:trHeight w:val="221"/>
        </w:trPr>
        <w:tc>
          <w:tcPr>
            <w:tcW w:w="1340" w:type="dxa"/>
            <w:vAlign w:val="bottom"/>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millions)</w:t>
            </w:r>
          </w:p>
        </w:tc>
        <w:tc>
          <w:tcPr>
            <w:tcW w:w="1500" w:type="dxa"/>
            <w:vAlign w:val="bottom"/>
            <w:gridSpan w:val="3"/>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Cash and equivalents and short-term investments</w:t>
            </w:r>
          </w:p>
        </w:tc>
        <w:tc>
          <w:tcPr>
            <w:tcW w:w="15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3,521</w:t>
            </w:r>
          </w:p>
        </w:tc>
        <w:tc>
          <w:tcPr>
            <w:tcW w:w="4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4,398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4,330</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Long-term marketable investments</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2,113</w:t>
            </w:r>
          </w:p>
        </w:tc>
        <w:tc>
          <w:tcPr>
            <w:tcW w:w="4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414</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24,143</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27,540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33,267</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Current debt</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1,089</w:t>
            </w:r>
          </w:p>
        </w:tc>
        <w:tc>
          <w:tcPr>
            <w:tcW w:w="4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756</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6,252</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9,154</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10,485</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Noncontrolling interests in subsidiaries</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4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848</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848</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Micron shareholders' equity</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12,302</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12,080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16,171</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40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S-6</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5"/>
        </w:trPr>
        <w:tc>
          <w:tcPr>
            <w:tcW w:w="1340" w:type="dxa"/>
            <w:vAlign w:val="bottom"/>
            <w:tcBorders>
              <w:bottom w:val="single" w:sz="8" w:color="808080"/>
            </w:tcBorders>
          </w:tcPr>
          <w:p>
            <w:pPr>
              <w:spacing w:after="0"/>
              <w:rPr>
                <w:sz w:val="18"/>
                <w:szCs w:val="18"/>
                <w:color w:val="auto"/>
              </w:rPr>
            </w:pPr>
          </w:p>
        </w:tc>
        <w:tc>
          <w:tcPr>
            <w:tcW w:w="404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 factors</w:t>
      </w:r>
    </w:p>
    <w:p>
      <w:pPr>
        <w:spacing w:after="0" w:line="243"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You should consider the risk factors below as well as the other information set forth or incorporated by reference in this prospectus supplement and the accompanying prospectus. If any of the following risks actually occurs, our business, financial condition or results of operations could be materially and adversely affected. In such case, the trading price of our common stock could decline, and you could lose all or part of your investment. This prospectus supplement and the accompanying prospectus also contain forward-looking statements that involve risks and uncertainties. Our actual results could differ materially from those anticipated in these forward-looking statements as a result of certain factors, including the risks faced by us described below, elsewhere in this prospectus supplement and the accompanying prospectus and in the documents incorporated by reference in this prospectus supplement and the accompanying prospectus.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22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i w:val="1"/>
          <w:iCs w:val="1"/>
          <w:color w:val="auto"/>
        </w:rPr>
        <w:t>We have experienced volatility in average selling prices for our semiconductor memory and storage products which may adversely affect our business.</w:t>
      </w:r>
    </w:p>
    <w:p>
      <w:pPr>
        <w:spacing w:after="0" w:line="18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Decreases in average selling prices for our products that decline faster than our costs could have a material adverse effect on our business, results of operations, or financial condition.</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Trade</w:t>
            </w:r>
          </w:p>
        </w:tc>
        <w:tc>
          <w:tcPr>
            <w:tcW w:w="16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860" w:type="dxa"/>
            <w:vAlign w:val="bottom"/>
          </w:tcPr>
          <w:p>
            <w:pPr>
              <w:jc w:val="right"/>
              <w:ind w:right="312"/>
              <w:spacing w:after="0"/>
              <w:rPr>
                <w:sz w:val="20"/>
                <w:szCs w:val="20"/>
                <w:color w:val="auto"/>
              </w:rPr>
            </w:pPr>
            <w:r>
              <w:rPr>
                <w:rFonts w:ascii="Arial" w:cs="Arial" w:eastAsia="Arial" w:hAnsi="Arial"/>
                <w:sz w:val="18"/>
                <w:szCs w:val="18"/>
                <w:b w:val="1"/>
                <w:bCs w:val="1"/>
                <w:color w:val="auto"/>
              </w:rPr>
              <w:t>DRAM</w:t>
            </w:r>
          </w:p>
        </w:tc>
        <w:tc>
          <w:tcPr>
            <w:tcW w:w="1120" w:type="dxa"/>
            <w:vAlign w:val="bottom"/>
            <w:gridSpan w:val="2"/>
          </w:tcPr>
          <w:p>
            <w:pPr>
              <w:ind w:left="400"/>
              <w:spacing w:after="0"/>
              <w:rPr>
                <w:sz w:val="20"/>
                <w:szCs w:val="20"/>
                <w:color w:val="auto"/>
              </w:rPr>
            </w:pPr>
            <w:r>
              <w:rPr>
                <w:rFonts w:ascii="Arial" w:cs="Arial" w:eastAsia="Arial" w:hAnsi="Arial"/>
                <w:sz w:val="18"/>
                <w:szCs w:val="18"/>
                <w:b w:val="1"/>
                <w:bCs w:val="1"/>
                <w:color w:val="auto"/>
              </w:rPr>
              <w:t>NAND</w:t>
            </w:r>
          </w:p>
        </w:tc>
      </w:tr>
      <w:tr>
        <w:trPr>
          <w:trHeight w:val="177"/>
        </w:trPr>
        <w:tc>
          <w:tcPr>
            <w:tcW w:w="20" w:type="dxa"/>
            <w:vAlign w:val="bottom"/>
          </w:tcPr>
          <w:p>
            <w:pPr>
              <w:spacing w:after="0"/>
              <w:rPr>
                <w:sz w:val="15"/>
                <w:szCs w:val="15"/>
                <w:color w:val="auto"/>
              </w:rPr>
            </w:pPr>
          </w:p>
        </w:tc>
        <w:tc>
          <w:tcPr>
            <w:tcW w:w="4140" w:type="dxa"/>
            <w:vAlign w:val="bottom"/>
            <w:tcBorders>
              <w:top w:val="single" w:sz="8" w:color="auto"/>
            </w:tcBorders>
          </w:tcPr>
          <w:p>
            <w:pPr>
              <w:spacing w:after="0"/>
              <w:rPr>
                <w:sz w:val="15"/>
                <w:szCs w:val="15"/>
                <w:color w:val="auto"/>
              </w:rPr>
            </w:pPr>
          </w:p>
        </w:tc>
        <w:tc>
          <w:tcPr>
            <w:tcW w:w="482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(percentage change in</w:t>
            </w: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average selling prices)</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jc w:val="right"/>
              <w:ind w:right="2832"/>
              <w:spacing w:after="0" w:line="202" w:lineRule="exact"/>
              <w:rPr>
                <w:sz w:val="20"/>
                <w:szCs w:val="20"/>
                <w:color w:val="auto"/>
              </w:rPr>
            </w:pPr>
            <w:r>
              <w:rPr>
                <w:rFonts w:ascii="Arial" w:cs="Arial" w:eastAsia="Arial" w:hAnsi="Arial"/>
                <w:sz w:val="18"/>
                <w:szCs w:val="18"/>
                <w:color w:val="auto"/>
                <w:w w:val="95"/>
              </w:rPr>
              <w:t>2017 from 2016</w:t>
            </w:r>
          </w:p>
        </w:tc>
        <w:tc>
          <w:tcPr>
            <w:tcW w:w="38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r>
      <w:tr>
        <w:trPr>
          <w:trHeight w:val="203"/>
        </w:trPr>
        <w:tc>
          <w:tcPr>
            <w:tcW w:w="4160" w:type="dxa"/>
            <w:vAlign w:val="bottom"/>
            <w:gridSpan w:val="2"/>
          </w:tcPr>
          <w:p>
            <w:pPr>
              <w:jc w:val="right"/>
              <w:ind w:right="2832"/>
              <w:spacing w:after="0" w:line="202" w:lineRule="exact"/>
              <w:rPr>
                <w:sz w:val="20"/>
                <w:szCs w:val="20"/>
                <w:color w:val="auto"/>
              </w:rPr>
            </w:pPr>
            <w:r>
              <w:rPr>
                <w:rFonts w:ascii="Arial" w:cs="Arial" w:eastAsia="Arial" w:hAnsi="Arial"/>
                <w:sz w:val="18"/>
                <w:szCs w:val="18"/>
                <w:color w:val="auto"/>
                <w:w w:val="96"/>
              </w:rPr>
              <w:t>2016 from 2015</w:t>
            </w:r>
          </w:p>
        </w:tc>
        <w:tc>
          <w:tcPr>
            <w:tcW w:w="38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(35)%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jc w:val="right"/>
              <w:ind w:right="2832"/>
              <w:spacing w:after="0" w:line="202" w:lineRule="exact"/>
              <w:rPr>
                <w:sz w:val="20"/>
                <w:szCs w:val="20"/>
                <w:color w:val="auto"/>
              </w:rPr>
            </w:pPr>
            <w:r>
              <w:rPr>
                <w:rFonts w:ascii="Arial" w:cs="Arial" w:eastAsia="Arial" w:hAnsi="Arial"/>
                <w:sz w:val="18"/>
                <w:szCs w:val="18"/>
                <w:color w:val="auto"/>
                <w:w w:val="95"/>
              </w:rPr>
              <w:t>2015 from 2014</w:t>
            </w:r>
          </w:p>
        </w:tc>
        <w:tc>
          <w:tcPr>
            <w:tcW w:w="38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r>
      <w:tr>
        <w:trPr>
          <w:trHeight w:val="203"/>
        </w:trPr>
        <w:tc>
          <w:tcPr>
            <w:tcW w:w="4160" w:type="dxa"/>
            <w:vAlign w:val="bottom"/>
            <w:gridSpan w:val="2"/>
          </w:tcPr>
          <w:p>
            <w:pPr>
              <w:jc w:val="right"/>
              <w:ind w:right="2832"/>
              <w:spacing w:after="0" w:line="202" w:lineRule="exact"/>
              <w:rPr>
                <w:sz w:val="20"/>
                <w:szCs w:val="20"/>
                <w:color w:val="auto"/>
              </w:rPr>
            </w:pPr>
            <w:r>
              <w:rPr>
                <w:rFonts w:ascii="Arial" w:cs="Arial" w:eastAsia="Arial" w:hAnsi="Arial"/>
                <w:sz w:val="18"/>
                <w:szCs w:val="18"/>
                <w:color w:val="auto"/>
                <w:w w:val="96"/>
              </w:rPr>
              <w:t>2014 from 2013</w:t>
            </w:r>
          </w:p>
        </w:tc>
        <w:tc>
          <w:tcPr>
            <w:tcW w:w="38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jc w:val="right"/>
              <w:ind w:right="2832"/>
              <w:spacing w:after="0" w:line="202" w:lineRule="exact"/>
              <w:rPr>
                <w:sz w:val="20"/>
                <w:szCs w:val="20"/>
                <w:color w:val="auto"/>
              </w:rPr>
            </w:pPr>
            <w:r>
              <w:rPr>
                <w:rFonts w:ascii="Arial" w:cs="Arial" w:eastAsia="Arial" w:hAnsi="Arial"/>
                <w:sz w:val="18"/>
                <w:szCs w:val="18"/>
                <w:color w:val="auto"/>
                <w:w w:val="95"/>
              </w:rPr>
              <w:t>2013 from 2012</w:t>
            </w:r>
          </w:p>
        </w:tc>
        <w:tc>
          <w:tcPr>
            <w:tcW w:w="3860" w:type="dxa"/>
            <w:vAlign w:val="bottom"/>
            <w:tcBorders>
              <w:bottom w:val="single" w:sz="8" w:color="auto"/>
            </w:tcBorders>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(11)%</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improve gross margins.</w:t>
      </w:r>
    </w:p>
    <w:p>
      <w:pPr>
        <w:spacing w:after="0" w:line="23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gross margins are dependent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 fabrication steps, manufacturing yield, technological barriers, changes in process technologies, and new products that may require relatively larger die sizes. Per gigabit manufacturing costs may also be affected by a broader product portfolio, which may have smaller production quantities and shorter product lifecycles. Our inability to maintain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improve gross margins could have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memory and storage markets are highly competitive.</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Corporation ("Intel"); Samsung Electronics Co., Ltd.; SK Hynix Inc.; Toshiba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such as China, have provided, and may continue to provide, significant financial assistance to some of our competitors or to new entrants. 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would lead to further declines in average selling prices for our products and would materially adversely affect our business, results of operations, or financial condition. If competitors are more successful at developing or implementing new product or process technology their products could have cost or performance advantages. The competitive nature of our industry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could adversely affect our financial condition.</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recent periods, our debt levels have increased due to the capital intensive nature of our business, business acquisitions, and the restructuring of our capital structure. As of August 31, 2017, we had debt with a carrying value of $11.13 billion. In addition, the conversion value in excess of principal of our convertible notes, as of August 31, 2017 was $1.91 billion, based on the trading price of our common stock of $31.97 as of August 31, 2017. In 2017, 2016, and 2015 we paid $1.63 billion, $94 million, and $1.43 billion, respectively, to repurchase and settle notes with principal amounts of $1.55 billion, $57 million, and $489 million, respectively. As of August 31, 2017, we had a revolving credit facility that provided for additional borrowings of up to $750 million based on eligible receivables. Events and circumstances may occur which would cause us to not be able to satisfy applicable draw-down conditions and utilize this revolving credit facility. We have incurred in the past, and expect to incur in the future, debt to finance our capital investments, business acquisitions, and restructuring of our capital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12" w:lineRule="exact"/>
        <w:rPr>
          <w:sz w:val="20"/>
          <w:szCs w:val="20"/>
          <w:color w:val="auto"/>
        </w:rPr>
      </w:pPr>
    </w:p>
    <w:p>
      <w:pPr>
        <w:ind w:left="540" w:right="20" w:hanging="532"/>
        <w:spacing w:after="0" w:line="299"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us to use a large portion of our cash flow to pay principal and interest on debt, which will reduce the amount of cash flow available to fund working capital, capital expenditures, acquisitions, Research &amp; Development ("R&amp;D") expenditures, and other business activities;</w:t>
      </w:r>
    </w:p>
    <w:p>
      <w:pPr>
        <w:spacing w:after="0" w:line="162" w:lineRule="exact"/>
        <w:rPr>
          <w:rFonts w:ascii="Arial" w:cs="Arial" w:eastAsia="Arial" w:hAnsi="Arial"/>
          <w:sz w:val="16"/>
          <w:szCs w:val="16"/>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8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spacing w:after="0" w:line="208" w:lineRule="exact"/>
        <w:rPr>
          <w:rFonts w:ascii="Arial" w:cs="Arial" w:eastAsia="Arial" w:hAnsi="Arial"/>
          <w:sz w:val="18"/>
          <w:szCs w:val="18"/>
          <w:color w:val="auto"/>
        </w:rPr>
      </w:pPr>
    </w:p>
    <w:p>
      <w:pPr>
        <w:ind w:left="540" w:right="80" w:hanging="532"/>
        <w:spacing w:after="0" w:line="23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all obligations owing under the Variable Rate Micron Semiconductor Taiwan Co., Ltd. Senior Secured Term Loan due 2021 ("2021 MSTW Term Loan") being accelerated to be immediately due and payable if Micron Semiconductor Taiwan Co., Ltd. ("MSTW") fails to comply with certain covenants, including financial covenants;</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interest rate under the 2021 MSTW Term Loan if we or MSTW fails to maintain certain financial covenants;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211" w:lineRule="exact"/>
        <w:rPr>
          <w:rFonts w:ascii="Arial" w:cs="Arial" w:eastAsia="Arial" w:hAnsi="Arial"/>
          <w:sz w:val="18"/>
          <w:szCs w:val="18"/>
          <w:color w:val="auto"/>
        </w:rPr>
      </w:pPr>
    </w:p>
    <w:p>
      <w:pPr>
        <w:ind w:left="540" w:right="54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198" w:lineRule="exact"/>
        <w:rPr>
          <w:rFonts w:ascii="Arial" w:cs="Arial" w:eastAsia="Arial" w:hAnsi="Arial"/>
          <w:sz w:val="18"/>
          <w:szCs w:val="18"/>
          <w:color w:val="auto"/>
        </w:rPr>
      </w:pPr>
    </w:p>
    <w:p>
      <w:pPr>
        <w:ind w:left="540" w:right="36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6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 may be unable to generate sufficient cash flows or obtain access to external financing necessary to fund our operations, make scheduled debt payments, and make adequate capital investments.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that net cash expenditures in 2018 for property, plant, and equipment will be approximately $7.5 billion plus or minus</w:t>
      </w:r>
    </w:p>
    <w:p>
      <w:pPr>
        <w:spacing w:after="0" w:line="1"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5 percent, which reflects the offset of amounts we expect to be funded by our partners. Investments in capital expenditures, offset by amounts funded by</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partners, were $5.13 billion for 2017. As of August 31, 2017, we had cash and marketable investments of $6.05 billion. As of August 31, 2017, $1.29 billion of cash and marketable investments, including substantially all of the cash held by Micron Memory Japan, Inc. and its subsidiaries (the "MMJ Group"), MSTW, and Micron Technology Taiwan, Inc. ("MTTW"), was held by foreign subsidiaries whose earnings were considered to be indefinitely reinvested and repatriation of these funds to the United States would subject these funds to U.S. federal income taxes. In addition, cash of $87 million held by IM Flash Technologies, LLC ("IMFT") was generally not available to finance our other operations.</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2021 MSTW Term Loan contains covenants that limit or restrict MSTW's ability to create liens in or dispose of collateral securing obligations under the 2021 MSTW Term Loan, mergers involving MSTW and/or MTTW, loans or guarantees to third parties by MTTW and/or MSTW, and MSTW's and/or MTTW's distribution of cash dividends. As a result, the assets of MSTW and/or MTTW are not available for use by us in our other operations.</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a result of the corporate reorganization proceedings of Micron Memory Japan, Inc.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("Japan Court"), MMJ cannot make loans or advances, other than certain ordinary course advances, to us without the consent of the Japan Court and may, under certain circumstances, be subject to approval of the legal trustee. As a result, the assets of MMJ are not available for use by us in our other operations. Furthermore, certain uses of the assets of MMJ, including certain capital expenditures of MMJ and Micron Memory Taiwan Co., Ltd. ("MMT") or further investments in MMT, may require consent of MMJ's trustees and/or the Japan Court.</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develop and produce competitive new memory and storage technologies.</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additional bits per cell (i.e., cell levels), the ability to shrink products in order to reduce costs, meet higher density requirements, and improve power consumption and reliability. To meet these requirements, we expect that new memory technologies will be developed by the semiconductor memory and storage industry. Our competitors are working to develop new memory and storage technologies that may offer performance and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09" w:lineRule="exact"/>
        <w:rPr>
          <w:sz w:val="20"/>
          <w:szCs w:val="20"/>
          <w:color w:val="auto"/>
        </w:rPr>
      </w:pPr>
    </w:p>
    <w:p>
      <w:pPr>
        <w:ind w:left="5520" w:right="2580" w:hanging="5512"/>
        <w:spacing w:after="0" w:line="48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 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develop and produce 3D XPoint memory, which is a new class of non-volatile technology. There is no assurance that our efforts to develop and market this new product technology will be successful. Our unsuccessful efforts to develop new semiconductor memory and storage technologies could have a material adverse effect on our business,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development over the next several years. The process to develop new products requires us to demonstrate advanced functionality and performance, often well in advance of a planned ramp of production, in order to secure design wins with our customers. There can be no assurance of the following:</w:t>
      </w:r>
    </w:p>
    <w:p>
      <w:pPr>
        <w:spacing w:after="0" w:line="21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qualify new products with our customers on a timely basis; or</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ventures and strategic relationships involve numerous risks.</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have entered into strategic relationships, including our IMFT joint venture with Intel, to manufacture products and develop new manufacturing process technologies and products. These joint ventures and strategic relationships are subject to various risks that could adversely affect the value of our investments and our results of operations. These risks include the following:</w:t>
      </w:r>
    </w:p>
    <w:p>
      <w:pPr>
        <w:spacing w:after="0" w:line="208" w:lineRule="exact"/>
        <w:rPr>
          <w:sz w:val="20"/>
          <w:szCs w:val="20"/>
          <w:color w:val="auto"/>
        </w:rPr>
      </w:pPr>
    </w:p>
    <w:p>
      <w:pPr>
        <w:ind w:left="540" w:right="400" w:hanging="532"/>
        <w:spacing w:after="0" w:line="23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be able to agree with our partners on ongoing manufacturing and operational activities, or on the amount, timing, or nature of further investments in our joint ventures;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joint venture partners' products may compete with our products;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control over the operations of our joint ventures is limited;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20" w:hanging="532"/>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financial constraints, our joint venture partners may be unable to meet their commitments to us or our joint ventures and may pose credit risks for our transactions with them;</w:t>
      </w:r>
    </w:p>
    <w:p>
      <w:pPr>
        <w:spacing w:after="0" w:line="208"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we and our partners may not participate to the same extent on funding capital investments in our joint ventures;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 of our joint ventures;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joint ventures and partners;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partnering arrangements may turn out to be unfavorable;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partners.</w:t>
      </w:r>
    </w:p>
    <w:p>
      <w:pPr>
        <w:spacing w:after="0" w:line="2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concentration of our net sales are to a select number of customers.</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each of the last three years, approximately one-half of our total net sales were to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 inability to meet our customers' requirements or to qualify our products with them could adversely impact our sales. The loss of one or more of our major customers or any significant reduction in orders from, or a shift in product mix by, these customers could have a material adverse effect on our business, results of operations, or financial condition.</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Increases in sales of system solutions may increase our dependency upon specific customers and our costs to develop and qualify our system solutions.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of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sales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1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discreet products, to design, test, and qualify, which may increase our costs. Additionally,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some of our system solutions are increasingly dependent on sophisticated firmware that may require significant customization to meet customer specifications, which increases our costs and time to market. Additionally, we may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19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Products that fail to meet specifications, are defective, or that are otherwise incompatible with end uses could impose significant costs on us.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As a result, we could be adversely affected in several ways, including the following:</w:t>
      </w:r>
    </w:p>
    <w:p>
      <w:pPr>
        <w:spacing w:after="0" w:line="210" w:lineRule="exact"/>
        <w:rPr>
          <w:sz w:val="20"/>
          <w:szCs w:val="20"/>
          <w:color w:val="auto"/>
        </w:rPr>
      </w:pPr>
    </w:p>
    <w:p>
      <w:pPr>
        <w:ind w:left="540" w:right="10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208" w:lineRule="exact"/>
        <w:rPr>
          <w:rFonts w:ascii="Arial" w:cs="Arial" w:eastAsia="Arial" w:hAnsi="Arial"/>
          <w:sz w:val="18"/>
          <w:szCs w:val="18"/>
          <w:color w:val="auto"/>
        </w:rPr>
      </w:pPr>
    </w:p>
    <w:p>
      <w:pPr>
        <w:ind w:left="540" w:right="30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spacing w:after="0" w:line="195" w:lineRule="exact"/>
        <w:rPr>
          <w:rFonts w:ascii="Arial" w:cs="Arial" w:eastAsia="Arial" w:hAnsi="Arial"/>
          <w:sz w:val="18"/>
          <w:szCs w:val="18"/>
          <w:color w:val="auto"/>
        </w:rPr>
      </w:pPr>
    </w:p>
    <w:p>
      <w:pPr>
        <w:ind w:left="540" w:right="58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19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We may be unable to protect our intellectual property or retain key employees who are knowledgeable of and develop our intellectual property.</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 laws,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The laws of some foreign countries may not protect our intellectual property to the same degree as do U.S. laws and our confidentiality, non-disclosure, and non-compete agreements may be unenforceable or difficult and costly to enforce.</w:t>
      </w:r>
    </w:p>
    <w:p>
      <w:pPr>
        <w:spacing w:after="0" w:line="210"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our competitors or future entrants into our industry are successful in hiring our employees, they may directly benefit from the knowledge these employees gained while they were under our employment.</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 determination that our products or manufacturing processes infringe the intellectual property rights of others, or entering into a license agreement covering such intellectual property, could materially adversely affect our business, results of operations, or financial condition.</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their intellectual property rights. We are unable to predict the outcome of assertions of infringement made against us. A determination that our products or manufacturing processes infringe upon the intellectual property rights of others, or entering a license agreement covering such intellectual property, could result in significant liability and/or require us to make material changes to our products and/or manufacturing processes.</w:t>
      </w:r>
    </w:p>
    <w:p>
      <w:pPr>
        <w:spacing w:after="0" w:line="21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Any of the foregoing results could have a material adverse effect on our business, results of operations, or financial condition.</w:t>
      </w:r>
    </w:p>
    <w:p>
      <w:pPr>
        <w:spacing w:after="0" w:line="18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If our manufacturing process is disrupted, our business, results of operations, or financial condition could be materially adversely affected.</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maintain operations and continuously implement new product and process technology at our manufacturing operations, which are widely dispersed in multiple locations in several countries including the United States, Singapore, Taiwan, Japan, Malaysia, and China. Additionally, our control over operations at IMFT is limited by our agreements with Intel. From time to time, we have experienced disruptions in our manufacturing process as a result of power outages, improperly functioning equipment, equipment failures, earthquakes, or other environmental events.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19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The acquisition of our ownership interest in Inotera from Qimonda AG ("Qimonda") has been challenged by the administrator of the insolvency proceedings for Qimonda.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w:t>
      </w:r>
    </w:p>
    <w:p>
      <w:pPr>
        <w:jc w:val="both"/>
        <w:ind w:right="100"/>
        <w:spacing w:after="0" w:line="238" w:lineRule="auto"/>
        <w:rPr>
          <w:sz w:val="20"/>
          <w:szCs w:val="20"/>
          <w:color w:val="auto"/>
        </w:rPr>
      </w:pPr>
      <w:r>
        <w:rPr>
          <w:rFonts w:ascii="Arial" w:cs="Arial" w:eastAsia="Arial" w:hAnsi="Arial"/>
          <w:sz w:val="18"/>
          <w:szCs w:val="18"/>
          <w:color w:val="auto"/>
        </w:rPr>
        <w:t>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approximately 18% of Inotera's outstanding shares,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Following a series of hearings with pleadings, arguments, and witnesses on behalf of the Qimonda estate, on March 13, 2014, the court issued</w:t>
      </w:r>
    </w:p>
    <w:p>
      <w:pPr>
        <w:spacing w:after="0"/>
        <w:rPr>
          <w:sz w:val="20"/>
          <w:szCs w:val="20"/>
          <w:color w:val="auto"/>
        </w:rPr>
      </w:pPr>
      <w:r>
        <w:rPr>
          <w:rFonts w:ascii="Arial" w:cs="Arial" w:eastAsia="Arial" w:hAnsi="Arial"/>
          <w:sz w:val="16"/>
          <w:szCs w:val="16"/>
          <w:color w:val="auto"/>
        </w:rPr>
        <w:t>judgments: (1) ordering Micron B.V. to pay approximately $1 million in respect of certain Inotera Shares sold in connection with the original share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purchase; (2) ordering Micron B.V. to disclose certain information with respect to any Inotera Shares sold by it to third parties; (3) ordering</w:t>
      </w:r>
    </w:p>
    <w:p>
      <w:pPr>
        <w:spacing w:after="0"/>
        <w:rPr>
          <w:sz w:val="20"/>
          <w:szCs w:val="20"/>
          <w:color w:val="auto"/>
        </w:rPr>
      </w:pPr>
      <w:r>
        <w:rPr>
          <w:rFonts w:ascii="Arial" w:cs="Arial" w:eastAsia="Arial" w:hAnsi="Arial"/>
          <w:sz w:val="16"/>
          <w:szCs w:val="16"/>
          <w:color w:val="auto"/>
        </w:rPr>
        <w:t>Micron B.V. to disclose the benefits derived by it from ownership of the Inotera Shares, including in particular, any profits distributed on the Inotera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and all other benefits; (4) denying Qimonda's claims against Micron for any damages relating to the joint venture relationship with Inotera;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(5) determining that Qimonda's obligations under the patent cross-license agreement are canceled. In addition, the Court issued interlocutory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judgments ordering, among other things: (1) that Micron B.V. transfer to the Qimonda estate the Inotera Shares still owned by Micron B.V. and pay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the Qimonda estate compensation in an amount to be specified for any Inotera Shares sold to third parties; and (2) that Micron B.V. pay the</w:t>
      </w:r>
    </w:p>
    <w:p>
      <w:pPr>
        <w:spacing w:after="0" w:line="234" w:lineRule="auto"/>
        <w:rPr>
          <w:sz w:val="20"/>
          <w:szCs w:val="20"/>
          <w:color w:val="auto"/>
        </w:rPr>
      </w:pPr>
      <w:r>
        <w:rPr>
          <w:rFonts w:ascii="Arial" w:cs="Arial" w:eastAsia="Arial" w:hAnsi="Arial"/>
          <w:sz w:val="18"/>
          <w:szCs w:val="18"/>
          <w:color w:val="auto"/>
        </w:rPr>
        <w:t>Qimonda estate as compensation an amount to be specified for benefits derived by Micron B.V. from ownership of the Inotera Shares.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interlocutory judgments have no immediate, enforceable effect on us, and, accordingly, we expect to be able to continue to operate with full control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the Inotera Shares subject to further developments in the case. We have filed a notice of appeal, and the parties have submitted briefs to the</w:t>
      </w:r>
    </w:p>
    <w:p>
      <w:pPr>
        <w:spacing w:after="0"/>
        <w:rPr>
          <w:sz w:val="20"/>
          <w:szCs w:val="20"/>
          <w:color w:val="auto"/>
        </w:rPr>
      </w:pPr>
      <w:r>
        <w:rPr>
          <w:rFonts w:ascii="Arial" w:cs="Arial" w:eastAsia="Arial" w:hAnsi="Arial"/>
          <w:sz w:val="18"/>
          <w:szCs w:val="18"/>
          <w:color w:val="auto"/>
        </w:rPr>
        <w:t>appeals court.</w:t>
      </w:r>
    </w:p>
    <w:p>
      <w:pPr>
        <w:spacing w:after="0" w:line="212"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restructuring charges in future periods.</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separate transactions in 2017, we sold our assembly and test facility located in Akita, Japan and our 40% ownership interest in Tera Probe, Inc.; assets associated with our 200mm fabrication facility in Singapore; and assets related to our Lexar brand. In 2016, we initiated a restructure plan in response to business conditions and the need to accelerate focus on our key priorities. The plan included the elimination of certain projects and programs, the permanent closure of a number of open headcount requisitions, workforce reductions in certain areas of our business, and other non-headcount related spending reductions. As a result, we incurred charges of $33 million in 2017 and $58 million in 2016.</w:t>
      </w:r>
    </w:p>
    <w:p>
      <w:pPr>
        <w:spacing w:after="0" w:line="18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of our security systems could expose us to losses.</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could result in significant losses and damage our reputation with customers and suppliers and may expose us to litigation if the confidential information of our customers, suppliers, or employees is compromised, which could have a material adverse effect on our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our business, results of operations, or financial condition.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w:t>
      </w:r>
    </w:p>
    <w:p>
      <w:pPr>
        <w:spacing w:after="0"/>
        <w:rPr>
          <w:sz w:val="20"/>
          <w:szCs w:val="20"/>
          <w:color w:val="auto"/>
        </w:rPr>
      </w:pPr>
      <w:r>
        <w:rPr>
          <w:rFonts w:ascii="Arial" w:cs="Arial" w:eastAsia="Arial" w:hAnsi="Arial"/>
          <w:sz w:val="16"/>
          <w:szCs w:val="16"/>
          <w:color w:val="auto"/>
        </w:rPr>
        <w:t>currency), primarily the euro, Singapore dollar, New Taiwan dollar, and yen. We recorded net losses from changes in currency exchange rates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$74 million for 2017, $24 million for 2016, and $27 million for 2015. Based on our foreign currency balances of monetary assets and liabilities, as of</w:t>
      </w:r>
    </w:p>
    <w:p>
      <w:pPr>
        <w:spacing w:after="0" w:line="19"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August 31, 2017, we estimate that a 10% adverse change in exchange rates versus the U.S. dollar would result in losses of approximately $391 million.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future acquisitions and/or alliances, which involve numerous risks.</w:t>
      </w:r>
    </w:p>
    <w:p>
      <w:pPr>
        <w:spacing w:after="0" w:line="23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0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211" w:lineRule="exact"/>
        <w:rPr>
          <w:rFonts w:ascii="Arial" w:cs="Arial" w:eastAsia="Arial" w:hAnsi="Arial"/>
          <w:sz w:val="18"/>
          <w:szCs w:val="18"/>
          <w:color w:val="auto"/>
        </w:rPr>
      </w:pPr>
    </w:p>
    <w:p>
      <w:pPr>
        <w:ind w:left="540" w:right="60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00" w:hanging="532"/>
        <w:spacing w:after="0" w:line="23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spacing w:after="0" w:line="20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198" w:lineRule="exact"/>
        <w:rPr>
          <w:rFonts w:ascii="Arial" w:cs="Arial" w:eastAsia="Arial" w:hAnsi="Arial"/>
          <w:sz w:val="18"/>
          <w:szCs w:val="18"/>
          <w:color w:val="auto"/>
        </w:rPr>
      </w:pPr>
    </w:p>
    <w:p>
      <w:pPr>
        <w:ind w:left="540" w:right="1120" w:hanging="532"/>
        <w:spacing w:after="0" w:line="23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and/or environmental, health and safety, anti-corruption, human resource, or other policies or practices; and</w:t>
      </w:r>
    </w:p>
    <w:p>
      <w:pPr>
        <w:spacing w:after="0" w:line="208" w:lineRule="exact"/>
        <w:rPr>
          <w:rFonts w:ascii="Arial" w:cs="Arial" w:eastAsia="Arial" w:hAnsi="Arial"/>
          <w:sz w:val="18"/>
          <w:szCs w:val="18"/>
          <w:color w:val="auto"/>
        </w:rPr>
      </w:pPr>
    </w:p>
    <w:p>
      <w:pPr>
        <w:ind w:left="540" w:right="1220" w:hanging="532"/>
        <w:spacing w:after="0" w:line="23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previous years, supply of memory and storage products has significantly exceeded customer demand resulting in significant declines in average selling prices for DRAM and NAND.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8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b w:val="1"/>
          <w:bCs w:val="1"/>
          <w:i w:val="1"/>
          <w:iCs w:val="1"/>
          <w:color w:val="auto"/>
        </w:rPr>
        <w:t>The limited availability of raw materials, supplies, or capital equipment could materially adversely affect our business, results of operations, or financial condition.</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operations require raw materials, and in certain cases, third party services, that meet exacting standards. We generally have multiple sources of supply for our raw materials and services. However, only a limited number of suppliers are capable of delivering certain raw materials and services that meet our standards. In some cases, materials, components, or services are provided by a single supplier. Various factors could reduce the availability of raw materials or components such as chemicals, silicon wafers, gases, photoresist, controllers, substrates, lead frames, printed circuit boards, targets, and reticle glass blanks. Shortages may occur, from time to time, in the future. We and/or our suppliers could be affected by laws and regulations enacted in response to concerns regarding climate change, which could increase the cost and limit the supply of our raw materials. In addition, disruptions in transportation lines could delay our receipt of raw materials. Lead times for the supply of raw materials have been extended in the past. The disruption of our supply of raw materials or services or the extension of our lead times could have a material adverse effect on our business, results of operations, or financial condition.</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232"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Solid-State Drives,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165"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i w:val="1"/>
          <w:iCs w:val="1"/>
          <w:color w:val="auto"/>
        </w:rPr>
        <w:t>Our results of operations could be affected by natural disasters and other events in the locations in which we or our customers or suppliers operate.</w:t>
      </w:r>
    </w:p>
    <w:p>
      <w:pPr>
        <w:spacing w:after="0" w:line="1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manufacturing and other operations in locations subject to natural occurrences such as severe weather and geological events, such as earthquakes or tsunamis, that could disrupt operations. In addition, our suppliers and customers also have operations in such locations. A natural disaster, fire, explosion, or other event that results in a prolonged disruption to our operations, or the operations of our customers or suppliers, could have a material adverse effect on our business, results of operations, or financial condition.</w:t>
      </w:r>
    </w:p>
    <w:p>
      <w:pPr>
        <w:spacing w:after="0" w:line="18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The operations of MMJ are subject to continued oversight by the Japan Court during the pendency of the corporate reorganization proceedings.</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Because MMJ's plan of reorganization provides for ongoing payments to creditors following the closing of our acquisition of MMJ, the reorganization proceedings in Japan (the "Japan Proceedings") are continuing and MMJ remains subject to the oversight of the Japan Court and of the trustees (including a trustee designated by us, who we refer to as the business trustee, and a trustee designated by the Japan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MMJ's reorganization proceedings in Japan, and oversight of the Japan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Japan Court for an early termination of the reorganization proceedings once two-thirds of all payments under the plan of reorganization are made. Although such early terminations are customarily granted, there can be no assurance that the Japan Court will grant any such petition in this particular case.</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pendency of the reorganization proceedings in Japan, MMJ is obligated to provide periodic financial reports to the Japan Court and may be required to obtain the consent of the Japan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cause MMJ to take certain actions that we deem advisable for its business could be adversely affected if the Japan Court or the legal trustee is unwilling to consent to various actions that we may wish to take with respect to MMJ.</w:t>
      </w:r>
    </w:p>
    <w:p>
      <w:pPr>
        <w:spacing w:after="0" w:line="209"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The operations of MMJ being subject to the continued oversight by the Japan Court during the pendency of the corporate reorganization proceedings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expense or become subject to additional tax exposure.</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agreements, income before taxes being lower than anticipated in countries with lower statutory tax rates and higher than anticipated in countries with higher statutory tax rates, changes in the valuation of deferred tax assets and liabilities, failure to meet performance obligations with respect to tax incentive agreements, and changes in tax laws and regulations. We file income tax returns with the U.S. federal government, various U.S. states, and various other jurisdictions throughout the world. Our U.S. federal and state tax returns remain open to examination for 2013 through 2017. In addition, tax returns that remain open to examination in Japan range from the years 2011 to 2017 and in Singapore and Taiwan from 2012 to 2017.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utilize all of our net deferred tax assets.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substantial deferred tax assets, which include, among others, net operating loss and credit carryforwards. As of August 31, 2017, our U.S. federal and state net operating loss carryforwards, including uncertain tax benefits, were $3.88 billion and $1.95 billion, respectively, which, if not utilized, will expire at various dates from 2028 through 2037 and 2018 through 2037, respectively. As of August 31, 2017, our foreign net operating loss carryforwards were $6.30 billion, which will, if not utilized, substantially all expire at various dates from 2019 through 2026. As of August 31, 2017, we had gross deferred tax assets of $3.78 billion and valuation allowances of $2.32 billion against our deferred tax assets. If we repatriate earnings from our subsidiaries whose earnings are deemed to be indefinitely reinvested, a portion of our net operating losses would be utilized. Utilization of all of our net operating loss and credit carryforwards would increase the amount of our annual cash taxes reducing the overall amount of cash available to be used in other areas of the business and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ownership may limit our ability to utilize our net operating loss carryforwards.</w:t>
      </w:r>
    </w:p>
    <w:p>
      <w:pPr>
        <w:spacing w:after="0" w:line="23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January 18, 2017, our shareholders approved a Section 382 Rights Agreement (the "Rights Agreement"), under which our shareholders of record as of the close of business on August 1, 2016 received one right for each share of common stock outstanding, which entitles certain shareholders to purchase additional shares of our common stock at a significant discount in the event of certain transactions that may result in an ownership change, as defined by Section 382 of the Internal Revenue Code of 1986, as amended (the "Code"). In general, an ownership change will occur when the percentage of our ownership by one or more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5% shareholders has increased by more than 50% at any time during the prior three years. Rights will attach to all shares of the Company's common stock issued prior to the earlier of the rights' distribution date or expiration date as set forth in the Rights Agreement. Pursuant to the Rights Agreement, if a shareholder (or group) acquires beneficial ownership of 4.99% or more of the outstanding shares of our common stock without prior approval of our Board or without meeting certain customary exceptions, the rights (other than rights held by the acquiring shareholder (or group) and certain related persons) would become exercisable. The Rights Agreement is intended to avoid an adverse ownership change, thereby preserving our current ability to utilize certain net operating loss and credit carryforwards; however, there is no assurance that the Rights Agreement will prevent all transfers that could result in such an ownership change.</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experience a 50% or greater change in ownership involving shareholders owning 5% or more of our common stock, it could adversely impact our ability to utilize our existing net operating loss and credit carryforwards. The inability to utilize existing net operating loss and credit carryforwards would significantly increase the amount of our annual cash taxes and reduce the overall amount of cash available to be used in other areas of the business which could have a material adverse effect on our business, results of operations, or financial condition.</w:t>
      </w:r>
    </w:p>
    <w:p>
      <w:pPr>
        <w:spacing w:after="0" w:line="18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Increased focus on environmental protection and social responsibility initiatives led to the passage of Section 1502 of the Dodd-Frank Wall Street Reform and Consumer Protection Act of 2010 (the "Dodd-Frank Act") and its implementing SEC regulations. The Dodd-Frank Act imposes supply chain diligence and disclosure requirements for certain manufacturers of products containing specific minerals that may originate in or near the Democratic Republic of the Congo (the "DRC") and finance or benefit local armed groups. These "conflict minerals" are commonly found in materials used in the manufacture of semiconductors. The implementation of these new regulations may limit the sourcing and availability of some of these materials. This in turn may affect our ability to obtain materials necessary for the manufacture of our products in sufficient quantities and may affect related material pricing. Some of our customers may elect to disqualify us as a supplier or reduce purchases from us if we are unable to verify that our products are DRC conflict free. Our inability to comply with the regulations regarding the use of conflict minerals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laws and regulations that may result in additional costs and liabilities.</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partner with other companies in our joint ventures, which are also subject to a broad array of laws and regulations. Our ownership in these joint ventures may also expose us to risks associated with their respective compliance with these laws and regulations. As a result of these items, we could experience the following:</w:t>
      </w:r>
    </w:p>
    <w:p>
      <w:pPr>
        <w:spacing w:after="0" w:line="208"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12"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Our failure, or the failure of our joint ventures, to comply with these laws and regulations could could have a material adverse effect on our business, results of operations, or financial condition.</w:t>
      </w:r>
    </w:p>
    <w:p>
      <w:pPr>
        <w:spacing w:after="0" w:line="18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8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Sales to customers outside the United States approximated 86% of our consolidated net sales for 2017. In addition, a substantial portion of our manufacturing operations are located outside the United States. In particular, a significant portion of our manufacturing operations are concentrated in Singapore, Taiwan, and Japan. Our international sales and operations are subject to a variety of risks, including:</w:t>
      </w:r>
    </w:p>
    <w:p>
      <w:pPr>
        <w:spacing w:after="0" w:line="208" w:lineRule="exact"/>
        <w:rPr>
          <w:sz w:val="20"/>
          <w:szCs w:val="20"/>
          <w:color w:val="auto"/>
        </w:rPr>
      </w:pPr>
    </w:p>
    <w:p>
      <w:pPr>
        <w:ind w:left="540" w:right="120" w:hanging="532"/>
        <w:spacing w:after="0" w:line="23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w:t>
      </w:r>
    </w:p>
    <w:p>
      <w:pPr>
        <w:spacing w:after="0" w:line="208" w:lineRule="exact"/>
        <w:rPr>
          <w:rFonts w:ascii="Arial" w:cs="Arial" w:eastAsia="Arial" w:hAnsi="Arial"/>
          <w:sz w:val="18"/>
          <w:szCs w:val="18"/>
          <w:color w:val="auto"/>
        </w:rPr>
      </w:pPr>
    </w:p>
    <w:p>
      <w:pPr>
        <w:ind w:left="540" w:right="440" w:hanging="532"/>
        <w:spacing w:after="0" w:line="23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contractual and regulatory limitations on our ability to maintain flexibility with our staffing levels;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our manufacturing operations as a result of actions imposed by foreign governments;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could have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default risks.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offering and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extremely volatile, and the value of your investment may decline.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price has been highly volatile. We expect that this volatility will continue in the future due to factors such as:</w:t>
      </w:r>
    </w:p>
    <w:p>
      <w:pPr>
        <w:spacing w:after="0" w:line="212"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or new services by us or by our competitors or customers;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stock market analysts regarding us or our competitors;</w:t>
      </w:r>
    </w:p>
    <w:p>
      <w:pPr>
        <w:spacing w:after="0" w:line="211"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consortiums or other types of industry consolidation;</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announcements by our customers regarding end market conditions and the status of existing and future infrastructure network deployments;</w:t>
      </w:r>
    </w:p>
    <w:p>
      <w:pPr>
        <w:spacing w:after="0" w:line="221" w:lineRule="exact"/>
        <w:rPr>
          <w:rFonts w:ascii="Arial" w:cs="Arial" w:eastAsia="Arial" w:hAnsi="Arial"/>
          <w:sz w:val="16"/>
          <w:szCs w:val="16"/>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equity or debt offerings or our announcements of these offerings.</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in recent years, the stock market in general, and NASDAQ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if additional shares are sold in the market after the offering.</w:t>
      </w:r>
    </w:p>
    <w:p>
      <w:pPr>
        <w:spacing w:after="0" w:line="23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Future sales of substantial amounts of shares of our common stock by our existing stockholders in the public market, or the perception that these sales could occur, may cause the market price of our common stock to decline. In addition, we may be required to issue additional shares upon exercise of previously granted options that are currently outstanding. Increased sales of our common stock in the market after exercise of currently outstanding options could exert significant downward pressure on our stock price. These sales also might make it more difficult for us to sell equity or equity-related securities in the future at a time and price we deem appropriate. As of June 1, 2017, after giving effect to this common stock offering (without giving effect to any additional shares issuable if the underwriter's option to purchase additional shares in this offering is exercised),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20" w:type="dxa"/>
            <w:vAlign w:val="bottom"/>
          </w:tcPr>
          <w:p>
            <w:pPr>
              <w:spacing w:after="0"/>
              <w:rPr>
                <w:sz w:val="20"/>
                <w:szCs w:val="20"/>
                <w:color w:val="auto"/>
              </w:rPr>
            </w:pPr>
            <w:r>
              <w:rPr>
                <w:rFonts w:ascii="Arial" w:cs="Arial" w:eastAsia="Arial" w:hAnsi="Arial"/>
                <w:sz w:val="18"/>
                <w:szCs w:val="18"/>
                <w:color w:val="auto"/>
              </w:rPr>
              <w:t>there would have been</w:t>
            </w:r>
          </w:p>
        </w:tc>
        <w:tc>
          <w:tcPr>
            <w:tcW w:w="9200" w:type="dxa"/>
            <w:vAlign w:val="bottom"/>
          </w:tcPr>
          <w:p>
            <w:pPr>
              <w:ind w:left="440"/>
              <w:spacing w:after="0"/>
              <w:rPr>
                <w:sz w:val="20"/>
                <w:szCs w:val="20"/>
                <w:color w:val="auto"/>
              </w:rPr>
            </w:pPr>
            <w:r>
              <w:rPr>
                <w:rFonts w:ascii="Arial" w:cs="Arial" w:eastAsia="Arial" w:hAnsi="Arial"/>
                <w:sz w:val="18"/>
                <w:szCs w:val="18"/>
                <w:color w:val="auto"/>
              </w:rPr>
              <w:t>shares of our common stock outstanding.</w:t>
            </w:r>
          </w:p>
        </w:tc>
      </w:tr>
      <w:tr>
        <w:trPr>
          <w:trHeight w:val="419"/>
        </w:trPr>
        <w:tc>
          <w:tcPr>
            <w:tcW w:w="2220" w:type="dxa"/>
            <w:vAlign w:val="bottom"/>
          </w:tcPr>
          <w:p>
            <w:pPr>
              <w:spacing w:after="0"/>
              <w:rPr>
                <w:sz w:val="24"/>
                <w:szCs w:val="24"/>
                <w:color w:val="auto"/>
              </w:rPr>
            </w:pPr>
          </w:p>
        </w:tc>
        <w:tc>
          <w:tcPr>
            <w:tcW w:w="9200" w:type="dxa"/>
            <w:vAlign w:val="bottom"/>
          </w:tcPr>
          <w:p>
            <w:pPr>
              <w:ind w:left="3300"/>
              <w:spacing w:after="0"/>
              <w:rPr>
                <w:sz w:val="20"/>
                <w:szCs w:val="20"/>
                <w:color w:val="auto"/>
              </w:rPr>
            </w:pPr>
            <w:r>
              <w:rPr>
                <w:rFonts w:ascii="Arial" w:cs="Arial" w:eastAsia="Arial" w:hAnsi="Arial"/>
                <w:sz w:val="18"/>
                <w:szCs w:val="18"/>
                <w:color w:val="auto"/>
              </w:rPr>
              <w:t>S-22</w:t>
            </w:r>
          </w:p>
        </w:tc>
      </w:tr>
      <w:tr>
        <w:trPr>
          <w:trHeight w:val="215"/>
        </w:trPr>
        <w:tc>
          <w:tcPr>
            <w:tcW w:w="2220" w:type="dxa"/>
            <w:vAlign w:val="bottom"/>
            <w:tcBorders>
              <w:bottom w:val="single" w:sz="8" w:color="808080"/>
            </w:tcBorders>
          </w:tcPr>
          <w:p>
            <w:pPr>
              <w:spacing w:after="0"/>
              <w:rPr>
                <w:sz w:val="18"/>
                <w:szCs w:val="18"/>
                <w:color w:val="auto"/>
              </w:rPr>
            </w:pPr>
          </w:p>
        </w:tc>
        <w:tc>
          <w:tcPr>
            <w:tcW w:w="92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or spend the net proceeds of this offering in ways with which you may not agree.</w:t>
      </w:r>
    </w:p>
    <w:p>
      <w:pPr>
        <w:spacing w:after="0" w:line="227"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We estimate that our net proceeds from the sale of shares of common stock in this offering will be approximately $</w:t>
      </w:r>
      <w:r>
        <w:rPr>
          <w:sz w:val="20"/>
          <w:szCs w:val="20"/>
          <w:color w:val="auto"/>
        </w:rPr>
        <w:tab/>
      </w:r>
      <w:r>
        <w:rPr>
          <w:rFonts w:ascii="Arial" w:cs="Arial" w:eastAsia="Arial" w:hAnsi="Arial"/>
          <w:sz w:val="16"/>
          <w:szCs w:val="16"/>
          <w:color w:val="auto"/>
        </w:rPr>
        <w:t>million, or approximately</w:t>
      </w:r>
    </w:p>
    <w:p>
      <w:pPr>
        <w:ind w:right="400" w:firstLine="8"/>
        <w:spacing w:after="0" w:line="239" w:lineRule="auto"/>
        <w:tabs>
          <w:tab w:leader="none" w:pos="8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million if the underwriter exercises its option to purchase additional shares of our common stock in full, in each case after deducting estimated underwriting discounts and commissions, fees and estimated offering expenses payable by us.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expect to use approximately $476 million of the net proceeds from this offering to redeem approximately $438 million in aggregate principal amount of our 2023 Notes and pay accrued and unpaid interest thereon. We anticipate that we will use the remaining net proceeds of this offering for the repurchase, redemption, retirement or other repayment of our outstanding debt securities, which may include any of our senior notes, senior secured notes or senior Term Loan B notes and general corporate purposes. See "Use of Proceeds." You may not agree with the ways we decide to use these proceeds.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Use of proceeds</w:t>
      </w:r>
    </w:p>
    <w:p>
      <w:pPr>
        <w:spacing w:after="0" w:line="256"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We estimate that the net proceeds from the sale of shares of common stock in this offering will be approximately $</w:t>
      </w:r>
      <w:r>
        <w:rPr>
          <w:sz w:val="20"/>
          <w:szCs w:val="20"/>
          <w:color w:val="auto"/>
        </w:rPr>
        <w:tab/>
      </w:r>
      <w:r>
        <w:rPr>
          <w:rFonts w:ascii="Arial" w:cs="Arial" w:eastAsia="Arial" w:hAnsi="Arial"/>
          <w:sz w:val="16"/>
          <w:szCs w:val="16"/>
          <w:color w:val="auto"/>
        </w:rPr>
        <w:t>million, or approximately</w:t>
      </w:r>
    </w:p>
    <w:p>
      <w:pPr>
        <w:ind w:right="640" w:firstLine="8"/>
        <w:spacing w:after="0" w:line="239" w:lineRule="auto"/>
        <w:tabs>
          <w:tab w:leader="none" w:pos="5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million if the underwriter exercises its option to purchase additional shares of our common stock in full, in each case after deducting estimated underwriting discounts and commissions, fees and estimated offering expenses payable by us.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expect to use approximately $476 million of the net proceeds from this offering to redeem approximately $438 million in aggregate principal amount of our 2023 Notes and pay accrued and unpaid interest thereon. We anticipate that we will use the remaining net proceeds of this offering for the repurchase, redemption, retirement or other repayment of our outstanding debt securities, which may include any of our senior notes, senior secured notes or senior secured Term Loan B notes, and general corporate purposes.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Capitalization</w:t>
      </w:r>
    </w:p>
    <w:p>
      <w:pPr>
        <w:spacing w:after="0" w:line="26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sets forth our unaudited consolidated cash, cash equivalents, short-term investments and long-term marketable investments and our capitalization at June 1, 2017:</w:t>
      </w:r>
    </w:p>
    <w:p>
      <w:pPr>
        <w:spacing w:after="0" w:line="20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11"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as-adjusted basis to give effect to (i) the sale of the shares of common stock offered hereby, as set forth on the cover page of this prospectus supplement (assuming the underwriter does not exercise its option to purchase additional shares), based on the assumed public offering price of $40.96 per share, which was the last reported sale price of our common stock on October 9, 2017, after deducting the underwriting discount and our estimated offering expenses, (ii) the redemption of approximately $438 million in aggregate principal amount of our 2023 Notes, as described in "Use of proceeds" and (iii) the 2022 Note Redemption as described in "Prospectus supplement summary —Recent developments."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This table should be read in conjunction with "Use of proceeds" and our consolidated financial statements and related notes thereto and the other information included in or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259080</wp:posOffset>
            </wp:positionV>
            <wp:extent cx="569404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4045" cy="260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June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149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6"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As-</w:t>
      </w:r>
    </w:p>
    <w:p>
      <w:pPr>
        <w:jc w:val="right"/>
        <w:ind w:right="1260"/>
        <w:spacing w:after="0" w:line="235" w:lineRule="auto"/>
        <w:rPr>
          <w:sz w:val="20"/>
          <w:szCs w:val="20"/>
          <w:color w:val="auto"/>
        </w:rPr>
      </w:pPr>
      <w:r>
        <w:rPr>
          <w:rFonts w:ascii="Arial" w:cs="Arial" w:eastAsia="Arial" w:hAnsi="Arial"/>
          <w:sz w:val="18"/>
          <w:szCs w:val="18"/>
          <w:b w:val="1"/>
          <w:bCs w:val="1"/>
          <w:color w:val="auto"/>
        </w:rPr>
        <w:t>adjusted</w:t>
      </w:r>
    </w:p>
    <w:p>
      <w:pPr>
        <w:jc w:val="right"/>
        <w:ind w:right="1260"/>
        <w:spacing w:after="0" w:line="235" w:lineRule="auto"/>
        <w:rPr>
          <w:sz w:val="20"/>
          <w:szCs w:val="20"/>
          <w:color w:val="auto"/>
        </w:rPr>
      </w:pPr>
      <w:r>
        <w:rPr>
          <w:rFonts w:ascii="Arial" w:cs="Arial" w:eastAsia="Arial" w:hAnsi="Arial"/>
          <w:sz w:val="18"/>
          <w:szCs w:val="18"/>
          <w:b w:val="1"/>
          <w:bCs w:val="1"/>
          <w:color w:val="auto"/>
        </w:rPr>
        <w:t>for this</w:t>
      </w:r>
    </w:p>
    <w:p>
      <w:pPr>
        <w:spacing w:after="0" w:line="1" w:lineRule="exact"/>
        <w:rPr>
          <w:sz w:val="20"/>
          <w:szCs w:val="20"/>
          <w:color w:val="auto"/>
        </w:rPr>
      </w:pPr>
    </w:p>
    <w:p>
      <w:pPr>
        <w:ind w:left="8420"/>
        <w:spacing w:after="0"/>
        <w:tabs>
          <w:tab w:leader="none" w:pos="944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-4445</wp:posOffset>
            </wp:positionV>
            <wp:extent cx="5694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Long-term marketable investments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Cash and equivalents, short-term investments and long-term marketable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35560</wp:posOffset>
            </wp:positionV>
            <wp:extent cx="579755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debt and capital lease obligations:</w:t>
      </w:r>
    </w:p>
    <w:p>
      <w:pPr>
        <w:ind w:left="1300"/>
        <w:spacing w:after="0" w:line="234" w:lineRule="auto"/>
        <w:rPr>
          <w:sz w:val="20"/>
          <w:szCs w:val="20"/>
          <w:color w:val="auto"/>
        </w:rPr>
      </w:pPr>
      <w:r>
        <w:rPr>
          <w:rFonts w:ascii="Arial" w:cs="Arial" w:eastAsia="Arial" w:hAnsi="Arial"/>
          <w:sz w:val="18"/>
          <w:szCs w:val="18"/>
          <w:color w:val="auto"/>
        </w:rPr>
        <w:t>Existing convertible senior notes(1)(2)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MMJ creditor installment payments(3)</w:t>
      </w:r>
    </w:p>
    <w:p>
      <w:pPr>
        <w:ind w:left="1300"/>
        <w:spacing w:after="0" w:line="235" w:lineRule="auto"/>
        <w:rPr>
          <w:sz w:val="20"/>
          <w:szCs w:val="20"/>
          <w:color w:val="auto"/>
        </w:rPr>
      </w:pPr>
      <w:r>
        <w:rPr>
          <w:rFonts w:ascii="Arial" w:cs="Arial" w:eastAsia="Arial" w:hAnsi="Arial"/>
          <w:sz w:val="18"/>
          <w:szCs w:val="18"/>
          <w:color w:val="auto"/>
        </w:rPr>
        <w:t>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Secured term loans</w:t>
      </w:r>
    </w:p>
    <w:p>
      <w:pPr>
        <w:ind w:left="1300"/>
        <w:spacing w:after="0"/>
        <w:rPr>
          <w:sz w:val="20"/>
          <w:szCs w:val="20"/>
          <w:color w:val="auto"/>
        </w:rPr>
      </w:pPr>
      <w:r>
        <w:rPr>
          <w:rFonts w:ascii="Arial" w:cs="Arial" w:eastAsia="Arial" w:hAnsi="Arial"/>
          <w:sz w:val="18"/>
          <w:szCs w:val="18"/>
          <w:color w:val="auto"/>
        </w:rPr>
        <w:t>Other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Total current debt and capital lease obligations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Long-term debt and capital lease obligations,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4" w:lineRule="auto"/>
        <w:rPr>
          <w:sz w:val="20"/>
          <w:szCs w:val="20"/>
          <w:color w:val="auto"/>
        </w:rPr>
      </w:pPr>
      <w:r>
        <w:rPr>
          <w:rFonts w:ascii="Arial" w:cs="Arial" w:eastAsia="Arial" w:hAnsi="Arial"/>
          <w:sz w:val="18"/>
          <w:szCs w:val="18"/>
          <w:color w:val="auto"/>
        </w:rPr>
        <w:t>Existing convertible senior notes(1)</w:t>
      </w:r>
    </w:p>
    <w:p>
      <w:pPr>
        <w:ind w:left="1300"/>
        <w:spacing w:after="0" w:line="235" w:lineRule="auto"/>
        <w:rPr>
          <w:sz w:val="20"/>
          <w:szCs w:val="20"/>
          <w:color w:val="auto"/>
        </w:rPr>
      </w:pPr>
      <w:r>
        <w:rPr>
          <w:rFonts w:ascii="Arial" w:cs="Arial" w:eastAsia="Arial" w:hAnsi="Arial"/>
          <w:sz w:val="18"/>
          <w:szCs w:val="18"/>
          <w:color w:val="auto"/>
        </w:rPr>
        <w:t>MMJ creditor installment payments(3)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Capital lease obligations</w:t>
      </w:r>
    </w:p>
    <w:p>
      <w:pPr>
        <w:ind w:left="1300"/>
        <w:spacing w:after="0" w:line="235" w:lineRule="auto"/>
        <w:rPr>
          <w:sz w:val="20"/>
          <w:szCs w:val="20"/>
          <w:color w:val="auto"/>
        </w:rPr>
      </w:pPr>
      <w:r>
        <w:rPr>
          <w:rFonts w:ascii="Arial" w:cs="Arial" w:eastAsia="Arial" w:hAnsi="Arial"/>
          <w:sz w:val="18"/>
          <w:szCs w:val="18"/>
          <w:color w:val="auto"/>
        </w:rPr>
        <w:t>5.875% senior notes due 2022(4)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5.250% senior notes due 2023</w:t>
      </w:r>
    </w:p>
    <w:p>
      <w:pPr>
        <w:ind w:left="1300"/>
        <w:spacing w:after="0" w:line="235" w:lineRule="auto"/>
        <w:rPr>
          <w:sz w:val="20"/>
          <w:szCs w:val="20"/>
          <w:color w:val="auto"/>
        </w:rPr>
      </w:pPr>
      <w:r>
        <w:rPr>
          <w:rFonts w:ascii="Arial" w:cs="Arial" w:eastAsia="Arial" w:hAnsi="Arial"/>
          <w:sz w:val="18"/>
          <w:szCs w:val="18"/>
          <w:color w:val="auto"/>
        </w:rPr>
        <w:t>7.500% senior secured notes due 2023(5)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5.250% senior notes due 2024</w:t>
      </w:r>
    </w:p>
    <w:p>
      <w:pPr>
        <w:ind w:left="1300"/>
        <w:spacing w:after="0" w:line="235" w:lineRule="auto"/>
        <w:rPr>
          <w:sz w:val="20"/>
          <w:szCs w:val="20"/>
          <w:color w:val="auto"/>
        </w:rPr>
      </w:pPr>
      <w:r>
        <w:rPr>
          <w:rFonts w:ascii="Arial" w:cs="Arial" w:eastAsia="Arial" w:hAnsi="Arial"/>
          <w:sz w:val="18"/>
          <w:szCs w:val="18"/>
          <w:color w:val="auto"/>
        </w:rPr>
        <w:t>5.500%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5.625% senior notes due 2026</w:t>
      </w:r>
    </w:p>
    <w:p>
      <w:pPr>
        <w:ind w:left="1300"/>
        <w:spacing w:after="0" w:line="234" w:lineRule="auto"/>
        <w:rPr>
          <w:sz w:val="20"/>
          <w:szCs w:val="20"/>
          <w:color w:val="auto"/>
        </w:rPr>
      </w:pPr>
      <w:r>
        <w:rPr>
          <w:rFonts w:ascii="Arial" w:cs="Arial" w:eastAsia="Arial" w:hAnsi="Arial"/>
          <w:sz w:val="18"/>
          <w:szCs w:val="18"/>
          <w:color w:val="auto"/>
        </w:rPr>
        <w:t>MSAC senior secured term loan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MSTW senior secured term loan due 2021</w:t>
      </w:r>
    </w:p>
    <w:p>
      <w:pPr>
        <w:ind w:left="1300"/>
        <w:spacing w:after="0" w:line="235" w:lineRule="auto"/>
        <w:rPr>
          <w:sz w:val="20"/>
          <w:szCs w:val="20"/>
          <w:color w:val="auto"/>
        </w:rPr>
      </w:pPr>
      <w:r>
        <w:rPr>
          <w:rFonts w:ascii="Arial" w:cs="Arial" w:eastAsia="Arial" w:hAnsi="Arial"/>
          <w:sz w:val="18"/>
          <w:szCs w:val="18"/>
          <w:color w:val="auto"/>
        </w:rPr>
        <w:t>Senior secured 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Other long-term debt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 debt and capital lease obligations,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Redeemable convertible notes(6)</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386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386080"/>
                    </a:xfrm>
                    <a:prstGeom prst="rect">
                      <a:avLst/>
                    </a:prstGeom>
                    <a:noFill/>
                  </pic:spPr>
                </pic:pic>
              </a:graphicData>
            </a:graphic>
          </wp:anchor>
        </w:drawing>
      </w:r>
    </w:p>
    <w:p>
      <w:pPr>
        <w:ind w:left="1600" w:right="20" w:hanging="143"/>
        <w:spacing w:after="0" w:line="264" w:lineRule="auto"/>
        <w:rPr>
          <w:sz w:val="20"/>
          <w:szCs w:val="20"/>
          <w:color w:val="auto"/>
        </w:rPr>
      </w:pPr>
      <w:r>
        <w:rPr>
          <w:rFonts w:ascii="Arial" w:cs="Arial" w:eastAsia="Arial" w:hAnsi="Arial"/>
          <w:sz w:val="16"/>
          <w:szCs w:val="16"/>
          <w:color w:val="auto"/>
        </w:rPr>
        <w:t>Common stock, $0.10 par value, 3,000 shares authorized, 1,114 shares issued and 1,110 outstanding actual, 1,138 shares issued and 1,134 outstanding, as-adjusted)</w:t>
      </w:r>
    </w:p>
    <w:p>
      <w:pPr>
        <w:ind w:left="1600"/>
        <w:spacing w:after="0" w:line="235" w:lineRule="auto"/>
        <w:rPr>
          <w:sz w:val="20"/>
          <w:szCs w:val="20"/>
          <w:color w:val="auto"/>
        </w:rPr>
      </w:pPr>
      <w:r>
        <w:rPr>
          <w:rFonts w:ascii="Arial" w:cs="Arial" w:eastAsia="Arial" w:hAnsi="Arial"/>
          <w:sz w:val="18"/>
          <w:szCs w:val="18"/>
          <w:color w:val="auto"/>
        </w:rPr>
        <w:t>(7)</w:t>
      </w:r>
    </w:p>
    <w:p>
      <w:pPr>
        <w:ind w:left="1300"/>
        <w:spacing w:after="0" w:line="235" w:lineRule="auto"/>
        <w:rPr>
          <w:sz w:val="20"/>
          <w:szCs w:val="20"/>
          <w:color w:val="auto"/>
        </w:rPr>
      </w:pPr>
      <w:r>
        <w:rPr>
          <w:rFonts w:ascii="Arial" w:cs="Arial" w:eastAsia="Arial" w:hAnsi="Arial"/>
          <w:sz w:val="18"/>
          <w:szCs w:val="18"/>
          <w:color w:val="auto"/>
        </w:rPr>
        <w:t>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Retained earnings</w:t>
      </w:r>
    </w:p>
    <w:p>
      <w:pPr>
        <w:ind w:left="1300"/>
        <w:spacing w:after="0" w:line="235" w:lineRule="auto"/>
        <w:rPr>
          <w:sz w:val="20"/>
          <w:szCs w:val="20"/>
          <w:color w:val="auto"/>
        </w:rPr>
      </w:pPr>
      <w:r>
        <w:rPr>
          <w:rFonts w:ascii="Arial" w:cs="Arial" w:eastAsia="Arial" w:hAnsi="Arial"/>
          <w:sz w:val="18"/>
          <w:szCs w:val="18"/>
          <w:color w:val="auto"/>
        </w:rPr>
        <w:t>Treasury stock, 4 shares (4 as-adjusted)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1" w:lineRule="auto"/>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jc w:val="right"/>
              <w:ind w:right="332"/>
              <w:spacing w:after="0" w:line="189" w:lineRule="exact"/>
              <w:rPr>
                <w:sz w:val="20"/>
                <w:szCs w:val="20"/>
                <w:color w:val="auto"/>
              </w:rPr>
            </w:pPr>
            <w:r>
              <w:rPr>
                <w:rFonts w:ascii="Arial" w:cs="Arial" w:eastAsia="Arial" w:hAnsi="Arial"/>
                <w:sz w:val="18"/>
                <w:szCs w:val="18"/>
                <w:b w:val="1"/>
                <w:bCs w:val="1"/>
                <w:color w:val="auto"/>
              </w:rPr>
              <w:t>(in millions)</w:t>
            </w:r>
          </w:p>
        </w:tc>
      </w:tr>
      <w:tr>
        <w:trPr>
          <w:trHeight w:val="225"/>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(unaudited)</w:t>
            </w:r>
          </w:p>
        </w:tc>
      </w:tr>
      <w:tr>
        <w:trPr>
          <w:trHeight w:val="203"/>
        </w:trPr>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4,048</w:t>
            </w:r>
          </w:p>
        </w:tc>
        <w:tc>
          <w:tcPr>
            <w:tcW w:w="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3,893</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282</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199"/>
        </w:trPr>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471</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471</w:t>
            </w:r>
          </w:p>
        </w:tc>
      </w:tr>
      <w:tr>
        <w:trPr>
          <w:trHeight w:val="196"/>
        </w:trPr>
        <w:tc>
          <w:tcPr>
            <w:tcW w:w="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4,801</w:t>
            </w:r>
          </w:p>
        </w:tc>
        <w:tc>
          <w:tcPr>
            <w:tcW w:w="40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89"/>
        </w:trPr>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445</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154</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355</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355</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199"/>
        </w:trPr>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164</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164</w:t>
            </w:r>
          </w:p>
        </w:tc>
      </w:tr>
      <w:tr>
        <w:trPr>
          <w:trHeight w:val="196"/>
        </w:trPr>
        <w:tc>
          <w:tcPr>
            <w:tcW w:w="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1,161</w:t>
            </w:r>
          </w:p>
        </w:tc>
        <w:tc>
          <w:tcPr>
            <w:tcW w:w="40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1,161</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89"/>
        </w:trPr>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465</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r>
    </w:tbl>
    <w:p>
      <w:pPr>
        <w:ind w:left="1520" w:hanging="1158"/>
        <w:spacing w:after="0" w:line="234"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917</w:t>
      </w:r>
    </w:p>
    <w:p>
      <w:pPr>
        <w:ind w:left="1640" w:hanging="1278"/>
        <w:spacing w:after="0" w:line="234"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ind w:left="1520" w:hanging="1158"/>
        <w:spacing w:after="0" w:line="234"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991</w:t>
      </w:r>
    </w:p>
    <w:tbl>
      <w:tblPr>
        <w:tblLayout w:type="fixed"/>
        <w:tblInd w:w="220" w:type="dxa"/>
        <w:tblCellMar>
          <w:top w:w="0" w:type="dxa"/>
          <w:left w:w="0" w:type="dxa"/>
          <w:bottom w:w="0" w:type="dxa"/>
          <w:right w:w="0" w:type="dxa"/>
        </w:tblCellMar>
      </w:tblPr>
      <w:tr>
        <w:trPr>
          <w:trHeight w:val="203"/>
        </w:trPr>
        <w:tc>
          <w:tcPr>
            <w:tcW w:w="860" w:type="dxa"/>
            <w:vAlign w:val="bottom"/>
          </w:tcPr>
          <w:p>
            <w:pPr>
              <w:jc w:val="right"/>
              <w:ind w:right="332"/>
              <w:spacing w:after="0" w:line="203" w:lineRule="exact"/>
              <w:rPr>
                <w:sz w:val="20"/>
                <w:szCs w:val="20"/>
                <w:color w:val="auto"/>
              </w:rPr>
            </w:pPr>
            <w:r>
              <w:rPr>
                <w:rFonts w:ascii="Arial" w:cs="Arial" w:eastAsia="Arial" w:hAnsi="Arial"/>
                <w:sz w:val="18"/>
                <w:szCs w:val="18"/>
                <w:color w:val="auto"/>
                <w:w w:val="93"/>
              </w:rPr>
              <w:t>1,238</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804</w:t>
            </w:r>
          </w:p>
        </w:tc>
      </w:tr>
      <w:tr>
        <w:trPr>
          <w:trHeight w:val="203"/>
        </w:trPr>
        <w:tc>
          <w:tcPr>
            <w:tcW w:w="8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546</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r>
      <w:tr>
        <w:trPr>
          <w:trHeight w:val="203"/>
        </w:trPr>
        <w:tc>
          <w:tcPr>
            <w:tcW w:w="8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515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r>
    </w:tbl>
    <w:p>
      <w:pPr>
        <w:ind w:left="1520" w:hanging="1158"/>
        <w:spacing w:after="0" w:line="234" w:lineRule="auto"/>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128</w:t>
      </w:r>
    </w:p>
    <w:p>
      <w:pPr>
        <w:ind w:left="1520" w:hanging="1158"/>
        <w:spacing w:after="0" w:line="234"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583</w:t>
      </w:r>
    </w:p>
    <w:p>
      <w:pPr>
        <w:ind w:left="220"/>
        <w:spacing w:after="0" w:line="235" w:lineRule="auto"/>
        <w:tabs>
          <w:tab w:leader="none" w:pos="1360" w:val="left"/>
        </w:tabs>
        <w:rPr>
          <w:sz w:val="20"/>
          <w:szCs w:val="20"/>
          <w:color w:val="auto"/>
        </w:rPr>
      </w:pPr>
      <w:r>
        <w:rPr>
          <w:rFonts w:ascii="Arial" w:cs="Arial" w:eastAsia="Arial" w:hAnsi="Arial"/>
          <w:sz w:val="18"/>
          <w:szCs w:val="18"/>
          <w:color w:val="auto"/>
        </w:rPr>
        <w:t>2,643</w:t>
      </w:r>
      <w:r>
        <w:rPr>
          <w:sz w:val="20"/>
          <w:szCs w:val="20"/>
          <w:color w:val="auto"/>
        </w:rPr>
        <w:tab/>
      </w:r>
      <w:r>
        <w:rPr>
          <w:rFonts w:ascii="Arial" w:cs="Arial" w:eastAsia="Arial" w:hAnsi="Arial"/>
          <w:sz w:val="18"/>
          <w:szCs w:val="18"/>
          <w:color w:val="auto"/>
        </w:rPr>
        <w:t>2,643</w:t>
      </w:r>
    </w:p>
    <w:p>
      <w:pPr>
        <w:ind w:left="1520" w:hanging="1158"/>
        <w:spacing w:after="0" w:line="235"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726</w:t>
      </w:r>
    </w:p>
    <w:p>
      <w:pPr>
        <w:ind w:left="1520" w:hanging="1158"/>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149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120"/>
        <w:spacing w:after="0"/>
        <w:tabs>
          <w:tab w:leader="none" w:pos="1360" w:val="left"/>
        </w:tabs>
        <w:rPr>
          <w:sz w:val="20"/>
          <w:szCs w:val="20"/>
          <w:color w:val="auto"/>
        </w:rPr>
      </w:pPr>
      <w:r>
        <w:rPr>
          <w:rFonts w:ascii="Arial" w:cs="Arial" w:eastAsia="Arial" w:hAnsi="Arial"/>
          <w:sz w:val="18"/>
          <w:szCs w:val="18"/>
          <w:color w:val="auto"/>
        </w:rPr>
        <w:t>10,485</w:t>
      </w:r>
      <w:r>
        <w:rPr>
          <w:sz w:val="20"/>
          <w:szCs w:val="20"/>
          <w:color w:val="auto"/>
        </w:rPr>
        <w:tab/>
      </w:r>
      <w:r>
        <w:rPr>
          <w:rFonts w:ascii="Arial" w:cs="Arial" w:eastAsia="Arial" w:hAnsi="Arial"/>
          <w:sz w:val="18"/>
          <w:szCs w:val="18"/>
          <w:color w:val="auto"/>
        </w:rPr>
        <w:t>9,460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149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460"/>
        <w:spacing w:after="0"/>
        <w:tabs>
          <w:tab w:leader="none" w:pos="16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149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520" w:hanging="1158"/>
        <w:spacing w:after="0"/>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113</w:t>
      </w:r>
    </w:p>
    <w:p>
      <w:pPr>
        <w:ind w:left="220"/>
        <w:spacing w:after="0"/>
        <w:rPr>
          <w:rFonts w:ascii="Arial" w:cs="Arial" w:eastAsia="Arial" w:hAnsi="Arial"/>
          <w:sz w:val="18"/>
          <w:szCs w:val="18"/>
          <w:color w:val="auto"/>
        </w:rPr>
      </w:pPr>
      <w:r>
        <w:rPr>
          <w:rFonts w:ascii="Arial" w:cs="Arial" w:eastAsia="Arial" w:hAnsi="Arial"/>
          <w:sz w:val="18"/>
          <w:szCs w:val="18"/>
          <w:color w:val="auto"/>
        </w:rPr>
        <w:t>8,222</w:t>
      </w:r>
      <w:r>
        <w:rPr>
          <w:rFonts w:ascii="Arial" w:cs="Arial" w:eastAsia="Arial" w:hAnsi="Arial"/>
          <w:sz w:val="16"/>
          <w:szCs w:val="16"/>
          <w:color w:val="auto"/>
        </w:rPr>
        <w:t>9,185</w:t>
      </w:r>
    </w:p>
    <w:p>
      <w:pPr>
        <w:ind w:left="220"/>
        <w:spacing w:after="0" w:line="235" w:lineRule="auto"/>
        <w:tabs>
          <w:tab w:leader="none" w:pos="1360" w:val="left"/>
        </w:tabs>
        <w:rPr>
          <w:sz w:val="20"/>
          <w:szCs w:val="20"/>
          <w:color w:val="auto"/>
        </w:rPr>
      </w:pPr>
      <w:r>
        <w:rPr>
          <w:rFonts w:ascii="Arial" w:cs="Arial" w:eastAsia="Arial" w:hAnsi="Arial"/>
          <w:sz w:val="18"/>
          <w:szCs w:val="18"/>
          <w:color w:val="auto"/>
        </w:rPr>
        <w:t>7,893</w:t>
      </w:r>
      <w:r>
        <w:rPr>
          <w:sz w:val="20"/>
          <w:szCs w:val="20"/>
          <w:color w:val="auto"/>
        </w:rPr>
        <w:tab/>
      </w:r>
      <w:r>
        <w:rPr>
          <w:rFonts w:ascii="Arial" w:cs="Arial" w:eastAsia="Arial" w:hAnsi="Arial"/>
          <w:sz w:val="18"/>
          <w:szCs w:val="18"/>
          <w:color w:val="auto"/>
        </w:rPr>
        <w:t>7,821</w:t>
      </w:r>
    </w:p>
    <w:p>
      <w:pPr>
        <w:spacing w:after="0" w:line="1" w:lineRule="exact"/>
        <w:rPr>
          <w:sz w:val="20"/>
          <w:szCs w:val="20"/>
          <w:color w:val="auto"/>
        </w:rPr>
      </w:pPr>
    </w:p>
    <w:p>
      <w:pPr>
        <w:ind w:left="1560" w:hanging="1158"/>
        <w:spacing w:after="0"/>
        <w:tabs>
          <w:tab w:leader="none" w:pos="1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(67)</w:t>
      </w:r>
    </w:p>
    <w:p>
      <w:pPr>
        <w:spacing w:after="0" w:line="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12</w:t>
      </w:r>
      <w:r>
        <w:rPr>
          <w:rFonts w:ascii="Arial" w:cs="Arial" w:eastAsia="Arial" w:hAnsi="Arial"/>
          <w:sz w:val="16"/>
          <w:szCs w:val="16"/>
          <w:color w:val="auto"/>
        </w:rPr>
        <w:t>12</w:t>
      </w:r>
    </w:p>
    <w:p>
      <w:pPr>
        <w:spacing w:after="0" w:line="1" w:lineRule="exact"/>
        <w:rPr>
          <w:sz w:val="20"/>
          <w:szCs w:val="20"/>
          <w:color w:val="auto"/>
        </w:rPr>
      </w:pPr>
    </w:p>
    <w:p>
      <w:pPr>
        <w:sectPr>
          <w:pgSz w:w="11900" w:h="16838" w:orient="portrait"/>
          <w:cols w:equalWidth="0" w:num="2">
            <w:col w:w="8060" w:space="240"/>
            <w:col w:w="3080"/>
          </w:cols>
          <w:pgMar w:left="240" w:top="143" w:right="279" w:bottom="1440" w:gutter="0" w:footer="0" w:header="0"/>
          <w:type w:val="continuous"/>
        </w:sectPr>
      </w:pPr>
    </w:p>
    <w:tbl>
      <w:tblPr>
        <w:tblLayout w:type="fixed"/>
        <w:tblInd w:w="1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80" w:type="dxa"/>
            <w:vAlign w:val="bottom"/>
          </w:tcPr>
          <w:p>
            <w:pPr>
              <w:ind w:left="440"/>
              <w:spacing w:after="0" w:line="196" w:lineRule="exact"/>
              <w:rPr>
                <w:sz w:val="20"/>
                <w:szCs w:val="20"/>
                <w:color w:val="auto"/>
              </w:rPr>
            </w:pPr>
            <w:r>
              <w:rPr>
                <w:rFonts w:ascii="Arial" w:cs="Arial" w:eastAsia="Arial" w:hAnsi="Arial"/>
                <w:sz w:val="18"/>
                <w:szCs w:val="18"/>
                <w:color w:val="auto"/>
              </w:rPr>
              <w:t>Total Micron shareholders' equity</w:t>
            </w:r>
          </w:p>
        </w:tc>
        <w:tc>
          <w:tcPr>
            <w:tcW w:w="2080" w:type="dxa"/>
            <w:vAlign w:val="bottom"/>
          </w:tcPr>
          <w:p>
            <w:pPr>
              <w:spacing w:after="0"/>
              <w:rPr>
                <w:sz w:val="17"/>
                <w:szCs w:val="17"/>
                <w:color w:val="auto"/>
              </w:rPr>
            </w:pPr>
          </w:p>
        </w:tc>
        <w:tc>
          <w:tcPr>
            <w:tcW w:w="76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16,171</w:t>
            </w:r>
          </w:p>
        </w:tc>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17,064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 in subsidiaries</w:t>
            </w:r>
          </w:p>
        </w:tc>
        <w:tc>
          <w:tcPr>
            <w:tcW w:w="20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848</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7"/>
                <w:szCs w:val="17"/>
                <w:color w:val="auto"/>
              </w:rPr>
            </w:pP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Total equity</w:t>
            </w:r>
          </w:p>
        </w:tc>
        <w:tc>
          <w:tcPr>
            <w:tcW w:w="2080" w:type="dxa"/>
            <w:vAlign w:val="bottom"/>
          </w:tcPr>
          <w:p>
            <w:pPr>
              <w:spacing w:after="0"/>
              <w:rPr>
                <w:sz w:val="17"/>
                <w:szCs w:val="17"/>
                <w:color w:val="auto"/>
              </w:rPr>
            </w:pPr>
          </w:p>
        </w:tc>
        <w:tc>
          <w:tcPr>
            <w:tcW w:w="7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17,019</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17,912</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capitalization</w:t>
            </w:r>
          </w:p>
        </w:tc>
        <w:tc>
          <w:tcPr>
            <w:tcW w:w="284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27,529</w:t>
            </w:r>
          </w:p>
        </w:tc>
        <w:tc>
          <w:tcPr>
            <w:tcW w:w="3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27,397</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480" w:hanging="331"/>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present the aggregate principal amount of our convertible senior notes of $1.90 billion, net of discounts of $416 million.</w:t>
      </w:r>
    </w:p>
    <w:p>
      <w:pPr>
        <w:spacing w:after="0" w:line="217" w:lineRule="exact"/>
        <w:rPr>
          <w:rFonts w:ascii="Arial" w:cs="Arial" w:eastAsia="Arial" w:hAnsi="Arial"/>
          <w:sz w:val="14"/>
          <w:szCs w:val="14"/>
          <w:color w:val="auto"/>
        </w:rPr>
      </w:pPr>
    </w:p>
    <w:p>
      <w:pPr>
        <w:jc w:val="both"/>
        <w:ind w:left="1140" w:right="60" w:firstLine="9"/>
        <w:spacing w:after="0" w:line="250" w:lineRule="auto"/>
        <w:tabs>
          <w:tab w:leader="none" w:pos="146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a result of the 2033E and 2033F Notes being convertible at the option of the holder through September 30, 2017, and because the terms of these notes would require us to pay cash for the principal amount of any converted notes, amounts are classified as current. In addition, the holders of the 2033E Notes can require us to repurchase for cash all or a portion of the 2033E Notes on February 15, 2018.</w:t>
      </w:r>
    </w:p>
    <w:p>
      <w:pPr>
        <w:spacing w:after="0" w:line="199" w:lineRule="exact"/>
        <w:rPr>
          <w:rFonts w:ascii="Arial" w:cs="Arial" w:eastAsia="Arial" w:hAnsi="Arial"/>
          <w:sz w:val="14"/>
          <w:szCs w:val="14"/>
          <w:color w:val="auto"/>
        </w:rPr>
      </w:pPr>
    </w:p>
    <w:p>
      <w:pPr>
        <w:ind w:left="1480" w:hanging="331"/>
        <w:spacing w:after="0"/>
        <w:tabs>
          <w:tab w:leader="none" w:pos="1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aggregate principal amount of $693 million of the MMJ Creditor payments are presented net of discounts of $74 million.</w:t>
      </w:r>
    </w:p>
    <w:p>
      <w:pPr>
        <w:spacing w:after="0" w:line="217" w:lineRule="exact"/>
        <w:rPr>
          <w:rFonts w:ascii="Arial" w:cs="Arial" w:eastAsia="Arial" w:hAnsi="Arial"/>
          <w:sz w:val="14"/>
          <w:szCs w:val="14"/>
          <w:color w:val="auto"/>
        </w:rPr>
      </w:pPr>
    </w:p>
    <w:p>
      <w:pPr>
        <w:ind w:left="1140" w:right="440" w:firstLine="9"/>
        <w:spacing w:after="0" w:line="258" w:lineRule="auto"/>
        <w:tabs>
          <w:tab w:leader="none" w:pos="142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As-adjusted column reflects the redemption of $600 million in aggregate principal amount of 2022 Notes on August 11, 2017, at an aggregate price of approximately $644 million including accrued and unpaid interest thereon.</w:t>
      </w:r>
    </w:p>
    <w:p>
      <w:pPr>
        <w:spacing w:after="0" w:line="194" w:lineRule="exact"/>
        <w:rPr>
          <w:rFonts w:ascii="Arial" w:cs="Arial" w:eastAsia="Arial" w:hAnsi="Arial"/>
          <w:sz w:val="14"/>
          <w:szCs w:val="14"/>
          <w:color w:val="auto"/>
        </w:rPr>
      </w:pPr>
    </w:p>
    <w:p>
      <w:pPr>
        <w:ind w:left="1140" w:firstLine="9"/>
        <w:spacing w:after="0" w:line="258" w:lineRule="auto"/>
        <w:tabs>
          <w:tab w:leader="none" w:pos="146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As-adjusted column reflects the redemption of approximately $438 million in aggregate principal amount of 2023 Notes on or around November 13, 2017, at an aggregate price of approximately $476 million including accrued and unpaid interest thereon.</w:t>
      </w:r>
    </w:p>
    <w:p>
      <w:pPr>
        <w:sectPr>
          <w:pgSz w:w="11900" w:h="16838" w:orient="portrait"/>
          <w:cols w:equalWidth="0" w:num="1">
            <w:col w:w="11380"/>
          </w:cols>
          <w:pgMar w:left="240" w:top="143" w:right="279" w:bottom="1440" w:gutter="0" w:footer="0" w:header="0"/>
          <w:type w:val="continuous"/>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1140" w:right="60" w:firstLine="9"/>
        <w:spacing w:after="0" w:line="246" w:lineRule="auto"/>
        <w:tabs>
          <w:tab w:leader="none" w:pos="1436" w:val="left"/>
        </w:tabs>
        <w:numPr>
          <w:ilvl w:val="1"/>
          <w:numId w:val="31"/>
        </w:numPr>
        <w:rPr>
          <w:rFonts w:ascii="Arial" w:cs="Arial" w:eastAsia="Arial" w:hAnsi="Arial"/>
          <w:sz w:val="14"/>
          <w:szCs w:val="14"/>
          <w:color w:val="auto"/>
        </w:rPr>
      </w:pPr>
      <w:r>
        <w:rPr>
          <w:rFonts w:ascii="Arial" w:cs="Arial" w:eastAsia="Arial" w:hAnsi="Arial"/>
          <w:sz w:val="14"/>
          <w:szCs w:val="14"/>
          <w:color w:val="auto"/>
        </w:rPr>
        <w:t>Under the terms of the indentures of the 2033E and 2033F Notes, upon conversion, we would be required to pay cash equal to the lesser amount of (1) the aggregate principal amount or (2) the conversion value of the notes being converted (we could pay cash, shares of common stock or a combination thereof, at our option, for the remainder, if any, of our conversion obligation). Additionally, the 2033E and 2033F Notes were convertible at the option of the holders as of June 1, 2017. Therefore, the aggregate difference of $25 million between principal amount and the carrying value was classified as redeemable convertible notes.</w:t>
      </w:r>
    </w:p>
    <w:p>
      <w:pPr>
        <w:spacing w:after="0" w:line="366" w:lineRule="exact"/>
        <w:rPr>
          <w:rFonts w:ascii="Arial" w:cs="Arial" w:eastAsia="Arial" w:hAnsi="Arial"/>
          <w:sz w:val="14"/>
          <w:szCs w:val="14"/>
          <w:color w:val="auto"/>
        </w:rPr>
      </w:pPr>
    </w:p>
    <w:p>
      <w:pPr>
        <w:ind w:left="1480" w:hanging="331"/>
        <w:spacing w:after="0"/>
        <w:tabs>
          <w:tab w:leader="none" w:pos="14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number of shares of common stock to be outstanding after this offering set forth above excludes:</w:t>
      </w:r>
    </w:p>
    <w:p>
      <w:pPr>
        <w:spacing w:after="0" w:line="217" w:lineRule="exact"/>
        <w:rPr>
          <w:rFonts w:ascii="Arial" w:cs="Arial" w:eastAsia="Arial" w:hAnsi="Arial"/>
          <w:sz w:val="14"/>
          <w:szCs w:val="14"/>
          <w:color w:val="auto"/>
        </w:rPr>
      </w:pPr>
    </w:p>
    <w:p>
      <w:pPr>
        <w:ind w:left="1080" w:hanging="532"/>
        <w:spacing w:after="0" w:line="21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4"/>
          <w:szCs w:val="14"/>
          <w:color w:val="auto"/>
        </w:rPr>
        <w:t>36 million shares of our common stock issuable upon the exercise of stock options outstanding as of June 1, 2017 at a weighted-average exercise price of $18.87 per share;</w:t>
      </w:r>
    </w:p>
    <w:p>
      <w:pPr>
        <w:spacing w:after="0" w:line="171"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4"/>
          <w:szCs w:val="14"/>
          <w:color w:val="auto"/>
        </w:rPr>
        <w:t>18 million shares of our common stock issuable upon vesting of restricted stock units outstanding as of June 1, 2017;</w:t>
      </w:r>
    </w:p>
    <w:p>
      <w:pPr>
        <w:spacing w:after="0" w:line="157"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4"/>
          <w:szCs w:val="14"/>
          <w:color w:val="auto"/>
        </w:rPr>
        <w:t>100 million shares of our common stock reserved for future issuance under our equity incentive plans as of June 1, 2017; and</w:t>
      </w:r>
    </w:p>
    <w:p>
      <w:pPr>
        <w:spacing w:after="0" w:line="157"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4"/>
          <w:szCs w:val="14"/>
          <w:color w:val="auto"/>
        </w:rPr>
        <w:t>any shares of our common stock reserved for issuance upon conversion of our convertible senior notes.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Price range of common stock</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common stock is traded on NASDAQ under the symbol "MU". The following table sets forth, for the periods indicated, the high and low sales prices for our common stock as reported on NASDAQ:</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44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2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2015 Quarters Ended:</w:t>
            </w:r>
          </w:p>
        </w:tc>
        <w:tc>
          <w:tcPr>
            <w:tcW w:w="2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December 4, 2014</w:t>
            </w:r>
          </w:p>
        </w:tc>
        <w:tc>
          <w:tcPr>
            <w:tcW w:w="2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36.10</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27.03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5, 2015</w:t>
            </w:r>
          </w:p>
        </w:tc>
        <w:tc>
          <w:tcPr>
            <w:tcW w:w="2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36.49</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28.35</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June 4, 2015</w:t>
            </w:r>
          </w:p>
        </w:tc>
        <w:tc>
          <w:tcPr>
            <w:tcW w:w="20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29.52</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26.31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 2015</w:t>
            </w:r>
          </w:p>
        </w:tc>
        <w:tc>
          <w:tcPr>
            <w:tcW w:w="2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b w:val="1"/>
                <w:bCs w:val="1"/>
                <w:color w:val="auto"/>
              </w:rPr>
              <w:t>Fiscal Year 2016 Quarters Ended:</w:t>
            </w: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 2015</w:t>
            </w:r>
          </w:p>
        </w:tc>
        <w:tc>
          <w:tcPr>
            <w:tcW w:w="20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March 3, 2016</w:t>
            </w:r>
          </w:p>
        </w:tc>
        <w:tc>
          <w:tcPr>
            <w:tcW w:w="20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15.50</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9.69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2, 2016</w:t>
            </w:r>
          </w:p>
        </w:tc>
        <w:tc>
          <w:tcPr>
            <w:tcW w:w="2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September 1, 2016</w:t>
            </w:r>
          </w:p>
        </w:tc>
        <w:tc>
          <w:tcPr>
            <w:tcW w:w="20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11.73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Year 2017 Quarters Ended:</w:t>
            </w:r>
          </w:p>
        </w:tc>
        <w:tc>
          <w:tcPr>
            <w:tcW w:w="2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December 1, 2016</w:t>
            </w:r>
          </w:p>
        </w:tc>
        <w:tc>
          <w:tcPr>
            <w:tcW w:w="2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20.13</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16.62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2, 2017</w:t>
            </w:r>
          </w:p>
        </w:tc>
        <w:tc>
          <w:tcPr>
            <w:tcW w:w="2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24.79</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18.61</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June 1, 2017</w:t>
            </w:r>
          </w:p>
        </w:tc>
        <w:tc>
          <w:tcPr>
            <w:tcW w:w="20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30.77</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25.15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31, 2017</w:t>
            </w:r>
          </w:p>
        </w:tc>
        <w:tc>
          <w:tcPr>
            <w:tcW w:w="2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b w:val="1"/>
                <w:bCs w:val="1"/>
                <w:color w:val="auto"/>
              </w:rPr>
              <w:t>Fiscal Year 2018 Quarter Ended:</w:t>
            </w: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November 30, 2017 (through October 9, 2017)</w:t>
            </w:r>
          </w:p>
        </w:tc>
        <w:tc>
          <w:tcPr>
            <w:tcW w:w="20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40.96</w:t>
            </w:r>
          </w:p>
        </w:tc>
        <w:tc>
          <w:tcPr>
            <w:tcW w:w="2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32.07</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 October 9, 2017, the reported last sale price of our common stock on NASDAQ was $40.96. On October 5, 2017, there were approximately 2,170 holders of record of our common stock.</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 policy</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not declared or paid cash dividends since 1996 and do not intend to pay cash dividends for the foreseeable future. Any future determination to declare cash dividends will be made at the discretion of our board of directors, subject to applicable laws and compliance with any outstanding or future agreements, which may restrict or limit our ability to pay dividends, and will depend on our financial condition, results of operations, capital requirements, general business conditions and other factors that our board of directors may deem relevant.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Description of common stock</w:t>
      </w:r>
    </w:p>
    <w:p>
      <w:pPr>
        <w:spacing w:after="0" w:line="2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summary describes our common stock and the material provisions of our amended and restated certificate of incorporation and our by-Laws, as amended, and the General Corporation Law of the State of Delaware (the "DGCL"). Because the following is only a summary, it does not contain all of the information that may be important to you. For a complete description, you should refer to our amended and restated certificate of incorporation and by-Laws, as amended, copies of which are on file with the SEC. See "Where you can find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common stock consists of 3,000,000,000 shares, $0.10 par value per share.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holders of common stock are entitled to one vote per share on all matters to be voted on by stockholders, including the election of directors. Stockholders are not entitled to cumulative voting rights, and, accordingly, the holders of a majority of the shares voting for the election of directors can elect the entire board if they choose to do so and, in that event, the holders of the remaining shares will not be able to elect any person to the board of directors.</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holders of common stock are entitled to receive ratably such dividends, if any, as may be declared from time to time by the board of directors, in its discretion, from funds legally available therefor and subject to prior dividend rights of holders of shares of preferred stock or other senior equity, if any, which may be outstanding. However, the terms of certain of our future borrowing arrangements may restrict our ability to declare or pay dividends on our common stock in certain circumstances. Upon liquidation or dissolution of the Company, subject to prior liquidation rights of the holders of shares of preferred stock, if any, the holders of common stock are entitled to receive on a pro rata basis the remaining assets of the Company available for distribution. Holders of common stock have no preemptive or other subscription rights, and there are no conversion rights or redemption or sinking fund provisions with respect to such shares. All outstanding shares of common stock are fully paid and non-assessable.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We have not declared or paid cash dividends since 1996 and do not intend to pay cash dividends for the foreseeable future. See "Dividend policy."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 shareholder rights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general corporation law</w:t>
      </w:r>
    </w:p>
    <w:p>
      <w:pPr>
        <w:spacing w:after="0" w:line="2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spacing w:after="0" w:line="208" w:lineRule="exact"/>
        <w:rPr>
          <w:sz w:val="20"/>
          <w:szCs w:val="20"/>
          <w:color w:val="auto"/>
        </w:rPr>
      </w:pPr>
    </w:p>
    <w:p>
      <w:pPr>
        <w:ind w:left="540" w:right="700" w:hanging="532"/>
        <w:spacing w:after="0" w:line="23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this time, our board of directors approved either the business combination or the transaction that resulted in the stockholder becoming an interested stockholder;</w:t>
      </w:r>
    </w:p>
    <w:p>
      <w:pPr>
        <w:spacing w:after="0" w:line="208" w:lineRule="exact"/>
        <w:rPr>
          <w:rFonts w:ascii="Arial" w:cs="Arial" w:eastAsia="Arial" w:hAnsi="Arial"/>
          <w:sz w:val="18"/>
          <w:szCs w:val="18"/>
          <w:color w:val="auto"/>
        </w:rPr>
      </w:pPr>
    </w:p>
    <w:p>
      <w:pPr>
        <w:ind w:left="540" w:right="260" w:hanging="532"/>
        <w:spacing w:after="0" w:line="23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40" w:hanging="532"/>
        <w:spacing w:after="0" w:line="21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our board of directors and authorized at an annual or special meeting of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22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merger or consolidation involving us and the interested stockholder;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our assets involving the interested stockholder;</w:t>
      </w:r>
    </w:p>
    <w:p>
      <w:pPr>
        <w:spacing w:after="0" w:line="198"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us of any of the Company's stock to the interested stockholder, subject to limited exceptions;</w:t>
      </w:r>
    </w:p>
    <w:p>
      <w:pPr>
        <w:spacing w:after="0" w:line="208" w:lineRule="exact"/>
        <w:rPr>
          <w:rFonts w:ascii="Arial" w:cs="Arial" w:eastAsia="Arial" w:hAnsi="Arial"/>
          <w:sz w:val="18"/>
          <w:szCs w:val="18"/>
          <w:color w:val="auto"/>
        </w:rPr>
      </w:pPr>
    </w:p>
    <w:p>
      <w:pPr>
        <w:ind w:left="540" w:right="280" w:hanging="532"/>
        <w:spacing w:after="0" w:line="23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transaction involving us that has the effect of increasing the proportionate share of the stock of any class or series of the Company beneficially owned by the interested stockholder; or</w:t>
      </w:r>
    </w:p>
    <w:p>
      <w:pPr>
        <w:spacing w:after="0" w:line="195"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us.</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our outstanding voting stock and any entity or person affiliated with or controlling or controlled by such entity or person.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On January 18, 2017, our shareholders approved the Rights Agreement, under which our shareholders of record as of the close of business 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August 1, 2016 received one right for each share of common stock outstanding, which entitles certain shareholders to purchase additional shares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at a significant discount in the event of certain transactions that may result in an ownership change, as defined by</w:t>
      </w:r>
    </w:p>
    <w:p>
      <w:pPr>
        <w:spacing w:after="0"/>
        <w:rPr>
          <w:sz w:val="20"/>
          <w:szCs w:val="20"/>
          <w:color w:val="auto"/>
        </w:rPr>
      </w:pPr>
      <w:r>
        <w:rPr>
          <w:rFonts w:ascii="Arial" w:cs="Arial" w:eastAsia="Arial" w:hAnsi="Arial"/>
          <w:sz w:val="16"/>
          <w:szCs w:val="16"/>
          <w:color w:val="auto"/>
        </w:rPr>
        <w:t>Section 382 of the Code. In general, an ownership change will occur when the percentage of our ownership by one or more 5% shareholders has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increased by more than 50% at any time during the prior three years. Rights will attach to all shares of the Company's common stock issued prior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the earlier of the rights' distribution date or expiration date as set forth in the Rights Agreement. Pursuant to the Rights Agreement, if a</w:t>
      </w:r>
    </w:p>
    <w:p>
      <w:pPr>
        <w:spacing w:after="0"/>
        <w:rPr>
          <w:sz w:val="20"/>
          <w:szCs w:val="20"/>
          <w:color w:val="auto"/>
        </w:rPr>
      </w:pPr>
      <w:r>
        <w:rPr>
          <w:rFonts w:ascii="Arial" w:cs="Arial" w:eastAsia="Arial" w:hAnsi="Arial"/>
          <w:sz w:val="16"/>
          <w:szCs w:val="16"/>
          <w:color w:val="auto"/>
        </w:rPr>
        <w:t>shareholder (or group) acquires beneficial ownership of 4.99% or more of the outstanding shares of our common stock without prior approval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or without meeting certain customary exceptions, the rights (other than rights held by the acquiring shareholder (or group)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certain related persons) would become exercisable. The Rights Agreement is intended to avoid an adverse ownership change, thereby</w:t>
      </w:r>
    </w:p>
    <w:p>
      <w:pPr>
        <w:spacing w:after="0" w:line="234" w:lineRule="auto"/>
        <w:rPr>
          <w:sz w:val="20"/>
          <w:szCs w:val="20"/>
          <w:color w:val="auto"/>
        </w:rPr>
      </w:pPr>
      <w:r>
        <w:rPr>
          <w:rFonts w:ascii="Arial" w:cs="Arial" w:eastAsia="Arial" w:hAnsi="Arial"/>
          <w:sz w:val="18"/>
          <w:szCs w:val="18"/>
          <w:color w:val="auto"/>
        </w:rPr>
        <w:t>preserving our current ability to utilize certain net operating loss and credit carryforwards; however, there is no assurance that the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prevent all transfers that could result in such an ownership change.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Wells Fargo Bank, National Association.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"MU".</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Material U.S. federal income tax consequences to non-U.S. holders</w:t>
      </w:r>
    </w:p>
    <w:p>
      <w:pPr>
        <w:spacing w:after="0" w:line="2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ownership and disposition of our common stock issued pursuant to this offering, but does not purport to be a complete analysis of all potential tax effects relating thereto.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ownership and disposition of our common stock.</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summary only addresses holders that are treated as purchasing our common stock for cash for U.S. federal income tax purposes.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211"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98" w:lineRule="exact"/>
        <w:rPr>
          <w:rFonts w:ascii="Arial" w:cs="Arial" w:eastAsia="Arial" w:hAnsi="Arial"/>
          <w:sz w:val="18"/>
          <w:szCs w:val="18"/>
          <w:color w:val="auto"/>
        </w:rPr>
      </w:pPr>
    </w:p>
    <w:p>
      <w:pPr>
        <w:ind w:left="540" w:right="320" w:hanging="532"/>
        <w:spacing w:after="0" w:line="23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98" w:lineRule="exact"/>
        <w:rPr>
          <w:rFonts w:ascii="Arial" w:cs="Arial" w:eastAsia="Arial" w:hAnsi="Arial"/>
          <w:sz w:val="18"/>
          <w:szCs w:val="18"/>
          <w:color w:val="auto"/>
        </w:rPr>
      </w:pPr>
    </w:p>
    <w:p>
      <w:pPr>
        <w:ind w:left="540" w:right="60" w:hanging="532"/>
        <w:spacing w:after="0" w:line="23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entities or arrangements treated as partnerships for U.S. federal income tax purposes (and investors therein);</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tax-qualified retirement plans or "qualified foreign pension funds".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non-U.S. holder</w:t>
      </w:r>
    </w:p>
    <w:p>
      <w:pPr>
        <w:spacing w:after="0" w:line="242"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8"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98" w:lineRule="exact"/>
        <w:rPr>
          <w:rFonts w:ascii="Arial" w:cs="Arial" w:eastAsia="Arial" w:hAnsi="Arial"/>
          <w:sz w:val="18"/>
          <w:szCs w:val="18"/>
          <w:color w:val="auto"/>
        </w:rPr>
      </w:pPr>
    </w:p>
    <w:p>
      <w:pPr>
        <w:ind w:left="540" w:right="40" w:hanging="532"/>
        <w:spacing w:after="0" w:line="23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42"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As described in the section entitled "Dividend Policy," we currently do not anticipate paying any cash dividends on our common stock in the foreseeable future. However, if we do make distributions of cash or property on our common stock (other than certain pro rata stock dividends),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discussion below on effectively connected income, dividends paid to a Non-U.S. Holder generally will be subject to U.S. federal withholding tax at a rate of 30% of the gross amount of the dividends (or such lower rate specified by an applicable income tax treaty, provided the Non-U.S. Holder furnishes a valid IRS Form W-8BEN,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If the Non-U.S. Holder holds the common stock through a financial institution or other agent acting on the Non-U.S. Holder's behalf, the Non-U.S. Holder will be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required to provide appropriate documentation to the agent, which may then be required to provide certification to the relevant paying agent, either directly or through other intermediaries. Non-U.S. Holders should consult their tax advisors regarding their entitlement to benefits under any applicable tax treaties.</w:t>
      </w:r>
    </w:p>
    <w:p>
      <w:pPr>
        <w:spacing w:after="0" w:line="208" w:lineRule="exact"/>
        <w:rPr>
          <w:sz w:val="20"/>
          <w:szCs w:val="20"/>
          <w:color w:val="auto"/>
        </w:rPr>
      </w:pPr>
    </w:p>
    <w:p>
      <w:pPr>
        <w:jc w:val="both"/>
        <w:ind w:right="60"/>
        <w:spacing w:after="0" w:line="23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1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Any such effectively connected dividends generally will be subject to U.S. federal income tax on a net income basis at regular graduated U.S. federal income tax rates, generally in the same manner as if the Non-U.S Holder were a U.S. person.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w:t>
      </w:r>
    </w:p>
    <w:p>
      <w:pPr>
        <w:spacing w:after="0" w:line="24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Subject to the discussions below regarding backup withholding and foreign accounts, a Non-U.S. Holder will not be subject to U.S. federal income tax on any gain realized upon the sale or other taxable disposition of our common stock unless:</w:t>
      </w:r>
    </w:p>
    <w:p>
      <w:pPr>
        <w:spacing w:after="0" w:line="209" w:lineRule="exact"/>
        <w:rPr>
          <w:sz w:val="20"/>
          <w:szCs w:val="20"/>
          <w:color w:val="auto"/>
        </w:rPr>
      </w:pPr>
    </w:p>
    <w:p>
      <w:pPr>
        <w:jc w:val="both"/>
        <w:ind w:right="300" w:firstLine="8"/>
        <w:spacing w:after="0" w:line="299" w:lineRule="auto"/>
        <w:tabs>
          <w:tab w:leader="none" w:pos="41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2" w:lineRule="exact"/>
        <w:rPr>
          <w:rFonts w:ascii="Arial" w:cs="Arial" w:eastAsia="Arial" w:hAnsi="Arial"/>
          <w:sz w:val="16"/>
          <w:szCs w:val="16"/>
          <w:color w:val="auto"/>
        </w:rPr>
      </w:pPr>
    </w:p>
    <w:p>
      <w:pPr>
        <w:ind w:right="760" w:firstLine="8"/>
        <w:spacing w:after="0" w:line="239" w:lineRule="auto"/>
        <w:tabs>
          <w:tab w:leader="none" w:pos="3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conditions are met; or</w:t>
      </w:r>
    </w:p>
    <w:p>
      <w:pPr>
        <w:spacing w:after="0" w:line="208" w:lineRule="exact"/>
        <w:rPr>
          <w:rFonts w:ascii="Arial" w:cs="Arial" w:eastAsia="Arial" w:hAnsi="Arial"/>
          <w:sz w:val="18"/>
          <w:szCs w:val="18"/>
          <w:color w:val="auto"/>
        </w:rPr>
      </w:pPr>
    </w:p>
    <w:p>
      <w:pPr>
        <w:ind w:firstLine="8"/>
        <w:spacing w:after="0" w:line="238" w:lineRule="auto"/>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("USRPHC") for U.S. federal income tax purposes at any time during the shorter of the Non-U.S. Holder's holding period or the five-year period ending on the date of disposition of the common stock.</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Gain described in (a) above generally will be subject to U.S. federal income tax on a net income basis at regular graduated U.S. federal income tax rates, generally in the same manner as if the Non-U.S. Holder were a U.S. person. A Non-U.S. Holder that is a corporation also may be subject to a branch profits tax at a rate of 30% (or such lower rate specified by an applicable income tax treaty) on such effectively connected gain, as adjusted for certain items.</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 Non-U.S. Holder described in (b) above will be subject to U.S. federal income tax at a rate of 30% (or such lower rate specified by an applicable income tax treaty) on any gain from the sale or other taxable disposition of our common stock,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With respect to (c) above, we believe we currently are not, and do not anticipate becoming, a USRPHC. However, because the determination of whether we are a USRPHC depends on the fair market value of our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U.S. real property relative to the fair market value of our worldwide real property and other business assets, there can be no assurance that we will not become a USRPHC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24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Payments of dividends on our common stock will not be subject to backup withholding, provided the Non-U.S. Holder certifies its non-U.S. status, generally by furnishing a valid IRS Form W-8BEN, W-8BEN-E, W-8ECI, or other appropriate IRS Form W-8,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20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accounts</w:t>
      </w:r>
    </w:p>
    <w:p>
      <w:pPr>
        <w:spacing w:after="0" w:line="24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under the FATCA rules), unless (1) the foreign financial institution undertakes certain diligence, reporting and withholding obligations, (2) the non-financial foreign entity either certifies it does not have any "substantial United States owners" (as defined under the FATCA rules)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under the FATCA rules), annually report certain information about such accounts, and withhold 30% on certain payments to non-compliant foreign financial institutions and certain other account holders. An intergovernmental agreement between the United States and an applicable foreign country may modify the requirements described in this section.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and, beginning on or after January 1, 2019, will apply to payments of gross proceeds from the sale or other disposition of such stock.</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Underwriting</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are offering the shares of common stock described in this prospectus through an underwriter, J.P. Morgan Securities LLC. We have entered into an underwriting agreement with the underwriter. Subject to the terms and conditions of the underwriting agreement, we have agreed to sell to the underwriter, at the public offering price less the underwriting discounts and commissions set forth on the cover page of this prospectus, the number of shares of common stock listed next to its name in the following table:</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38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of</w:t>
            </w:r>
          </w:p>
        </w:tc>
      </w:tr>
      <w:tr>
        <w:trPr>
          <w:trHeight w:val="23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-6350</wp:posOffset>
            </wp:positionV>
            <wp:extent cx="579755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-4445</wp:posOffset>
            </wp:positionV>
            <wp:extent cx="5486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-4445</wp:posOffset>
            </wp:positionV>
            <wp:extent cx="56940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is committed to purchase all the common shares offered by us if it purchases any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proposes to offer the common shares directly to the public at the initial public offering price set forth on the cover page of this</w:t>
      </w:r>
    </w:p>
    <w:p>
      <w:pPr>
        <w:jc w:val="both"/>
        <w:ind w:right="40"/>
        <w:spacing w:after="0" w:line="234" w:lineRule="auto"/>
        <w:rPr>
          <w:sz w:val="20"/>
          <w:szCs w:val="20"/>
          <w:color w:val="auto"/>
        </w:rPr>
      </w:pPr>
      <w:r>
        <w:rPr>
          <w:rFonts w:ascii="Arial" w:cs="Arial" w:eastAsia="Arial" w:hAnsi="Arial"/>
          <w:sz w:val="18"/>
          <w:szCs w:val="18"/>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 the public, the offering price and other selling terms may be changed by the underwriter. Sales of shares made outside of the United States may be made by affiliates of the underwriter.</w:t>
      </w:r>
    </w:p>
    <w:p>
      <w:pPr>
        <w:spacing w:after="0" w:line="20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underwriter has an option to buy up to additional shares of common stock from us. The underwriter has 30 days from the date of this prospectus supplement to exercise this option to purchase additional shares. If any shares are purchased with this option to purchase additional shares, the underwriter will purchase shares in approximately the same proportion as shown in the table above. If any additional shares of common stock are purchased, the underwriter will offer the additional shares on the same terms as those on which the shares are being offered.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w:t>
      </w:r>
    </w:p>
    <w:p>
      <w:pPr>
        <w:spacing w:after="0" w:line="1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common stock. The underwriting fee is $ per share. The following table shows the per share and total underwriting discounts and commissions to be paid to the underwriter assuming both no exercise and full exercise of the underwriter's option to purchase additional shares.</w:t>
      </w:r>
    </w:p>
    <w:p>
      <w:pPr>
        <w:spacing w:after="0" w:line="342"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28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Without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With full</w:t>
            </w:r>
          </w:p>
        </w:tc>
        <w:tc>
          <w:tcPr>
            <w:tcW w:w="1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option to</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option to</w:t>
            </w: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purchase</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purchase</w:t>
            </w: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additional</w:t>
            </w: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shares</w:t>
            </w:r>
          </w:p>
        </w:tc>
      </w:tr>
      <w:tr>
        <w:trPr>
          <w:trHeight w:val="221"/>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exercise</w:t>
            </w:r>
          </w:p>
        </w:tc>
        <w:tc>
          <w:tcPr>
            <w:tcW w:w="1760" w:type="dxa"/>
            <w:vAlign w:val="bottom"/>
            <w:gridSpan w:val="2"/>
          </w:tcPr>
          <w:p>
            <w:pPr>
              <w:ind w:left="84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20" w:type="dxa"/>
            <w:vAlign w:val="bottom"/>
          </w:tcPr>
          <w:p>
            <w:pPr>
              <w:spacing w:after="0"/>
              <w:rPr>
                <w:sz w:val="17"/>
                <w:szCs w:val="17"/>
                <w:color w:val="auto"/>
              </w:rPr>
            </w:pPr>
          </w:p>
        </w:tc>
        <w:tc>
          <w:tcPr>
            <w:tcW w:w="3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4080" w:type="dxa"/>
            <w:vAlign w:val="bottom"/>
            <w:tcBorders>
              <w:top w:val="single" w:sz="8" w:color="auto"/>
            </w:tcBorders>
            <w:shd w:val="clear" w:color="auto" w:fill="CCEEFF"/>
          </w:tcPr>
          <w:p>
            <w:pPr>
              <w:jc w:val="right"/>
              <w:ind w:right="1412"/>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ind w:right="1332"/>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03"/>
        </w:trPr>
        <w:tc>
          <w:tcPr>
            <w:tcW w:w="33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Total</w:t>
            </w:r>
          </w:p>
        </w:tc>
        <w:tc>
          <w:tcPr>
            <w:tcW w:w="4080" w:type="dxa"/>
            <w:vAlign w:val="bottom"/>
            <w:tcBorders>
              <w:bottom w:val="single" w:sz="8" w:color="auto"/>
            </w:tcBorders>
          </w:tcPr>
          <w:p>
            <w:pPr>
              <w:jc w:val="right"/>
              <w:ind w:right="1412"/>
              <w:spacing w:after="0" w:line="20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3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r>
    </w:tbl>
    <w:p>
      <w:pPr>
        <w:spacing w:after="0" w:line="21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$1 million.</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the underwriter, or selling group members, if any, participating in the offering. The underwriter may agree to allocate a number of shares to underwriter and selling group members for sale to their online brokerage account holders. Internet distributions will be allocated by the representatives to the underwriter and selling group members that may make Internet distributions on the same basis as other allocations.</w:t>
      </w:r>
    </w:p>
    <w:p>
      <w:pPr>
        <w:spacing w:after="0" w:line="209"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We, each of our directors and executive officers, and Nanya Technology Corporation (pursuant to an agreement between Nanya and us), have agreed that, without the prior written consent of J.P. Morgan Securities LLC, during the period ending 60 days after the date of this prospectus supplement, we, each of our directors and executive officers and Nanya Technology Corporation will not:</w:t>
      </w:r>
    </w:p>
    <w:p>
      <w:pPr>
        <w:spacing w:after="0" w:line="208" w:lineRule="exact"/>
        <w:rPr>
          <w:sz w:val="20"/>
          <w:szCs w:val="20"/>
          <w:color w:val="auto"/>
        </w:rPr>
      </w:pPr>
    </w:p>
    <w:p>
      <w:pPr>
        <w:ind w:right="180" w:firstLine="8"/>
        <w:spacing w:after="0" w:line="238" w:lineRule="auto"/>
        <w:tabs>
          <w:tab w:leader="none" w:pos="4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208" w:lineRule="exact"/>
        <w:rPr>
          <w:rFonts w:ascii="Arial" w:cs="Arial" w:eastAsia="Arial" w:hAnsi="Arial"/>
          <w:sz w:val="18"/>
          <w:szCs w:val="18"/>
          <w:color w:val="auto"/>
        </w:rPr>
      </w:pPr>
    </w:p>
    <w:p>
      <w:pPr>
        <w:ind w:right="40" w:firstLine="8"/>
        <w:spacing w:after="0" w:line="239" w:lineRule="auto"/>
        <w:tabs>
          <w:tab w:leader="none" w:pos="3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J.P. Morgan Securities LLC, it will not, during the period ending 60 days after the date of this prospectus supplement, (i) make any demand for, or exercise any right with respect to, the registration of any shares of common stock or any security convertible into or exercisable or exchangeable for shares of common stock, or (ii) file any registration statement with the SEC relating to the offering of any shares of common stock or any securities convertible into or exchangeable for shares of common stock. The restrictions described in this paragraph do not apply to:</w:t>
      </w:r>
    </w:p>
    <w:p>
      <w:pPr>
        <w:spacing w:after="0" w:line="210"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sale of the shares of common stock offered pursuant to this prospectus supplement;</w:t>
      </w:r>
    </w:p>
    <w:p>
      <w:pPr>
        <w:spacing w:after="0" w:line="211" w:lineRule="exact"/>
        <w:rPr>
          <w:rFonts w:ascii="Arial" w:cs="Arial" w:eastAsia="Arial" w:hAnsi="Arial"/>
          <w:sz w:val="18"/>
          <w:szCs w:val="18"/>
          <w:color w:val="auto"/>
        </w:rPr>
      </w:pPr>
    </w:p>
    <w:p>
      <w:pPr>
        <w:ind w:right="200" w:firstLine="8"/>
        <w:spacing w:after="0" w:line="239" w:lineRule="auto"/>
        <w:tabs>
          <w:tab w:leader="none" w:pos="4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of this prospectus supplement of which the underwriter has been advised in writing;</w:t>
      </w:r>
    </w:p>
    <w:p>
      <w:pPr>
        <w:spacing w:after="0" w:line="208" w:lineRule="exact"/>
        <w:rPr>
          <w:rFonts w:ascii="Arial" w:cs="Arial" w:eastAsia="Arial" w:hAnsi="Arial"/>
          <w:sz w:val="18"/>
          <w:szCs w:val="18"/>
          <w:color w:val="auto"/>
        </w:rPr>
      </w:pPr>
    </w:p>
    <w:p>
      <w:pPr>
        <w:ind w:right="480" w:firstLine="8"/>
        <w:spacing w:after="0" w:line="239" w:lineRule="auto"/>
        <w:tabs>
          <w:tab w:leader="none" w:pos="4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grants under our equity or stock plans in accordance with the terms referred to in this prospectus supplement or the accompanying prospectus;</w:t>
      </w:r>
    </w:p>
    <w:p>
      <w:pPr>
        <w:spacing w:after="0" w:line="208" w:lineRule="exact"/>
        <w:rPr>
          <w:rFonts w:ascii="Arial" w:cs="Arial" w:eastAsia="Arial" w:hAnsi="Arial"/>
          <w:sz w:val="18"/>
          <w:szCs w:val="18"/>
          <w:color w:val="auto"/>
        </w:rPr>
      </w:pPr>
    </w:p>
    <w:p>
      <w:pPr>
        <w:ind w:right="260" w:firstLine="8"/>
        <w:spacing w:after="0" w:line="239"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surrender of shares or forfeiture to us by executive officers or directors in amounts sufficient to satisfy tax withholding obligations upon the vesting or exercise of stock options or awards;</w:t>
      </w:r>
    </w:p>
    <w:p>
      <w:pPr>
        <w:spacing w:after="0" w:line="208" w:lineRule="exact"/>
        <w:rPr>
          <w:rFonts w:ascii="Arial" w:cs="Arial" w:eastAsia="Arial" w:hAnsi="Arial"/>
          <w:sz w:val="18"/>
          <w:szCs w:val="18"/>
          <w:color w:val="auto"/>
        </w:rPr>
      </w:pPr>
    </w:p>
    <w:p>
      <w:pPr>
        <w:jc w:val="both"/>
        <w:ind w:right="40" w:firstLine="8"/>
        <w:spacing w:after="0" w:line="238" w:lineRule="auto"/>
        <w:tabs>
          <w:tab w:leader="none" w:pos="4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open market transactions after the completion of this offering, provided that no filing under Section 16(a) of the Securities Exchange Act of 1934 shall be required or shall be voluntarily made in connection with subsequent sales of common stock or other securities acquired in such open market transactions;</w:t>
      </w:r>
    </w:p>
    <w:p>
      <w:pPr>
        <w:spacing w:after="0" w:line="208" w:lineRule="exact"/>
        <w:rPr>
          <w:rFonts w:ascii="Arial" w:cs="Arial" w:eastAsia="Arial" w:hAnsi="Arial"/>
          <w:sz w:val="18"/>
          <w:szCs w:val="18"/>
          <w:color w:val="auto"/>
        </w:rPr>
      </w:pPr>
    </w:p>
    <w:p>
      <w:pPr>
        <w:ind w:right="360" w:firstLine="8"/>
        <w:spacing w:after="0" w:line="299" w:lineRule="auto"/>
        <w:tabs>
          <w:tab w:leader="none" w:pos="46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establishment by an executive officer or director of a trading plan pursuant to Rule 10b5-1 under the Exchange Act for the transfer of shares of common stock, provided that such plan does not provide for the transfer of common stock during the 60-day lock-up period;</w:t>
      </w:r>
    </w:p>
    <w:p>
      <w:pPr>
        <w:spacing w:after="0" w:line="162" w:lineRule="exact"/>
        <w:rPr>
          <w:rFonts w:ascii="Arial" w:cs="Arial" w:eastAsia="Arial" w:hAnsi="Arial"/>
          <w:sz w:val="16"/>
          <w:szCs w:val="16"/>
          <w:color w:val="auto"/>
        </w:rPr>
      </w:pPr>
    </w:p>
    <w:p>
      <w:pPr>
        <w:jc w:val="center"/>
        <w:ind w:left="5520" w:right="140" w:hanging="5512"/>
        <w:spacing w:after="0" w:line="489" w:lineRule="auto"/>
        <w:tabs>
          <w:tab w:leader="none" w:pos="4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by an executive officer or director of shares of common stock or any security convertible into common stock by will or by intestate; 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firstLine="8"/>
        <w:spacing w:after="0" w:line="239" w:lineRule="auto"/>
        <w:tabs>
          <w:tab w:leader="none" w:pos="4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transfer by an executive officer or director of shares of common stock or other securities convertible into shares of common stock as a bona fide gift;</w:t>
      </w:r>
    </w:p>
    <w:p>
      <w:pPr>
        <w:spacing w:after="0" w:line="208" w:lineRule="exact"/>
        <w:rPr>
          <w:rFonts w:ascii="Arial" w:cs="Arial" w:eastAsia="Arial" w:hAnsi="Arial"/>
          <w:sz w:val="18"/>
          <w:szCs w:val="18"/>
          <w:color w:val="auto"/>
        </w:rPr>
      </w:pPr>
    </w:p>
    <w:p>
      <w:pPr>
        <w:ind w:right="860" w:firstLine="8"/>
        <w:spacing w:after="0" w:line="239"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applicable, distributions of shares of common stock or any security convertible into common stock to limited partners, stockholders, direct or indirect members, or wholly owned subsidiaries of our directors or executive officers;</w:t>
      </w:r>
    </w:p>
    <w:p>
      <w:pPr>
        <w:spacing w:after="0" w:line="208" w:lineRule="exact"/>
        <w:rPr>
          <w:rFonts w:ascii="Arial" w:cs="Arial" w:eastAsia="Arial" w:hAnsi="Arial"/>
          <w:sz w:val="18"/>
          <w:szCs w:val="18"/>
          <w:color w:val="auto"/>
        </w:rPr>
      </w:pPr>
    </w:p>
    <w:p>
      <w:pPr>
        <w:ind w:right="260" w:firstLine="8"/>
        <w:spacing w:after="0" w:line="239" w:lineRule="auto"/>
        <w:tabs>
          <w:tab w:leader="none" w:pos="4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any trust, partnership or limited liability company for the direct or indirect benefit of their immediate family;</w:t>
      </w:r>
    </w:p>
    <w:p>
      <w:pPr>
        <w:spacing w:after="0" w:line="208" w:lineRule="exact"/>
        <w:rPr>
          <w:rFonts w:ascii="Arial" w:cs="Arial" w:eastAsia="Arial" w:hAnsi="Arial"/>
          <w:sz w:val="18"/>
          <w:szCs w:val="18"/>
          <w:color w:val="auto"/>
        </w:rPr>
      </w:pPr>
    </w:p>
    <w:p>
      <w:pPr>
        <w:ind w:right="520" w:firstLine="8"/>
        <w:spacing w:after="0" w:line="239"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shares of common stock or any security convertible into common stock upon the termination of a director or executive officer's employment or other relationship with us;</w:t>
      </w:r>
    </w:p>
    <w:p>
      <w:pPr>
        <w:spacing w:after="0" w:line="208" w:lineRule="exact"/>
        <w:rPr>
          <w:rFonts w:ascii="Arial" w:cs="Arial" w:eastAsia="Arial" w:hAnsi="Arial"/>
          <w:sz w:val="18"/>
          <w:szCs w:val="18"/>
          <w:color w:val="auto"/>
        </w:rPr>
      </w:pPr>
    </w:p>
    <w:p>
      <w:pPr>
        <w:ind w:right="180" w:firstLine="8"/>
        <w:spacing w:after="0" w:line="239" w:lineRule="auto"/>
        <w:tabs>
          <w:tab w:leader="none" w:pos="4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to common stock to a wholly-owned subsidiary of the undersigned or to the direct or indirect members or partners of the undersigned;</w:t>
      </w:r>
    </w:p>
    <w:p>
      <w:pPr>
        <w:spacing w:after="0" w:line="208" w:lineRule="exact"/>
        <w:rPr>
          <w:rFonts w:ascii="Arial" w:cs="Arial" w:eastAsia="Arial" w:hAnsi="Arial"/>
          <w:sz w:val="18"/>
          <w:szCs w:val="18"/>
          <w:color w:val="auto"/>
        </w:rPr>
      </w:pPr>
    </w:p>
    <w:p>
      <w:pPr>
        <w:ind w:firstLine="8"/>
        <w:spacing w:after="0" w:line="239" w:lineRule="auto"/>
        <w:tabs>
          <w:tab w:leader="none" w:pos="4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 nominee or custodian of a person or entity to whom a transfer would be permissible under bullets (vii), (viii), (ix), (xi) and (xiii) above;</w:t>
      </w:r>
    </w:p>
    <w:p>
      <w:pPr>
        <w:spacing w:after="0" w:line="208" w:lineRule="exact"/>
        <w:rPr>
          <w:rFonts w:ascii="Arial" w:cs="Arial" w:eastAsia="Arial" w:hAnsi="Arial"/>
          <w:sz w:val="18"/>
          <w:szCs w:val="18"/>
          <w:color w:val="auto"/>
        </w:rPr>
      </w:pPr>
    </w:p>
    <w:p>
      <w:pPr>
        <w:ind w:right="20" w:firstLine="8"/>
        <w:spacing w:after="0" w:line="236" w:lineRule="auto"/>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customer, supplier or other business partner not exceeding, in the aggregate, 5.0% of our outstanding shares of common stock as of the date on which the shares offered hereby are delivered to the underwriter (it being understood that shares issued or issuable pursuant to the (xv) below bullet shall not count against such 5.0% limit);</w:t>
      </w:r>
    </w:p>
    <w:p>
      <w:pPr>
        <w:spacing w:after="0" w:line="211" w:lineRule="exact"/>
        <w:rPr>
          <w:rFonts w:ascii="Arial" w:cs="Arial" w:eastAsia="Arial" w:hAnsi="Arial"/>
          <w:sz w:val="18"/>
          <w:szCs w:val="18"/>
          <w:color w:val="auto"/>
        </w:rPr>
      </w:pPr>
    </w:p>
    <w:p>
      <w:pPr>
        <w:ind w:right="380" w:firstLine="8"/>
        <w:spacing w:after="0" w:line="239" w:lineRule="auto"/>
        <w:tabs>
          <w:tab w:leader="none" w:pos="4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shares of common stock pursuant to a trading plan established pursuant to Rule 10b5-1 under the Exchange Act in effect on the date of this prospectus supplement;</w:t>
      </w:r>
    </w:p>
    <w:p>
      <w:pPr>
        <w:spacing w:after="0" w:line="208" w:lineRule="exact"/>
        <w:rPr>
          <w:rFonts w:ascii="Arial" w:cs="Arial" w:eastAsia="Arial" w:hAnsi="Arial"/>
          <w:sz w:val="18"/>
          <w:szCs w:val="18"/>
          <w:color w:val="auto"/>
        </w:rPr>
      </w:pPr>
    </w:p>
    <w:p>
      <w:pPr>
        <w:ind w:right="120" w:firstLine="8"/>
        <w:spacing w:after="0" w:line="268" w:lineRule="auto"/>
        <w:tabs>
          <w:tab w:leader="none" w:pos="459"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customer, supplier or other business partner, provided that the business partner that is issued or to be issued such shares of common stock or rights to receive such shares, prior to or concurrently with execution of any binding agreement providing for the issuance of such shares or rights, agrees, together with its controlled affiliates, to be subject to the restrictions described above from the date of such agreement until a date that is at least 60 days after the date of this prospectus supplement, solely with respect to the shares of common stock received or rights to receive such shares issued and not with respect to the shares of common stock or rights to receive such shares previously owned or thereafter acquired, provided that transfers among a party to such agreement and its controlled affiliates and among controlled affiliates will be permitted. We will agree that we will not waive any of the foregoing restrictions prior to the date that is 60 days after the date of this prospectus supplement; and</w:t>
      </w:r>
    </w:p>
    <w:p>
      <w:pPr>
        <w:spacing w:after="0" w:line="190" w:lineRule="exact"/>
        <w:rPr>
          <w:rFonts w:ascii="Arial" w:cs="Arial" w:eastAsia="Arial" w:hAnsi="Arial"/>
          <w:sz w:val="16"/>
          <w:szCs w:val="16"/>
          <w:color w:val="auto"/>
        </w:rPr>
      </w:pPr>
    </w:p>
    <w:p>
      <w:pPr>
        <w:ind w:right="340" w:firstLine="8"/>
        <w:spacing w:after="0" w:line="239" w:lineRule="auto"/>
        <w:tabs>
          <w:tab w:leader="none" w:pos="4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shares of common stock of no more than 1,000,000 shares in the aggregate by all persons who enter into a "lock-up" agreement with J.P. Morgan Securities LLC in connection with this offering.</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restrictions described in (iv), (vii), (viii), (ix), (x), (xii) and (xiii) above are subject to the condition that in the case of any such transfer or distribution, (1) each donee or distributee shall sign and deliver a lock-up letter substantially in the same form as was signed by our directors and executive officers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firstLine="8"/>
        <w:spacing w:after="0" w:line="239" w:lineRule="auto"/>
        <w:tabs>
          <w:tab w:leader="none" w:pos="2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filing under Section 16(a) of the Exchange Act, reporting a reduction in beneficial ownership of shares of Common Stock, shall be required or shall be voluntarily made during the 60-day lock-up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w:t>
      </w:r>
    </w:p>
    <w:p>
      <w:pPr>
        <w:spacing w:after="0" w:line="21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its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they will purchase shares in the open market to cover the position.</w:t>
      </w:r>
    </w:p>
    <w:p>
      <w:pPr>
        <w:spacing w:after="0" w:line="39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underwriter has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 purchase common stock in the open market in stabilizing transactions or to cover short sales, the representatives can require the underwriter that sold those shares as part of this offering to repay the underwriting discount received by them.</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Nasdaq Global Select Market, in the over the counter market or otherwise.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this offering the underwriter (and certain selling group members) may engage in passive market making transactions in our common stock on The Nasdaq Global Select Market prior to the pricing and completion of this offering. Passive market making consists of displaying bids on The Nasdaq Global Select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Certain of the underwriter and its affiliates have performed, and may in the future perform, various investment banking, financial advisory and other services for us, our affiliates and our officers in the ordinary course of business, for which they received, and may receive, customary fees and reimbursement of expenses.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of 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underwriters and its affiliates may effect transactions for their own account or the account of customers, and hold on behalf of themselves or their customers, long or short positions in our debt or equity securities or loans, and may do so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242"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The shares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2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208"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right="60" w:firstLine="8"/>
        <w:spacing w:after="0" w:line="239" w:lineRule="auto"/>
        <w:tabs>
          <w:tab w:leader="none" w:pos="4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 or</w:t>
      </w:r>
    </w:p>
    <w:p>
      <w:pPr>
        <w:spacing w:after="0" w:line="208" w:lineRule="exact"/>
        <w:rPr>
          <w:rFonts w:ascii="Arial" w:cs="Arial" w:eastAsia="Arial" w:hAnsi="Arial"/>
          <w:sz w:val="18"/>
          <w:szCs w:val="18"/>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left="540" w:right="160"/>
        <w:spacing w:after="0" w:line="23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209" w:lineRule="exact"/>
        <w:rPr>
          <w:sz w:val="20"/>
          <w:szCs w:val="20"/>
          <w:color w:val="auto"/>
        </w:rPr>
      </w:pPr>
    </w:p>
    <w:p>
      <w:pPr>
        <w:ind w:left="540" w:right="80"/>
        <w:spacing w:after="0" w:line="236"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210" w:lineRule="exact"/>
        <w:rPr>
          <w:sz w:val="20"/>
          <w:szCs w:val="20"/>
          <w:color w:val="auto"/>
        </w:rPr>
      </w:pPr>
    </w:p>
    <w:p>
      <w:pPr>
        <w:ind w:left="540" w:right="80"/>
        <w:spacing w:after="0" w:line="23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w:t>
      </w:r>
    </w:p>
    <w:p>
      <w:pPr>
        <w:spacing w:after="0" w:line="1" w:lineRule="exact"/>
        <w:rPr>
          <w:sz w:val="20"/>
          <w:szCs w:val="20"/>
          <w:color w:val="auto"/>
        </w:rPr>
      </w:pPr>
    </w:p>
    <w:p>
      <w:pPr>
        <w:ind w:right="160" w:firstLine="8"/>
        <w:spacing w:after="0" w:line="239"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2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WARNING</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24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24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w:t>
      </w:r>
    </w:p>
    <w:p>
      <w:pPr>
        <w:spacing w:after="0" w:line="1" w:lineRule="exact"/>
        <w:rPr>
          <w:sz w:val="20"/>
          <w:szCs w:val="20"/>
          <w:color w:val="auto"/>
        </w:rPr>
      </w:pPr>
    </w:p>
    <w:p>
      <w:pPr>
        <w:ind w:right="140" w:firstLine="8"/>
        <w:spacing w:after="0" w:line="299" w:lineRule="auto"/>
        <w:tabs>
          <w:tab w:leader="none" w:pos="24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12" w:lineRule="exact"/>
        <w:rPr>
          <w:sz w:val="20"/>
          <w:szCs w:val="20"/>
          <w:color w:val="auto"/>
        </w:rPr>
      </w:pPr>
    </w:p>
    <w:p>
      <w:pPr>
        <w:ind w:firstLine="8"/>
        <w:spacing w:after="0" w:line="239" w:lineRule="auto"/>
        <w:tabs>
          <w:tab w:leader="none" w:pos="4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8" w:lineRule="exact"/>
        <w:rPr>
          <w:rFonts w:ascii="Arial" w:cs="Arial" w:eastAsia="Arial" w:hAnsi="Arial"/>
          <w:sz w:val="18"/>
          <w:szCs w:val="18"/>
          <w:color w:val="auto"/>
        </w:rPr>
      </w:pPr>
    </w:p>
    <w:p>
      <w:pPr>
        <w:ind w:right="480" w:firstLine="8"/>
        <w:spacing w:after="0" w:line="239" w:lineRule="auto"/>
        <w:tabs>
          <w:tab w:leader="none" w:pos="3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9"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right="320" w:firstLine="8"/>
        <w:spacing w:after="0" w:line="239"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11" w:lineRule="exact"/>
        <w:rPr>
          <w:rFonts w:ascii="Arial" w:cs="Arial" w:eastAsia="Arial" w:hAnsi="Arial"/>
          <w:sz w:val="18"/>
          <w:szCs w:val="18"/>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24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Dubai International Financial Centre ("DIFC")</w:t>
      </w:r>
    </w:p>
    <w:p>
      <w:pPr>
        <w:spacing w:after="0" w:line="2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shares to which this document relates may be illiquid and/or subject to restrictions on their resale. Prospective purchasers of the shares offered should conduct their own due diligence on the shares. If you do not understand the contents of this document you should consult an authorized financial advisor.</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This document:</w:t>
      </w:r>
    </w:p>
    <w:p>
      <w:pPr>
        <w:spacing w:after="0" w:line="212" w:lineRule="exact"/>
        <w:rPr>
          <w:sz w:val="20"/>
          <w:szCs w:val="20"/>
          <w:color w:val="auto"/>
        </w:rPr>
      </w:pPr>
    </w:p>
    <w:p>
      <w:pPr>
        <w:ind w:left="540" w:right="1020" w:hanging="532"/>
        <w:spacing w:after="0" w:line="23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208" w:lineRule="exact"/>
        <w:rPr>
          <w:rFonts w:ascii="Arial" w:cs="Arial" w:eastAsia="Arial" w:hAnsi="Arial"/>
          <w:sz w:val="18"/>
          <w:szCs w:val="18"/>
          <w:color w:val="auto"/>
        </w:rPr>
      </w:pPr>
    </w:p>
    <w:p>
      <w:pPr>
        <w:ind w:left="540" w:hanging="532"/>
        <w:spacing w:after="0" w:line="23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94" w:lineRule="exact"/>
        <w:rPr>
          <w:rFonts w:ascii="Arial" w:cs="Arial" w:eastAsia="Arial" w:hAnsi="Arial"/>
          <w:sz w:val="18"/>
          <w:szCs w:val="18"/>
          <w:color w:val="auto"/>
        </w:rPr>
      </w:pPr>
    </w:p>
    <w:p>
      <w:pPr>
        <w:jc w:val="both"/>
        <w:ind w:left="540" w:right="100" w:hanging="532"/>
        <w:spacing w:after="0" w:line="23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94" w:lineRule="exact"/>
        <w:rPr>
          <w:rFonts w:ascii="Arial" w:cs="Arial" w:eastAsia="Arial" w:hAnsi="Arial"/>
          <w:sz w:val="18"/>
          <w:szCs w:val="18"/>
          <w:color w:val="auto"/>
        </w:rPr>
      </w:pPr>
    </w:p>
    <w:p>
      <w:pPr>
        <w:ind w:left="540" w:right="500" w:hanging="532"/>
        <w:spacing w:after="0" w:line="23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is otherwise in compliance with all applicable Australian laws and regulations. By submitting an application for the shares, you represent and warrant to us that you are an Exempt Investor.</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242" w:lineRule="exact"/>
        <w:rPr>
          <w:sz w:val="20"/>
          <w:szCs w:val="20"/>
          <w:color w:val="auto"/>
        </w:rPr>
      </w:pPr>
    </w:p>
    <w:p>
      <w:pPr>
        <w:ind w:right="500"/>
        <w:spacing w:after="0" w:line="264"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w:t>
      </w:r>
    </w:p>
    <w:p>
      <w:pPr>
        <w:ind w:right="80"/>
        <w:spacing w:after="0" w:line="236" w:lineRule="auto"/>
        <w:rPr>
          <w:sz w:val="20"/>
          <w:szCs w:val="20"/>
          <w:color w:val="auto"/>
        </w:rPr>
      </w:pPr>
      <w:r>
        <w:rPr>
          <w:rFonts w:ascii="Arial" w:cs="Arial" w:eastAsia="Arial" w:hAnsi="Arial"/>
          <w:sz w:val="18"/>
          <w:szCs w:val="18"/>
          <w:color w:val="auto"/>
        </w:rPr>
        <w:t>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24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for the purposes of the Securities and Investment Business Act, 2010 ("SIBA") or the Public Issuers Code of the British Virgin Islands.</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shares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24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This document does not constitute a public offer of shares, whether by sale or subscription, in the People's Republic of China (the "PRC"). The shares are not being offered or sold directly or indirectly in the PRC to or for the benefit of, legal or natural persons of the PRC.</w:t>
      </w:r>
    </w:p>
    <w:p>
      <w:pPr>
        <w:spacing w:after="0" w:line="20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24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24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242"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63"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211" w:lineRule="exact"/>
        <w:rPr>
          <w:rFonts w:ascii="Arial" w:cs="Arial" w:eastAsia="Arial" w:hAnsi="Arial"/>
          <w:sz w:val="18"/>
          <w:szCs w:val="18"/>
          <w:color w:val="auto"/>
        </w:rPr>
      </w:pPr>
    </w:p>
    <w:p>
      <w:pPr>
        <w:ind w:left="960" w:hanging="412"/>
        <w:spacing w:after="0"/>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211" w:lineRule="exact"/>
        <w:rPr>
          <w:rFonts w:ascii="Arial" w:cs="Arial" w:eastAsia="Arial" w:hAnsi="Arial"/>
          <w:sz w:val="18"/>
          <w:szCs w:val="18"/>
          <w:color w:val="auto"/>
        </w:rPr>
      </w:pPr>
    </w:p>
    <w:p>
      <w:pPr>
        <w:ind w:left="900" w:hanging="352"/>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211" w:lineRule="exact"/>
        <w:rPr>
          <w:rFonts w:ascii="Arial" w:cs="Arial" w:eastAsia="Arial" w:hAnsi="Arial"/>
          <w:sz w:val="18"/>
          <w:szCs w:val="18"/>
          <w:color w:val="auto"/>
        </w:rPr>
      </w:pPr>
    </w:p>
    <w:p>
      <w:pPr>
        <w:ind w:left="940" w:hanging="392"/>
        <w:spacing w:after="0"/>
        <w:tabs>
          <w:tab w:leader="none" w:pos="9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211" w:lineRule="exact"/>
        <w:rPr>
          <w:rFonts w:ascii="Arial" w:cs="Arial" w:eastAsia="Arial" w:hAnsi="Arial"/>
          <w:sz w:val="18"/>
          <w:szCs w:val="18"/>
          <w:color w:val="auto"/>
        </w:rPr>
      </w:pPr>
    </w:p>
    <w:p>
      <w:pPr>
        <w:ind w:left="900" w:hanging="352"/>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211" w:lineRule="exact"/>
        <w:rPr>
          <w:rFonts w:ascii="Arial" w:cs="Arial" w:eastAsia="Arial" w:hAnsi="Arial"/>
          <w:sz w:val="18"/>
          <w:szCs w:val="18"/>
          <w:color w:val="auto"/>
        </w:rPr>
      </w:pPr>
    </w:p>
    <w:p>
      <w:pPr>
        <w:ind w:left="960" w:hanging="412"/>
        <w:spacing w:after="0"/>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211" w:lineRule="exact"/>
        <w:rPr>
          <w:rFonts w:ascii="Arial" w:cs="Arial" w:eastAsia="Arial" w:hAnsi="Arial"/>
          <w:sz w:val="18"/>
          <w:szCs w:val="18"/>
          <w:color w:val="auto"/>
        </w:rPr>
      </w:pPr>
    </w:p>
    <w:p>
      <w:pPr>
        <w:ind w:left="540" w:right="300" w:firstLine="8"/>
        <w:spacing w:after="0" w:line="299" w:lineRule="auto"/>
        <w:tabs>
          <w:tab w:leader="none" w:pos="901"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62" w:lineRule="exact"/>
        <w:rPr>
          <w:rFonts w:ascii="Arial" w:cs="Arial" w:eastAsia="Arial" w:hAnsi="Arial"/>
          <w:sz w:val="16"/>
          <w:szCs w:val="16"/>
          <w:color w:val="auto"/>
        </w:rPr>
      </w:pPr>
    </w:p>
    <w:p>
      <w:pPr>
        <w:ind w:left="960" w:hanging="412"/>
        <w:spacing w:after="0"/>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combination of the person in (a) to (f); or</w:t>
      </w:r>
    </w:p>
    <w:p>
      <w:pPr>
        <w:spacing w:after="0" w:line="21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the total contemplated acquisition cost of the securities, for any single addressee acting as principal is equal to or greater than ZAR1,000,000.</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"offer to the public" (as such term is defined in the South African Companies Act, No. 71 of 2008 (as amended or re-enacted) (the</w:t>
      </w:r>
    </w:p>
    <w:p>
      <w:pPr>
        <w:ind w:left="540" w:right="340"/>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South African Companies Act</w:t>
      </w:r>
      <w:r>
        <w:rPr>
          <w:rFonts w:ascii="Arial" w:cs="Arial" w:eastAsia="Arial" w:hAnsi="Arial"/>
          <w:sz w:val="16"/>
          <w:szCs w:val="16"/>
          <w:color w:val="auto"/>
        </w:rPr>
        <w:t>")) in South Africa is being made in connection with the issue of the shares. Accordingly, this document does not, nor is it intended to, constitute a "registered prospectus" (as that term is defined in the South African Companies Act)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spacing w:after="0" w:line="236" w:lineRule="auto"/>
        <w:rPr>
          <w:sz w:val="20"/>
          <w:szCs w:val="20"/>
          <w:color w:val="auto"/>
        </w:rPr>
      </w:pPr>
      <w:r>
        <w:rPr>
          <w:rFonts w:ascii="Arial" w:cs="Arial" w:eastAsia="Arial" w:hAnsi="Arial"/>
          <w:sz w:val="18"/>
          <w:szCs w:val="18"/>
          <w:color w:val="auto"/>
        </w:rPr>
        <w:t>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w:t>
      </w:r>
      <w:r>
        <w:rPr>
          <w:rFonts w:ascii="Arial" w:cs="Arial" w:eastAsia="Arial" w:hAnsi="Arial"/>
          <w:sz w:val="18"/>
          <w:szCs w:val="18"/>
          <w:b w:val="1"/>
          <w:bCs w:val="1"/>
          <w:color w:val="auto"/>
        </w:rPr>
        <w:t>SA Relevant Persons</w:t>
      </w:r>
      <w:r>
        <w:rPr>
          <w:rFonts w:ascii="Arial" w:cs="Arial" w:eastAsia="Arial" w:hAnsi="Arial"/>
          <w:sz w:val="18"/>
          <w:szCs w:val="18"/>
          <w:color w:val="auto"/>
        </w:rPr>
        <w:t>"). Any investment or investment activity to which this document relates is available in South Africa only to SA Relevant Persons and will be engaged in South Africa only with SA relevant persons.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Legal matters</w:t>
      </w:r>
    </w:p>
    <w:p>
      <w:pPr>
        <w:spacing w:after="0" w:line="26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validity of shares of our common stock offered by this prospectus supplement will be passed upon for us by Wilson Sonsini Goodrich &amp; Rosati, Professional Corporation, Palo Alto, California. Simpson Thacher &amp; Bartlett LLP, Palo Alto, California is acting as counsel to the underwriter.</w:t>
      </w:r>
    </w:p>
    <w:p>
      <w:pPr>
        <w:spacing w:after="0" w:line="1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Experts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financial statements incorporated in this Prospectus Supplement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Supplement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Where you can find more Information</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We file reports and proxy statements with the SEC. These filings include our Annual Report on Form 10-K, Quarterly Reports on Form 10-Q, Current Reports on Form 8-K and proxy statements on Schedule 14A, as well as any amendments to those reports and proxy statements, and are available free of charge through our website as soon as reasonably practicable after we file them with, or furnish them to, the SEC. Once at </w:t>
      </w:r>
      <w:r>
        <w:rPr>
          <w:rFonts w:ascii="Arial" w:cs="Arial" w:eastAsia="Arial" w:hAnsi="Arial"/>
          <w:sz w:val="18"/>
          <w:szCs w:val="18"/>
          <w:i w:val="1"/>
          <w:iCs w:val="1"/>
          <w:color w:val="auto"/>
        </w:rPr>
        <w:t>www.micron.com</w:t>
      </w:r>
      <w:r>
        <w:rPr>
          <w:rFonts w:ascii="Arial" w:cs="Arial" w:eastAsia="Arial" w:hAnsi="Arial"/>
          <w:sz w:val="18"/>
          <w:szCs w:val="18"/>
          <w:color w:val="auto"/>
        </w:rPr>
        <w:t>, go to Investor Relations to locate copies of such reports and proxy statements. Our website and the information contained on,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can be accessed through, the website will not be deemed to be incorporated by reference in, and are not considered part of, this prospectus supplement or the accompanying prospectus. You should not rely on any such information in making your decision whether to purchase our common stock. You may also read and copy materials that we file with the SEC at the SEC's Public Reference Room at 100 F Street, N.E., Washington, D.C. 20549. You may obtain information on the operation of the Public Reference Room by calling the SEC at 1-800-SEC-0330.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us and other issuers that file electronically with the SEC.</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have filed with the SEC a registration statement on Form S-3 under the Securities Act of 1933, as amended, relating to the shares of our common stock being offered by this prospectus. This prospectus supplement and the accompanying prospectus, which constitutes part of that registration statement, does not contain all of the information set forth in the registration statement or the exhibits and schedules which are part of the registration statement. For further information about us and the common stock offered, see the registration statement and the exhibits and schedules thereto. Statements contained in this prospectus supplement or the accompanying prospectus regarding the contents of any contract or any other document to which reference is made are not necessarily complete, and, in each instance where a copy of a contract or other document has been filed as an exhibit to the registration statement, reference is made to the copy so filed, each of those statements being qualified in all respects by the reference.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Incorporation by reference</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 SEC in other documents, which means that we can disclose important information to you by referring you to those documents instead of having to repeat the information in this prospectus supplement. The information incorporated by reference is considered to be part of this prospectus supplement and the accompanying prospectus, and later information that we file with the SEC will automatically update and supersede such information. We incorporate by reference the documents listed below and any future information filed (rather than furnished) with the SEC under Sections 13(a), 13(c), 14 or 15(d) of the Securities Exchange Act of 1934, as amended, between the date of this prospectus supplement and the date we close or otherwise terminate this offering, provided, however, that we are not incorporating any information furnished under Item 2.02 or Item 7.01 of any Current Report on Form 8-K:</w:t>
      </w:r>
    </w:p>
    <w:p>
      <w:pPr>
        <w:spacing w:after="0" w:line="208" w:lineRule="exact"/>
        <w:rPr>
          <w:sz w:val="20"/>
          <w:szCs w:val="20"/>
          <w:color w:val="auto"/>
        </w:rPr>
      </w:pPr>
    </w:p>
    <w:p>
      <w:pPr>
        <w:ind w:left="540" w:right="20" w:hanging="532"/>
        <w:spacing w:after="0" w:line="23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1, 2016 (as updated by the Current Report on Form 8-K filed with the SEC on October 10, 2017).</w:t>
      </w:r>
    </w:p>
    <w:p>
      <w:pPr>
        <w:spacing w:after="0" w:line="208"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December 1, 2016, March 2, 2017 and June 1, 2017.</w:t>
      </w:r>
    </w:p>
    <w:p>
      <w:pPr>
        <w:spacing w:after="0" w:line="198" w:lineRule="exact"/>
        <w:rPr>
          <w:rFonts w:ascii="Arial" w:cs="Arial" w:eastAsia="Arial" w:hAnsi="Arial"/>
          <w:sz w:val="18"/>
          <w:szCs w:val="18"/>
          <w:color w:val="auto"/>
        </w:rPr>
      </w:pPr>
    </w:p>
    <w:p>
      <w:pPr>
        <w:ind w:left="540" w:right="220" w:hanging="532"/>
        <w:spacing w:after="0" w:line="23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specifically incorporated by reference into our Annual Report on Form 10-K for the fiscal year ended September 1, 2016 from our Definitive Proxy Statement on Schedule 14A, filed with the SEC on December 8, 2016.</w:t>
      </w:r>
    </w:p>
    <w:p>
      <w:pPr>
        <w:spacing w:after="0" w:line="195" w:lineRule="exact"/>
        <w:rPr>
          <w:rFonts w:ascii="Arial" w:cs="Arial" w:eastAsia="Arial" w:hAnsi="Arial"/>
          <w:sz w:val="18"/>
          <w:szCs w:val="18"/>
          <w:color w:val="auto"/>
        </w:rPr>
      </w:pPr>
    </w:p>
    <w:p>
      <w:pPr>
        <w:ind w:left="540" w:right="420" w:hanging="532"/>
        <w:spacing w:after="0" w:line="238"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September 2, 2016, October 11, 2016, October 24, 2016, October 27, 2016, November 9, 2016, November 18, 2016, December 6, 2016, January 19, 2017, February 3, 2017, February 16, 2017, March 27, 2017, April 10, 2017, April 28, 2017, May 17, 2017, June 28, 2017, July 27, 2017, and October 10, 2017.</w:t>
      </w:r>
    </w:p>
    <w:p>
      <w:pPr>
        <w:spacing w:after="0" w:line="208"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5"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with the SEC on July 22, 2016, including any subsequently filed amendments and reports updating such description.</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will furnish without charge to you a copy of any or all of the documents incorporated by reference, including exhibits to these documents, upon written or oral request. Direct your written request to:</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Micron Technology, Inc.</w:t>
      </w:r>
    </w:p>
    <w:p>
      <w:pPr>
        <w:jc w:val="center"/>
        <w:ind w:right="-39"/>
        <w:spacing w:after="0" w:line="234" w:lineRule="auto"/>
        <w:rPr>
          <w:sz w:val="20"/>
          <w:szCs w:val="20"/>
          <w:color w:val="auto"/>
        </w:rPr>
      </w:pPr>
      <w:r>
        <w:rPr>
          <w:rFonts w:ascii="Arial" w:cs="Arial" w:eastAsia="Arial" w:hAnsi="Arial"/>
          <w:sz w:val="18"/>
          <w:szCs w:val="18"/>
          <w:color w:val="auto"/>
        </w:rPr>
        <w:t>8000 South Federal Way</w:t>
      </w:r>
    </w:p>
    <w:p>
      <w:pPr>
        <w:jc w:val="center"/>
        <w:ind w:right="-39"/>
        <w:spacing w:after="0" w:line="235" w:lineRule="auto"/>
        <w:rPr>
          <w:sz w:val="20"/>
          <w:szCs w:val="20"/>
          <w:color w:val="auto"/>
        </w:rPr>
      </w:pPr>
      <w:r>
        <w:rPr>
          <w:rFonts w:ascii="Arial" w:cs="Arial" w:eastAsia="Arial" w:hAnsi="Arial"/>
          <w:sz w:val="18"/>
          <w:szCs w:val="18"/>
          <w:color w:val="auto"/>
        </w:rPr>
        <w:t>Boise, Idaho 83716-9632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(208) 368-4000</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statement contained in a document incorporated by reference into this prospectus supplement or the accompanying prospectus shall be deemed to be modified or superseded for purposes of this prospectus to the extent that a statement contained in this or any other prospectus supplement, or in any other subsequently filed document which is also incorporated in this prospectus supplement modifies or replaces such statement. Any statements so modified or superseded shall not be deemed, except as so modified or superseded, to constitute a part of this prospectus supplement or the accompanying 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152400</wp:posOffset>
            </wp:positionV>
            <wp:extent cx="3636010" cy="1012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2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0"/>
            <w:vMerge w:val="restart"/>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6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9"/>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THE COMPANY</w:t>
              </w:r>
            </w:hyperlink>
          </w:p>
        </w:tc>
        <w:tc>
          <w:tcPr>
            <w:tcW w:w="5360" w:type="dxa"/>
            <w:vAlign w:val="bottom"/>
            <w:gridSpan w:val="7"/>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RISK FACTORS</w:t>
              </w:r>
            </w:hyperlink>
          </w:p>
        </w:tc>
        <w:tc>
          <w:tcPr>
            <w:tcW w:w="75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USE OF PROCEEDS</w:t>
              </w:r>
            </w:hyperlink>
          </w:p>
        </w:tc>
        <w:tc>
          <w:tcPr>
            <w:tcW w:w="72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DESCRIPTION OF SECURITIES</w:t>
              </w:r>
            </w:hyperlink>
          </w:p>
        </w:tc>
        <w:tc>
          <w:tcPr>
            <w:tcW w:w="960" w:type="dxa"/>
            <w:vAlign w:val="bottom"/>
          </w:tcPr>
          <w:p>
            <w:pPr>
              <w:spacing w:after="0"/>
              <w:rPr>
                <w:sz w:val="17"/>
                <w:szCs w:val="17"/>
                <w:color w:val="auto"/>
              </w:rPr>
            </w:pPr>
          </w:p>
        </w:tc>
        <w:tc>
          <w:tcPr>
            <w:tcW w:w="53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63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68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1, 2016 (as updated by the Current Report on Form 8-K filed with the SEC on October 10, 2017).</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December 1, 2016, March 2, 2017 and June 1, 2017.</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specifically incorporated by reference into our Annual Report on Form 10-K for the fiscal year ended September 1, 2016 from our Definitive Proxy Statement on Schedule 14A filed on December 8,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September 2, 2016, October 11, 2016, October 24, 2016, October 27, 2016, November 9, 2016, November 18, 2016, December 6, 2016, January 19, 2017, February 3, 2017, February 16, 2017, March 27, 2017, April 10, 2017, April 28, 2017, May 17, 2017, June 28, 2017, July 27, 2017 and October 10, 2017.</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with the SEC on July 22, 2016, including any subsequently filed amendments and reports updating such description.</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sz w:val="20"/>
          <w:szCs w:val="20"/>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Ended June 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5" w:lineRule="auto"/>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1913890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1931035</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2099945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593090</wp:posOffset>
            </wp:positionV>
            <wp:extent cx="4271010" cy="1183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71010" cy="118364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917"/>
    </w:lvl>
  </w:abstractNum>
  <w:abstractNum w:abstractNumId="21">
    <w:nsid w:val="5C482A97"/>
    <w:multiLevelType w:val="hybridMultilevel"/>
    <w:lvl w:ilvl="0">
      <w:lvlJc w:val="left"/>
      <w:lvlText w:val="%1"/>
      <w:numFmt w:val="decimal"/>
      <w:start w:val="591"/>
    </w:lvl>
  </w:abstractNum>
  <w:abstractNum w:abstractNumId="22">
    <w:nsid w:val="2463B9EA"/>
    <w:multiLevelType w:val="hybridMultilevel"/>
    <w:lvl w:ilvl="0">
      <w:lvlJc w:val="left"/>
      <w:lvlText w:val="%1"/>
      <w:numFmt w:val="decimal"/>
      <w:start w:val="991"/>
    </w:lvl>
  </w:abstractNum>
  <w:abstractNum w:abstractNumId="23">
    <w:nsid w:val="5E884ADC"/>
    <w:multiLevelType w:val="hybridMultilevel"/>
    <w:lvl w:ilvl="0">
      <w:lvlJc w:val="left"/>
      <w:lvlText w:val="%1"/>
      <w:numFmt w:val="decimal"/>
      <w:start w:val="128"/>
    </w:lvl>
  </w:abstractNum>
  <w:abstractNum w:abstractNumId="24">
    <w:nsid w:val="51EAD36B"/>
    <w:multiLevelType w:val="hybridMultilevel"/>
    <w:lvl w:ilvl="0">
      <w:lvlJc w:val="left"/>
      <w:lvlText w:val="%1"/>
      <w:numFmt w:val="decimal"/>
      <w:start w:val="583"/>
    </w:lvl>
  </w:abstractNum>
  <w:abstractNum w:abstractNumId="25">
    <w:nsid w:val="2D517796"/>
    <w:multiLevelType w:val="hybridMultilevel"/>
    <w:lvl w:ilvl="0">
      <w:lvlJc w:val="left"/>
      <w:lvlText w:val="%1"/>
      <w:numFmt w:val="decimal"/>
      <w:start w:val="726"/>
    </w:lvl>
  </w:abstractNum>
  <w:abstractNum w:abstractNumId="26">
    <w:nsid w:val="580BD78F"/>
    <w:multiLevelType w:val="hybridMultilevel"/>
    <w:lvl w:ilvl="0">
      <w:lvlJc w:val="left"/>
      <w:lvlText w:val="%1"/>
      <w:numFmt w:val="decimal"/>
      <w:start w:val="108"/>
    </w:lvl>
  </w:abstractNum>
  <w:abstractNum w:abstractNumId="27">
    <w:nsid w:val="153EA438"/>
    <w:multiLevelType w:val="hybridMultilevel"/>
    <w:lvl w:ilvl="0">
      <w:lvlJc w:val="left"/>
      <w:lvlText w:val="%1"/>
      <w:numFmt w:val="decimal"/>
      <w:start w:val="111"/>
    </w:lvl>
  </w:abstractNum>
  <w:abstractNum w:abstractNumId="28">
    <w:nsid w:val="3855585C"/>
    <w:multiLevelType w:val="hybridMultilevel"/>
    <w:lvl w:ilvl="0">
      <w:lvlJc w:val="left"/>
      <w:lvlText w:val="(%1)"/>
      <w:numFmt w:val="decimal"/>
      <w:start w:val="67"/>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
      <w:numFmt w:val="bullet"/>
      <w:start w:val="1"/>
    </w:lvl>
    <w:lvl w:ilvl="1">
      <w:lvlJc w:val="left"/>
      <w:lvlText w:val="(%2)"/>
      <w:numFmt w:val="decimal"/>
      <w:start w:val="6"/>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Roman"/>
      <w:start w:val="1"/>
    </w:lvl>
  </w:abstractNum>
  <w:abstractNum w:abstractNumId="39">
    <w:nsid w:val="6DE91B18"/>
    <w:multiLevelType w:val="hybridMultilevel"/>
    <w:lvl w:ilvl="0">
      <w:lvlJc w:val="left"/>
      <w:lvlText w:val="%1."/>
      <w:numFmt w:val="lowerRoman"/>
      <w:start w:val="8"/>
    </w:lvl>
  </w:abstractNum>
  <w:abstractNum w:abstractNumId="40">
    <w:nsid w:val="38437FDB"/>
    <w:multiLevelType w:val="hybridMultilevel"/>
    <w:lvl w:ilvl="0">
      <w:lvlJc w:val="left"/>
      <w:lvlText w:val="(%1)"/>
      <w:numFmt w:val="decimal"/>
      <w:start w:val="2"/>
    </w:lvl>
  </w:abstractNum>
  <w:abstractNum w:abstractNumId="41">
    <w:nsid w:val="7644A45C"/>
    <w:multiLevelType w:val="hybridMultilevel"/>
    <w:lvl w:ilvl="0">
      <w:lvlJc w:val="left"/>
      <w:lvlText w:val="%1."/>
      <w:numFmt w:val="upperLetter"/>
      <w:start w:val="1"/>
    </w:lvl>
  </w:abstractNum>
  <w:abstractNum w:abstractNumId="42">
    <w:nsid w:val="32FFF902"/>
    <w:multiLevelType w:val="hybridMultilevel"/>
    <w:lvl w:ilvl="0">
      <w:lvlJc w:val="left"/>
      <w:lvlText w:val="(%1)"/>
      <w:numFmt w:val="lowerLetter"/>
      <w:start w:val="4"/>
    </w:lvl>
  </w:abstractNum>
  <w:abstractNum w:abstractNumId="43">
    <w:nsid w:val="684A481A"/>
    <w:multiLevelType w:val="hybridMultilevel"/>
    <w:lvl w:ilvl="0">
      <w:lvlJc w:val="left"/>
      <w:lvlText w:val="(%1)"/>
      <w:numFmt w:val="lowerRoman"/>
      <w:start w:val="2"/>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i"/>
      <w:numFmt w:val="bullet"/>
      <w:start w:val="1"/>
    </w:lvl>
    <w:lvl w:ilvl="1">
      <w:lvlJc w:val="left"/>
      <w:lvlText w:val="(%2)"/>
      <w:numFmt w:val="lowerLetter"/>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2019-12-05T11:02:34Z</dcterms:created>
  <dcterms:modified xsi:type="dcterms:W3CDTF">2019-12-05T11:02:34Z</dcterms:modified>
</cp:coreProperties>
</file>