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20" w:right="3019" w:hanging="3425"/>
        <w:spacing w:after="0" w:line="262" w:lineRule="auto"/>
        <w:rPr>
          <w:sz w:val="20"/>
          <w:szCs w:val="20"/>
          <w:color w:val="auto"/>
        </w:rPr>
      </w:pPr>
      <w:r>
        <w:rPr>
          <w:rFonts w:ascii="Courier New" w:cs="Courier New" w:eastAsia="Courier New" w:hAnsi="Courier New"/>
          <w:sz w:val="14"/>
          <w:szCs w:val="14"/>
          <w:color w:val="auto"/>
        </w:rPr>
        <w:t>As filed with the Securities and Exchange Commission on July 20, 1998 Registration No. 333-57973</w:t>
      </w:r>
    </w:p>
    <w:p>
      <w:pPr>
        <w:jc w:val="center"/>
        <w:ind w:right="3019"/>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__________________</w:t>
      </w:r>
    </w:p>
    <w:p>
      <w:pPr>
        <w:spacing w:after="0" w:line="177"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AMENDMENT NO. 1 TO</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FORM S-3</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UNDER THE SECURITIES ACT OF 1993</w:t>
      </w:r>
    </w:p>
    <w:p>
      <w:pPr>
        <w:spacing w:after="0" w:line="3"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__________________</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754" w:right="1440" w:bottom="613" w:gutter="0" w:footer="0" w:header="0"/>
        </w:sectPr>
      </w:pPr>
    </w:p>
    <w:p>
      <w:pPr>
        <w:spacing w:after="0" w:line="177"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75-1618004</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4320" w:space="720"/>
            <w:col w:w="5179"/>
          </w:cols>
          <w:pgMar w:left="240" w:top="754" w:right="1440" w:bottom="613" w:gutter="0" w:footer="0" w:header="0"/>
          <w:type w:val="continuous"/>
        </w:sectPr>
      </w:pPr>
    </w:p>
    <w:p>
      <w:pPr>
        <w:spacing w:after="0" w:line="150" w:lineRule="exact"/>
        <w:rPr>
          <w:sz w:val="24"/>
          <w:szCs w:val="24"/>
          <w:color w:val="auto"/>
        </w:rPr>
      </w:pPr>
    </w:p>
    <w:p>
      <w:pPr>
        <w:ind w:left="1980"/>
        <w:spacing w:after="0"/>
        <w:rPr>
          <w:sz w:val="20"/>
          <w:szCs w:val="20"/>
          <w:color w:val="auto"/>
        </w:rPr>
      </w:pPr>
      <w:r>
        <w:rPr>
          <w:rFonts w:ascii="Courier New" w:cs="Courier New" w:eastAsia="Courier New" w:hAnsi="Courier New"/>
          <w:sz w:val="15"/>
          <w:szCs w:val="15"/>
          <w:color w:val="auto"/>
        </w:rPr>
        <w:t>8000 South Federal Way, P.O. Box 6</w:t>
      </w:r>
    </w:p>
    <w:p>
      <w:pPr>
        <w:spacing w:after="0" w:line="3"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Boise, Idaho 83707-0006</w:t>
      </w:r>
    </w:p>
    <w:p>
      <w:pPr>
        <w:spacing w:after="0" w:line="3" w:lineRule="exact"/>
        <w:rPr>
          <w:sz w:val="24"/>
          <w:szCs w:val="24"/>
          <w:color w:val="auto"/>
        </w:rPr>
      </w:pPr>
    </w:p>
    <w:p>
      <w:pPr>
        <w:ind w:left="2880"/>
        <w:spacing w:after="0"/>
        <w:rPr>
          <w:sz w:val="20"/>
          <w:szCs w:val="20"/>
          <w:color w:val="auto"/>
        </w:rPr>
      </w:pPr>
      <w:r>
        <w:rPr>
          <w:rFonts w:ascii="Courier New" w:cs="Courier New" w:eastAsia="Courier New" w:hAnsi="Courier New"/>
          <w:sz w:val="15"/>
          <w:szCs w:val="15"/>
          <w:color w:val="auto"/>
        </w:rPr>
        <w:t>(208) 368-4000</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(Address, including zip code, and telephone number, including area</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code, of Registrant's principal executive offices)</w:t>
      </w:r>
    </w:p>
    <w:p>
      <w:pPr>
        <w:spacing w:after="0" w:line="177"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__________________</w:t>
      </w:r>
    </w:p>
    <w:p>
      <w:pPr>
        <w:spacing w:after="0" w:line="177"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RODERIC W. LEWIS, ESQ.</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Vice President of Legal Affairs, General Counsel and Corporate Secretary</w:t>
      </w:r>
    </w:p>
    <w:p>
      <w:pPr>
        <w:spacing w:after="0" w:line="3"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4"/>
          <w:szCs w:val="24"/>
          <w:color w:val="auto"/>
        </w:rPr>
      </w:pPr>
    </w:p>
    <w:p>
      <w:pPr>
        <w:ind w:left="1980"/>
        <w:spacing w:after="0"/>
        <w:rPr>
          <w:sz w:val="20"/>
          <w:szCs w:val="20"/>
          <w:color w:val="auto"/>
        </w:rPr>
      </w:pPr>
      <w:r>
        <w:rPr>
          <w:rFonts w:ascii="Courier New" w:cs="Courier New" w:eastAsia="Courier New" w:hAnsi="Courier New"/>
          <w:sz w:val="15"/>
          <w:szCs w:val="15"/>
          <w:color w:val="auto"/>
        </w:rPr>
        <w:t>8000 South Federal Way, P.O. Box 6</w:t>
      </w:r>
    </w:p>
    <w:p>
      <w:pPr>
        <w:spacing w:after="0" w:line="3" w:lineRule="exact"/>
        <w:rPr>
          <w:sz w:val="24"/>
          <w:szCs w:val="24"/>
          <w:color w:val="auto"/>
        </w:rPr>
      </w:pPr>
    </w:p>
    <w:p>
      <w:pPr>
        <w:ind w:left="2420"/>
        <w:spacing w:after="0"/>
        <w:tabs>
          <w:tab w:leader="none" w:pos="3660" w:val="left"/>
        </w:tabs>
        <w:rPr>
          <w:sz w:val="20"/>
          <w:szCs w:val="20"/>
          <w:color w:val="auto"/>
        </w:rPr>
      </w:pPr>
      <w:r>
        <w:rPr>
          <w:rFonts w:ascii="Courier New" w:cs="Courier New" w:eastAsia="Courier New" w:hAnsi="Courier New"/>
          <w:sz w:val="15"/>
          <w:szCs w:val="15"/>
          <w:color w:val="auto"/>
        </w:rPr>
        <w:t>Boise, Idaho</w:t>
        <w:tab/>
        <w:t>83707-0006</w:t>
      </w:r>
    </w:p>
    <w:p>
      <w:pPr>
        <w:spacing w:after="0" w:line="3" w:lineRule="exact"/>
        <w:rPr>
          <w:sz w:val="24"/>
          <w:szCs w:val="24"/>
          <w:color w:val="auto"/>
        </w:rPr>
      </w:pPr>
    </w:p>
    <w:p>
      <w:pPr>
        <w:ind w:left="2880"/>
        <w:spacing w:after="0"/>
        <w:rPr>
          <w:sz w:val="20"/>
          <w:szCs w:val="20"/>
          <w:color w:val="auto"/>
        </w:rPr>
      </w:pPr>
      <w:r>
        <w:rPr>
          <w:rFonts w:ascii="Courier New" w:cs="Courier New" w:eastAsia="Courier New" w:hAnsi="Courier New"/>
          <w:sz w:val="15"/>
          <w:szCs w:val="15"/>
          <w:color w:val="auto"/>
        </w:rPr>
        <w:t>(208) 368-4000</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(Name, address, including zip code, and</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telephone number, including area code, of agent for service)</w:t>
      </w:r>
    </w:p>
    <w:p>
      <w:pPr>
        <w:spacing w:after="0" w:line="177"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__________________</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5"/>
          <w:szCs w:val="15"/>
          <w:color w:val="auto"/>
        </w:rPr>
        <w:t>Copies to:</w:t>
      </w:r>
    </w:p>
    <w:p>
      <w:pPr>
        <w:spacing w:after="0" w:line="350"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3420" w:type="dxa"/>
            <w:vAlign w:val="bottom"/>
          </w:tcPr>
          <w:p>
            <w:pPr>
              <w:jc w:val="center"/>
              <w:ind w:right="445"/>
              <w:spacing w:after="0"/>
              <w:rPr>
                <w:sz w:val="20"/>
                <w:szCs w:val="20"/>
                <w:color w:val="auto"/>
              </w:rPr>
            </w:pPr>
            <w:r>
              <w:rPr>
                <w:rFonts w:ascii="Courier New" w:cs="Courier New" w:eastAsia="Courier New" w:hAnsi="Courier New"/>
                <w:sz w:val="15"/>
                <w:szCs w:val="15"/>
                <w:color w:val="auto"/>
                <w:w w:val="99"/>
              </w:rPr>
              <w:t>John A. Fore, Esq.</w:t>
            </w:r>
          </w:p>
        </w:tc>
        <w:tc>
          <w:tcPr>
            <w:tcW w:w="3160" w:type="dxa"/>
            <w:vAlign w:val="bottom"/>
          </w:tcPr>
          <w:p>
            <w:pPr>
              <w:spacing w:after="0"/>
              <w:rPr>
                <w:sz w:val="14"/>
                <w:szCs w:val="14"/>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Patrick J. Schultheis, Esq.</w:t>
            </w:r>
          </w:p>
        </w:tc>
        <w:tc>
          <w:tcPr>
            <w:tcW w:w="316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Jacques K. Meguire, Esq.</w:t>
            </w:r>
          </w:p>
        </w:tc>
      </w:tr>
      <w:tr>
        <w:trPr>
          <w:trHeight w:val="173"/>
        </w:trPr>
        <w:tc>
          <w:tcPr>
            <w:tcW w:w="342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Stephen F. Diamond, Esq.</w:t>
            </w:r>
          </w:p>
        </w:tc>
        <w:tc>
          <w:tcPr>
            <w:tcW w:w="3160" w:type="dxa"/>
            <w:vAlign w:val="bottom"/>
          </w:tcPr>
          <w:p>
            <w:pPr>
              <w:ind w:left="540"/>
              <w:spacing w:after="0"/>
              <w:rPr>
                <w:sz w:val="20"/>
                <w:szCs w:val="20"/>
                <w:color w:val="auto"/>
              </w:rPr>
            </w:pPr>
            <w:r>
              <w:rPr>
                <w:rFonts w:ascii="Courier New" w:cs="Courier New" w:eastAsia="Courier New" w:hAnsi="Courier New"/>
                <w:sz w:val="15"/>
                <w:szCs w:val="15"/>
                <w:color w:val="auto"/>
                <w:w w:val="99"/>
              </w:rPr>
              <w:t>Sonnenschein Nath &amp; Rosenthal</w:t>
            </w:r>
          </w:p>
        </w:tc>
      </w:tr>
      <w:tr>
        <w:trPr>
          <w:trHeight w:val="173"/>
        </w:trPr>
        <w:tc>
          <w:tcPr>
            <w:tcW w:w="342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Wilson Sonsini Goodrich &amp; Rosati</w:t>
            </w:r>
          </w:p>
        </w:tc>
        <w:tc>
          <w:tcPr>
            <w:tcW w:w="316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8000 Sears Tower</w:t>
            </w:r>
          </w:p>
        </w:tc>
      </w:tr>
      <w:tr>
        <w:trPr>
          <w:trHeight w:val="173"/>
        </w:trPr>
        <w:tc>
          <w:tcPr>
            <w:tcW w:w="342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Professional Corporation</w:t>
            </w:r>
          </w:p>
        </w:tc>
        <w:tc>
          <w:tcPr>
            <w:tcW w:w="316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Chicago, Illinois 60606-6404</w:t>
            </w:r>
          </w:p>
        </w:tc>
      </w:tr>
      <w:tr>
        <w:trPr>
          <w:trHeight w:val="173"/>
        </w:trPr>
        <w:tc>
          <w:tcPr>
            <w:tcW w:w="3420" w:type="dxa"/>
            <w:vAlign w:val="bottom"/>
          </w:tcPr>
          <w:p>
            <w:pPr>
              <w:jc w:val="center"/>
              <w:ind w:right="445"/>
              <w:spacing w:after="0"/>
              <w:rPr>
                <w:sz w:val="20"/>
                <w:szCs w:val="20"/>
                <w:color w:val="auto"/>
              </w:rPr>
            </w:pPr>
            <w:r>
              <w:rPr>
                <w:rFonts w:ascii="Courier New" w:cs="Courier New" w:eastAsia="Courier New" w:hAnsi="Courier New"/>
                <w:sz w:val="15"/>
                <w:szCs w:val="15"/>
                <w:color w:val="auto"/>
                <w:w w:val="99"/>
              </w:rPr>
              <w:t>650 Page Mill Road</w:t>
            </w:r>
          </w:p>
        </w:tc>
        <w:tc>
          <w:tcPr>
            <w:tcW w:w="3160" w:type="dxa"/>
            <w:vAlign w:val="bottom"/>
          </w:tcPr>
          <w:p>
            <w:pPr>
              <w:jc w:val="center"/>
              <w:ind w:left="585"/>
              <w:spacing w:after="0"/>
              <w:rPr>
                <w:sz w:val="20"/>
                <w:szCs w:val="20"/>
                <w:color w:val="auto"/>
              </w:rPr>
            </w:pPr>
            <w:r>
              <w:rPr>
                <w:rFonts w:ascii="Courier New" w:cs="Courier New" w:eastAsia="Courier New" w:hAnsi="Courier New"/>
                <w:sz w:val="15"/>
                <w:szCs w:val="15"/>
                <w:color w:val="auto"/>
                <w:w w:val="99"/>
              </w:rPr>
              <w:t>(312) 876-8000</w:t>
            </w:r>
          </w:p>
        </w:tc>
      </w:tr>
    </w:tbl>
    <w:p>
      <w:pPr>
        <w:spacing w:after="0" w:line="3" w:lineRule="exact"/>
        <w:rPr>
          <w:sz w:val="24"/>
          <w:szCs w:val="24"/>
          <w:color w:val="auto"/>
        </w:rPr>
      </w:pPr>
    </w:p>
    <w:p>
      <w:pPr>
        <w:jc w:val="center"/>
        <w:ind w:right="7159"/>
        <w:spacing w:after="0"/>
        <w:rPr>
          <w:sz w:val="20"/>
          <w:szCs w:val="20"/>
          <w:color w:val="auto"/>
        </w:rPr>
      </w:pPr>
      <w:r>
        <w:rPr>
          <w:rFonts w:ascii="Courier New" w:cs="Courier New" w:eastAsia="Courier New" w:hAnsi="Courier New"/>
          <w:sz w:val="15"/>
          <w:szCs w:val="15"/>
          <w:color w:val="auto"/>
        </w:rPr>
        <w:t>Palo Alto, California 94304-1050</w:t>
      </w:r>
    </w:p>
    <w:p>
      <w:pPr>
        <w:spacing w:after="0" w:line="3" w:lineRule="exact"/>
        <w:rPr>
          <w:sz w:val="24"/>
          <w:szCs w:val="24"/>
          <w:color w:val="auto"/>
        </w:rPr>
      </w:pPr>
    </w:p>
    <w:p>
      <w:pPr>
        <w:jc w:val="center"/>
        <w:ind w:right="7159"/>
        <w:spacing w:after="0"/>
        <w:rPr>
          <w:sz w:val="20"/>
          <w:szCs w:val="20"/>
          <w:color w:val="auto"/>
        </w:rPr>
      </w:pPr>
      <w:r>
        <w:rPr>
          <w:rFonts w:ascii="Courier New" w:cs="Courier New" w:eastAsia="Courier New" w:hAnsi="Courier New"/>
          <w:sz w:val="15"/>
          <w:szCs w:val="15"/>
          <w:color w:val="auto"/>
        </w:rPr>
        <w:t>(650) 493-9300</w:t>
      </w:r>
    </w:p>
    <w:p>
      <w:pPr>
        <w:spacing w:after="0" w:line="3"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__________________</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From time to time after the effective date of this Registration Statement.</w:t>
      </w:r>
    </w:p>
    <w:p>
      <w:pPr>
        <w:spacing w:after="0" w:line="3"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__________________</w:t>
      </w:r>
    </w:p>
    <w:p>
      <w:pPr>
        <w:spacing w:after="0" w:line="4" w:lineRule="exact"/>
        <w:rPr>
          <w:sz w:val="24"/>
          <w:szCs w:val="24"/>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[_]</w:t>
      </w:r>
    </w:p>
    <w:p>
      <w:pPr>
        <w:spacing w:after="0" w:line="175" w:lineRule="exact"/>
        <w:rPr>
          <w:sz w:val="24"/>
          <w:szCs w:val="24"/>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76" w:lineRule="exact"/>
        <w:rPr>
          <w:sz w:val="24"/>
          <w:szCs w:val="24"/>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76" w:lineRule="exact"/>
        <w:rPr>
          <w:sz w:val="24"/>
          <w:szCs w:val="24"/>
          <w:color w:val="auto"/>
        </w:rPr>
      </w:pPr>
    </w:p>
    <w:p>
      <w:pPr>
        <w:ind w:right="3379" w:firstLine="180"/>
        <w:spacing w:after="0" w:line="243"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DATES AS MAY BE NECESSARY TO DELAY ITS EFFECTIVE DATE UNTIL THE REGISTRANT SHALL</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 A FURTHER AMENDMENT WHICH SPECIFICALLY STATES THAT THIS REGISTRATION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STATEMENT SHALL THEREAFTER BECOME EFFECTIVE IN ACCORDANCE WITH SECTION 8(a)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SECURITIES ACT OF 1933, AS AMENDED, OR UNTIL THE REGISTRATION STATEMENT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SHALL BECOME EFFECTIVE ON SUCH DATE AS THE COMMISSION, ACTING PURSUANT TO SAID</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SECTION 8(a), MAY DETERMINE.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754" w:right="1440" w:bottom="613" w:gutter="0" w:footer="0" w:header="0"/>
          <w:type w:val="continuous"/>
        </w:sectPr>
      </w:pPr>
    </w:p>
    <w:bookmarkStart w:id="1" w:name="page2"/>
    <w:bookmarkEnd w:id="1"/>
    <w:p>
      <w:pPr>
        <w:ind w:right="3099"/>
        <w:spacing w:after="0" w:line="244"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7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SUBJECT TO COMPLETION, DATED JULY 20, 1998</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7,600,000 SHARES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of the 7,600,000 shares of Common Stock (the "Shares") of Micron Technology, Inc. ("Micron" or the "Company") offered hereby are being offered for sale from time to time by one of the Company's stockholders (the "Selling Stockholder"). See "Selling Stockholder." The Company has been advised that the Selling Stockholder expects to deliver the shares to close out short positions entered into in the course of hedging transactions. See "Plan of Distribution." The Company will not receive any of the proceeds from the sales of shares by the Selling Stockholder.</w:t>
      </w:r>
    </w:p>
    <w:p>
      <w:pPr>
        <w:spacing w:after="0" w:line="178"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__________________</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SEE "RISK FACTORS" COMMENCING ON PAGE 3 FOR A DISCUSSION OF CERTAIN FACTORS THAT SHOULD BE CONSIDERED BY PROSPECTIVE PURCHASERS OF THE COMMON STOCK OFFERED HEREBY.</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__________________</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THE SELLING STOCKHOLDER WILL BEAR ALL DISCOUNTS AND COMMISSIONS PAID TO BROKERS,</w:t>
      </w:r>
    </w:p>
    <w:p>
      <w:pPr>
        <w:spacing w:after="0" w:line="15" w:lineRule="exact"/>
        <w:rPr>
          <w:sz w:val="20"/>
          <w:szCs w:val="20"/>
          <w:color w:val="auto"/>
        </w:rPr>
      </w:pPr>
    </w:p>
    <w:p>
      <w:pPr>
        <w:jc w:val="center"/>
        <w:ind w:right="3019"/>
        <w:spacing w:after="0" w:line="244" w:lineRule="auto"/>
        <w:rPr>
          <w:sz w:val="20"/>
          <w:szCs w:val="20"/>
          <w:color w:val="auto"/>
        </w:rPr>
      </w:pPr>
      <w:r>
        <w:rPr>
          <w:rFonts w:ascii="Courier New" w:cs="Courier New" w:eastAsia="Courier New" w:hAnsi="Courier New"/>
          <w:sz w:val="15"/>
          <w:szCs w:val="15"/>
          <w:color w:val="auto"/>
        </w:rPr>
        <w:t>DEALERS OR AGENTS IN CONNECTION WITH THE SALE OF THE SHARES AND THE FEES AND EXPENSES OF ANY COUNSEL AND OTHER ADVISERS THAT THE SELLING STOCKHOLDER MAY EMPLOY TO REPRESENT IT IN THIS OFFERING.</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__________________</w:t>
      </w:r>
    </w:p>
    <w:p>
      <w:pPr>
        <w:spacing w:after="0" w:line="178" w:lineRule="exact"/>
        <w:rPr>
          <w:sz w:val="20"/>
          <w:szCs w:val="20"/>
          <w:color w:val="auto"/>
        </w:rPr>
      </w:pPr>
    </w:p>
    <w:p>
      <w:pPr>
        <w:jc w:val="center"/>
        <w:ind w:right="3099"/>
        <w:spacing w:after="0" w:line="244" w:lineRule="auto"/>
        <w:rPr>
          <w:sz w:val="20"/>
          <w:szCs w:val="20"/>
          <w:color w:val="auto"/>
        </w:rPr>
      </w:pPr>
      <w:r>
        <w:rPr>
          <w:rFonts w:ascii="Courier New" w:cs="Courier New" w:eastAsia="Courier New" w:hAnsi="Courier New"/>
          <w:sz w:val="15"/>
          <w:szCs w:val="15"/>
          <w:color w:val="auto"/>
        </w:rPr>
        <w:t>THE COMMON STOCK IS QUOTED ON THE NEW YORK STOCK EXCHANGE UNDER THE TRADING SYMBOL "MU." ON JULY __, 1998, THE LAST SALE PRICE OF THE COMMON STOCK AS REPORTED BY THE NEW YORK STOCK EXCHANGE</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TRANSACTIONS TAPE WAS $____ PER SHARE.</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__________________</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SECURITIES AND EXCHANGE COMMISSION OR ANY STATE SECURITIES</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COMMISSION PASSED UPON THE ACCURACY OR ADEQUACY OF</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THIS PROSPECTUS. ANY REPRESENTATION TO THE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CONTRARY IS A CRIMINAL OFFENSE.</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_____ __, 1998</w:t>
      </w:r>
    </w:p>
    <w:p>
      <w:pPr>
        <w:sectPr>
          <w:pgSz w:w="11900" w:h="16838" w:orient="portrait"/>
          <w:cols w:equalWidth="0" w:num="1">
            <w:col w:w="10219"/>
          </w:cols>
          <w:pgMar w:left="240" w:top="638" w:right="1440" w:bottom="1440" w:gutter="0" w:footer="0" w:header="0"/>
        </w:sectPr>
      </w:pPr>
    </w:p>
    <w:bookmarkStart w:id="2" w:name="page3"/>
    <w:bookmarkEnd w:id="2"/>
    <w:p>
      <w:pPr>
        <w:ind w:left="2600"/>
        <w:spacing w:after="0"/>
        <w:rPr>
          <w:sz w:val="20"/>
          <w:szCs w:val="20"/>
          <w:color w:val="auto"/>
        </w:rPr>
      </w:pPr>
      <w:r>
        <w:rPr>
          <w:rFonts w:ascii="Courier New" w:cs="Courier New" w:eastAsia="Courier New" w:hAnsi="Courier New"/>
          <w:sz w:val="15"/>
          <w:szCs w:val="15"/>
          <w:color w:val="auto"/>
        </w:rPr>
        <w:t>AVAILABLE INFORMATION</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450 Fifth Street, NW, Washington, D.C. 20549, and at the Commission's Regional Offices located at Citicorp Center, 500 West Madison Street, Suite 1400, Chicago, Illinois 60661 and 7 World Trade Center, Suite 1300, New York, New York 10048. Copies of such material can be obtained from the Public Reference Section of the Commission, 450 Fifth Street, NW, Washington, D.C. 20549, at prescribed rates. The Common Stock is listed on the New York Stock Exchange. Reports, proxy statements and other information concerning the Company may be inspected at the offices of the New York Stock Exchange, Inc., 20 Broad Street, New York, New York 10005. The Commission maintains a World Wide Web site that contains reports, proxy statements and information statements and other information regarding registrants that file electronically with the Commission. The address of the World Wide Web site is http://www.sec.gov.</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has filed with the Commission a registration statement on Form S-3 (herein, together with all amendments and exhibits, referred to as the "Registration Statement") under the Securities Act of 1933, as amended (the "Securities Act"), with respect to the Shares. This Prospectus which constitutes part of the Registration Statement does not contain all of the information set forth in the Registration Statement, certain parts of which are omitted in accordance with the rules and regulations of the Commission. For further information, reference is made to the Registration Statement. Statements contained in this Prospectus as to the contents of any contract or other document are not necessarily complete, and in each instance, reference is made to the copy of such contract or document filed as an exhibit to the Registration Statement, each such statement being qualified in all respects by such reference. For further information with respect to the Company, reference is made to the Registration Statement.</w:t>
      </w:r>
    </w:p>
    <w:p>
      <w:pPr>
        <w:spacing w:after="0" w:line="35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8" w:lineRule="exact"/>
        <w:rPr>
          <w:sz w:val="20"/>
          <w:szCs w:val="20"/>
          <w:color w:val="auto"/>
        </w:rPr>
      </w:pPr>
    </w:p>
    <w:p>
      <w:pPr>
        <w:ind w:right="3739" w:firstLine="451"/>
        <w:spacing w:after="0" w:line="243" w:lineRule="auto"/>
        <w:rPr>
          <w:sz w:val="20"/>
          <w:szCs w:val="20"/>
          <w:color w:val="auto"/>
        </w:rPr>
      </w:pPr>
      <w:r>
        <w:rPr>
          <w:rFonts w:ascii="Courier New" w:cs="Courier New" w:eastAsia="Courier New" w:hAnsi="Courier New"/>
          <w:sz w:val="15"/>
          <w:szCs w:val="15"/>
          <w:color w:val="auto"/>
        </w:rPr>
        <w:t>The following documents have been filed with the Commission and are incorporated herein by reference:</w:t>
      </w:r>
    </w:p>
    <w:p>
      <w:pPr>
        <w:spacing w:after="0" w:line="176" w:lineRule="exact"/>
        <w:rPr>
          <w:sz w:val="20"/>
          <w:szCs w:val="20"/>
          <w:color w:val="auto"/>
        </w:rPr>
      </w:pPr>
    </w:p>
    <w:p>
      <w:pPr>
        <w:ind w:right="3459" w:firstLine="443"/>
        <w:spacing w:after="0" w:line="243" w:lineRule="auto"/>
        <w:tabs>
          <w:tab w:leader="none" w:pos="81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fiscal year ended August 28, 1997;</w:t>
      </w:r>
    </w:p>
    <w:p>
      <w:pPr>
        <w:spacing w:after="0" w:line="176" w:lineRule="exact"/>
        <w:rPr>
          <w:rFonts w:ascii="Courier New" w:cs="Courier New" w:eastAsia="Courier New" w:hAnsi="Courier New"/>
          <w:sz w:val="15"/>
          <w:szCs w:val="15"/>
          <w:color w:val="auto"/>
        </w:rPr>
      </w:pPr>
    </w:p>
    <w:p>
      <w:pPr>
        <w:ind w:right="3379" w:firstLine="443"/>
        <w:spacing w:after="0" w:line="243" w:lineRule="auto"/>
        <w:tabs>
          <w:tab w:leader="none" w:pos="81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fiscal quarters ended November 27, 1997, February 26, 1998 and May 28, 1998; and</w:t>
      </w:r>
    </w:p>
    <w:p>
      <w:pPr>
        <w:spacing w:after="0" w:line="176" w:lineRule="exact"/>
        <w:rPr>
          <w:rFonts w:ascii="Courier New" w:cs="Courier New" w:eastAsia="Courier New" w:hAnsi="Courier New"/>
          <w:sz w:val="15"/>
          <w:szCs w:val="15"/>
          <w:color w:val="auto"/>
        </w:rPr>
      </w:pPr>
    </w:p>
    <w:p>
      <w:pPr>
        <w:ind w:right="3739" w:firstLine="443"/>
        <w:spacing w:after="0" w:line="243" w:lineRule="auto"/>
        <w:tabs>
          <w:tab w:leader="none" w:pos="81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Registration Statement on Form 8-A (No. 1-10658), declared effective by the Commission on November 28, 1990.</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documents filed by the Company pursuant to Sections 13(a), 13(c), 14 or 15(d) of the Exchange Act after the date of this Registration Statement of which this Prospectus forms a part and prior to the termination of the offering of the Securities offered hereby shall be deemed to be incorporated by reference into this Prospectus and to be a part of this Prospectus from the date of filing thereof.</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Any statement contained in a document incorporated or deemed to be incorporated by reference herein shall be deemed to be modified or superseded for purposes of the Registration Statement or this Prospectus to the extent that a statement contained herein, in a Prospectus Supplement or in any other document subsequently filed with the Commission which also is or is deemed to be incorporated by reference herein modifies or supersedes such</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3" w:name="page4"/>
    <w:bookmarkEnd w:id="3"/>
    <w:p>
      <w:pPr>
        <w:ind w:right="3279"/>
        <w:spacing w:after="0" w:line="244" w:lineRule="auto"/>
        <w:rPr>
          <w:sz w:val="20"/>
          <w:szCs w:val="20"/>
          <w:color w:val="auto"/>
        </w:rPr>
      </w:pPr>
      <w:r>
        <w:rPr>
          <w:rFonts w:ascii="Courier New" w:cs="Courier New" w:eastAsia="Courier New" w:hAnsi="Courier New"/>
          <w:sz w:val="15"/>
          <w:szCs w:val="15"/>
          <w:color w:val="auto"/>
        </w:rPr>
        <w:t>statement. Any such statement so modified or superseded shall not be deemed, except as so modified or superseded, to constitute a part of the Registration Statement or this Prospectus.</w:t>
      </w:r>
    </w:p>
    <w:p>
      <w:pPr>
        <w:spacing w:after="0" w:line="175"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The Company will furnish without charge to each person, including any beneficial owner, to whom this Prospectus is delivered, on the written or oral request of such person, a copy of any or all of the documents incorporated by reference, other than exhibits to such documents. Requests should be directed to Roderic W. Lewis, Vice President of Legal Affairs, General Counsel and Corporate Secretary, Micron Technology, Inc., 8000 South Federal Way, P.O. Box 6, Boise, Idaho 83707-0006, telephone (208) 368-4000.</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Micron Technology, Inc. ("Micron" or the "Company") designs, develops, manufactures and markets semiconductor memory products, primarily DRAM, and, through its approximately 64% owned subsidiary, Micron Electronics, Inc., the Company develops, markets, manufactures and supports PC systems. Micron was incorporated in Idaho in 1978 and reincorporated in Delaware in 1984. The Company's executive offices and principal manufacturing operations are located at 8000 South Federal Way, Boise, Idaho, 83707-0006 and its telephone number is (208) 368-4000.</w:t>
      </w:r>
    </w:p>
    <w:p>
      <w:pPr>
        <w:spacing w:after="0" w:line="35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RISK FACTORS</w:t>
      </w:r>
    </w:p>
    <w:p>
      <w:pPr>
        <w:spacing w:after="0" w:line="200" w:lineRule="exact"/>
        <w:rPr>
          <w:sz w:val="20"/>
          <w:szCs w:val="20"/>
          <w:color w:val="auto"/>
        </w:rPr>
      </w:pPr>
    </w:p>
    <w:p>
      <w:pPr>
        <w:spacing w:after="0" w:line="324"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An investment in the Common Stock being offered hereby involves a high degree of risk. Prospective investors should carefully consider the following risk factors, in addition to the other information contained in or incorporated by reference into this Prospectus, before purchasing the Common Stock offered hereby. This Prospectus contains or incorporates by reference forward-looking statements that involve risk and uncertainties made by or on behalf of the Company. The actual results of the Company may differ materially from the results discussed in the forward-looking statements. Factors that might cause such a difference include, but are not limited to, those discussed in "Risk Factors" as well as elsewhere in this Prospectus.</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CERTAIN FACTORS</w:t>
      </w:r>
    </w:p>
    <w:p>
      <w:pPr>
        <w:spacing w:after="0" w:line="351"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 has entered into an acquisition agreement with Texas Instruments Incorporated ("TI") to purchase substantially all of TI's memory operations and assume certain related liabilities, but this transaction has not yet been consummated. The transaction is subject to several conditions, including satisfactory completion of due diligence and completion of appropriate agreements with various third parties. In particular, the Company and TI need to obtain the consent of the Italian government as well as each of the partners and bank syndicates to TECH Semiconductor Singapore Pte. Ltd. ("TECH") and KTI Semiconductor ("KTI"). The transaction is subject to customary regulatory approvals (including Hart-Scott-Rodino and European antitrust reviews). There can be no assurance that the conditions required to effect the transition will be met and that the transaction will ever be consummated.</w:t>
      </w:r>
    </w:p>
    <w:p>
      <w:pPr>
        <w:spacing w:after="0" w:line="181"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integration and successful operation of the pending business to be acquired is dependent upon a number of factors, including, but not limited to: the Company's ability to transfer its product and process technology into the acquired facilities in a timely and cost-effective manner; the availability of sufficient funds to upgrade certain equipment at the facilities, particularly should the actual cost exceed the Company's current estimate; the ability of TECH and KTI to restructure each of their existing financing arrangements and secure adequate additional financing to provide equipped facilities capable of utilizing Micron's manufacturing processes; the Company's receipt of adequate assistance, service and support from TI during the transition period following consummation of the transaction; the Company's ability to effectively manage global semiconductor manufacturing operations and distribution channels and expand its sales and marketing programs; the Company's ability to retain key employees of the acquired operations; the Company's success in transitioning the key business relationships from TI's memory operations to the Company; the Company's ability to implement and/or integrate information systems capable of handling the expanded operations, including year 2000 compliance; and the Company's ability to successfully integrate differing management structures, all of which require significant management time and resources. In addition, the long-term successful operation of the pending business to be acquired is dependent upon the market for the Company's semiconductor memory products and the Company's long-term ability to reduce manufacturing costs at a rate commensurate with the decline in average selling prices for such products.</w:t>
      </w:r>
    </w:p>
    <w:p>
      <w:pPr>
        <w:spacing w:after="0" w:line="18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If consummated, it is expected that the pending acquisition will substantially increase the Company's share of the worldwide DRAM market, and as a result the Company would become even more sensitive to fluctuations in pricing for semiconductor memory products. Many customers prefer multiple sources of supply for semiconductor memory products, therefore the Company may not retain all of TI's semiconductor memory market as some of TI's customers are currently customers of the Company. It may become difficult to increase the Company's customer base to a level required to sell the expected increase in production of semiconductor memory products as a result of the transfer of its product and process technology into the TI semiconductor memory production facilities. If the Company is successful in the transfer of its product and process technology into the acquired production facilities the amount of worldwide semiconductor memory capacity could increase, resulting in further downward pricing pressure on the Company's semiconductor memory products.</w:t>
      </w:r>
    </w:p>
    <w:p>
      <w:pPr>
        <w:spacing w:after="0" w:line="182"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pending acquisition is expected to have a significant effect on the Company's future results of operations and cash flows, including, but not limited to: a considerable negative impact on gross margin in the near term due in part to significantly higher per unit manufacturing costs at the acquired facilities; costs related to the assimilation of the acquired operations; increased interest expense associated with the $740 million principal amount of convertible subordinated notes ("Convertible Notes") and $210 million principal amount of subordinated notes ("Subordinated Notes") to be issued in connection with the TI acquisition and the Italian debt to be assumed in the transaction; an increase in capital spending relating to the newly acquired facilities; and the potential for further downward pressure on the average selling prices the Company receives on its semiconductor memory products. The Company will account for the pending acquisition as a purchase, which could result in a write-off related to in-process research and development at the time of closing of the acquisition and the creation of intangible assets that could result in significant future amortization expense.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3459" w:firstLine="180"/>
        <w:spacing w:after="0" w:line="244" w:lineRule="auto"/>
        <w:rPr>
          <w:sz w:val="20"/>
          <w:szCs w:val="20"/>
          <w:color w:val="auto"/>
        </w:rPr>
      </w:pPr>
      <w:r>
        <w:rPr>
          <w:rFonts w:ascii="Courier New" w:cs="Courier New" w:eastAsia="Courier New" w:hAnsi="Courier New"/>
          <w:sz w:val="15"/>
          <w:szCs w:val="15"/>
          <w:color w:val="auto"/>
        </w:rPr>
        <w:t>The semiconductor memory industry is characterized by rapid technological change, frequent product introductions and enhancements, difficult product transitions, relatively short product life cycles, and volatile market</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5" w:name="page6"/>
    <w:bookmarkEnd w:id="5"/>
    <w:p>
      <w:pPr>
        <w:ind w:right="3019"/>
        <w:spacing w:after="0" w:line="244" w:lineRule="auto"/>
        <w:rPr>
          <w:sz w:val="20"/>
          <w:szCs w:val="20"/>
          <w:color w:val="auto"/>
        </w:rPr>
      </w:pPr>
      <w:r>
        <w:rPr>
          <w:rFonts w:ascii="Courier New" w:cs="Courier New" w:eastAsia="Courier New" w:hAnsi="Courier New"/>
          <w:sz w:val="15"/>
          <w:szCs w:val="15"/>
          <w:color w:val="auto"/>
        </w:rPr>
        <w:t>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sequential 25%, 26% and 30% declines in average selling prices in the first, second and third quarters of 1998 as compared to the preceding quarters.</w:t>
      </w:r>
    </w:p>
    <w:p>
      <w:pPr>
        <w:spacing w:after="0" w:line="180"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nine months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The amount of capacity to be placed into production and future yield improvements by the Company and its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187"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In the event that average selling prices continue to decline at a faster rate than that at which the Company is able to decrease per unit manufacturing costs, the Company would likely be required to make changes in its operations, including but not limited to, reduction of the amount or changes in the timing of its capital expenditures, renegotiation of existing debt agreements, reduction of production and workforce levels, reduction of research and development, or changes in the products produced.</w:t>
      </w:r>
    </w:p>
    <w:p>
      <w:pPr>
        <w:spacing w:after="0" w:line="178"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Worldwide semiconductor pricing can be and has been influenced by currency fluctuations. In the last twelve months the Korean Won, the New Taiwan Dollar and the Japanese Yen were devalued significantly, dropping approximately 55%, 24% and 21%, respectively, compared to the U.S. dollar. The Company believes the Asian economic crisis, particularly in Korea, has prompted Asian competitors to price DRAM products significantly lower in an attempt to increase exports and realize U.S. dollars to service their near term debts. The Company believes these currency devaluations may have a significant adverse impact on DRAM pricing if the Company's Asian competitors effectively offer products at significantly lower prices as a result of their respective currency devaluations. While the Company cannot predict the overall impact of the Asian currency devaluations, the Company's products may be subject to further downward pricing pressure. If average selling prices for semiconductor memory products continue to decline, the Company's results of operations and cash flow will continue to be adversely affected.</w:t>
      </w:r>
    </w:p>
    <w:p>
      <w:pPr>
        <w:spacing w:after="0" w:line="183"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Approximately 68% of the Company's sales of semiconductor memory products during the third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 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183"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The Company's operating results are significantly impacted by the operating results of its consolidated subsidiaries, particularly Micron Electronics, Inc.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and selling</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12" w:right="1440" w:bottom="1075"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prices for its PC products, fluctuating market pricing for</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PCs and semiconductor memory products, seasonal government purchasing cycles, inventory obsolescence, MEI's ability to effectively manage inventory levels, changes in product mix, manufacturing and production constraints, fluctuating component costs, the effects of product reviews and industry awards, critical component availability, seasonal cycles common in the PC industry and the timing of new product introductions by MEI and its competitors. Changing circumstances, including but not limited to, changes in the Company's core operations, uses of capital, strategic objectives and market conditions, could result in the Company changing its ownership interest in its subsidiaries.</w:t>
      </w:r>
    </w:p>
    <w:p>
      <w:pPr>
        <w:spacing w:after="0" w:line="179"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83"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semiconductor memory industry is characterized by frequent product introductions and enhancements. The Company's transition to Synchronous DRAM ("SDRAM") products reached approximately 70% of DRAM wafer starts at the end of the third quarter of 1998. The Company's transition from the 16 Meg to the 64 Meg SDRAM as its primary memory product is expected to occur in the fourth quarter of calendar 1998. It is not unusual to encounter difficulties in manufacturing while transitioning to shrink versions of existing products or new generation products. Future gross margins will be adversely impacted if the Company is unable to efficiently transition to shrink versions of the 64 Meg SDRAM.</w:t>
      </w:r>
    </w:p>
    <w:p>
      <w:pPr>
        <w:spacing w:after="0" w:line="180"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DRAM manufacturers generally have substantial ongoing capital requirements to maintain or increase manufacturing capacity. Historically, the Company has reinvested substantially all cash flow from semiconductor memory operations in capacity expansion and enhancement programs. The Company's cash flows from operations are significantly affected by average selling prices and variable cost per megabit for the Company's semiconductor memory products. For the first nine months of 1998, the rate of decline in average selling prices for semiconductor memory products surpassed the rate at which the Company was able to decrease costs per megabit, and as a result the Company's cash flows have been significantly and adversely affected. If for any extended period of time average selling prices decline faster than the rate at which the Company is able to decrease per unit manufacturing costs, the Company may not be able to generate sufficient cash flows from operations to sustain operations. The Company anticipates that it will spend approximately $900 million in fiscal 1998 for purchases of equipment and construction and improvement of buildings at the Company's existing facilities. However, in the event current market conditions continue, the Company does not expect to have sufficient internal sources of liquidity to effect its current operational plan and will need to secure additional financing from external sources. The Company has a $500 million revolving credit agreement, which is available to finance its semiconductor operations. However, the agreement contains certain restrictive covenants, including a minimum fixed charge coverage ratio and a maximum operating losses covenant. On June 16, 1998, the Company amended the agreement to collateralize the facility with certain accounts receivable, inventory and equipment at its Boise facility and modify the maximum operating loss covenant for the third quarter of 1998. There can be no assurance that the Company will be able to meet the terms of the covenants and conditions in the agreement, borrow under the agreement, renegotiate a satisfactory new agreement, or replace the existing agreement with a satisfactory replacement, in which event the Company may not have access to the credit facility. Cash generated by, and credit lines available to, MEI are not anticipated to be available to finance other Micron operations. The Company is currently evaluating a number of financing alternatives. There can be no assurance that external sources of liquidity will be available to fund the Company's ongoing operations or the Company's capacity enhancement program. The failure to obtain financing would hinder the Company's ability to make continued investments in its capacity enhancement program, which could materially adversely affect the Company's business and results of operations.</w:t>
      </w:r>
    </w:p>
    <w:p>
      <w:pPr>
        <w:spacing w:after="0" w:line="1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11" w:right="1440" w:bottom="1440" w:gutter="0" w:footer="0" w:header="0"/>
        </w:sectPr>
      </w:pPr>
    </w:p>
    <w:bookmarkStart w:id="7" w:name="page8"/>
    <w:bookmarkEnd w:id="7"/>
    <w:p>
      <w:pPr>
        <w:ind w:right="3019" w:firstLine="180"/>
        <w:spacing w:after="0" w:line="263" w:lineRule="auto"/>
        <w:rPr>
          <w:sz w:val="20"/>
          <w:szCs w:val="20"/>
          <w:color w:val="auto"/>
        </w:rPr>
      </w:pPr>
      <w:r>
        <w:rPr>
          <w:rFonts w:ascii="Courier New" w:cs="Courier New" w:eastAsia="Courier New" w:hAnsi="Courier New"/>
          <w:sz w:val="14"/>
          <w:szCs w:val="14"/>
          <w:color w:val="auto"/>
        </w:rPr>
        <w:t>Completion of the Company's semiconductor manufacturing facility in Lehi, Utah was suspended in February 1996, as a result of the decline in average selling prices for semiconductor memory products. As of May 28, 1998, the Company had invested approximately $700 million in the Lehi facility. The cost to complete the Lehi facility is estimated to approximate $1.6 billion. Completion of the Lehi production facilities is dependent upon market conditions. Test capacity previously expected to be provided by the Lehi facility in 1998 has been further delayed and the Company does not plan to complete the Lehi facility until market conditions warrant. Market conditions which the Company expects to evaluate include, but are not limited to, worldwide market supply and demand of semiconductor products and the Company's operations, cash flows and alternative uses of capital and production facilities.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339"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185"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 is dependent upon a limited number of key management and technical personnel. In addition, the Company's future success will depend in part upon its ability to attract and retain highly qualified personnel, particularly as the Company engages in worldwide operations and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12" w:right="1440" w:bottom="1440" w:gutter="0" w:footer="0" w:header="0"/>
        </w:sectPr>
      </w:pPr>
    </w:p>
    <w:bookmarkStart w:id="8" w:name="page9"/>
    <w:bookmarkEnd w:id="8"/>
    <w:p>
      <w:pPr>
        <w:spacing w:after="0" w:line="200" w:lineRule="exact"/>
        <w:rPr>
          <w:sz w:val="20"/>
          <w:szCs w:val="20"/>
          <w:color w:val="auto"/>
        </w:rPr>
      </w:pPr>
    </w:p>
    <w:p>
      <w:pPr>
        <w:spacing w:after="0" w:line="38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3819" w:firstLine="180"/>
        <w:spacing w:after="0" w:line="243" w:lineRule="auto"/>
        <w:rPr>
          <w:sz w:val="20"/>
          <w:szCs w:val="20"/>
          <w:color w:val="auto"/>
        </w:rPr>
      </w:pPr>
      <w:r>
        <w:rPr>
          <w:rFonts w:ascii="Courier New" w:cs="Courier New" w:eastAsia="Courier New" w:hAnsi="Courier New"/>
          <w:sz w:val="15"/>
          <w:szCs w:val="15"/>
          <w:color w:val="auto"/>
        </w:rPr>
        <w:t>The Company will not receive any of the proceeds from the sale of the Shares by the Selling Stockholder.</w:t>
      </w:r>
    </w:p>
    <w:p>
      <w:pPr>
        <w:spacing w:after="0" w:line="34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SELLING STOCKHOLDER</w:t>
      </w:r>
    </w:p>
    <w:p>
      <w:pPr>
        <w:spacing w:after="0" w:line="178" w:lineRule="exact"/>
        <w:rPr>
          <w:sz w:val="20"/>
          <w:szCs w:val="20"/>
          <w:color w:val="auto"/>
        </w:rPr>
      </w:pPr>
    </w:p>
    <w:p>
      <w:pPr>
        <w:ind w:right="3019" w:firstLine="180"/>
        <w:spacing w:after="0" w:line="263" w:lineRule="auto"/>
        <w:rPr>
          <w:sz w:val="20"/>
          <w:szCs w:val="20"/>
          <w:color w:val="auto"/>
        </w:rPr>
      </w:pPr>
      <w:r>
        <w:rPr>
          <w:rFonts w:ascii="Courier New" w:cs="Courier New" w:eastAsia="Courier New" w:hAnsi="Courier New"/>
          <w:sz w:val="14"/>
          <w:szCs w:val="14"/>
          <w:color w:val="auto"/>
        </w:rPr>
        <w:t>The following table sets forth the name of the Selling Stockholder, the number of shares of Common Stock that the Selling Stockholder beneficially owned as of June 26, 1998, the number of shares of Common Stock beneficially owned by the Selling Stockholder that may be offered for sale from time to time by this Prospectus, the number of shares of Common Stock to be beneficially owned by the Selling Stockholder assuming the sale of all the Common Stock offered hereby and the percentage of the outstanding shares of the Company's Common Stock to be beneficially owned by the Selling Stockholder after completion of the offering. Except as indicated, the Selling Stockholder has not held any position or office or had a material relationship with the Company or any of its affiliates within the past three years other than as a result of the ownership of the Company's Common Stock. The Company may amend or supplement this Prospectus from time to time to update the disclosure set forth herein.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440" w:right="1440" w:bottom="1440" w:gutter="0" w:footer="0" w:header="0"/>
        </w:sectPr>
      </w:pPr>
    </w:p>
    <w:bookmarkStart w:id="9" w:name="page10"/>
    <w:bookmarkEnd w:id="9"/>
    <w:p>
      <w:pPr>
        <w:spacing w:after="0" w:line="348" w:lineRule="exact"/>
        <w:rPr>
          <w:sz w:val="20"/>
          <w:szCs w:val="20"/>
          <w:color w:val="auto"/>
        </w:rPr>
      </w:pPr>
    </w:p>
    <w:p>
      <w:pPr>
        <w:ind w:left="448" w:right="80"/>
        <w:spacing w:after="0" w:line="243" w:lineRule="auto"/>
        <w:rPr>
          <w:sz w:val="20"/>
          <w:szCs w:val="20"/>
          <w:color w:val="auto"/>
        </w:rPr>
      </w:pPr>
      <w:r>
        <w:rPr>
          <w:rFonts w:ascii="Courier New" w:cs="Courier New" w:eastAsia="Courier New" w:hAnsi="Courier New"/>
          <w:sz w:val="15"/>
          <w:szCs w:val="15"/>
          <w:color w:val="auto"/>
        </w:rPr>
        <w:t>Selling Stockholder -------------------</w:t>
      </w:r>
    </w:p>
    <w:p>
      <w:pPr>
        <w:spacing w:after="0" w:line="20" w:lineRule="exact"/>
        <w:rPr>
          <w:sz w:val="20"/>
          <w:szCs w:val="20"/>
          <w:color w:val="auto"/>
        </w:rPr>
      </w:pPr>
      <w:r>
        <w:rPr>
          <w:sz w:val="20"/>
          <w:szCs w:val="20"/>
          <w:color w:val="auto"/>
        </w:rPr>
        <w:br w:type="column"/>
      </w:r>
    </w:p>
    <w:p>
      <w:pPr>
        <w:jc w:val="center"/>
        <w:spacing w:after="0" w:line="244" w:lineRule="auto"/>
        <w:rPr>
          <w:sz w:val="20"/>
          <w:szCs w:val="20"/>
          <w:color w:val="auto"/>
        </w:rPr>
      </w:pPr>
      <w:r>
        <w:rPr>
          <w:rFonts w:ascii="Courier New" w:cs="Courier New" w:eastAsia="Courier New" w:hAnsi="Courier New"/>
          <w:sz w:val="15"/>
          <w:szCs w:val="15"/>
          <w:color w:val="auto"/>
        </w:rPr>
        <w:t>Prior to the Offering --------------------- Shares Owned     Percentage ------------     ----------</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both"/>
        <w:spacing w:after="0" w:line="278" w:lineRule="auto"/>
        <w:rPr>
          <w:sz w:val="20"/>
          <w:szCs w:val="20"/>
          <w:color w:val="auto"/>
        </w:rPr>
      </w:pPr>
      <w:r>
        <w:rPr>
          <w:rFonts w:ascii="Courier New" w:cs="Courier New" w:eastAsia="Courier New" w:hAnsi="Courier New"/>
          <w:sz w:val="14"/>
          <w:szCs w:val="14"/>
          <w:color w:val="auto"/>
        </w:rPr>
        <w:t>Shares Offered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Following the Offering</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Shares Owned</w:t>
      </w:r>
      <w:r>
        <w:rPr>
          <w:sz w:val="20"/>
          <w:szCs w:val="20"/>
          <w:color w:val="auto"/>
        </w:rPr>
        <w:tab/>
      </w:r>
      <w:r>
        <w:rPr>
          <w:rFonts w:ascii="Courier New" w:cs="Courier New" w:eastAsia="Courier New" w:hAnsi="Courier New"/>
          <w:sz w:val="15"/>
          <w:szCs w:val="15"/>
          <w:color w:val="auto"/>
        </w:rPr>
        <w:t>Percentage</w:t>
      </w:r>
    </w:p>
    <w:p>
      <w:pPr>
        <w:spacing w:after="0" w:line="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8" w:lineRule="exact"/>
        <w:rPr>
          <w:sz w:val="20"/>
          <w:szCs w:val="20"/>
          <w:color w:val="auto"/>
        </w:rPr>
      </w:pPr>
    </w:p>
    <w:p>
      <w:pPr>
        <w:sectPr>
          <w:pgSz w:w="11900" w:h="16838" w:orient="portrait"/>
          <w:cols w:equalWidth="0" w:num="4">
            <w:col w:w="2248" w:space="720"/>
            <w:col w:w="2440" w:space="280"/>
            <w:col w:w="1260" w:space="360"/>
            <w:col w:w="2919"/>
          </w:cols>
          <w:pgMar w:left="232" w:top="985" w:right="1440" w:bottom="382" w:gutter="0" w:footer="0" w:header="0"/>
        </w:sectPr>
      </w:pPr>
    </w:p>
    <w:p>
      <w:pPr>
        <w:ind w:left="8"/>
        <w:spacing w:after="0"/>
        <w:rPr>
          <w:sz w:val="20"/>
          <w:szCs w:val="20"/>
          <w:color w:val="auto"/>
        </w:rPr>
      </w:pPr>
      <w:r>
        <w:rPr>
          <w:rFonts w:ascii="Courier New" w:cs="Courier New" w:eastAsia="Courier New" w:hAnsi="Courier New"/>
          <w:sz w:val="14"/>
          <w:szCs w:val="14"/>
          <w:color w:val="auto"/>
        </w:rPr>
        <w:t>Canadian Imperial Bank of</w:t>
      </w:r>
    </w:p>
    <w:p>
      <w:pPr>
        <w:sectPr>
          <w:pgSz w:w="11900" w:h="16838" w:orient="portrait"/>
          <w:cols w:equalWidth="0" w:num="1">
            <w:col w:w="10227"/>
          </w:cols>
          <w:pgMar w:left="232" w:top="985" w:right="1440" w:bottom="382" w:gutter="0" w:footer="0" w:header="0"/>
          <w:type w:val="continuous"/>
        </w:sectPr>
      </w:pPr>
    </w:p>
    <w:p>
      <w:pPr>
        <w:spacing w:after="0" w:line="15" w:lineRule="exact"/>
        <w:rPr>
          <w:sz w:val="20"/>
          <w:szCs w:val="20"/>
          <w:color w:val="auto"/>
        </w:rPr>
      </w:pPr>
    </w:p>
    <w:p>
      <w:pPr>
        <w:ind w:left="88"/>
        <w:spacing w:after="0"/>
        <w:rPr>
          <w:sz w:val="20"/>
          <w:szCs w:val="20"/>
          <w:color w:val="auto"/>
        </w:rPr>
      </w:pPr>
      <w:r>
        <w:rPr>
          <w:rFonts w:ascii="Courier New" w:cs="Courier New" w:eastAsia="Courier New" w:hAnsi="Courier New"/>
          <w:sz w:val="14"/>
          <w:szCs w:val="14"/>
          <w:color w:val="auto"/>
        </w:rPr>
        <w:t>Commerce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5"/>
          <w:szCs w:val="15"/>
          <w:color w:val="auto"/>
        </w:rPr>
        <w:t>7,600,000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177" w:lineRule="exact"/>
        <w:rPr>
          <w:sz w:val="20"/>
          <w:szCs w:val="20"/>
          <w:color w:val="auto"/>
        </w:rPr>
      </w:pPr>
    </w:p>
    <w:p>
      <w:pPr>
        <w:sectPr>
          <w:pgSz w:w="11900" w:h="16838" w:orient="portrait"/>
          <w:cols w:equalWidth="0" w:num="6">
            <w:col w:w="2708" w:space="720"/>
            <w:col w:w="720" w:space="720"/>
            <w:col w:w="360" w:space="720"/>
            <w:col w:w="1080" w:space="720"/>
            <w:col w:w="820" w:space="720"/>
            <w:col w:w="939"/>
          </w:cols>
          <w:pgMar w:left="232" w:top="985" w:right="1440" w:bottom="382"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__________________</w:t>
      </w:r>
    </w:p>
    <w:p>
      <w:pPr>
        <w:spacing w:after="0" w:line="178" w:lineRule="exact"/>
        <w:rPr>
          <w:sz w:val="20"/>
          <w:szCs w:val="20"/>
          <w:color w:val="auto"/>
        </w:rPr>
      </w:pPr>
    </w:p>
    <w:p>
      <w:pPr>
        <w:ind w:left="448" w:right="3019" w:hanging="448"/>
        <w:spacing w:after="0" w:line="244"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offering made by this Prospectus, the Shares being offered by this Prospectus were beneficially owned by J.R. Simplot Company and, in connection with such offering, are to be delivered to Canadian Imperial Bank of Commerce ("CIBC") as collateral for loans from CIBC. Including such Shares, J.R. Simplot Company beneficially owns an aggregate of 18,699,000 shares of Common Stock, constituting 8.8% of the shares of Common Stock outstanding on June 26, 1998. Mr. Don Simplot, a member of the Micron's Board of Directors, may also be deemed to be the beneficial owner of shares beneficially owned by J.R. Simplot Company. He is a shareholder, a director and the Corporate Vice President of J.R. Simplot Company and is a member of its Office of the Chairman.</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preceding table has been prepared based upon the information furnished to the Company by CIBC, except that (i) information regarding J.R. Simplot Company and Mr. Don Simplot has been furnished by J.R. Simplot Company and (ii) information regarding the outstanding shares of Common Stock has been furnished by Micron. Only a Selling Stockholder identified in the foregoing table may sell Shares pursuant to the Registration Statement of which this Prospectus forms a part. Information set forth in the foregoing table may change from time to time and any such changed information will be set forth in a Prospectus Supplement if and when necessary.</w:t>
      </w:r>
    </w:p>
    <w:p>
      <w:pPr>
        <w:spacing w:after="0" w:line="352"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PLAN OF DISTRIBUTION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June and July 1996, J.R. Simplot Company and an affiliate entered into derivative transactions with Canadian Imperial Bank of Commerce ("CIBC") relating to 7,600,000 of the shares of the Common Stock owned by J.R. Simplot Company and the affiliate. At that time, CIBC hedged its potential obligations pursuant to such transactions by engaging, directly or through its affiliates, in short sales of the Common Stock. Pursuant to a Revolving Loan Agreement and a Pledge Agreement, each dated July __, 1998, (the "Loan Agreement" and "Pledge Agreement," respectively) CIBC has agreed to make revolving loans to J.R. Simplot Company in the aggregate amount of up to $200 million, secured by a pledge by J.R. Simplot Company of certain shares of Common Stock owned by it. Pursuant to the Pledge Agreement, CIBC is authorized to rehypothecate the shares of Common Stock deposited with it as collateral for the revolving loans. The shares of Common Stock so deposited are the Shares being offered by this Prospectus. CIBC intends promptly to deliver all of such 7,600,000 pledged Shares pursuant to this Prospectus to repay stock loans incurred in connection with existing short sale positions of CIBC and its affiliates in the Common Stock. J.R. Simplot Company and CIBC have advised the Company that J.R. Simplot Company will not realize any proceeds from the transfer of the Shares covered by this Prospectus to CIBC or from their application by CIBC to repay existing stock loans.</w:t>
      </w:r>
    </w:p>
    <w:p>
      <w:pPr>
        <w:spacing w:after="0" w:line="18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Shares covered by this Prospectus may be offered and sold from time to time. In effecting the transactions contemplated by this Prospectus, CIBC and J.R. Simplot Company will act independently of the Company and, except with respect to the Loan Agreement and the Pledge Agreement, will act independently of each other. CIBC and J.R. Simplot Company have advised the Company that they will act independently of each other in making decisions with respect to the timing, manner and size of each sale pursuant to this Prospectus.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effecting sales of the Shares, CIBC may arrange for brokers, dealers or agents to participate. Brokers, dealers or agents may receive commissions, discounts or concessions from CIBC in amounts to be negotiated prior to the sale. Such brokers, dealers or agents and any other participating brokers, dealers or agents may be deemed to be "underwriters" within the meaning of the Securities Act in connection with such sales, and any such commissions, discounts or concessions may be deemed to be underwriting discounts or commissions under the Securities Act.</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Company has advised J.R. Simplot Company and CIBC that the anti-manipulation rules of Regulation M under the Exchange Act may apply to sales of Shares in the market and to the activities of J.R. Simplot Company, CIBC and their respective affiliates. In addition, the Company will make copies of this Prospectus available to CIBC and has informed CIBC of the need for delivery of copies of this Prospectus to purchasers at or prior to the time of any sale of the Shares offered hereby.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At the time a particular offer of Shares is made, if required, a Prospectus Supplement will be distributed that will set forth the number of Shares being offered and the terms of the offering.</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985" w:right="1440" w:bottom="382" w:gutter="0" w:footer="0" w:header="0"/>
          <w:type w:val="continuous"/>
        </w:sectPr>
      </w:pPr>
    </w:p>
    <w:bookmarkStart w:id="10" w:name="page11"/>
    <w:bookmarkEnd w:id="10"/>
    <w:p>
      <w:pPr>
        <w:ind w:right="3279" w:firstLine="451"/>
        <w:spacing w:after="0" w:line="243" w:lineRule="auto"/>
        <w:rPr>
          <w:sz w:val="20"/>
          <w:szCs w:val="20"/>
          <w:color w:val="auto"/>
        </w:rPr>
      </w:pPr>
      <w:r>
        <w:rPr>
          <w:rFonts w:ascii="Courier New" w:cs="Courier New" w:eastAsia="Courier New" w:hAnsi="Courier New"/>
          <w:sz w:val="15"/>
          <w:szCs w:val="15"/>
          <w:color w:val="auto"/>
        </w:rPr>
        <w:t>There can be no assurance that J.R. Simplot Company will pledge, or that CIBC will rehypothecate and deliver, all or any of the Shares.</w:t>
      </w:r>
    </w:p>
    <w:p>
      <w:pPr>
        <w:spacing w:after="0" w:line="200" w:lineRule="exact"/>
        <w:rPr>
          <w:sz w:val="20"/>
          <w:szCs w:val="20"/>
          <w:color w:val="auto"/>
        </w:rPr>
      </w:pPr>
    </w:p>
    <w:p>
      <w:pPr>
        <w:spacing w:after="0" w:line="32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LEGAL OPINIONS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validity of the Securities is being passed upon for the Company by Roderic W. Lewis, Esq., Vice President, Legal Affairs, General Counsel and Corporate Secretary, Micron Technology, Inc., 8000 South Federal Way, P.O. Box 6, Boise, Idaho 83707-0006, Telephone, (208) 368-4517.</w:t>
      </w:r>
    </w:p>
    <w:p>
      <w:pPr>
        <w:spacing w:after="0" w:line="3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consolidated balance sheets of Micron Technology, Inc. and subsidiaries as of August 28, 1997 and August 29, 1996 and the consolidated statements of operations, shareholders' equity and cash flows for each of the three years in the period ended August 28, 1997 incorporated herein by reference to the Annual Report on Form 10-K of Micron Technology, Inc. for the year ended August 28, 1997 have been so incorporated in reliance upon the reports of PricewaterhouseCoopers LLP, independent accountants, given on the authority of that firm as experts in accounting and auditing.</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1" w:name="page12"/>
    <w:bookmarkEnd w:id="11"/>
    <w:p>
      <w:pPr>
        <w:jc w:val="center"/>
        <w:ind w:right="4320"/>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INFORMATION NOT REQUIRED IN THE PROSPECTUS</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The following table sets forth the expenses, other than any underwriting</w:t>
            </w: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discount and commissions, in connection with the issuance and distribution of</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the Securities being registered.  All amounts indicated are estimates (other</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than the registration fee).</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694"/>
        </w:trPr>
        <w:tc>
          <w:tcPr>
            <w:tcW w:w="702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AMOUNT TO BE PAID</w:t>
            </w:r>
          </w:p>
        </w:tc>
      </w:tr>
      <w:tr>
        <w:trPr>
          <w:trHeight w:val="347"/>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Registration fee.............................................................</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51,916</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Accounting fees and expenses.................................................</w:t>
            </w:r>
          </w:p>
        </w:tc>
        <w:tc>
          <w:tcPr>
            <w:tcW w:w="5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3,000</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Printing and engraving.......................................................</w:t>
            </w:r>
          </w:p>
        </w:tc>
        <w:tc>
          <w:tcPr>
            <w:tcW w:w="5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4,000</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Legal fees and expenses of the registrant....................................</w:t>
            </w:r>
          </w:p>
        </w:tc>
        <w:tc>
          <w:tcPr>
            <w:tcW w:w="5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7,500</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Miscellaneous................................................................</w:t>
            </w:r>
          </w:p>
        </w:tc>
        <w:tc>
          <w:tcPr>
            <w:tcW w:w="5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3,584</w:t>
            </w:r>
          </w:p>
        </w:tc>
      </w:tr>
      <w:tr>
        <w:trPr>
          <w:trHeight w:val="173"/>
        </w:trPr>
        <w:tc>
          <w:tcPr>
            <w:tcW w:w="7020" w:type="dxa"/>
            <w:vAlign w:val="bottom"/>
          </w:tcPr>
          <w:p>
            <w:pPr>
              <w:spacing w:after="0"/>
              <w:rPr>
                <w:sz w:val="15"/>
                <w:szCs w:val="15"/>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702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70,000</w:t>
            </w:r>
          </w:p>
        </w:tc>
      </w:tr>
      <w:tr>
        <w:trPr>
          <w:trHeight w:val="173"/>
        </w:trPr>
        <w:tc>
          <w:tcPr>
            <w:tcW w:w="7020" w:type="dxa"/>
            <w:vAlign w:val="bottom"/>
          </w:tcPr>
          <w:p>
            <w:pPr>
              <w:spacing w:after="0"/>
              <w:rPr>
                <w:sz w:val="15"/>
                <w:szCs w:val="15"/>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8" w:lineRule="exact"/>
        <w:rPr>
          <w:sz w:val="20"/>
          <w:szCs w:val="20"/>
          <w:color w:val="auto"/>
        </w:rPr>
      </w:pPr>
    </w:p>
    <w:p>
      <w:pPr>
        <w:ind w:right="4320" w:firstLine="451"/>
        <w:spacing w:after="0" w:line="244" w:lineRule="auto"/>
        <w:rPr>
          <w:sz w:val="20"/>
          <w:szCs w:val="20"/>
          <w:color w:val="auto"/>
        </w:rPr>
      </w:pPr>
      <w:r>
        <w:rPr>
          <w:rFonts w:ascii="Courier New" w:cs="Courier New" w:eastAsia="Courier New" w:hAnsi="Courier New"/>
          <w:sz w:val="15"/>
          <w:szCs w:val="15"/>
          <w:color w:val="auto"/>
        </w:rPr>
        <w:t>Section 145 of the Delaware General Corporation Law ("Delaware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(the "Act"). The registrant's Bylaws provide for mandatory indemnification of its directors, officers, employees and other agents to the maximum extent permitted by Delaware law. The registrant has entered into indemnification agreements with its directors and certain of its officers. The indemnification agreements provide the registrant's directors and elected officers with further indemnification to the maximum extent permitted by Delaware law.</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ITEM 16.  EXHIBITS.</w:t>
            </w:r>
          </w:p>
        </w:tc>
        <w:tc>
          <w:tcPr>
            <w:tcW w:w="9560" w:type="dxa"/>
            <w:vAlign w:val="bottom"/>
          </w:tcPr>
          <w:p>
            <w:pPr>
              <w:spacing w:after="0"/>
              <w:rPr>
                <w:sz w:val="14"/>
                <w:szCs w:val="14"/>
                <w:color w:val="auto"/>
              </w:rPr>
            </w:pPr>
          </w:p>
        </w:tc>
      </w:tr>
      <w:tr>
        <w:trPr>
          <w:trHeight w:val="694"/>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EXHIBIT NUMBER</w:t>
            </w:r>
          </w:p>
        </w:tc>
        <w:tc>
          <w:tcPr>
            <w:tcW w:w="9560" w:type="dxa"/>
            <w:vAlign w:val="bottom"/>
          </w:tcPr>
          <w:p>
            <w:pPr>
              <w:ind w:left="3160"/>
              <w:spacing w:after="0"/>
              <w:rPr>
                <w:sz w:val="20"/>
                <w:szCs w:val="20"/>
                <w:color w:val="auto"/>
              </w:rPr>
            </w:pPr>
            <w:r>
              <w:rPr>
                <w:rFonts w:ascii="Courier New" w:cs="Courier New" w:eastAsia="Courier New" w:hAnsi="Courier New"/>
                <w:sz w:val="15"/>
                <w:szCs w:val="15"/>
                <w:color w:val="auto"/>
              </w:rPr>
              <w:t>DESCRIPTION OF EXHIBIT</w:t>
            </w:r>
          </w:p>
        </w:tc>
      </w:tr>
      <w:tr>
        <w:trPr>
          <w:trHeight w:val="347"/>
        </w:trPr>
        <w:tc>
          <w:tcPr>
            <w:tcW w:w="180" w:type="dxa"/>
            <w:vAlign w:val="bottom"/>
          </w:tcPr>
          <w:p>
            <w:pPr>
              <w:spacing w:after="0"/>
              <w:rPr>
                <w:sz w:val="24"/>
                <w:szCs w:val="24"/>
                <w:color w:val="auto"/>
              </w:rPr>
            </w:pPr>
          </w:p>
        </w:tc>
        <w:tc>
          <w:tcPr>
            <w:tcW w:w="17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3.7</w:t>
            </w: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Bylaws of the registrant, as amended</w:t>
            </w:r>
          </w:p>
        </w:tc>
      </w:tr>
      <w:tr>
        <w:trPr>
          <w:trHeight w:val="173"/>
        </w:trPr>
        <w:tc>
          <w:tcPr>
            <w:tcW w:w="180" w:type="dxa"/>
            <w:vAlign w:val="bottom"/>
          </w:tcPr>
          <w:p>
            <w:pPr>
              <w:spacing w:after="0"/>
              <w:rPr>
                <w:sz w:val="15"/>
                <w:szCs w:val="15"/>
                <w:color w:val="auto"/>
              </w:rPr>
            </w:pPr>
          </w:p>
        </w:tc>
        <w:tc>
          <w:tcPr>
            <w:tcW w:w="17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5.1</w:t>
            </w: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Opinion of Roderic W. Lewis, Esq., Vice President, Legal Affairs, General Counsel and Corporate</w:t>
            </w:r>
          </w:p>
        </w:tc>
      </w:tr>
      <w:tr>
        <w:trPr>
          <w:trHeight w:val="173"/>
        </w:trPr>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Secretary</w:t>
            </w:r>
          </w:p>
        </w:tc>
      </w:tr>
      <w:tr>
        <w:trPr>
          <w:trHeight w:val="173"/>
        </w:trPr>
        <w:tc>
          <w:tcPr>
            <w:tcW w:w="180" w:type="dxa"/>
            <w:vAlign w:val="bottom"/>
          </w:tcPr>
          <w:p>
            <w:pPr>
              <w:spacing w:after="0"/>
              <w:rPr>
                <w:sz w:val="15"/>
                <w:szCs w:val="15"/>
                <w:color w:val="auto"/>
              </w:rPr>
            </w:pPr>
          </w:p>
        </w:tc>
        <w:tc>
          <w:tcPr>
            <w:tcW w:w="17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10.125</w:t>
            </w:r>
          </w:p>
        </w:tc>
        <w:tc>
          <w:tcPr>
            <w:tcW w:w="9560" w:type="dxa"/>
            <w:vAlign w:val="bottom"/>
          </w:tcPr>
          <w:p>
            <w:pPr>
              <w:spacing w:after="0"/>
              <w:rPr>
                <w:sz w:val="20"/>
                <w:szCs w:val="20"/>
                <w:color w:val="auto"/>
              </w:rPr>
            </w:pPr>
            <w:r>
              <w:rPr>
                <w:rFonts w:ascii="Courier New" w:cs="Courier New" w:eastAsia="Courier New" w:hAnsi="Courier New"/>
                <w:sz w:val="15"/>
                <w:szCs w:val="15"/>
                <w:color w:val="auto"/>
                <w:w w:val="99"/>
              </w:rPr>
              <w:t>Registration Rights Agreement dated as of July 20, 1998, between the registrant, Canadian Imperial Bank of</w:t>
            </w:r>
          </w:p>
        </w:tc>
      </w:tr>
      <w:tr>
        <w:trPr>
          <w:trHeight w:val="173"/>
        </w:trPr>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Commerce and J.R. Simplot Company</w:t>
            </w:r>
          </w:p>
        </w:tc>
      </w:tr>
      <w:tr>
        <w:trPr>
          <w:trHeight w:val="173"/>
        </w:trPr>
        <w:tc>
          <w:tcPr>
            <w:tcW w:w="180" w:type="dxa"/>
            <w:vAlign w:val="bottom"/>
          </w:tcPr>
          <w:p>
            <w:pPr>
              <w:spacing w:after="0"/>
              <w:rPr>
                <w:sz w:val="15"/>
                <w:szCs w:val="15"/>
                <w:color w:val="auto"/>
              </w:rPr>
            </w:pPr>
          </w:p>
        </w:tc>
        <w:tc>
          <w:tcPr>
            <w:tcW w:w="17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23.1</w:t>
            </w: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Consent of PricewaterhouseCoopers LLP</w:t>
            </w:r>
          </w:p>
        </w:tc>
      </w:tr>
      <w:tr>
        <w:trPr>
          <w:trHeight w:val="173"/>
        </w:trPr>
        <w:tc>
          <w:tcPr>
            <w:tcW w:w="180" w:type="dxa"/>
            <w:vAlign w:val="bottom"/>
          </w:tcPr>
          <w:p>
            <w:pPr>
              <w:spacing w:after="0"/>
              <w:rPr>
                <w:sz w:val="15"/>
                <w:szCs w:val="15"/>
                <w:color w:val="auto"/>
              </w:rPr>
            </w:pPr>
          </w:p>
        </w:tc>
        <w:tc>
          <w:tcPr>
            <w:tcW w:w="17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23.2</w:t>
            </w: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Consent of Roderic W. Lewis, Esq. (included in Exhibit 5.1)</w:t>
            </w:r>
          </w:p>
        </w:tc>
      </w:tr>
      <w:tr>
        <w:trPr>
          <w:trHeight w:val="173"/>
        </w:trPr>
        <w:tc>
          <w:tcPr>
            <w:tcW w:w="180" w:type="dxa"/>
            <w:vAlign w:val="bottom"/>
          </w:tcPr>
          <w:p>
            <w:pPr>
              <w:spacing w:after="0"/>
              <w:rPr>
                <w:sz w:val="15"/>
                <w:szCs w:val="15"/>
                <w:color w:val="auto"/>
              </w:rPr>
            </w:pPr>
          </w:p>
        </w:tc>
        <w:tc>
          <w:tcPr>
            <w:tcW w:w="170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24.1*</w:t>
            </w: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Powers of Attorney of certain directors and officers of the Company (contained on Page II-4)</w:t>
            </w:r>
          </w:p>
        </w:tc>
      </w:tr>
      <w:tr>
        <w:trPr>
          <w:trHeight w:val="347"/>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9560" w:type="dxa"/>
            <w:vAlign w:val="bottom"/>
          </w:tcPr>
          <w:p>
            <w:pPr>
              <w:spacing w:after="0"/>
              <w:rPr>
                <w:sz w:val="24"/>
                <w:szCs w:val="24"/>
                <w:color w:val="auto"/>
              </w:rPr>
            </w:pPr>
          </w:p>
        </w:tc>
      </w:tr>
      <w:tr>
        <w:trPr>
          <w:trHeight w:val="34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Previously filed</w:t>
            </w:r>
          </w:p>
        </w:tc>
        <w:tc>
          <w:tcPr>
            <w:tcW w:w="9560" w:type="dxa"/>
            <w:vAlign w:val="bottom"/>
          </w:tcPr>
          <w:p>
            <w:pPr>
              <w:spacing w:after="0"/>
              <w:rPr>
                <w:sz w:val="24"/>
                <w:szCs w:val="24"/>
                <w:color w:val="auto"/>
              </w:rPr>
            </w:pPr>
          </w:p>
        </w:tc>
      </w:tr>
      <w:tr>
        <w:trPr>
          <w:trHeight w:val="347"/>
        </w:trPr>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560" w:type="dxa"/>
            <w:vAlign w:val="bottom"/>
          </w:tcPr>
          <w:p>
            <w:pPr>
              <w:ind w:left="1540"/>
              <w:spacing w:after="0"/>
              <w:rPr>
                <w:sz w:val="20"/>
                <w:szCs w:val="20"/>
                <w:color w:val="auto"/>
              </w:rPr>
            </w:pPr>
            <w:r>
              <w:rPr>
                <w:rFonts w:ascii="Courier New" w:cs="Courier New" w:eastAsia="Courier New" w:hAnsi="Courier New"/>
                <w:sz w:val="15"/>
                <w:szCs w:val="15"/>
                <w:color w:val="auto"/>
              </w:rPr>
              <w:t>II-1</w:t>
            </w:r>
          </w:p>
        </w:tc>
      </w:tr>
    </w:tbl>
    <w:p>
      <w:pPr>
        <w:sectPr>
          <w:pgSz w:w="11900" w:h="16838" w:orient="portrait"/>
          <w:cols w:equalWidth="0" w:num="1">
            <w:col w:w="11440"/>
          </w:cols>
          <w:pgMar w:left="240" w:top="638" w:right="219" w:bottom="1440" w:gutter="0" w:footer="0" w:header="0"/>
        </w:sectPr>
      </w:pPr>
    </w:p>
    <w:bookmarkStart w:id="12" w:name="page13"/>
    <w:bookmarkEnd w:id="12"/>
    <w:p>
      <w:pPr>
        <w:spacing w:after="0"/>
        <w:tabs>
          <w:tab w:leader="none" w:pos="88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7" w:lineRule="exact"/>
        <w:rPr>
          <w:sz w:val="20"/>
          <w:szCs w:val="20"/>
          <w:color w:val="auto"/>
        </w:rPr>
      </w:pPr>
    </w:p>
    <w:p>
      <w:pPr>
        <w:ind w:left="800" w:hanging="357"/>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7" w:lineRule="exact"/>
        <w:rPr>
          <w:rFonts w:ascii="Courier New" w:cs="Courier New" w:eastAsia="Courier New" w:hAnsi="Courier New"/>
          <w:sz w:val="15"/>
          <w:szCs w:val="15"/>
          <w:color w:val="auto"/>
        </w:rPr>
      </w:pPr>
    </w:p>
    <w:p>
      <w:pPr>
        <w:ind w:right="3019" w:firstLine="804"/>
        <w:spacing w:after="0" w:line="243" w:lineRule="auto"/>
        <w:tabs>
          <w:tab w:leader="none" w:pos="1172"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5" w:lineRule="exact"/>
        <w:rPr>
          <w:rFonts w:ascii="Courier New" w:cs="Courier New" w:eastAsia="Courier New" w:hAnsi="Courier New"/>
          <w:sz w:val="15"/>
          <w:szCs w:val="15"/>
          <w:color w:val="auto"/>
        </w:rPr>
      </w:pPr>
    </w:p>
    <w:p>
      <w:pPr>
        <w:ind w:left="1700" w:hanging="535"/>
        <w:spacing w:after="0"/>
        <w:tabs>
          <w:tab w:leader="none" w:pos="1700" w:val="left"/>
        </w:tabs>
        <w:numPr>
          <w:ilvl w:val="2"/>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w:t>
      </w:r>
    </w:p>
    <w:p>
      <w:pPr>
        <w:spacing w:after="0" w:line="3"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Act;</w:t>
      </w:r>
    </w:p>
    <w:p>
      <w:pPr>
        <w:spacing w:after="0" w:line="177" w:lineRule="exact"/>
        <w:rPr>
          <w:rFonts w:ascii="Courier New" w:cs="Courier New" w:eastAsia="Courier New" w:hAnsi="Courier New"/>
          <w:sz w:val="15"/>
          <w:szCs w:val="15"/>
          <w:color w:val="auto"/>
        </w:rPr>
      </w:pPr>
    </w:p>
    <w:p>
      <w:pPr>
        <w:ind w:left="800" w:right="3019" w:firstLine="365"/>
        <w:spacing w:after="0" w:line="244" w:lineRule="auto"/>
        <w:tabs>
          <w:tab w:leader="none" w:pos="1702" w:val="left"/>
        </w:tabs>
        <w:numPr>
          <w:ilvl w:val="2"/>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1" w:lineRule="exact"/>
        <w:rPr>
          <w:rFonts w:ascii="Courier New" w:cs="Courier New" w:eastAsia="Courier New" w:hAnsi="Courier New"/>
          <w:sz w:val="15"/>
          <w:szCs w:val="15"/>
          <w:color w:val="auto"/>
        </w:rPr>
      </w:pPr>
    </w:p>
    <w:p>
      <w:pPr>
        <w:jc w:val="both"/>
        <w:ind w:left="800" w:right="3099" w:firstLine="365"/>
        <w:spacing w:after="0" w:line="244" w:lineRule="auto"/>
        <w:tabs>
          <w:tab w:leader="none" w:pos="1702" w:val="left"/>
        </w:tabs>
        <w:numPr>
          <w:ilvl w:val="2"/>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provided, however, that the undertakings set forth in clauses (i) and (ii) above shall not apply if the information required to be included in a post-effective amendment by these clauses is contained in periodic reports filed by the registrant pursuant to Section 13 or Section 15(d) of the Securities Exchange Act of 1934 (the "Exchange Act') that are incorporated by reference in this registration statement.</w:t>
      </w:r>
    </w:p>
    <w:p>
      <w:pPr>
        <w:spacing w:after="0" w:line="177" w:lineRule="exact"/>
        <w:rPr>
          <w:sz w:val="20"/>
          <w:szCs w:val="20"/>
          <w:color w:val="auto"/>
        </w:rPr>
      </w:pPr>
    </w:p>
    <w:p>
      <w:pPr>
        <w:ind w:right="3199" w:firstLine="804"/>
        <w:spacing w:after="0" w:line="244" w:lineRule="auto"/>
        <w:tabs>
          <w:tab w:leader="none" w:pos="1172"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Courier New" w:cs="Courier New" w:eastAsia="Courier New" w:hAnsi="Courier New"/>
          <w:sz w:val="15"/>
          <w:szCs w:val="15"/>
          <w:color w:val="auto"/>
        </w:rPr>
      </w:pPr>
    </w:p>
    <w:p>
      <w:pPr>
        <w:ind w:right="3019" w:firstLine="443"/>
        <w:spacing w:after="0" w:line="264" w:lineRule="auto"/>
        <w:tabs>
          <w:tab w:leader="none" w:pos="81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of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38" w:right="1440" w:bottom="1440" w:gutter="0" w:footer="0" w:header="0"/>
        </w:sectPr>
      </w:pPr>
    </w:p>
    <w:bookmarkStart w:id="13" w:name="page14"/>
    <w:bookmarkEnd w:id="13"/>
    <w:p>
      <w:pPr>
        <w:ind w:right="3019"/>
        <w:spacing w:after="0" w:line="244" w:lineRule="auto"/>
        <w:rPr>
          <w:sz w:val="20"/>
          <w:szCs w:val="20"/>
          <w:color w:val="auto"/>
        </w:rPr>
      </w:pPr>
      <w:r>
        <w:rPr>
          <w:rFonts w:ascii="Courier New" w:cs="Courier New" w:eastAsia="Courier New" w:hAnsi="Courier New"/>
          <w:sz w:val="15"/>
          <w:szCs w:val="15"/>
          <w:color w:val="auto"/>
        </w:rPr>
        <w:t>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39" w:right="1440" w:bottom="1440" w:gutter="0" w:footer="0" w:header="0"/>
        </w:sectPr>
      </w:pPr>
    </w:p>
    <w:bookmarkStart w:id="14" w:name="page15"/>
    <w:bookmarkEnd w:id="14"/>
    <w:p>
      <w:pPr>
        <w:ind w:left="3068"/>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the 20th day of July, 1998.</w:t>
      </w:r>
    </w:p>
    <w:p>
      <w:pPr>
        <w:spacing w:after="0" w:line="176"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MICRON TECHNOLOGY, INC.</w:t>
      </w:r>
    </w:p>
    <w:p>
      <w:pPr>
        <w:sectPr>
          <w:pgSz w:w="11900" w:h="16838" w:orient="portrait"/>
          <w:cols w:equalWidth="0" w:num="1">
            <w:col w:w="10227"/>
          </w:cols>
          <w:pgMar w:left="232" w:top="638" w:right="1440" w:bottom="1440" w:gutter="0" w:footer="0" w:header="0"/>
        </w:sectPr>
      </w:pPr>
    </w:p>
    <w:p>
      <w:pPr>
        <w:spacing w:after="0" w:line="177"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/s/</w:t>
        <w:tab/>
        <w:t>Wilbur G. Stover,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Wilbur G. Stover,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of Finance</w:t>
      </w:r>
    </w:p>
    <w:p>
      <w:pPr>
        <w:spacing w:after="0" w:line="3" w:lineRule="exact"/>
        <w:rPr>
          <w:sz w:val="20"/>
          <w:szCs w:val="20"/>
          <w:color w:val="auto"/>
        </w:rPr>
      </w:pPr>
    </w:p>
    <w:p>
      <w:pPr>
        <w:sectPr>
          <w:pgSz w:w="11900" w:h="16838" w:orient="portrait"/>
          <w:cols w:equalWidth="0" w:num="2">
            <w:col w:w="3428" w:space="260"/>
            <w:col w:w="6539"/>
          </w:cols>
          <w:pgMar w:left="232" w:top="638" w:right="1440" w:bottom="1440" w:gutter="0" w:footer="0" w:header="0"/>
          <w:type w:val="continuous"/>
        </w:sectPr>
      </w:pPr>
    </w:p>
    <w:p>
      <w:pPr>
        <w:jc w:val="center"/>
        <w:ind w:right="412"/>
        <w:spacing w:after="0"/>
        <w:rPr>
          <w:sz w:val="20"/>
          <w:szCs w:val="20"/>
          <w:color w:val="auto"/>
        </w:rPr>
      </w:pPr>
      <w:r>
        <w:rPr>
          <w:rFonts w:ascii="Courier New" w:cs="Courier New" w:eastAsia="Courier New" w:hAnsi="Courier New"/>
          <w:sz w:val="15"/>
          <w:szCs w:val="15"/>
          <w:color w:val="auto"/>
        </w:rPr>
        <w:t>and Chief Financial Officer</w:t>
      </w:r>
    </w:p>
    <w:p>
      <w:pPr>
        <w:spacing w:after="0" w:line="200" w:lineRule="exact"/>
        <w:rPr>
          <w:sz w:val="20"/>
          <w:szCs w:val="20"/>
          <w:color w:val="auto"/>
        </w:rPr>
      </w:pPr>
    </w:p>
    <w:p>
      <w:pPr>
        <w:spacing w:after="0" w:line="324" w:lineRule="exact"/>
        <w:rPr>
          <w:sz w:val="20"/>
          <w:szCs w:val="20"/>
          <w:color w:val="auto"/>
        </w:rPr>
      </w:pPr>
    </w:p>
    <w:p>
      <w:pPr>
        <w:jc w:val="both"/>
        <w:ind w:left="8" w:right="391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27"/>
          </w:cols>
          <w:pgMar w:left="232" w:top="638" w:right="1440"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SIGNATURE</w:t>
      </w:r>
    </w:p>
    <w:p>
      <w:pPr>
        <w:spacing w:after="0" w:line="177"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Steven R. Appleton</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 Wilbur G. Stover, Jr.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Wilbur G. Stover,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Chief Executive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 and President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of Finance and Chief</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Financial Officer (Principal Financial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20, 1998</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20, 1998</w:t>
      </w:r>
    </w:p>
    <w:p>
      <w:pPr>
        <w:spacing w:after="0" w:line="523" w:lineRule="exact"/>
        <w:rPr>
          <w:sz w:val="20"/>
          <w:szCs w:val="20"/>
          <w:color w:val="auto"/>
        </w:rPr>
      </w:pPr>
    </w:p>
    <w:p>
      <w:pPr>
        <w:sectPr>
          <w:pgSz w:w="11900" w:h="16838" w:orient="portrait"/>
          <w:cols w:equalWidth="0" w:num="3">
            <w:col w:w="3608" w:space="0"/>
            <w:col w:w="3600" w:space="360"/>
            <w:col w:w="2659"/>
          </w:cols>
          <w:pgMar w:left="232" w:top="638" w:right="1440" w:bottom="1440" w:gutter="0" w:footer="0" w:header="0"/>
          <w:type w:val="continuous"/>
        </w:sectPr>
      </w:pPr>
    </w:p>
    <w:p>
      <w:pPr>
        <w:ind w:left="12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James W. Bagley</w:t>
      </w:r>
    </w:p>
    <w:p>
      <w:pPr>
        <w:spacing w:after="0" w:line="177"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Jerry M. Hess</w:t>
      </w:r>
    </w:p>
    <w:p>
      <w:pPr>
        <w:spacing w:after="0" w:line="177"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Robert Lothrop</w:t>
      </w:r>
    </w:p>
    <w:p>
      <w:pPr>
        <w:spacing w:after="0" w:line="177"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Thomas T. Nicholson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July 20, 1998</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20, 1998</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20, 1998</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20, 1998</w:t>
      </w:r>
    </w:p>
    <w:p>
      <w:pPr>
        <w:spacing w:after="0" w:line="523" w:lineRule="exact"/>
        <w:rPr>
          <w:sz w:val="20"/>
          <w:szCs w:val="20"/>
          <w:color w:val="auto"/>
        </w:rPr>
      </w:pPr>
    </w:p>
    <w:p>
      <w:pPr>
        <w:sectPr>
          <w:pgSz w:w="11900" w:h="16838" w:orient="portrait"/>
          <w:cols w:equalWidth="0" w:num="3">
            <w:col w:w="3608" w:space="0"/>
            <w:col w:w="3240" w:space="720"/>
            <w:col w:w="2659"/>
          </w:cols>
          <w:pgMar w:left="232" w:top="638" w:right="1440" w:bottom="1440" w:gutter="0" w:footer="0" w:header="0"/>
          <w:type w:val="continuous"/>
        </w:sectPr>
      </w:pPr>
    </w:p>
    <w:p>
      <w:pPr>
        <w:ind w:left="3608"/>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 J. Simplot</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638" w:right="1440" w:bottom="1440" w:gutter="0" w:footer="0" w:header="0"/>
          <w:type w:val="continuous"/>
        </w:sectPr>
      </w:pPr>
    </w:p>
    <w:bookmarkStart w:id="15" w:name="page16"/>
    <w:bookmarkEnd w:id="15"/>
    <w:tbl>
      <w:tblPr>
        <w:tblLayout w:type="fixed"/>
        <w:tblInd w:w="1268"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1940" w:type="dxa"/>
            <w:vAlign w:val="bottom"/>
          </w:tcPr>
          <w:p>
            <w:pPr>
              <w:spacing w:after="0"/>
              <w:rPr>
                <w:sz w:val="14"/>
                <w:szCs w:val="14"/>
                <w:color w:val="auto"/>
              </w:rPr>
            </w:pPr>
          </w:p>
        </w:tc>
        <w:tc>
          <w:tcPr>
            <w:tcW w:w="1800" w:type="dxa"/>
            <w:vAlign w:val="bottom"/>
          </w:tcPr>
          <w:p>
            <w:pPr>
              <w:ind w:left="440"/>
              <w:spacing w:after="0"/>
              <w:rPr>
                <w:sz w:val="20"/>
                <w:szCs w:val="20"/>
                <w:color w:val="auto"/>
              </w:rPr>
            </w:pPr>
            <w:r>
              <w:rPr>
                <w:rFonts w:ascii="Courier New" w:cs="Courier New" w:eastAsia="Courier New" w:hAnsi="Courier New"/>
                <w:sz w:val="15"/>
                <w:szCs w:val="15"/>
                <w:color w:val="auto"/>
              </w:rPr>
              <w:t>TITLE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DATE</w:t>
            </w:r>
          </w:p>
        </w:tc>
        <w:tc>
          <w:tcPr>
            <w:tcW w:w="400" w:type="dxa"/>
            <w:vAlign w:val="bottom"/>
          </w:tcPr>
          <w:p>
            <w:pPr>
              <w:spacing w:after="0"/>
              <w:rPr>
                <w:sz w:val="14"/>
                <w:szCs w:val="14"/>
                <w:color w:val="auto"/>
              </w:rPr>
            </w:pPr>
          </w:p>
        </w:tc>
      </w:tr>
      <w:tr>
        <w:trPr>
          <w:trHeight w:val="520"/>
        </w:trPr>
        <w:tc>
          <w:tcPr>
            <w:tcW w:w="1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ind w:left="76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July 20,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3"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R. Simplot</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60" w:type="dxa"/>
            <w:vAlign w:val="bottom"/>
          </w:tcPr>
          <w:p>
            <w:pPr>
              <w:jc w:val="right"/>
              <w:ind w:right="2045"/>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ind w:left="1620"/>
              <w:spacing w:after="0"/>
              <w:rPr>
                <w:sz w:val="20"/>
                <w:szCs w:val="20"/>
                <w:color w:val="auto"/>
              </w:rPr>
            </w:pPr>
            <w:r>
              <w:rPr>
                <w:rFonts w:ascii="Courier New" w:cs="Courier New" w:eastAsia="Courier New" w:hAnsi="Courier New"/>
                <w:sz w:val="15"/>
                <w:szCs w:val="15"/>
                <w:color w:val="auto"/>
              </w:rPr>
              <w:t>July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Gordon C. Smith</w:t>
            </w:r>
          </w:p>
        </w:tc>
        <w:tc>
          <w:tcPr>
            <w:tcW w:w="24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47"/>
        </w:trPr>
        <w:tc>
          <w:tcPr>
            <w:tcW w:w="3460" w:type="dxa"/>
            <w:vAlign w:val="bottom"/>
          </w:tcPr>
          <w:p>
            <w:pPr>
              <w:spacing w:after="0"/>
              <w:rPr>
                <w:sz w:val="20"/>
                <w:szCs w:val="20"/>
                <w:color w:val="auto"/>
              </w:rPr>
            </w:pPr>
            <w:r>
              <w:rPr>
                <w:rFonts w:ascii="Courier New" w:cs="Courier New" w:eastAsia="Courier New" w:hAnsi="Courier New"/>
                <w:sz w:val="15"/>
                <w:szCs w:val="15"/>
                <w:color w:val="auto"/>
              </w:rPr>
              <w:t>By: /s/ Wilbur G. Stover, Jr.</w:t>
            </w:r>
          </w:p>
        </w:tc>
        <w:tc>
          <w:tcPr>
            <w:tcW w:w="2400" w:type="dxa"/>
            <w:vAlign w:val="bottom"/>
          </w:tcPr>
          <w:p>
            <w:pPr>
              <w:spacing w:after="0"/>
              <w:rPr>
                <w:sz w:val="24"/>
                <w:szCs w:val="24"/>
                <w:color w:val="auto"/>
              </w:rPr>
            </w:pPr>
          </w:p>
        </w:tc>
        <w:tc>
          <w:tcPr>
            <w:tcW w:w="2020" w:type="dxa"/>
            <w:vAlign w:val="bottom"/>
          </w:tcPr>
          <w:p>
            <w:pPr>
              <w:ind w:left="1620"/>
              <w:spacing w:after="0"/>
              <w:rPr>
                <w:sz w:val="20"/>
                <w:szCs w:val="20"/>
                <w:color w:val="auto"/>
              </w:rPr>
            </w:pPr>
            <w:r>
              <w:rPr>
                <w:rFonts w:ascii="Courier New" w:cs="Courier New" w:eastAsia="Courier New" w:hAnsi="Courier New"/>
                <w:sz w:val="15"/>
                <w:szCs w:val="15"/>
                <w:color w:val="auto"/>
              </w:rPr>
              <w:t>July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r>
    </w:tbl>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Wilbur G. Stover, Jr.</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Attorney-in-fact</w:t>
      </w:r>
    </w:p>
    <w:p>
      <w:pPr>
        <w:spacing w:after="0" w:line="350"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985"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560" w:type="dxa"/>
            <w:vAlign w:val="bottom"/>
          </w:tcPr>
          <w:p>
            <w:pPr>
              <w:ind w:left="900"/>
              <w:spacing w:after="0"/>
              <w:rPr>
                <w:sz w:val="20"/>
                <w:szCs w:val="20"/>
                <w:color w:val="auto"/>
              </w:rPr>
            </w:pPr>
            <w:r>
              <w:rPr>
                <w:rFonts w:ascii="Courier New" w:cs="Courier New" w:eastAsia="Courier New" w:hAnsi="Courier New"/>
                <w:sz w:val="15"/>
                <w:szCs w:val="15"/>
                <w:color w:val="auto"/>
              </w:rPr>
              <w:t>INDEX TO EXHIBITS</w:t>
            </w:r>
          </w:p>
        </w:tc>
      </w:tr>
      <w:tr>
        <w:trPr>
          <w:trHeight w:val="867"/>
        </w:trPr>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w w:val="98"/>
              </w:rPr>
              <w:t>EXHIBIT NUMBER</w:t>
            </w:r>
          </w:p>
        </w:tc>
        <w:tc>
          <w:tcPr>
            <w:tcW w:w="9560" w:type="dxa"/>
            <w:vAlign w:val="bottom"/>
          </w:tcPr>
          <w:p>
            <w:pPr>
              <w:ind w:left="3160"/>
              <w:spacing w:after="0"/>
              <w:rPr>
                <w:sz w:val="20"/>
                <w:szCs w:val="20"/>
                <w:color w:val="auto"/>
              </w:rPr>
            </w:pPr>
            <w:r>
              <w:rPr>
                <w:rFonts w:ascii="Courier New" w:cs="Courier New" w:eastAsia="Courier New" w:hAnsi="Courier New"/>
                <w:sz w:val="15"/>
                <w:szCs w:val="15"/>
                <w:color w:val="auto"/>
              </w:rPr>
              <w:t>DESCRIPTION OF EXHIBIT</w:t>
            </w:r>
          </w:p>
        </w:tc>
      </w:tr>
      <w:tr>
        <w:trPr>
          <w:trHeight w:val="347"/>
        </w:trPr>
        <w:tc>
          <w:tcPr>
            <w:tcW w:w="180" w:type="dxa"/>
            <w:vAlign w:val="bottom"/>
          </w:tcPr>
          <w:p>
            <w:pPr>
              <w:spacing w:after="0"/>
              <w:rPr>
                <w:sz w:val="24"/>
                <w:szCs w:val="24"/>
                <w:color w:val="auto"/>
              </w:rPr>
            </w:pPr>
          </w:p>
        </w:tc>
        <w:tc>
          <w:tcPr>
            <w:tcW w:w="17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3.7</w:t>
            </w: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Bylaws of the registrant, as amended</w:t>
            </w:r>
          </w:p>
        </w:tc>
      </w:tr>
      <w:tr>
        <w:trPr>
          <w:trHeight w:val="173"/>
        </w:trPr>
        <w:tc>
          <w:tcPr>
            <w:tcW w:w="180" w:type="dxa"/>
            <w:vAlign w:val="bottom"/>
          </w:tcPr>
          <w:p>
            <w:pPr>
              <w:spacing w:after="0"/>
              <w:rPr>
                <w:sz w:val="15"/>
                <w:szCs w:val="15"/>
                <w:color w:val="auto"/>
              </w:rPr>
            </w:pPr>
          </w:p>
        </w:tc>
        <w:tc>
          <w:tcPr>
            <w:tcW w:w="17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5.1</w:t>
            </w: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Opinion of Roderic W. Lewis, Esq., Vice President, Legal Affairs, General Counsel and Corporate</w:t>
            </w:r>
          </w:p>
        </w:tc>
      </w:tr>
      <w:tr>
        <w:trPr>
          <w:trHeight w:val="173"/>
        </w:trPr>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Secretary</w:t>
            </w:r>
          </w:p>
        </w:tc>
      </w:tr>
      <w:tr>
        <w:trPr>
          <w:trHeight w:val="173"/>
        </w:trPr>
        <w:tc>
          <w:tcPr>
            <w:tcW w:w="180" w:type="dxa"/>
            <w:vAlign w:val="bottom"/>
          </w:tcPr>
          <w:p>
            <w:pPr>
              <w:spacing w:after="0"/>
              <w:rPr>
                <w:sz w:val="15"/>
                <w:szCs w:val="15"/>
                <w:color w:val="auto"/>
              </w:rPr>
            </w:pPr>
          </w:p>
        </w:tc>
        <w:tc>
          <w:tcPr>
            <w:tcW w:w="17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10.125</w:t>
            </w:r>
          </w:p>
        </w:tc>
        <w:tc>
          <w:tcPr>
            <w:tcW w:w="9560" w:type="dxa"/>
            <w:vAlign w:val="bottom"/>
          </w:tcPr>
          <w:p>
            <w:pPr>
              <w:spacing w:after="0"/>
              <w:rPr>
                <w:sz w:val="20"/>
                <w:szCs w:val="20"/>
                <w:color w:val="auto"/>
              </w:rPr>
            </w:pPr>
            <w:r>
              <w:rPr>
                <w:rFonts w:ascii="Courier New" w:cs="Courier New" w:eastAsia="Courier New" w:hAnsi="Courier New"/>
                <w:sz w:val="15"/>
                <w:szCs w:val="15"/>
                <w:color w:val="auto"/>
                <w:w w:val="99"/>
              </w:rPr>
              <w:t>Registration Rights Agreement dated as of July 20, 1998, between the registrant, Canadian Imperial Bank of</w:t>
            </w:r>
          </w:p>
        </w:tc>
      </w:tr>
      <w:tr>
        <w:trPr>
          <w:trHeight w:val="173"/>
        </w:trPr>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Commerce and J.R. Simplot Company</w:t>
            </w:r>
          </w:p>
        </w:tc>
      </w:tr>
      <w:tr>
        <w:trPr>
          <w:trHeight w:val="173"/>
        </w:trPr>
        <w:tc>
          <w:tcPr>
            <w:tcW w:w="180" w:type="dxa"/>
            <w:vAlign w:val="bottom"/>
          </w:tcPr>
          <w:p>
            <w:pPr>
              <w:spacing w:after="0"/>
              <w:rPr>
                <w:sz w:val="15"/>
                <w:szCs w:val="15"/>
                <w:color w:val="auto"/>
              </w:rPr>
            </w:pPr>
          </w:p>
        </w:tc>
        <w:tc>
          <w:tcPr>
            <w:tcW w:w="17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23.1</w:t>
            </w: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Consent of PricewaterhouseCoopers LLP</w:t>
            </w:r>
          </w:p>
        </w:tc>
      </w:tr>
      <w:tr>
        <w:trPr>
          <w:trHeight w:val="173"/>
        </w:trPr>
        <w:tc>
          <w:tcPr>
            <w:tcW w:w="180" w:type="dxa"/>
            <w:vAlign w:val="bottom"/>
          </w:tcPr>
          <w:p>
            <w:pPr>
              <w:spacing w:after="0"/>
              <w:rPr>
                <w:sz w:val="15"/>
                <w:szCs w:val="15"/>
                <w:color w:val="auto"/>
              </w:rPr>
            </w:pPr>
          </w:p>
        </w:tc>
        <w:tc>
          <w:tcPr>
            <w:tcW w:w="17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23.2</w:t>
            </w: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Consent of Roderic W. Lewis, Esq. (included in Exhibit 5.1)</w:t>
            </w:r>
          </w:p>
        </w:tc>
      </w:tr>
      <w:tr>
        <w:trPr>
          <w:trHeight w:val="173"/>
        </w:trPr>
        <w:tc>
          <w:tcPr>
            <w:tcW w:w="180" w:type="dxa"/>
            <w:vAlign w:val="bottom"/>
          </w:tcPr>
          <w:p>
            <w:pPr>
              <w:spacing w:after="0"/>
              <w:rPr>
                <w:sz w:val="15"/>
                <w:szCs w:val="15"/>
                <w:color w:val="auto"/>
              </w:rPr>
            </w:pPr>
          </w:p>
        </w:tc>
        <w:tc>
          <w:tcPr>
            <w:tcW w:w="170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24.1*</w:t>
            </w:r>
          </w:p>
        </w:tc>
        <w:tc>
          <w:tcPr>
            <w:tcW w:w="9560" w:type="dxa"/>
            <w:vAlign w:val="bottom"/>
          </w:tcPr>
          <w:p>
            <w:pPr>
              <w:spacing w:after="0"/>
              <w:rPr>
                <w:sz w:val="20"/>
                <w:szCs w:val="20"/>
                <w:color w:val="auto"/>
              </w:rPr>
            </w:pPr>
            <w:r>
              <w:rPr>
                <w:rFonts w:ascii="Courier New" w:cs="Courier New" w:eastAsia="Courier New" w:hAnsi="Courier New"/>
                <w:sz w:val="15"/>
                <w:szCs w:val="15"/>
                <w:color w:val="auto"/>
              </w:rPr>
              <w:t>Powers of Attorney of certain directors and officers of the Company (contained on Page II-4)</w:t>
            </w:r>
          </w:p>
        </w:tc>
      </w:tr>
      <w:tr>
        <w:trPr>
          <w:trHeight w:val="347"/>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9560" w:type="dxa"/>
            <w:vAlign w:val="bottom"/>
          </w:tcPr>
          <w:p>
            <w:pPr>
              <w:spacing w:after="0"/>
              <w:rPr>
                <w:sz w:val="24"/>
                <w:szCs w:val="24"/>
                <w:color w:val="auto"/>
              </w:rPr>
            </w:pPr>
          </w:p>
        </w:tc>
      </w:tr>
      <w:tr>
        <w:trPr>
          <w:trHeight w:val="34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Previously filed</w:t>
            </w:r>
          </w:p>
        </w:tc>
        <w:tc>
          <w:tcPr>
            <w:tcW w:w="9560" w:type="dxa"/>
            <w:vAlign w:val="bottom"/>
          </w:tcPr>
          <w:p>
            <w:pPr>
              <w:spacing w:after="0"/>
              <w:rPr>
                <w:sz w:val="24"/>
                <w:szCs w:val="24"/>
                <w:color w:val="auto"/>
              </w:rPr>
            </w:pPr>
          </w:p>
        </w:tc>
      </w:tr>
      <w:tr>
        <w:trPr>
          <w:trHeight w:val="347"/>
        </w:trPr>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560" w:type="dxa"/>
            <w:vAlign w:val="bottom"/>
          </w:tcPr>
          <w:p>
            <w:pPr>
              <w:ind w:left="1540"/>
              <w:spacing w:after="0"/>
              <w:rPr>
                <w:sz w:val="20"/>
                <w:szCs w:val="20"/>
                <w:color w:val="auto"/>
              </w:rPr>
            </w:pPr>
            <w:r>
              <w:rPr>
                <w:rFonts w:ascii="Courier New" w:cs="Courier New" w:eastAsia="Courier New" w:hAnsi="Courier New"/>
                <w:sz w:val="15"/>
                <w:szCs w:val="15"/>
                <w:color w:val="auto"/>
              </w:rPr>
              <w:t>II-1</w:t>
            </w:r>
          </w:p>
        </w:tc>
      </w:tr>
    </w:tbl>
    <w:p>
      <w:pPr>
        <w:sectPr>
          <w:pgSz w:w="11900" w:h="16838" w:orient="portrait"/>
          <w:cols w:equalWidth="0" w:num="1">
            <w:col w:w="11440"/>
          </w:cols>
          <w:pgMar w:left="240" w:top="638" w:right="219" w:bottom="1440" w:gutter="0" w:footer="0" w:header="0"/>
        </w:sectPr>
      </w:pPr>
    </w:p>
    <w:bookmarkStart w:id="17" w:name="page18"/>
    <w:bookmarkEnd w:id="17"/>
    <w:p>
      <w:pPr>
        <w:jc w:val="right"/>
        <w:ind w:right="3019"/>
        <w:spacing w:after="0"/>
        <w:rPr>
          <w:sz w:val="20"/>
          <w:szCs w:val="20"/>
          <w:color w:val="auto"/>
        </w:rPr>
      </w:pPr>
      <w:r>
        <w:rPr>
          <w:rFonts w:ascii="Courier New" w:cs="Courier New" w:eastAsia="Courier New" w:hAnsi="Courier New"/>
          <w:sz w:val="15"/>
          <w:szCs w:val="15"/>
          <w:color w:val="auto"/>
        </w:rPr>
        <w:t>EXHIBIT 3.7</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BYLAWS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MICRON TECHNOLOGY, INC.</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OFFICES</w:t>
      </w:r>
    </w:p>
    <w:p>
      <w:pPr>
        <w:spacing w:after="0" w:line="178"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SECTION 1. The registered office shall be 100 West Tenth Street, in the City of Wilmington, County of New Castle, State of Delaware.</w:t>
      </w:r>
    </w:p>
    <w:p>
      <w:pPr>
        <w:spacing w:after="0" w:line="176"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STOCKHOLDERS</w:t>
      </w:r>
    </w:p>
    <w:p>
      <w:pPr>
        <w:spacing w:after="0" w:line="351"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ectPr>
          <w:pgSz w:w="11900" w:h="16838" w:orient="portrait"/>
          <w:cols w:equalWidth="0" w:num="1">
            <w:col w:w="10219"/>
          </w:cols>
          <w:pgMar w:left="240" w:top="487" w:right="1440" w:bottom="1440" w:gutter="0" w:footer="0" w:header="0"/>
        </w:sectPr>
      </w:pPr>
    </w:p>
    <w:bookmarkStart w:id="18" w:name="page19"/>
    <w:bookmarkEnd w:id="18"/>
    <w:p>
      <w:pPr>
        <w:ind w:right="3459" w:firstLine="451"/>
        <w:spacing w:after="0" w:line="243" w:lineRule="auto"/>
        <w:rPr>
          <w:sz w:val="20"/>
          <w:szCs w:val="20"/>
          <w:color w:val="auto"/>
        </w:rPr>
      </w:pPr>
      <w:r>
        <w:rPr>
          <w:rFonts w:ascii="Courier New" w:cs="Courier New" w:eastAsia="Courier New" w:hAnsi="Courier New"/>
          <w:sz w:val="15"/>
          <w:szCs w:val="15"/>
          <w:color w:val="auto"/>
        </w:rPr>
        <w:t>SECTION 7. Business transacted at any special meeting of stockholders shall be limited to the purposes stated in the notice.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35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ectPr>
          <w:pgSz w:w="11900" w:h="16838" w:orient="portrait"/>
          <w:cols w:equalWidth="0" w:num="1">
            <w:col w:w="10219"/>
          </w:cols>
          <w:pgMar w:left="240" w:top="639" w:right="1440" w:bottom="1440" w:gutter="0" w:footer="0" w:header="0"/>
        </w:sectPr>
      </w:pPr>
    </w:p>
    <w:bookmarkStart w:id="19" w:name="page20"/>
    <w:bookmarkEnd w:id="19"/>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76"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No reduction of the authorized number of directors shall have the effect of removing any director prior to the expiration of such director's term of office.</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351"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w:t>
      </w:r>
    </w:p>
    <w:p>
      <w:pPr>
        <w:spacing w:after="0" w:line="178"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SECTION 7. The Board of Directors of the corporation may hold meetings, both regular and special, either within or without the State of Delaware.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9. Regular meetings of the Board of Directors may be held without notice at such time and at such place as shall from time to time be determined by the Board.</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ectPr>
          <w:pgSz w:w="11900" w:h="16838" w:orient="portrait"/>
          <w:cols w:equalWidth="0" w:num="1">
            <w:col w:w="10219"/>
          </w:cols>
          <w:pgMar w:left="240" w:top="638" w:right="1440" w:bottom="1440" w:gutter="0" w:footer="0" w:header="0"/>
        </w:sectPr>
      </w:pPr>
    </w:p>
    <w:bookmarkStart w:id="20" w:name="page21"/>
    <w:bookmarkEnd w:id="20"/>
    <w:p>
      <w:pPr>
        <w:ind w:right="3019" w:firstLine="451"/>
        <w:spacing w:after="0" w:line="244" w:lineRule="auto"/>
        <w:rPr>
          <w:sz w:val="20"/>
          <w:szCs w:val="20"/>
          <w:color w:val="auto"/>
        </w:rPr>
      </w:pPr>
      <w:r>
        <w:rPr>
          <w:rFonts w:ascii="Courier New" w:cs="Courier New" w:eastAsia="Courier New" w:hAnsi="Courier New"/>
          <w:sz w:val="15"/>
          <w:szCs w:val="15"/>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DIRECTORS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18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ectPr>
          <w:pgSz w:w="11900" w:h="16838" w:orient="portrait"/>
          <w:cols w:equalWidth="0" w:num="1">
            <w:col w:w="10219"/>
          </w:cols>
          <w:pgMar w:left="240" w:top="638" w:right="1440" w:bottom="1440" w:gutter="0" w:footer="0" w:header="0"/>
        </w:sectPr>
      </w:pPr>
    </w:p>
    <w:bookmarkStart w:id="21" w:name="page22"/>
    <w:bookmarkEnd w:id="21"/>
    <w:p>
      <w:pPr>
        <w:ind w:right="3019" w:firstLine="451"/>
        <w:spacing w:after="0" w:line="244" w:lineRule="auto"/>
        <w:rPr>
          <w:sz w:val="20"/>
          <w:szCs w:val="20"/>
          <w:color w:val="auto"/>
        </w:rPr>
      </w:pPr>
      <w:r>
        <w:rPr>
          <w:rFonts w:ascii="Courier New" w:cs="Courier New" w:eastAsia="Courier New" w:hAnsi="Courier New"/>
          <w:sz w:val="15"/>
          <w:szCs w:val="15"/>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 The Board of Directors at its first meeting after each annual meeting of stockholders shall choose a president, one or more vice-presidents, a secretary and a treasurer.</w:t>
      </w:r>
    </w:p>
    <w:p>
      <w:pPr>
        <w:spacing w:after="0" w:line="17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76"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SECTION 4. The salaries of all officers and agents of the corporation shall be fixed by the Board of Directors.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CHAIRMAN OF THE BOARD</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PRESIDENT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ectPr>
          <w:pgSz w:w="11900" w:h="16838" w:orient="portrait"/>
          <w:cols w:equalWidth="0" w:num="1">
            <w:col w:w="10219"/>
          </w:cols>
          <w:pgMar w:left="240" w:top="638"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THE VICE-PRESIDENTS</w:t>
      </w:r>
    </w:p>
    <w:p>
      <w:pPr>
        <w:spacing w:after="0" w:line="178"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 AND ASSISTANT SECRETARY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TREASURER AND ASSISTANT TREASURERS</w:t>
      </w:r>
    </w:p>
    <w:p>
      <w:pPr>
        <w:spacing w:after="0" w:line="178"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77"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ectPr>
          <w:pgSz w:w="11900" w:h="16838" w:orient="portrait"/>
          <w:cols w:equalWidth="0" w:num="1">
            <w:col w:w="10219"/>
          </w:cols>
          <w:pgMar w:left="240" w:top="638"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ARTICLE VI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6"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LOST CERTIFICATES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OF STOCK</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FIXING RECORD DATE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ectPr>
          <w:pgSz w:w="11900" w:h="16838" w:orient="portrait"/>
          <w:cols w:equalWidth="0" w:num="1">
            <w:col w:w="10219"/>
          </w:cols>
          <w:pgMar w:left="240" w:top="638" w:right="1440" w:bottom="1440" w:gutter="0" w:footer="0" w:header="0"/>
        </w:sectPr>
      </w:pPr>
    </w:p>
    <w:bookmarkStart w:id="24" w:name="page25"/>
    <w:bookmarkEnd w:id="24"/>
    <w:p>
      <w:pPr>
        <w:ind w:right="3019"/>
        <w:spacing w:after="0" w:line="244" w:lineRule="auto"/>
        <w:rPr>
          <w:sz w:val="20"/>
          <w:szCs w:val="20"/>
          <w:color w:val="auto"/>
        </w:rPr>
      </w:pPr>
      <w:r>
        <w:rPr>
          <w:rFonts w:ascii="Courier New" w:cs="Courier New" w:eastAsia="Courier New" w:hAnsi="Courier New"/>
          <w:sz w:val="15"/>
          <w:szCs w:val="15"/>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STOCKHOLDERS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PROVISIONS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3. All checks or demands for money and notes of the corporation shall be signed by such officer or officers or such other person or persons as the Board of Directors may from time to time designate.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SECTION 4. The fiscal year of the corporation shall be fixed by resolution of the Board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ectPr>
          <w:pgSz w:w="11900" w:h="16838" w:orient="portrait"/>
          <w:cols w:equalWidth="0" w:num="1">
            <w:col w:w="10219"/>
          </w:cols>
          <w:pgMar w:left="240" w:top="638"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INDEMNIFICATION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6. The corporation shall indemnify its officers, directors, employees and agents to the extent permitted by the General Corporation Law of Delaware.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79"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 Nancy A. Stanger, the secretary of Micron Technology, Inc., a Delaware corporation, hereby certify:</w:t>
      </w:r>
    </w:p>
    <w:p>
      <w:pPr>
        <w:spacing w:after="0" w:line="176"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The foregoing bylaws, comprising 14 pages, were adopted as the bylaws of Micron Technology on May 21, 1984.</w:t>
      </w:r>
    </w:p>
    <w:p>
      <w:pPr>
        <w:spacing w:after="0" w:line="17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May 25, 1984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Nancy A. Stanger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Nancy A. Stanger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CERTIFICATE OF FIRST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amendment adopted was pursuant to a Resolution reading as follows:</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RESOLVED: The Board hereby approves that the second paragraph of Article II Section 10 of the Bylaws of the Company be amended to read as follows:</w:t>
      </w:r>
    </w:p>
    <w:p>
      <w:pPr>
        <w:spacing w:after="0" w:line="17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6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IN WITNESS WHEREOF, we have hereunto set our hands and the seal of the Corporation this 5th day of July, 1985.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7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Joseph L. Parkinson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L. Parkinson, President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7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 Secretary</w:t>
      </w:r>
    </w:p>
    <w:p>
      <w:pPr>
        <w:spacing w:after="0" w:line="17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STATE OF IDAHO</w:t>
      </w:r>
      <w:r>
        <w:rPr>
          <w:sz w:val="20"/>
          <w:szCs w:val="20"/>
          <w:color w:val="auto"/>
        </w:rPr>
        <w:tab/>
      </w:r>
      <w:r>
        <w:rPr>
          <w:rFonts w:ascii="Courier New" w:cs="Courier New" w:eastAsia="Courier New" w:hAnsi="Courier New"/>
          <w:sz w:val="13"/>
          <w:szCs w:val="13"/>
          <w:color w:val="auto"/>
        </w:rPr>
        <w:t>)</w:t>
      </w:r>
    </w:p>
    <w:p>
      <w:pPr>
        <w:spacing w:after="0" w:line="177" w:lineRule="exact"/>
        <w:rPr>
          <w:sz w:val="20"/>
          <w:szCs w:val="20"/>
          <w:color w:val="auto"/>
        </w:rPr>
      </w:pPr>
    </w:p>
    <w:p>
      <w:pPr>
        <w:ind w:left="1800" w:hanging="365"/>
        <w:spacing w:after="0"/>
        <w:tabs>
          <w:tab w:leader="none" w:pos="1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ss.</w:t>
      </w:r>
    </w:p>
    <w:p>
      <w:pPr>
        <w:spacing w:after="0" w:line="17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County of Ada</w:t>
      </w:r>
      <w:r>
        <w:rPr>
          <w:sz w:val="20"/>
          <w:szCs w:val="20"/>
          <w:color w:val="auto"/>
        </w:rPr>
        <w:tab/>
      </w:r>
      <w:r>
        <w:rPr>
          <w:rFonts w:ascii="Courier New" w:cs="Courier New" w:eastAsia="Courier New" w:hAnsi="Courier New"/>
          <w:sz w:val="13"/>
          <w:szCs w:val="13"/>
          <w:color w:val="auto"/>
        </w:rPr>
        <w: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177"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IN WITNESS WHEREOF, I have hereunto set my hand and affixed my official seal in said County the day and year first above written.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Jill L. Henson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Notary Public for Idaho Residing at Boise</w:t>
      </w:r>
    </w:p>
    <w:p>
      <w:pPr>
        <w:sectPr>
          <w:pgSz w:w="11900" w:h="16838" w:orient="portrait"/>
          <w:cols w:equalWidth="0" w:num="1">
            <w:col w:w="10219"/>
          </w:cols>
          <w:pgMar w:left="240" w:top="638"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CERTIFICATE OF SECOND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March 3, 1986:</w:t>
      </w:r>
    </w:p>
    <w:p>
      <w:pPr>
        <w:spacing w:after="0" w:line="17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78" w:lineRule="auto"/>
        <w:rPr>
          <w:sz w:val="20"/>
          <w:szCs w:val="20"/>
          <w:color w:val="auto"/>
        </w:rPr>
      </w:pPr>
      <w:r>
        <w:rPr>
          <w:rFonts w:ascii="Courier New" w:cs="Courier New" w:eastAsia="Courier New" w:hAnsi="Courier New"/>
          <w:sz w:val="14"/>
          <w:szCs w:val="14"/>
          <w:color w:val="auto"/>
        </w:rPr>
        <w:t>IN WITNESS WHEREOF, I have hereunto set my hand and affixed the corporate seal of said corporation effective as of the 3rd day of March, 1986.</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CERTIFICATE THIRD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November 24, 1986:</w:t>
      </w:r>
    </w:p>
    <w:p>
      <w:pPr>
        <w:spacing w:after="0" w:line="17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24th day of November, 1986.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CERTIFICATE OF FOURTH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28, 1987:</w:t>
      </w:r>
    </w:p>
    <w:p>
      <w:pPr>
        <w:spacing w:after="0" w:line="349"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34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28th day of September, 1987.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CERTIFICATE OF FIFTH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March 28, 1988:</w:t>
      </w:r>
    </w:p>
    <w:p>
      <w:pPr>
        <w:spacing w:after="0" w:line="17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28th day of March, 1988.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CERTIFICATE OF SIXTH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October 3, 1988:</w:t>
      </w:r>
    </w:p>
    <w:p>
      <w:pPr>
        <w:spacing w:after="0" w:line="17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17th day of October, 1988.</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CERTIFICATE OF SEVENTH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25, 1989:</w:t>
      </w:r>
    </w:p>
    <w:p>
      <w:pPr>
        <w:spacing w:after="0" w:line="17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28th day September, 1989.</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CERTIFICATE OF EIGHTH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October 30, 1989:</w:t>
      </w:r>
    </w:p>
    <w:p>
      <w:pPr>
        <w:spacing w:after="0" w:line="17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30th day of October, 1989.</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CERTIFICATE OF NINTH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August 27, 1990:</w:t>
      </w:r>
    </w:p>
    <w:p>
      <w:pPr>
        <w:spacing w:after="0" w:line="17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27th day of August, 1990.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CERTIFICATE OF TENTH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24, 1990:</w:t>
      </w:r>
    </w:p>
    <w:p>
      <w:pPr>
        <w:spacing w:after="0" w:line="175"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24th day of September, 1990.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CERTIFICATE OF ELEVENTH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July 27, 1992:</w:t>
      </w:r>
    </w:p>
    <w:p>
      <w:pPr>
        <w:spacing w:after="0" w:line="17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RESOLVED: Article III Section 1 of the Bylaws of this corporation are hereby amended to read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27th day of July, 1992.</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CERTIFICATE OF TWELFTH AMENDMENT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May 23, 1994:</w:t>
      </w:r>
    </w:p>
    <w:p>
      <w:pPr>
        <w:spacing w:after="0" w:line="175"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RESOLVED: Article III, Section I of the Bylaws of this corporation are hereby amended to read as follows:</w:t>
      </w:r>
    </w:p>
    <w:p>
      <w:pPr>
        <w:spacing w:after="0" w:line="175" w:lineRule="exact"/>
        <w:rPr>
          <w:sz w:val="20"/>
          <w:szCs w:val="20"/>
          <w:color w:val="auto"/>
        </w:rPr>
      </w:pPr>
    </w:p>
    <w:p>
      <w:pPr>
        <w:ind w:left="440"/>
        <w:spacing w:after="0"/>
        <w:tabs>
          <w:tab w:leader="none" w:pos="1500" w:val="left"/>
        </w:tabs>
        <w:rPr>
          <w:sz w:val="20"/>
          <w:szCs w:val="20"/>
          <w:color w:val="auto"/>
        </w:rPr>
      </w:pPr>
      <w:r>
        <w:rPr>
          <w:rFonts w:ascii="Courier New" w:cs="Courier New" w:eastAsia="Courier New" w:hAnsi="Courier New"/>
          <w:sz w:val="15"/>
          <w:szCs w:val="15"/>
          <w:color w:val="auto"/>
        </w:rPr>
        <w:t>SECTION I.</w:t>
        <w:tab/>
        <w:t>The authorized number of directors of the Corporation shall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w:t>
      </w:r>
    </w:p>
    <w:p>
      <w:pPr>
        <w:spacing w:after="0" w:line="178" w:lineRule="exact"/>
        <w:rPr>
          <w:sz w:val="20"/>
          <w:szCs w:val="20"/>
          <w:color w:val="auto"/>
        </w:rPr>
      </w:pPr>
    </w:p>
    <w:p>
      <w:pPr>
        <w:jc w:val="both"/>
        <w:ind w:left="440" w:right="3019" w:firstLine="451"/>
        <w:spacing w:after="0" w:line="244" w:lineRule="auto"/>
        <w:rPr>
          <w:sz w:val="20"/>
          <w:szCs w:val="20"/>
          <w:color w:val="auto"/>
        </w:rPr>
      </w:pPr>
      <w:r>
        <w:rPr>
          <w:rFonts w:ascii="Courier New" w:cs="Courier New" w:eastAsia="Courier New" w:hAnsi="Courier New"/>
          <w:sz w:val="15"/>
          <w:szCs w:val="15"/>
          <w:color w:val="auto"/>
        </w:rPr>
        <w:t>The number of directors provided in this Section I may be changed by a Bylaw duly adopted by the affirmative vote of a majority of the outstanding shares entitled to vote or by a resolution of the Board of Directors.</w:t>
      </w:r>
    </w:p>
    <w:p>
      <w:pPr>
        <w:spacing w:after="0" w:line="349"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23rd day of May, 1994.</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CERTIFICATE OF THIRTEENTH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September 1, 1994:</w:t>
      </w:r>
    </w:p>
    <w:p>
      <w:pPr>
        <w:spacing w:after="0" w:line="175"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RESOLVED: Article III, Section I of the Bylaws of this corporation are hereby amended to read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1st day of September, 1994.</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CERTIFICATE OF FOURTEENTH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Cathy L. Smith, Corporate Secretary of Micron Technology, Inc. a Delaware corporation, hereby certify that the following resolution was adopted by the Board of Directors on October 27, 1994:</w:t>
      </w:r>
    </w:p>
    <w:p>
      <w:pPr>
        <w:spacing w:after="0" w:line="175"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RESOLVED: Article III, Section I of the Bylaws of this corporation are hereby amended to read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27th day of October, 1994.</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Cathy L.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40" w:name="page41"/>
    <w:bookmarkEnd w:id="40"/>
    <w:p>
      <w:pPr>
        <w:ind w:left="2420"/>
        <w:spacing w:after="0"/>
        <w:rPr>
          <w:sz w:val="20"/>
          <w:szCs w:val="20"/>
          <w:color w:val="auto"/>
        </w:rPr>
      </w:pPr>
      <w:r>
        <w:rPr>
          <w:rFonts w:ascii="Courier New" w:cs="Courier New" w:eastAsia="Courier New" w:hAnsi="Courier New"/>
          <w:sz w:val="15"/>
          <w:szCs w:val="15"/>
          <w:color w:val="auto"/>
        </w:rPr>
        <w:t>CERTIFICATE OF FIFTEENTH</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AMENDMENT TO THE BYLAWS OF</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 was adopted by the Board of Directors on February 5, 1996:</w:t>
      </w:r>
    </w:p>
    <w:p>
      <w:pPr>
        <w:spacing w:after="0" w:line="17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RESOLVED, that pursuant to Article VIII, Section 1 of the Company s Bylaws, the Board hereby amends Article V, Section 1 of the Bylaws to read in its entirety as follows: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77"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 R. Reimer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Secretary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CERTIFICATE OF SIXTEENTH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TO THE BYLAWS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51"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resolutions were adopted by the Board of Directors on September 30, 1996:</w:t>
      </w:r>
    </w:p>
    <w:p>
      <w:pPr>
        <w:spacing w:after="0" w:line="17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RESOLVED, that Article II, Section 10 of the Bylaws of this Company be amended to read as follows:</w:t>
      </w:r>
    </w:p>
    <w:p>
      <w:pPr>
        <w:spacing w:after="0" w:line="17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164"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RESOLVED FURTHER, that Article II of the Bylaws of this Company be amended to add Section 12, which will read in its entirety as follows:</w:t>
      </w:r>
    </w:p>
    <w:p>
      <w:pPr>
        <w:spacing w:after="0" w:line="176" w:lineRule="exact"/>
        <w:rPr>
          <w:sz w:val="20"/>
          <w:szCs w:val="20"/>
          <w:color w:val="auto"/>
        </w:rPr>
      </w:pPr>
    </w:p>
    <w:p>
      <w:pPr>
        <w:ind w:left="540" w:right="3559"/>
        <w:spacing w:after="0" w:line="243" w:lineRule="auto"/>
        <w:rPr>
          <w:sz w:val="20"/>
          <w:szCs w:val="20"/>
          <w:color w:val="auto"/>
        </w:rPr>
      </w:pPr>
      <w:r>
        <w:rPr>
          <w:rFonts w:ascii="Courier New" w:cs="Courier New" w:eastAsia="Courier New" w:hAnsi="Courier New"/>
          <w:sz w:val="15"/>
          <w:szCs w:val="15"/>
          <w:color w:val="auto"/>
        </w:rPr>
        <w:t>SECTION 12. Advance Notice of Stockholder Nominees and Stockholder Business</w:t>
      </w:r>
    </w:p>
    <w:p>
      <w:pPr>
        <w:spacing w:after="0" w:line="176" w:lineRule="exact"/>
        <w:rPr>
          <w:sz w:val="20"/>
          <w:szCs w:val="20"/>
          <w:color w:val="auto"/>
        </w:rPr>
      </w:pPr>
    </w:p>
    <w:p>
      <w:pPr>
        <w:ind w:left="540" w:right="3019" w:hanging="7"/>
        <w:spacing w:after="0" w:line="244" w:lineRule="auto"/>
        <w:tabs>
          <w:tab w:leader="none" w:pos="99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77" w:lineRule="exact"/>
        <w:rPr>
          <w:rFonts w:ascii="Courier New" w:cs="Courier New" w:eastAsia="Courier New" w:hAnsi="Courier New"/>
          <w:sz w:val="15"/>
          <w:szCs w:val="15"/>
          <w:color w:val="auto"/>
        </w:rPr>
      </w:pPr>
    </w:p>
    <w:p>
      <w:pPr>
        <w:ind w:left="540" w:right="3019" w:hanging="7"/>
        <w:spacing w:after="0" w:line="244" w:lineRule="auto"/>
        <w:tabs>
          <w:tab w:leader="none" w:pos="99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ectPr>
          <w:pgSz w:w="11900" w:h="16838" w:orient="portrait"/>
          <w:cols w:equalWidth="0" w:num="1">
            <w:col w:w="10219"/>
          </w:cols>
          <w:pgMar w:left="240" w:top="638" w:right="1440" w:bottom="1440" w:gutter="0" w:footer="0" w:header="0"/>
        </w:sectPr>
      </w:pPr>
    </w:p>
    <w:bookmarkStart w:id="42" w:name="page43"/>
    <w:bookmarkEnd w:id="42"/>
    <w:p>
      <w:pPr>
        <w:ind w:left="540" w:right="3019" w:hanging="7"/>
        <w:spacing w:after="0" w:line="262" w:lineRule="auto"/>
        <w:tabs>
          <w:tab w:leader="none" w:pos="108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00" w:lineRule="exact"/>
        <w:rPr>
          <w:sz w:val="20"/>
          <w:szCs w:val="20"/>
          <w:color w:val="auto"/>
        </w:rPr>
      </w:pPr>
    </w:p>
    <w:p>
      <w:pPr>
        <w:spacing w:after="0" w:line="328" w:lineRule="exact"/>
        <w:rPr>
          <w:sz w:val="20"/>
          <w:szCs w:val="20"/>
          <w:color w:val="auto"/>
        </w:rPr>
      </w:pPr>
    </w:p>
    <w:p>
      <w:pPr>
        <w:ind w:left="440"/>
        <w:spacing w:after="0"/>
        <w:tabs>
          <w:tab w:leader="none" w:pos="1320" w:val="left"/>
          <w:tab w:leader="none" w:pos="2680" w:val="left"/>
          <w:tab w:leader="none" w:pos="3940" w:val="left"/>
          <w:tab w:leader="none" w:pos="6460" w:val="left"/>
        </w:tabs>
        <w:rPr>
          <w:sz w:val="20"/>
          <w:szCs w:val="20"/>
          <w:color w:val="auto"/>
        </w:rPr>
      </w:pPr>
      <w:r>
        <w:rPr>
          <w:rFonts w:ascii="Courier New" w:cs="Courier New" w:eastAsia="Courier New" w:hAnsi="Courier New"/>
          <w:sz w:val="15"/>
          <w:szCs w:val="15"/>
          <w:color w:val="auto"/>
        </w:rPr>
        <w:t>RESOLVED</w:t>
        <w:tab/>
        <w:t>FURTHER, that</w:t>
        <w:tab/>
        <w:t>Article III,</w:t>
        <w:tab/>
        <w:t>Section 1 of the Bylaws of</w:t>
        <w:tab/>
        <w:t>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be amended to read as follows: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349"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affixed the corporate seal of said corporation effective as of the 30th day of September,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 R. Reimer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43" w:name="page44"/>
    <w:bookmarkEnd w:id="43"/>
    <w:p>
      <w:pPr>
        <w:ind w:left="1980"/>
        <w:spacing w:after="0"/>
        <w:rPr>
          <w:sz w:val="20"/>
          <w:szCs w:val="20"/>
          <w:color w:val="auto"/>
        </w:rPr>
      </w:pPr>
      <w:r>
        <w:rPr>
          <w:rFonts w:ascii="Courier New" w:cs="Courier New" w:eastAsia="Courier New" w:hAnsi="Courier New"/>
          <w:sz w:val="15"/>
          <w:szCs w:val="15"/>
          <w:color w:val="auto"/>
        </w:rPr>
        <w:t>CERTIFICATE OF SEVENTEENTH AMENDMENT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MICRON TECHNOLOGY, INC.</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resolutions were adopted by the Board of Directors on June 2, 1997:</w:t>
      </w:r>
    </w:p>
    <w:p>
      <w:pPr>
        <w:spacing w:after="0" w:line="175" w:lineRule="exact"/>
        <w:rPr>
          <w:sz w:val="20"/>
          <w:szCs w:val="20"/>
          <w:color w:val="auto"/>
        </w:rPr>
      </w:pPr>
    </w:p>
    <w:p>
      <w:pPr>
        <w:ind w:left="440" w:right="3459"/>
        <w:spacing w:after="0" w:line="243" w:lineRule="auto"/>
        <w:rPr>
          <w:sz w:val="20"/>
          <w:szCs w:val="20"/>
          <w:color w:val="auto"/>
        </w:rPr>
      </w:pPr>
      <w:r>
        <w:rPr>
          <w:rFonts w:ascii="Courier New" w:cs="Courier New" w:eastAsia="Courier New" w:hAnsi="Courier New"/>
          <w:sz w:val="15"/>
          <w:szCs w:val="15"/>
          <w:color w:val="auto"/>
        </w:rPr>
        <w:t>RESOLVED, that Article III, Section 1 of the Bylaws of this Company be amended to read as follows:</w:t>
      </w:r>
    </w:p>
    <w:p>
      <w:pPr>
        <w:spacing w:after="0" w:line="176"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 the corporate seal of said corporation effective as of the 2nd day of June, 1997.</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 R. Reimer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44" w:name="page45"/>
    <w:bookmarkEnd w:id="44"/>
    <w:p>
      <w:pPr>
        <w:ind w:left="1980"/>
        <w:spacing w:after="0"/>
        <w:rPr>
          <w:sz w:val="20"/>
          <w:szCs w:val="20"/>
          <w:color w:val="auto"/>
        </w:rPr>
      </w:pPr>
      <w:r>
        <w:rPr>
          <w:rFonts w:ascii="Courier New" w:cs="Courier New" w:eastAsia="Courier New" w:hAnsi="Courier New"/>
          <w:sz w:val="15"/>
          <w:szCs w:val="15"/>
          <w:color w:val="auto"/>
        </w:rPr>
        <w:t>CERTIFICATE OF EIGHTEENTH AMENDMENT</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TO THE BYLAWS OF</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MICRON TECHNOLOGY, INC.</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 Jan R. Reimer, Assistant Secretary of Micron Technology, Inc., a Delaware corporation, hereby certify that the following resolutions were adopted by the Board of Directors on April 14, 1998:</w:t>
      </w:r>
    </w:p>
    <w:p>
      <w:pPr>
        <w:spacing w:after="0" w:line="175" w:lineRule="exact"/>
        <w:rPr>
          <w:sz w:val="20"/>
          <w:szCs w:val="20"/>
          <w:color w:val="auto"/>
        </w:rPr>
      </w:pPr>
    </w:p>
    <w:p>
      <w:pPr>
        <w:ind w:left="440" w:right="3459"/>
        <w:spacing w:after="0" w:line="243" w:lineRule="auto"/>
        <w:rPr>
          <w:sz w:val="20"/>
          <w:szCs w:val="20"/>
          <w:color w:val="auto"/>
        </w:rPr>
      </w:pPr>
      <w:r>
        <w:rPr>
          <w:rFonts w:ascii="Courier New" w:cs="Courier New" w:eastAsia="Courier New" w:hAnsi="Courier New"/>
          <w:sz w:val="15"/>
          <w:szCs w:val="15"/>
          <w:color w:val="auto"/>
        </w:rPr>
        <w:t>RESOLVED, that Article III, Section 1 of the Bylaws of this Company be amended to read as follows:</w:t>
      </w:r>
    </w:p>
    <w:p>
      <w:pPr>
        <w:spacing w:after="0" w:line="176" w:lineRule="exact"/>
        <w:rPr>
          <w:sz w:val="20"/>
          <w:szCs w:val="20"/>
          <w:color w:val="auto"/>
        </w:rPr>
      </w:pPr>
    </w:p>
    <w:p>
      <w:pPr>
        <w:ind w:left="440" w:right="3099" w:firstLine="451"/>
        <w:spacing w:after="0" w:line="244"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IN WITNESS WHEREOF, I hereunto set my hand and affix the corporate seal of said corporation effective as of the 20th day of July, 1998.</w:t>
      </w: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Jan R. Reimer</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Assistant Secretary</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(SEAL)</w:t>
      </w:r>
    </w:p>
    <w:p>
      <w:pPr>
        <w:sectPr>
          <w:pgSz w:w="11900" w:h="16838" w:orient="portrait"/>
          <w:cols w:equalWidth="0" w:num="1">
            <w:col w:w="10219"/>
          </w:cols>
          <w:pgMar w:left="240" w:top="638" w:right="1440" w:bottom="1440" w:gutter="0" w:footer="0" w:header="0"/>
        </w:sectPr>
      </w:pPr>
    </w:p>
    <w:bookmarkStart w:id="45" w:name="page46"/>
    <w:bookmarkEnd w:id="45"/>
    <w:p>
      <w:pPr>
        <w:jc w:val="right"/>
        <w:ind w:right="3019"/>
        <w:spacing w:after="0"/>
        <w:rPr>
          <w:sz w:val="20"/>
          <w:szCs w:val="20"/>
          <w:color w:val="auto"/>
        </w:rPr>
      </w:pPr>
      <w:r>
        <w:rPr>
          <w:rFonts w:ascii="Courier New" w:cs="Courier New" w:eastAsia="Courier New" w:hAnsi="Courier New"/>
          <w:sz w:val="15"/>
          <w:szCs w:val="15"/>
          <w:color w:val="auto"/>
        </w:rPr>
        <w:t>EXHIBIT 5.1</w:t>
      </w:r>
    </w:p>
    <w:p>
      <w:pPr>
        <w:spacing w:after="0" w:line="200" w:lineRule="exact"/>
        <w:rPr>
          <w:sz w:val="20"/>
          <w:szCs w:val="20"/>
          <w:color w:val="auto"/>
        </w:rPr>
      </w:pPr>
    </w:p>
    <w:p>
      <w:pPr>
        <w:spacing w:after="0" w:line="32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July 20, 1998</w:t>
      </w:r>
    </w:p>
    <w:p>
      <w:pPr>
        <w:spacing w:after="0" w:line="200" w:lineRule="exact"/>
        <w:rPr>
          <w:sz w:val="20"/>
          <w:szCs w:val="20"/>
          <w:color w:val="auto"/>
        </w:rPr>
      </w:pPr>
    </w:p>
    <w:p>
      <w:pPr>
        <w:spacing w:after="0" w:line="32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Registration Statement on Form S-3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 am Vice President of Legal Affairs, General Counsel and Corporate Secretary for Micron Technology, Inc., a Delaware corporation (the "Company"), and have acted as counsel for the Company in connection with the registration under the Securities Act of 1933, as amended, of 7,600,000 shares of Common Stock, $0.10 par value (the "Common Stock"), of the Company (the "Shares"). The Shares are to be offered and sold by a securityholder of the Company (the "Selling Securityholder"). In this regard I have participated in the preparation of a Registration Statement on Form S-3 relating to the Shares. (Such Registration Statement, as it may be amended from time to time, is herein referred to as the "Registration Statement").</w:t>
      </w:r>
    </w:p>
    <w:p>
      <w:pPr>
        <w:spacing w:after="0" w:line="180"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I am of the opinion that the Shares have been duly authorized and are legally issued, fully paid and nonassessable.</w:t>
      </w:r>
    </w:p>
    <w:p>
      <w:pPr>
        <w:spacing w:after="0" w:line="176" w:lineRule="exact"/>
        <w:rPr>
          <w:sz w:val="20"/>
          <w:szCs w:val="20"/>
          <w:color w:val="auto"/>
        </w:rPr>
      </w:pPr>
    </w:p>
    <w:p>
      <w:pPr>
        <w:ind w:right="3199" w:firstLine="451"/>
        <w:spacing w:after="0" w:line="270" w:lineRule="auto"/>
        <w:rPr>
          <w:sz w:val="20"/>
          <w:szCs w:val="20"/>
          <w:color w:val="auto"/>
        </w:rPr>
      </w:pPr>
      <w:r>
        <w:rPr>
          <w:rFonts w:ascii="Courier New" w:cs="Courier New" w:eastAsia="Courier New" w:hAnsi="Courier New"/>
          <w:sz w:val="14"/>
          <w:szCs w:val="14"/>
          <w:color w:val="auto"/>
        </w:rPr>
        <w:t>I hereby consent to the filing of this opinion as Exhibit 5.1 to the Registration Statement and to the use of my name under the caption "Legal Matters" in the Registration Statement and in the Prospectus included therein.</w:t>
      </w:r>
    </w:p>
    <w:p>
      <w:pPr>
        <w:spacing w:after="0" w:line="15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 Roderic W. Lewis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Roderic W. Lewis</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Vice President of Legal Affairs,</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General Counsel and Corporate Secretary</w:t>
      </w:r>
    </w:p>
    <w:p>
      <w:pPr>
        <w:sectPr>
          <w:pgSz w:w="11900" w:h="16838" w:orient="portrait"/>
          <w:cols w:equalWidth="0" w:num="1">
            <w:col w:w="10219"/>
          </w:cols>
          <w:pgMar w:left="240" w:top="488" w:right="1440" w:bottom="1440" w:gutter="0" w:footer="0" w:header="0"/>
        </w:sectPr>
      </w:pPr>
    </w:p>
    <w:bookmarkStart w:id="46" w:name="page47"/>
    <w:bookmarkEnd w:id="46"/>
    <w:p>
      <w:pPr>
        <w:jc w:val="right"/>
        <w:ind w:right="3019"/>
        <w:spacing w:after="0"/>
        <w:rPr>
          <w:sz w:val="20"/>
          <w:szCs w:val="20"/>
          <w:color w:val="auto"/>
        </w:rPr>
      </w:pPr>
      <w:r>
        <w:rPr>
          <w:rFonts w:ascii="Courier New" w:cs="Courier New" w:eastAsia="Courier New" w:hAnsi="Courier New"/>
          <w:sz w:val="15"/>
          <w:szCs w:val="15"/>
          <w:color w:val="auto"/>
        </w:rPr>
        <w:t>EXHIBIT 10.125</w:t>
      </w:r>
    </w:p>
    <w:p>
      <w:pPr>
        <w:spacing w:after="0" w:line="200" w:lineRule="exact"/>
        <w:rPr>
          <w:sz w:val="20"/>
          <w:szCs w:val="20"/>
          <w:color w:val="auto"/>
        </w:rPr>
      </w:pPr>
    </w:p>
    <w:p>
      <w:pPr>
        <w:spacing w:after="0" w:line="3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pacing w:after="0" w:line="324"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REGISTRATION RIGHTS AGREEMENT</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Dated as of July 20, 1998</w:t>
      </w:r>
    </w:p>
    <w:p>
      <w:pPr>
        <w:sectPr>
          <w:pgSz w:w="11900" w:h="16838" w:orient="portrait"/>
          <w:cols w:equalWidth="0" w:num="1">
            <w:col w:w="9019"/>
          </w:cols>
          <w:pgMar w:left="1440" w:top="487" w:right="1440" w:bottom="1440" w:gutter="0" w:footer="0" w:header="0"/>
        </w:sectPr>
      </w:pPr>
    </w:p>
    <w:bookmarkStart w:id="47" w:name="page48"/>
    <w:bookmarkEnd w:id="47"/>
    <w:p>
      <w:pPr>
        <w:ind w:left="2240"/>
        <w:spacing w:after="0"/>
        <w:rPr>
          <w:sz w:val="20"/>
          <w:szCs w:val="20"/>
          <w:color w:val="auto"/>
        </w:rPr>
      </w:pPr>
      <w:r>
        <w:rPr>
          <w:rFonts w:ascii="Courier New" w:cs="Courier New" w:eastAsia="Courier New" w:hAnsi="Courier New"/>
          <w:sz w:val="15"/>
          <w:szCs w:val="15"/>
          <w:color w:val="auto"/>
        </w:rPr>
        <w:t>REGISTRATION RIGHTS AGREEMENT</w:t>
      </w:r>
    </w:p>
    <w:p>
      <w:pPr>
        <w:spacing w:after="0" w:line="351"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REGISTRATION RIGHTS AGREEMENT, dated as of July 20, 1998 among Micron Technology, Inc., a Delaware corporation ("Micron" or the "Company"), J.R. Simplot Company, a Nevada corporation ("Simplot"), and Canadian Imperial Bank of Commerce ("CIBC").</w:t>
      </w:r>
    </w:p>
    <w:p>
      <w:pPr>
        <w:spacing w:after="0" w:line="175" w:lineRule="exact"/>
        <w:rPr>
          <w:sz w:val="20"/>
          <w:szCs w:val="20"/>
          <w:color w:val="auto"/>
        </w:rPr>
      </w:pPr>
    </w:p>
    <w:p>
      <w:pPr>
        <w:ind w:left="540" w:hanging="367"/>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INTRODUCTION.Pursuant to a Revolving Loan Agreement and a Pledge</w:t>
      </w:r>
    </w:p>
    <w:p>
      <w:pPr>
        <w:spacing w:after="0" w:line="4" w:lineRule="exact"/>
        <w:rPr>
          <w:rFonts w:ascii="Courier New" w:cs="Courier New" w:eastAsia="Courier New" w:hAnsi="Courier New"/>
          <w:sz w:val="15"/>
          <w:szCs w:val="15"/>
          <w:color w:val="auto"/>
        </w:rPr>
      </w:pPr>
    </w:p>
    <w:p>
      <w:pPr>
        <w:ind w:right="30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Agreement, each dated or to be dated on or shortly after the date hereof between Simplot and CIBC, Simplot proposes to pledge to CIBC an aggregate of 7,600,000 shares (the "Shares") of the Company's common stock, par value $.10 per share ("Micron Stock"), and CIBC proposes to subsequently deliver such Shares to satisfy its obligations to return shares of Micron Stock borrowed from third parties. Micron is willing to provide certain registration rights to Simplot and CIBC with respect to the Shares, and Simplot is willing to pay or cause to be paid certain of the Company's expenses under this Agreement on the terms set forth herein. Certain capitalized terms used in this Agreement are defined in section 3 hereof; references to sections shall be to sections of this Agreement.</w:t>
      </w:r>
    </w:p>
    <w:p>
      <w:pPr>
        <w:spacing w:after="0" w:line="161"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UNDER SECURITIES ACT, ETC.</w:t>
      </w:r>
    </w:p>
    <w:p>
      <w:pPr>
        <w:spacing w:after="0" w:line="177"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REGISTRATION ON REQUEST.</w:t>
      </w:r>
    </w:p>
    <w:p>
      <w:pPr>
        <w:spacing w:after="0" w:line="178" w:lineRule="exact"/>
        <w:rPr>
          <w:sz w:val="20"/>
          <w:szCs w:val="20"/>
          <w:color w:val="auto"/>
        </w:rPr>
      </w:pPr>
    </w:p>
    <w:p>
      <w:pPr>
        <w:ind w:right="3019" w:firstLine="624"/>
        <w:spacing w:after="0" w:line="244" w:lineRule="auto"/>
        <w:tabs>
          <w:tab w:leader="none" w:pos="108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THE SHARES. At any time before the first anniversary of this Agreement, upon the written request of Simplot, requesting that the Company effect the registration under the Securities Act of all or part of the Shares and specifying the intended method of disposition thereof, the Company will, subject to the terms of this Agreement, use commercially reasonable efforts to effect the registration under the Securities Act of the Shares for disposition in accordance with the intended method of disposition stated in Simplot's request (which method may include dispositions of the Shares by CIBC), so as to permit the disposition (in accordance with the intended methods thereof as aforesaid) of the Common Stock so to be registered; provided, however, that (i) the Company shall not be required to effect more than one registration pursuant to this section 2.1(a) and that the registration statement filed by the Company on June 29, 1998, as amended through the date of this Agreement (File No. 333-57973), may be utilized by the Company to effect such registration.</w:t>
      </w:r>
    </w:p>
    <w:p>
      <w:pPr>
        <w:spacing w:after="0" w:line="182" w:lineRule="exact"/>
        <w:rPr>
          <w:rFonts w:ascii="Courier New" w:cs="Courier New" w:eastAsia="Courier New" w:hAnsi="Courier New"/>
          <w:sz w:val="15"/>
          <w:szCs w:val="15"/>
          <w:color w:val="auto"/>
        </w:rPr>
      </w:pPr>
    </w:p>
    <w:p>
      <w:pPr>
        <w:ind w:right="3019" w:firstLine="624"/>
        <w:spacing w:after="0" w:line="244" w:lineRule="auto"/>
        <w:tabs>
          <w:tab w:leader="none" w:pos="108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FORM. Registrations under this section 2.1 shall be on such appropriate registration form of the Commission (i) as shall be selected by the Company and (ii) as shall permit the disposition of the Shares in accordance with the intended method or methods of disposition specified in the request for such registration.</w:t>
      </w:r>
    </w:p>
    <w:p>
      <w:pPr>
        <w:spacing w:after="0" w:line="176" w:lineRule="exact"/>
        <w:rPr>
          <w:rFonts w:ascii="Courier New" w:cs="Courier New" w:eastAsia="Courier New" w:hAnsi="Courier New"/>
          <w:sz w:val="15"/>
          <w:szCs w:val="15"/>
          <w:color w:val="auto"/>
        </w:rPr>
      </w:pPr>
    </w:p>
    <w:p>
      <w:pPr>
        <w:ind w:right="3019" w:firstLine="624"/>
        <w:spacing w:after="0" w:line="244" w:lineRule="auto"/>
        <w:tabs>
          <w:tab w:leader="none" w:pos="108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party requesting a registration under this section 2.1 shall pay or cause to be paid all Registration Expenses in connection with any registration requested pursuant to this section 2.1. Simplot and CIBC may by separate agreement allocate such Registration Expenses among themselves and, in any event, shall be responsible for the fees and disbursements of any counsel and accountants retained by them.</w:t>
      </w:r>
    </w:p>
    <w:p>
      <w:pPr>
        <w:spacing w:after="0" w:line="177" w:lineRule="exact"/>
        <w:rPr>
          <w:rFonts w:ascii="Courier New" w:cs="Courier New" w:eastAsia="Courier New" w:hAnsi="Courier New"/>
          <w:sz w:val="15"/>
          <w:szCs w:val="15"/>
          <w:color w:val="auto"/>
        </w:rPr>
      </w:pPr>
    </w:p>
    <w:p>
      <w:pPr>
        <w:ind w:right="3739" w:firstLine="624"/>
        <w:spacing w:after="0" w:line="243" w:lineRule="auto"/>
        <w:tabs>
          <w:tab w:leader="none" w:pos="108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The Company may register other securities in a registration statement filed pursuant to this section 2.1.</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8" w:right="1440" w:bottom="1440" w:gutter="0" w:footer="0" w:header="0"/>
        </w:sectPr>
      </w:pPr>
    </w:p>
    <w:bookmarkStart w:id="48" w:name="page49"/>
    <w:bookmarkEnd w:id="48"/>
    <w:p>
      <w:pPr>
        <w:spacing w:after="0"/>
        <w:tabs>
          <w:tab w:leader="none" w:pos="42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REGISTRATION PROCEDURES.</w:t>
      </w:r>
    </w:p>
    <w:p>
      <w:pPr>
        <w:spacing w:after="0" w:line="178" w:lineRule="exact"/>
        <w:rPr>
          <w:sz w:val="20"/>
          <w:szCs w:val="20"/>
          <w:color w:val="auto"/>
        </w:rPr>
      </w:pPr>
    </w:p>
    <w:p>
      <w:pPr>
        <w:ind w:left="-180" w:right="3019" w:firstLine="714"/>
        <w:spacing w:after="0" w:line="244" w:lineRule="auto"/>
        <w:tabs>
          <w:tab w:leader="none" w:pos="99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COMPANY. If and whenever the Company is required to use commercially reasonable efforts to effect the registration of the Shares under the Securities Act as provided in section 2.1, the Company shall, as expeditiously as possible:</w:t>
      </w:r>
    </w:p>
    <w:p>
      <w:pPr>
        <w:spacing w:after="0" w:line="176" w:lineRule="exact"/>
        <w:rPr>
          <w:sz w:val="20"/>
          <w:szCs w:val="20"/>
          <w:color w:val="auto"/>
        </w:rPr>
      </w:pPr>
    </w:p>
    <w:p>
      <w:pPr>
        <w:ind w:left="260" w:right="3019" w:firstLine="274"/>
        <w:spacing w:after="0" w:line="244" w:lineRule="auto"/>
        <w:tabs>
          <w:tab w:leader="none" w:pos="107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within 10 days after Micron's receipt of a request pursuant to section 2.1 file with the Commission the requisite registration statement to effect such registration; provided, however, that before filing such registration statement or any amendments thereto, the Company will furnish to the counsel for Simplot (and counsel for CIBC if Simplot or CIBC has notified Micron that the intended method of distribution includes dispositions of the Shares by CIBC) copies of all such documents proposed to be filed, which documents will be subject to the review of such counsel;</w:t>
      </w:r>
    </w:p>
    <w:p>
      <w:pPr>
        <w:spacing w:after="0" w:line="178" w:lineRule="exact"/>
        <w:rPr>
          <w:rFonts w:ascii="Courier New" w:cs="Courier New" w:eastAsia="Courier New" w:hAnsi="Courier New"/>
          <w:sz w:val="15"/>
          <w:szCs w:val="15"/>
          <w:color w:val="auto"/>
        </w:rPr>
      </w:pPr>
    </w:p>
    <w:p>
      <w:pPr>
        <w:ind w:left="260" w:right="3019" w:firstLine="274"/>
        <w:spacing w:after="0" w:line="244" w:lineRule="auto"/>
        <w:tabs>
          <w:tab w:leader="none" w:pos="107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such registration statement to become and remain effective for a period of not more than five business days after the DTC Deposit Date (as defined in subdivision (iii) below) and to comply with the provisions of the Securities Act with respect to the disposition of all Shares covered by such registration statement, including without limitation the preparation and filing with the Commission of all required amendments and supplements to such registration statement or the related prospectus;</w:t>
      </w:r>
    </w:p>
    <w:p>
      <w:pPr>
        <w:spacing w:after="0" w:line="177" w:lineRule="exact"/>
        <w:rPr>
          <w:rFonts w:ascii="Courier New" w:cs="Courier New" w:eastAsia="Courier New" w:hAnsi="Courier New"/>
          <w:sz w:val="15"/>
          <w:szCs w:val="15"/>
          <w:color w:val="auto"/>
        </w:rPr>
      </w:pPr>
    </w:p>
    <w:p>
      <w:pPr>
        <w:ind w:left="260" w:right="3019" w:firstLine="274"/>
        <w:spacing w:after="0" w:line="244" w:lineRule="auto"/>
        <w:tabs>
          <w:tab w:leader="none" w:pos="107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Simplot and CIBC to facilitate the preparation and delivery to The Depository Trust Company ("DTC") (the date of such delivery being hereinafter referred to as the "DTC Deposit Date") as soon as practicable after the effectiveness of the registration statement of certificates representing Shares to be disposed of, which certificates shall not bear any restrictive legends and shall be in a form eligible for deposit with DTC; and to enable such Shares to be registered in such names as Simplot or CIBC, as applicable, may request;</w:t>
      </w:r>
    </w:p>
    <w:p>
      <w:pPr>
        <w:spacing w:after="0" w:line="178" w:lineRule="exact"/>
        <w:rPr>
          <w:rFonts w:ascii="Courier New" w:cs="Courier New" w:eastAsia="Courier New" w:hAnsi="Courier New"/>
          <w:sz w:val="15"/>
          <w:szCs w:val="15"/>
          <w:color w:val="auto"/>
        </w:rPr>
      </w:pPr>
    </w:p>
    <w:p>
      <w:pPr>
        <w:ind w:left="260" w:right="3099" w:firstLine="274"/>
        <w:spacing w:after="0" w:line="244" w:lineRule="auto"/>
        <w:tabs>
          <w:tab w:leader="none" w:pos="107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Simplot (and CIBC if Simplot or CIBC has notified Micron that the intended method of distribution includes dispositions of Shares by CIBC) such number of conformed copies of such registration statement and of each such amendment and supplement thereto (in each case including all exhibits), such number of copies of the prospectus contained in such registration statement (including each preliminary prospectus) and any other prospectus filed under Rule 424 under the Securities Act, in conformity with the requirements of the Securities Act, and such other documents, as Simplot or CIBC, as applicable, may reasonably request in order to facilitate the disposition of the Shares in accordance with the intended method of disposition;</w:t>
      </w:r>
    </w:p>
    <w:p>
      <w:pPr>
        <w:spacing w:after="0" w:line="180" w:lineRule="exact"/>
        <w:rPr>
          <w:rFonts w:ascii="Courier New" w:cs="Courier New" w:eastAsia="Courier New" w:hAnsi="Courier New"/>
          <w:sz w:val="15"/>
          <w:szCs w:val="15"/>
          <w:color w:val="auto"/>
        </w:rPr>
      </w:pPr>
    </w:p>
    <w:p>
      <w:pPr>
        <w:ind w:left="260" w:right="3019" w:firstLine="274"/>
        <w:spacing w:after="0" w:line="244" w:lineRule="auto"/>
        <w:tabs>
          <w:tab w:leader="none" w:pos="107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or qualify the Shares under such other securities laws or blue sky laws of such jurisdictions as Simplot (or CIBC if Simplot or CIBC has notified Micron that the intended method of distribution includes dispositions of Shares by CIBC) shall reasonably request, to keep such registrations or qualifications in effect for so long as such registration statement remains in effect, and take any other action which may be reasonably necessary or advisable to enable Simplot or CIBC, as applicable, to consummate the disposition in such jurisdictions of the Shares, except that the Company shall not for any such purpose be</w:t>
      </w:r>
    </w:p>
    <w:p>
      <w:pPr>
        <w:spacing w:after="0" w:line="17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039"/>
          </w:cols>
          <w:pgMar w:left="420" w:top="638" w:right="1440" w:bottom="1440" w:gutter="0" w:footer="0" w:header="0"/>
        </w:sectPr>
      </w:pPr>
    </w:p>
    <w:bookmarkStart w:id="49" w:name="page50"/>
    <w:bookmarkEnd w:id="49"/>
    <w:p>
      <w:pPr>
        <w:ind w:right="3279"/>
        <w:spacing w:after="0" w:line="244" w:lineRule="auto"/>
        <w:rPr>
          <w:sz w:val="20"/>
          <w:szCs w:val="20"/>
          <w:color w:val="auto"/>
        </w:rPr>
      </w:pPr>
      <w:r>
        <w:rPr>
          <w:rFonts w:ascii="Courier New" w:cs="Courier New" w:eastAsia="Courier New" w:hAnsi="Courier New"/>
          <w:sz w:val="15"/>
          <w:szCs w:val="15"/>
          <w:color w:val="auto"/>
        </w:rPr>
        <w:t>required to qualify generally to do business as a foreign corporation in any jurisdiction wherein it would not otherwise be obligated to be so qualified or to consent to general service of process in any such jurisdiction;</w:t>
      </w:r>
    </w:p>
    <w:p>
      <w:pPr>
        <w:spacing w:after="0" w:line="176" w:lineRule="exact"/>
        <w:rPr>
          <w:sz w:val="20"/>
          <w:szCs w:val="20"/>
          <w:color w:val="auto"/>
        </w:rPr>
      </w:pPr>
    </w:p>
    <w:p>
      <w:pPr>
        <w:ind w:right="3019" w:firstLine="274"/>
        <w:spacing w:after="0" w:line="244" w:lineRule="auto"/>
        <w:tabs>
          <w:tab w:leader="none" w:pos="81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such registration statement remains in effect, use all commercially reasonable efforts to cause all the Shares to be registered with or approved by such governmental agencies or authorities as Simplot (and CIBC if Simplot or CIBC has notified Micron that the intended method of distribution includes dispositions of Shares by CIBC) shall reasonably request to enable Simplot or CIBC, as applicable, to consummate the disposition of the Shares;</w:t>
      </w:r>
    </w:p>
    <w:p>
      <w:pPr>
        <w:spacing w:after="0" w:line="177" w:lineRule="exact"/>
        <w:rPr>
          <w:rFonts w:ascii="Courier New" w:cs="Courier New" w:eastAsia="Courier New" w:hAnsi="Courier New"/>
          <w:sz w:val="15"/>
          <w:szCs w:val="15"/>
          <w:color w:val="auto"/>
        </w:rPr>
      </w:pPr>
    </w:p>
    <w:p>
      <w:pPr>
        <w:ind w:right="3019" w:firstLine="274"/>
        <w:spacing w:after="0" w:line="244" w:lineRule="auto"/>
        <w:tabs>
          <w:tab w:leader="none" w:pos="81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Simplot (and CIBC if Simplot or CIBC has notified Micron that the intended method of distribution includes dispositions of Shares by CIBC) promptly and confirm such advice in writing promptly thereafter:</w:t>
      </w:r>
    </w:p>
    <w:p>
      <w:pPr>
        <w:spacing w:after="0" w:line="175" w:lineRule="exact"/>
        <w:rPr>
          <w:rFonts w:ascii="Courier New" w:cs="Courier New" w:eastAsia="Courier New" w:hAnsi="Courier New"/>
          <w:sz w:val="15"/>
          <w:szCs w:val="15"/>
          <w:color w:val="auto"/>
        </w:rPr>
      </w:pPr>
    </w:p>
    <w:p>
      <w:pPr>
        <w:ind w:left="460" w:right="3199" w:firstLine="535"/>
        <w:spacing w:after="0" w:line="244" w:lineRule="auto"/>
        <w:tabs>
          <w:tab w:leader="none" w:pos="145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registration statement, the prospectus or any prospectus supplement related thereto or post-effective amendment to the registration statement has been filed, and, with respect to the registration statement or any post-effective amendment thereto, when the same has become effective;</w:t>
      </w:r>
    </w:p>
    <w:p>
      <w:pPr>
        <w:spacing w:after="0" w:line="176" w:lineRule="exact"/>
        <w:rPr>
          <w:rFonts w:ascii="Courier New" w:cs="Courier New" w:eastAsia="Courier New" w:hAnsi="Courier New"/>
          <w:sz w:val="15"/>
          <w:szCs w:val="15"/>
          <w:color w:val="auto"/>
        </w:rPr>
      </w:pPr>
    </w:p>
    <w:p>
      <w:pPr>
        <w:ind w:left="460" w:right="3379" w:firstLine="535"/>
        <w:spacing w:after="0" w:line="244" w:lineRule="auto"/>
        <w:tabs>
          <w:tab w:leader="none" w:pos="145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request by the Commission for amendments or supplements to the registration statement or the prospectus or for additional information;</w:t>
      </w:r>
    </w:p>
    <w:p>
      <w:pPr>
        <w:spacing w:after="0" w:line="175" w:lineRule="exact"/>
        <w:rPr>
          <w:rFonts w:ascii="Courier New" w:cs="Courier New" w:eastAsia="Courier New" w:hAnsi="Courier New"/>
          <w:sz w:val="15"/>
          <w:szCs w:val="15"/>
          <w:color w:val="auto"/>
        </w:rPr>
      </w:pPr>
    </w:p>
    <w:p>
      <w:pPr>
        <w:ind w:left="460" w:right="3459" w:firstLine="535"/>
        <w:spacing w:after="0" w:line="244" w:lineRule="auto"/>
        <w:tabs>
          <w:tab w:leader="none" w:pos="145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issuance by the Commission of any stop order suspending the effectiveness of the registration statement or the initiation of any proceedings by any Person for that purpose; and</w:t>
      </w:r>
    </w:p>
    <w:p>
      <w:pPr>
        <w:spacing w:after="0" w:line="175" w:lineRule="exact"/>
        <w:rPr>
          <w:rFonts w:ascii="Courier New" w:cs="Courier New" w:eastAsia="Courier New" w:hAnsi="Courier New"/>
          <w:sz w:val="15"/>
          <w:szCs w:val="15"/>
          <w:color w:val="auto"/>
        </w:rPr>
      </w:pPr>
    </w:p>
    <w:p>
      <w:pPr>
        <w:ind w:left="460" w:right="3099" w:firstLine="535"/>
        <w:spacing w:after="0" w:line="244" w:lineRule="auto"/>
        <w:tabs>
          <w:tab w:leader="none" w:pos="145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receipt by the Company of any notification with respect to the suspension of the qualification of any Shares for sale under the securities or blue sky laws of any jurisdiction or the initiation or threat of any proceeding for such purpose;</w:t>
      </w:r>
    </w:p>
    <w:p>
      <w:pPr>
        <w:spacing w:after="0" w:line="175" w:lineRule="exact"/>
        <w:rPr>
          <w:rFonts w:ascii="Courier New" w:cs="Courier New" w:eastAsia="Courier New" w:hAnsi="Courier New"/>
          <w:sz w:val="15"/>
          <w:szCs w:val="15"/>
          <w:color w:val="auto"/>
        </w:rPr>
      </w:pPr>
    </w:p>
    <w:p>
      <w:pPr>
        <w:ind w:right="3019" w:firstLine="274"/>
        <w:spacing w:after="0" w:line="244" w:lineRule="auto"/>
        <w:tabs>
          <w:tab w:leader="none" w:pos="99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Simplot and CIBC, at any time when with respect to the Shares a prospectus relating thereto is required to be delivered under the Securities Act, upon the Company's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the light of the circumstances then existing, and promptly prepare, file with the Commission and furnish to Simplot and CIBC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then existing;</w:t>
      </w:r>
    </w:p>
    <w:p>
      <w:pPr>
        <w:spacing w:after="0" w:line="182" w:lineRule="exact"/>
        <w:rPr>
          <w:rFonts w:ascii="Courier New" w:cs="Courier New" w:eastAsia="Courier New" w:hAnsi="Courier New"/>
          <w:sz w:val="15"/>
          <w:szCs w:val="15"/>
          <w:color w:val="auto"/>
        </w:rPr>
      </w:pPr>
    </w:p>
    <w:p>
      <w:pPr>
        <w:ind w:right="3019" w:firstLine="274"/>
        <w:spacing w:after="0" w:line="243" w:lineRule="auto"/>
        <w:tabs>
          <w:tab w:leader="none" w:pos="81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the withdrawal of any order suspending the effectiveness of the registration statement at the earliest possible moment; and</w:t>
      </w:r>
    </w:p>
    <w:p>
      <w:pPr>
        <w:spacing w:after="0" w:line="34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79"/>
          </w:cols>
          <w:pgMar w:left="680" w:top="638" w:right="1440" w:bottom="1440" w:gutter="0" w:footer="0" w:header="0"/>
        </w:sectPr>
      </w:pPr>
    </w:p>
    <w:bookmarkStart w:id="50" w:name="page51"/>
    <w:bookmarkEnd w:id="50"/>
    <w:p>
      <w:pPr>
        <w:ind w:left="448" w:right="3019" w:firstLine="274"/>
        <w:spacing w:after="0" w:line="244" w:lineRule="auto"/>
        <w:tabs>
          <w:tab w:leader="none" w:pos="125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comply with all applicable rules and regulations of the Commission, and make available to its security holders, as soon as reasonably practicable, an earnings statement covering the period of at least 12 months, but not more than 18 months, beginning with the first full calendar month after the effective date of such registration statement, which earnings statement shall satisfy the provisions of Section 11(a) of the Securities Act and Rule 158 thereunder, and furnish to Simplot (and CIBC if Simplot or CIBC has notified Micron that the intended method of distribution includes dispositions of Shares by CIBC) at least five business days prior to the filing thereof a copy of any amendment or supplement to such registration statement or prospectus and shall not file any thereof to which Simplot (or CIBC, if applicable) shall have reasonably objected on the grounds that such amendment or supplement does not comply in all material respects with the requirements of the Securities Act.</w:t>
      </w:r>
    </w:p>
    <w:p>
      <w:pPr>
        <w:spacing w:after="0" w:line="182" w:lineRule="exact"/>
        <w:rPr>
          <w:sz w:val="20"/>
          <w:szCs w:val="20"/>
          <w:color w:val="auto"/>
        </w:rPr>
      </w:pPr>
    </w:p>
    <w:p>
      <w:pPr>
        <w:ind w:left="8" w:right="3099" w:firstLine="714"/>
        <w:spacing w:after="0" w:line="244" w:lineRule="auto"/>
        <w:tabs>
          <w:tab w:leader="none" w:pos="118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TO BE FURNISHED TO COMPANY. Simplot (and CIBC if Simplot or CIBC has notified Micron that the intended method of distribution includes dispositions of Shares by CIBC) shall furnish the Company such information regarding itself, its ownership of the Company's securities and the distribution of such securities as the Company may from time to time reasonably request in writing.</w:t>
      </w:r>
    </w:p>
    <w:p>
      <w:pPr>
        <w:spacing w:after="0" w:line="177" w:lineRule="exact"/>
        <w:rPr>
          <w:rFonts w:ascii="Courier New" w:cs="Courier New" w:eastAsia="Courier New" w:hAnsi="Courier New"/>
          <w:sz w:val="15"/>
          <w:szCs w:val="15"/>
          <w:color w:val="auto"/>
        </w:rPr>
      </w:pPr>
    </w:p>
    <w:p>
      <w:pPr>
        <w:ind w:left="8" w:right="3019" w:firstLine="714"/>
        <w:spacing w:after="0" w:line="244" w:lineRule="auto"/>
        <w:tabs>
          <w:tab w:leader="none" w:pos="118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NOT TO BE FILED. The Company will not file any registration statement or amendment thereto or any prospectus or any supplement thereto (including such documents incorporated by reference and proposed to be filed after the initial filing of the registration statement) in satisfaction of its obligations pursuant to this section 2 to which Simplot (or CIBC if Simplot or CIBC has notified Micron that the intended method of distribution includes dispositions of Shares by CIBC) shall reasonably object, provided that the Company may file such document in a form required by law or upon the advice of its counsel.</w:t>
      </w:r>
    </w:p>
    <w:p>
      <w:pPr>
        <w:spacing w:after="0" w:line="179" w:lineRule="exact"/>
        <w:rPr>
          <w:rFonts w:ascii="Courier New" w:cs="Courier New" w:eastAsia="Courier New" w:hAnsi="Courier New"/>
          <w:sz w:val="15"/>
          <w:szCs w:val="15"/>
          <w:color w:val="auto"/>
        </w:rPr>
      </w:pPr>
    </w:p>
    <w:p>
      <w:pPr>
        <w:ind w:left="8" w:right="3099" w:firstLine="714"/>
        <w:spacing w:after="0" w:line="243" w:lineRule="auto"/>
        <w:tabs>
          <w:tab w:leader="none" w:pos="118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DISCONTINUANCE OF DISPOSITION. Upon receipt of any notice from the Company of the occurrence of any event of the kind described in subdivision</w:t>
      </w:r>
    </w:p>
    <w:p>
      <w:pPr>
        <w:spacing w:after="0" w:line="2" w:lineRule="exact"/>
        <w:rPr>
          <w:rFonts w:ascii="Courier New" w:cs="Courier New" w:eastAsia="Courier New" w:hAnsi="Courier New"/>
          <w:sz w:val="15"/>
          <w:szCs w:val="15"/>
          <w:color w:val="auto"/>
        </w:rPr>
      </w:pPr>
    </w:p>
    <w:p>
      <w:pPr>
        <w:ind w:left="8" w:right="3019" w:hanging="8"/>
        <w:spacing w:after="0" w:line="244" w:lineRule="auto"/>
        <w:tabs>
          <w:tab w:leader="none" w:pos="63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2.2(a), each of Simplot and CIBC will forthwith discontinue its disposition of the Shares pursuant to the registration statement relating thereto until its receipt of the copies of the supplemented or amended prospectus contemplated by subdivision (viii) of section 2.2(a) and, if so directed by the Company, will at its own expense deliver to the Company all copies, other than permanent file copies, then in its possession of the prospectus relating to the Shares current at the time of receipt of such notice. In the event the Company shall give any such notice, the period mentioned in subdivision (ii) of section 2.2(a) shall be extended by the length of the period from and including the date Simplot and CIBC shall have received such notice to the date on which Simplot and CIBC shall have received the copies of the supplemented or amended prospectus contemplated by subdivision (viii) of section 2.2(a).</w:t>
      </w:r>
    </w:p>
    <w:p>
      <w:pPr>
        <w:spacing w:after="0" w:line="355" w:lineRule="exact"/>
        <w:rPr>
          <w:sz w:val="20"/>
          <w:szCs w:val="20"/>
          <w:color w:val="auto"/>
        </w:rPr>
      </w:pPr>
    </w:p>
    <w:p>
      <w:pPr>
        <w:ind w:left="8" w:right="3099" w:firstLine="180"/>
        <w:spacing w:after="0" w:line="244" w:lineRule="auto"/>
        <w:rPr>
          <w:sz w:val="20"/>
          <w:szCs w:val="20"/>
          <w:color w:val="auto"/>
        </w:rPr>
      </w:pPr>
      <w:r>
        <w:rPr>
          <w:rFonts w:ascii="Courier New" w:cs="Courier New" w:eastAsia="Courier New" w:hAnsi="Courier New"/>
          <w:sz w:val="15"/>
          <w:szCs w:val="15"/>
          <w:color w:val="auto"/>
        </w:rPr>
        <w:t>2.3 PREPARATION; REASONABLE INVESTIGATION. In connection with the preparation and filing of each registration statement under the Securities Act pursuant to this Agreement, the Company will give Simplot and its counsel (and CIBC and its counsel if Simplot or CIBC has notified Micron that the intended method of distribution includes dispositions of Shares by CIBC) the opportunity to participate in the preparation of such registration statement, each prospectus included therein or filed with the Commission, and each amendment thereof or supplement thereto, and will give each of them such access to its financial books and records and such opportunities to discuss the business of the Company with its officers and the independent public accountants who</w:t>
      </w:r>
    </w:p>
    <w:p>
      <w:pPr>
        <w:spacing w:after="0" w:line="17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8" w:right="1440" w:bottom="1440" w:gutter="0" w:footer="0" w:header="0"/>
        </w:sectPr>
      </w:pPr>
    </w:p>
    <w:bookmarkStart w:id="51" w:name="page52"/>
    <w:bookmarkEnd w:id="51"/>
    <w:p>
      <w:pPr>
        <w:ind w:left="8" w:right="3019"/>
        <w:spacing w:after="0" w:line="244" w:lineRule="auto"/>
        <w:rPr>
          <w:sz w:val="20"/>
          <w:szCs w:val="20"/>
          <w:color w:val="auto"/>
        </w:rPr>
      </w:pPr>
      <w:r>
        <w:rPr>
          <w:rFonts w:ascii="Courier New" w:cs="Courier New" w:eastAsia="Courier New" w:hAnsi="Courier New"/>
          <w:sz w:val="15"/>
          <w:szCs w:val="15"/>
          <w:color w:val="auto"/>
        </w:rPr>
        <w:t>have certified its financial statements as shall be necessary, in the opinion of counsel to Simplot or CIBC, as applicable, to conduct a reasonable investigation within the meaning of the Securities Act. The Company shall not be responsible for any cost or expense incurred by Simplot, CIBC or their respective counsel pursuant to this section 2.3. All information obtained by Simplot, CIBC or their respective counsel pursuant to this section 2.3 shall be subject to the confidentiality provisions of section 4.</w:t>
      </w:r>
    </w:p>
    <w:p>
      <w:pPr>
        <w:spacing w:after="0" w:line="177" w:lineRule="exact"/>
        <w:rPr>
          <w:sz w:val="20"/>
          <w:szCs w:val="20"/>
          <w:color w:val="auto"/>
        </w:rPr>
      </w:pPr>
    </w:p>
    <w:p>
      <w:pPr>
        <w:ind w:left="188"/>
        <w:spacing w:after="0"/>
        <w:tabs>
          <w:tab w:leader="none" w:pos="607" w:val="left"/>
        </w:tabs>
        <w:rPr>
          <w:sz w:val="20"/>
          <w:szCs w:val="20"/>
          <w:color w:val="auto"/>
        </w:rPr>
      </w:pPr>
      <w:r>
        <w:rPr>
          <w:rFonts w:ascii="Courier New" w:cs="Courier New" w:eastAsia="Courier New" w:hAnsi="Courier New"/>
          <w:sz w:val="15"/>
          <w:szCs w:val="15"/>
          <w:color w:val="auto"/>
        </w:rPr>
        <w:t>2.4</w:t>
        <w:tab/>
        <w:t>INDEMNIFICATION.</w:t>
      </w:r>
    </w:p>
    <w:p>
      <w:pPr>
        <w:spacing w:after="0" w:line="178" w:lineRule="exact"/>
        <w:rPr>
          <w:sz w:val="20"/>
          <w:szCs w:val="20"/>
          <w:color w:val="auto"/>
        </w:rPr>
      </w:pPr>
    </w:p>
    <w:p>
      <w:pPr>
        <w:ind w:left="8" w:right="3019" w:firstLine="714"/>
        <w:spacing w:after="0" w:line="244" w:lineRule="auto"/>
        <w:tabs>
          <w:tab w:leader="none" w:pos="118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THE COMPANY. In the event of any registration of the Shares under the Securities Act pursuant to the terms of this Agreement, the Company shall indemnify and hold harmless (i) Simplot, its directors and officers and each other Person, if any, who controls Simplot within the meaning of the Securities Act (Simplot and all such directors, officers and controlling persons collectively, "Simplot Indemnitees"), and (ii) CIBC, its directors and officers and each other Person, if any, who controls CIBC within the meaning of the Securities Act (CIBC and all such directors, officers and controlling persons collectively, "CIBC Indemnitees"), against any losses, claims, damages or liabilities, joint or several ("Indemnifiable Losses"), to which any Simplot Indemnitee or CIBC Indemnitee may become subject under the Securities Act or otherwise, insofar as such Indemnifiable Losses (or actions or proceedings, whether commenced or threatened, in respect thereof) arise out of or are based upon any untrue statement or alleged untrue statement of any material fact contained in any registration statement under which such securities were registered under the Securities Act, any preliminary prospectus or final prospectus contained therein, or any amendment or supplement thereto, or any omission or alleged omission to state therein a material fact required to be stated therein or necessary to make the statements therein not misleading, and the Company will reimburse each Simplot Indemnitee and each CIBC Indemnitee for any legal or any other expenses ("Indemnifiable Expenses") reasonably incurred by them in connection with investigating or defending any such Indemnifiable Loss, provided that the Company shall not be liable to any Simplot Indemnitee or CIBC Indemnitee in any such case to the extent that any such Indemnifiable Loss (or action or proceeding in respect thereof) or Indemnifiable Expense arises out of or is based upon an untrue statement or alleged untrue statement or omission or alleged omission made in such registration statement, in any related preliminary prospectus or final prospectus, or in any amendment or supplement thereto in reliance upon and in conformity with written information furnished to the Company through an instrument duly executed by Simplot (in the case of a Simplot Indemnitee) or CIBC (in the case of a CIBC Indemnitee). Such indemnity shall remain in full force and effect regardless of any investigation made by or on behalf of any Simplot Indemnitee or CIBC Indemnitee and shall survive the transfer of the Shares by Simplot or CIBC.</w:t>
      </w:r>
    </w:p>
    <w:p>
      <w:pPr>
        <w:spacing w:after="0" w:line="194" w:lineRule="exact"/>
        <w:rPr>
          <w:rFonts w:ascii="Courier New" w:cs="Courier New" w:eastAsia="Courier New" w:hAnsi="Courier New"/>
          <w:sz w:val="15"/>
          <w:szCs w:val="15"/>
          <w:color w:val="auto"/>
        </w:rPr>
      </w:pPr>
    </w:p>
    <w:p>
      <w:pPr>
        <w:ind w:left="8" w:right="3099" w:firstLine="714"/>
        <w:spacing w:after="0" w:line="243" w:lineRule="auto"/>
        <w:tabs>
          <w:tab w:leader="none" w:pos="118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SIMPLOT. Simplot shall indemnify and hold harmless (in the same manner and to the same extent as set forth in subdivision</w:t>
      </w:r>
    </w:p>
    <w:p>
      <w:pPr>
        <w:spacing w:after="0" w:line="2"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2.4) the Company, each director of the Company, each officer of the Company and each other person, if any, who controls the Company within the meaning of the Securities Act (the Company and all such directors, officers and controlling persons collectively, "Micron Indemnitees"), with respect to any statement or alleged statement in or omission or alleged omission from such registration statement, any related preliminary prospectus or final prospectus, or any amendment or supplement thereto, if such statement or alleged statement or omission or alleged omission was made in reliance upon and in conformity with written information furnished to the Company through an instrument duly executed by Simplot specifically stating that it is for use in the preparation of such registration</w:t>
      </w: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8" w:right="1440" w:bottom="1440" w:gutter="0" w:footer="0" w:header="0"/>
        </w:sectPr>
      </w:pPr>
    </w:p>
    <w:bookmarkStart w:id="52" w:name="page53"/>
    <w:bookmarkEnd w:id="52"/>
    <w:p>
      <w:pPr>
        <w:ind w:right="3279"/>
        <w:spacing w:after="0" w:line="244" w:lineRule="auto"/>
        <w:rPr>
          <w:sz w:val="20"/>
          <w:szCs w:val="20"/>
          <w:color w:val="auto"/>
        </w:rPr>
      </w:pPr>
      <w:r>
        <w:rPr>
          <w:rFonts w:ascii="Courier New" w:cs="Courier New" w:eastAsia="Courier New" w:hAnsi="Courier New"/>
          <w:sz w:val="15"/>
          <w:szCs w:val="15"/>
          <w:color w:val="auto"/>
        </w:rPr>
        <w:t>statement, preliminary prospectus, final prospectus, amendment or supplement. Such indemnity shall remain in full force and effect, regardless of any investigation made by or on behalf of any Micron Indemnitee and shall survive the transfer of such securities by Simplot or CIBC.</w:t>
      </w:r>
    </w:p>
    <w:p>
      <w:pPr>
        <w:spacing w:after="0" w:line="176" w:lineRule="exact"/>
        <w:rPr>
          <w:sz w:val="20"/>
          <w:szCs w:val="20"/>
          <w:color w:val="auto"/>
        </w:rPr>
      </w:pPr>
    </w:p>
    <w:p>
      <w:pPr>
        <w:ind w:right="3019" w:firstLine="714"/>
        <w:spacing w:after="0" w:line="244" w:lineRule="auto"/>
        <w:tabs>
          <w:tab w:leader="none" w:pos="117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CIBC. CIBC shall indemnify and hold harmless (in the same manner and to the same extent as set forth in subdivision (a) of this section 2.4) each Micron Indemnitee, with respect to any statement or alleged statement in or omission or alleged omission from such registration statement, any related preliminary prospectus or final prospectus, or any amendment or supplement thereto, if such statement or alleged statement or omission or alleged omission was made in reliance upon and in conformity with written information furnished to the Company through an instrument duly executed by CIBC specifically stating that it is for use in the preparation of such registration statement, preliminary prospectus, final prospectus, amendment or supplement. Such indemnity shall remain in full force and effect, regardless of any investigation made by or on behalf of the Company or any such director, officer or controlling person and shall survive the transfer of such securities by Simplot or CIBC.</w:t>
      </w:r>
    </w:p>
    <w:p>
      <w:pPr>
        <w:spacing w:after="0" w:line="182" w:lineRule="exact"/>
        <w:rPr>
          <w:rFonts w:ascii="Courier New" w:cs="Courier New" w:eastAsia="Courier New" w:hAnsi="Courier New"/>
          <w:sz w:val="15"/>
          <w:szCs w:val="15"/>
          <w:color w:val="auto"/>
        </w:rPr>
      </w:pPr>
    </w:p>
    <w:p>
      <w:pPr>
        <w:ind w:right="3019" w:firstLine="714"/>
        <w:spacing w:after="0" w:line="263" w:lineRule="auto"/>
        <w:tabs>
          <w:tab w:leader="none" w:pos="117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OF CLAIMS, ETC. Promptly after receipt by an indemnified party of notice of the commencement of any action or proceeding involving an Indemnifiable Loss, such indemnified party will, if a claim in respect thereof is to be made against an indemnifying party, give written notice to the latter of the commencement of such action, provided that the failure of any indemnified party to give notice as provided herein shall not relieve the indemnifying party of its obligations under the preceding subdivisions of this section 2.4,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shall be entitled to participate in and to assume the defense thereof, jointly with any other indemnifying party similarly notified, to the extent that the indemnifying party may wish, with counsel reasonably satisfactory to such indemnified party, and after notice from the indemnifying party to such indemnified party of its election so to assume the defense thereof, the indemnifying party shall not be liable to such indemnified party for any Indemnifiable Expenses subsequently incurred by the latter in connection with the defense thereof other than reasonable costs of investigation. No indemnifying party shall, without the consent of the indemnified party, consent to entry of any judgment or enter into any settlement of any such action which does not include as an unconditional term thereof the giving by the claimant or plaintiff to such indemnified party of a release from all liability in respect to such claim or litigation. No indemnified party shall consent to entry of any judgment or enter into any settlement of any such action the defense of which has been assumed by an indemnifying party without the consent of such indemnifying party.</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right="3099" w:firstLine="714"/>
        <w:spacing w:after="0" w:line="244" w:lineRule="auto"/>
        <w:tabs>
          <w:tab w:leader="none" w:pos="117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PAYMENTS. The indemnification required by this section 2.4 shall be made by periodic payments of the amount thereof during the course of the investigation or defense upon 30 days' written invoice of such Indemnifiable Loss or Indemnifiable Expense.</w:t>
      </w:r>
    </w:p>
    <w:p>
      <w:pPr>
        <w:spacing w:after="0" w:line="175" w:lineRule="exact"/>
        <w:rPr>
          <w:rFonts w:ascii="Courier New" w:cs="Courier New" w:eastAsia="Courier New" w:hAnsi="Courier New"/>
          <w:sz w:val="15"/>
          <w:szCs w:val="15"/>
          <w:color w:val="auto"/>
        </w:rPr>
      </w:pPr>
    </w:p>
    <w:p>
      <w:pPr>
        <w:ind w:right="3019" w:firstLine="714"/>
        <w:spacing w:after="0" w:line="244" w:lineRule="auto"/>
        <w:tabs>
          <w:tab w:leader="none" w:pos="117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If the indemnification provided for in the preceding subdivisions of this section 2.4 is unavailable to an indemnified party in respect of any Indemnifiable Loss, then each indemnifying party, in lieu of indemnifying such indemnified party, shall contribute to the amount paid or payable by such indemnified party as a result of such Indemnifiable Loss in such proportion as is appropriate to reflect the relative fault of the Company,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9" w:right="1440" w:bottom="1440" w:gutter="0" w:footer="0" w:header="0"/>
        </w:sectPr>
      </w:pPr>
    </w:p>
    <w:bookmarkStart w:id="53" w:name="page54"/>
    <w:bookmarkEnd w:id="53"/>
    <w:p>
      <w:pPr>
        <w:ind w:right="3019"/>
        <w:spacing w:after="0" w:line="263" w:lineRule="auto"/>
        <w:rPr>
          <w:sz w:val="20"/>
          <w:szCs w:val="20"/>
          <w:color w:val="auto"/>
        </w:rPr>
      </w:pPr>
      <w:r>
        <w:rPr>
          <w:rFonts w:ascii="Courier New" w:cs="Courier New" w:eastAsia="Courier New" w:hAnsi="Courier New"/>
          <w:sz w:val="14"/>
          <w:szCs w:val="14"/>
          <w:color w:val="auto"/>
        </w:rPr>
        <w:t>Simplot and CIBC, respectively, in connection with the statements or omissions which resulted in such Indemnifiable Loss, as well as any other relevant equitable considerations. The relative fault of the Company, Simplot and CIBC, respectively, shall be determined by reference to, among other things, whether the untrue or alleged untrue statement of a material fact or omission to state a material fact relates to information supplied by the Company, Simplot or CIBC, as applicable, and the parties' relative intent, knowledge, access to information and opportunity to correct or prevent such statement or omission, provided that the foregoing contribution agreement shall not inure to the benefit of any indemnified party if indemnification would be unavailable to such indemnified party by reason of the provisions contained in the first sentence of subdivision (a) of this section 2.4, and in no event shall the obligation of any indemnifying party to contribute under this subdivision (g) exceed the amount that such indemnifying party would have been obligated to pay by way of indemnification if the indemnification provided for under subdivisions (a), (b) or (c) of this section 2.4 had been available under the circumstances.</w:t>
      </w:r>
    </w:p>
    <w:p>
      <w:pPr>
        <w:spacing w:after="0" w:line="167"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 Simplot and CIBC agree that it would not be just and equitable if contribution pursuant to this subdivision (g) were determined by pro rata allocation or by any other method of allocation that does not take account of the equitable considerations referred to in the immediately preceding paragraph. The amount paid or payable by an indemnified party as a result of the Indemnifiable Losses shall be deemed to include, subject to the limitations set forth in the preceding sentence and subdivision (d) of this section 2.4, any Indemnifiable Expenses incurred by such indemnified party in connection with investigating or defending any such action or claim.</w:t>
      </w:r>
    </w:p>
    <w:p>
      <w:pPr>
        <w:spacing w:after="0" w:line="179"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Notwithstanding the provisions of this subdivision (g), neither Simplot nor CIBC shall be required to contribute any amount in excess of the amount by which the net proceeds (including loan repayments) received by Simplot or CIBC, as applicable, from the disposition of the Shares exceeds, in any such case, the amount of any damages that Simplot or CIBC, as applicable, has otherwise been required to pay by reason of such untrue or alleged untrue statement or omission. No Person guilty of fraudulent misrepresentation (within the meaning of Section 11(f) of the Securities Act) shall be entitled to contribution from any person who was not guilty of such fraudulent misrepresentation.</w:t>
      </w:r>
    </w:p>
    <w:p>
      <w:pPr>
        <w:spacing w:after="0" w:line="179" w:lineRule="exact"/>
        <w:rPr>
          <w:sz w:val="20"/>
          <w:szCs w:val="20"/>
          <w:color w:val="auto"/>
        </w:rPr>
      </w:pPr>
    </w:p>
    <w:p>
      <w:pPr>
        <w:ind w:right="3019" w:firstLine="173"/>
        <w:spacing w:after="0" w:line="243" w:lineRule="auto"/>
        <w:tabs>
          <w:tab w:leader="none" w:pos="54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unless the context otherwise requires, the following terms have the following respective meanings:</w:t>
      </w:r>
    </w:p>
    <w:p>
      <w:pPr>
        <w:spacing w:after="0" w:line="176" w:lineRule="exact"/>
        <w:rPr>
          <w:sz w:val="20"/>
          <w:szCs w:val="20"/>
          <w:color w:val="auto"/>
        </w:rPr>
      </w:pPr>
    </w:p>
    <w:p>
      <w:pPr>
        <w:ind w:left="440" w:right="3019" w:firstLine="271"/>
        <w:spacing w:after="0" w:line="243" w:lineRule="auto"/>
        <w:rPr>
          <w:sz w:val="20"/>
          <w:szCs w:val="20"/>
          <w:color w:val="auto"/>
        </w:rPr>
      </w:pPr>
      <w:r>
        <w:rPr>
          <w:rFonts w:ascii="Courier New" w:cs="Courier New" w:eastAsia="Courier New" w:hAnsi="Courier New"/>
          <w:sz w:val="15"/>
          <w:szCs w:val="15"/>
          <w:color w:val="auto"/>
        </w:rPr>
        <w:t>Commission: The Securities and Exchange Commission or any other Federal agency at the time administering the Securities Act.</w:t>
      </w:r>
    </w:p>
    <w:p>
      <w:pPr>
        <w:spacing w:after="0" w:line="175" w:lineRule="exact"/>
        <w:rPr>
          <w:sz w:val="20"/>
          <w:szCs w:val="20"/>
          <w:color w:val="auto"/>
        </w:rPr>
      </w:pPr>
    </w:p>
    <w:p>
      <w:pPr>
        <w:ind w:left="720"/>
        <w:spacing w:after="0"/>
        <w:tabs>
          <w:tab w:leader="none" w:pos="1600" w:val="left"/>
        </w:tabs>
        <w:rPr>
          <w:sz w:val="20"/>
          <w:szCs w:val="20"/>
          <w:color w:val="auto"/>
        </w:rPr>
      </w:pPr>
      <w:r>
        <w:rPr>
          <w:rFonts w:ascii="Courier New" w:cs="Courier New" w:eastAsia="Courier New" w:hAnsi="Courier New"/>
          <w:sz w:val="15"/>
          <w:szCs w:val="15"/>
          <w:color w:val="auto"/>
        </w:rPr>
        <w:t>Company:</w:t>
        <w:tab/>
        <w:t>As defined in the introductory paragraph of this Agreement.</w:t>
      </w:r>
    </w:p>
    <w:p>
      <w:pPr>
        <w:spacing w:after="0" w:line="178" w:lineRule="exact"/>
        <w:rPr>
          <w:sz w:val="20"/>
          <w:szCs w:val="20"/>
          <w:color w:val="auto"/>
        </w:rPr>
      </w:pPr>
    </w:p>
    <w:p>
      <w:pPr>
        <w:ind w:left="440" w:right="3279" w:firstLine="271"/>
        <w:spacing w:after="0" w:line="244" w:lineRule="auto"/>
        <w:rPr>
          <w:sz w:val="20"/>
          <w:szCs w:val="20"/>
          <w:color w:val="auto"/>
        </w:rPr>
      </w:pPr>
      <w:r>
        <w:rPr>
          <w:rFonts w:ascii="Courier New" w:cs="Courier New" w:eastAsia="Courier New" w:hAnsi="Courier New"/>
          <w:sz w:val="15"/>
          <w:szCs w:val="15"/>
          <w:color w:val="auto"/>
        </w:rPr>
        <w:t>Exchange Act: The Securities Exchange Act of 1934, and the rules and regulations of the Commission thereunder, all as the same shall be in effect at the time.</w:t>
      </w:r>
    </w:p>
    <w:p>
      <w:pPr>
        <w:spacing w:after="0" w:line="175" w:lineRule="exact"/>
        <w:rPr>
          <w:sz w:val="20"/>
          <w:szCs w:val="20"/>
          <w:color w:val="auto"/>
        </w:rPr>
      </w:pPr>
    </w:p>
    <w:p>
      <w:pPr>
        <w:ind w:left="440" w:right="3459" w:firstLine="271"/>
        <w:spacing w:after="0" w:line="244" w:lineRule="auto"/>
        <w:rPr>
          <w:sz w:val="20"/>
          <w:szCs w:val="20"/>
          <w:color w:val="auto"/>
        </w:rPr>
      </w:pPr>
      <w:r>
        <w:rPr>
          <w:rFonts w:ascii="Courier New" w:cs="Courier New" w:eastAsia="Courier New" w:hAnsi="Courier New"/>
          <w:sz w:val="15"/>
          <w:szCs w:val="15"/>
          <w:color w:val="auto"/>
        </w:rPr>
        <w:t>Person: A corporation, association, partnership, limited liability company, organization, business, individual, government or political subdivision thereof or a governmental agency.</w:t>
      </w:r>
    </w:p>
    <w:p>
      <w:pPr>
        <w:spacing w:after="0" w:line="175" w:lineRule="exact"/>
        <w:rPr>
          <w:sz w:val="20"/>
          <w:szCs w:val="20"/>
          <w:color w:val="auto"/>
        </w:rPr>
      </w:pPr>
    </w:p>
    <w:p>
      <w:pPr>
        <w:ind w:left="440" w:right="3019" w:firstLine="271"/>
        <w:spacing w:after="0" w:line="244" w:lineRule="auto"/>
        <w:rPr>
          <w:sz w:val="20"/>
          <w:szCs w:val="20"/>
          <w:color w:val="auto"/>
        </w:rPr>
      </w:pPr>
      <w:r>
        <w:rPr>
          <w:rFonts w:ascii="Courier New" w:cs="Courier New" w:eastAsia="Courier New" w:hAnsi="Courier New"/>
          <w:sz w:val="15"/>
          <w:szCs w:val="15"/>
          <w:color w:val="auto"/>
        </w:rPr>
        <w:t>Registration Expenses: All expenses incident to the Company's performance of or compliance with section 2, including, without limitation, all registration and filing fees, all</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9" w:right="1440" w:bottom="1440" w:gutter="0" w:footer="0" w:header="0"/>
        </w:sectPr>
      </w:pPr>
    </w:p>
    <w:bookmarkStart w:id="54" w:name="page55"/>
    <w:bookmarkEnd w:id="54"/>
    <w:p>
      <w:pPr>
        <w:ind w:left="440" w:right="3019"/>
        <w:spacing w:after="0" w:line="244" w:lineRule="auto"/>
        <w:rPr>
          <w:sz w:val="20"/>
          <w:szCs w:val="20"/>
          <w:color w:val="auto"/>
        </w:rPr>
      </w:pPr>
      <w:r>
        <w:rPr>
          <w:rFonts w:ascii="Courier New" w:cs="Courier New" w:eastAsia="Courier New" w:hAnsi="Courier New"/>
          <w:sz w:val="15"/>
          <w:szCs w:val="15"/>
          <w:color w:val="auto"/>
        </w:rPr>
        <w:t>fees and expenses of complying with securities or blue sky laws, all duplicating and printing expenses, messenger and delivery expenses, the reasonable fees and disbursements of a single outside counsel for the Company. Such expenses shall not include salaries of Company personnel or general overhead expenses of the Company, auditing fees, or other expenses for the preparation of financial statements or other data normally prepared by the Company in the ordinary course of its business or which the Company would have incurred in any event.</w:t>
      </w:r>
    </w:p>
    <w:p>
      <w:pPr>
        <w:spacing w:after="0" w:line="178" w:lineRule="exact"/>
        <w:rPr>
          <w:sz w:val="20"/>
          <w:szCs w:val="20"/>
          <w:color w:val="auto"/>
        </w:rPr>
      </w:pPr>
    </w:p>
    <w:p>
      <w:pPr>
        <w:ind w:left="440" w:right="3099" w:firstLine="271"/>
        <w:spacing w:after="0" w:line="244" w:lineRule="auto"/>
        <w:rPr>
          <w:sz w:val="20"/>
          <w:szCs w:val="20"/>
          <w:color w:val="auto"/>
        </w:rPr>
      </w:pPr>
      <w:r>
        <w:rPr>
          <w:rFonts w:ascii="Courier New" w:cs="Courier New" w:eastAsia="Courier New" w:hAnsi="Courier New"/>
          <w:sz w:val="15"/>
          <w:szCs w:val="15"/>
          <w:color w:val="auto"/>
        </w:rPr>
        <w:t>Securities Act: The Securities Act of 1933, and the rules and regulations of the Commission thereunder, all as shall be in effect at the time.</w:t>
      </w:r>
    </w:p>
    <w:p>
      <w:pPr>
        <w:spacing w:after="0" w:line="175" w:lineRule="exact"/>
        <w:rPr>
          <w:sz w:val="20"/>
          <w:szCs w:val="20"/>
          <w:color w:val="auto"/>
        </w:rPr>
      </w:pPr>
    </w:p>
    <w:p>
      <w:pPr>
        <w:ind w:left="720"/>
        <w:spacing w:after="0"/>
        <w:tabs>
          <w:tab w:leader="none" w:pos="1500" w:val="left"/>
        </w:tabs>
        <w:rPr>
          <w:sz w:val="20"/>
          <w:szCs w:val="20"/>
          <w:color w:val="auto"/>
        </w:rPr>
      </w:pPr>
      <w:r>
        <w:rPr>
          <w:rFonts w:ascii="Courier New" w:cs="Courier New" w:eastAsia="Courier New" w:hAnsi="Courier New"/>
          <w:sz w:val="15"/>
          <w:szCs w:val="15"/>
          <w:color w:val="auto"/>
        </w:rPr>
        <w:t>Shares:</w:t>
        <w:tab/>
        <w:t>As defined in section 1.</w:t>
      </w:r>
    </w:p>
    <w:p>
      <w:pPr>
        <w:spacing w:after="0" w:line="178" w:lineRule="exact"/>
        <w:rPr>
          <w:sz w:val="20"/>
          <w:szCs w:val="20"/>
          <w:color w:val="auto"/>
        </w:rPr>
      </w:pPr>
    </w:p>
    <w:p>
      <w:pPr>
        <w:ind w:right="3019" w:firstLine="173"/>
        <w:spacing w:after="0" w:line="244" w:lineRule="auto"/>
        <w:tabs>
          <w:tab w:leader="none" w:pos="5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Each of Simplot and CIBC agrees that any information obtained pursuant to this Agreement which is, or would reasonably be perceived to be, proprietary to the Company or otherwise confidential will not be disclosed without the prior written consent of the Company, except that (i) Simplot or CIBC, as applicable, may disclose such information, on a need-to-know basis, to its employees, accountants or attorneys (so long as each such person to whom confidential information is disclosed agrees to keep such information confidential), or (ii) as required by applicable law or regulation based on the written advice of counsel (a copy of which shall be provided to the Company unless Simplot or CIBC, as applicable, is prevented from revealing such disclosure by such applicable law or regulation or the relevant government agency requesting such disclosure) or in compliance with a court order or when otherwise necessary to enforce any of their rights hereunder. Each of Simplot and CIBC further acknowledges, understands and agrees that any confidential information will not be utilized in connection with purchases and/or sales of the Company's securities except in compliance with applicable state and federal antifraud statutes.</w:t>
      </w:r>
    </w:p>
    <w:p>
      <w:pPr>
        <w:spacing w:after="0" w:line="184" w:lineRule="exact"/>
        <w:rPr>
          <w:rFonts w:ascii="Courier New" w:cs="Courier New" w:eastAsia="Courier New" w:hAnsi="Courier New"/>
          <w:sz w:val="15"/>
          <w:szCs w:val="15"/>
          <w:color w:val="auto"/>
        </w:rPr>
      </w:pPr>
    </w:p>
    <w:p>
      <w:pPr>
        <w:ind w:right="3099" w:firstLine="173"/>
        <w:spacing w:after="0" w:line="244" w:lineRule="auto"/>
        <w:tabs>
          <w:tab w:leader="none" w:pos="5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LEGEND. During all periods of time in which an effective registration statement of the Shares under the Securities Act is not in effect, each certificate representing any portion or all of the Shares and any certificate reflecting any stock split, stock dividend, recapitalization, merger, consolidation or similar event with respect to the Shares shall (unless otherwise permitted by the provisions of section 6) be stamped or otherwise imprinted with the following legend (in addition to any legend required under applicable state securities laws):</w:t>
      </w:r>
    </w:p>
    <w:p>
      <w:pPr>
        <w:spacing w:after="0" w:line="178" w:lineRule="exact"/>
        <w:rPr>
          <w:sz w:val="20"/>
          <w:szCs w:val="20"/>
          <w:color w:val="auto"/>
        </w:rPr>
      </w:pPr>
    </w:p>
    <w:p>
      <w:pPr>
        <w:ind w:left="440" w:right="3099"/>
        <w:spacing w:after="0" w:line="244" w:lineRule="auto"/>
        <w:rPr>
          <w:sz w:val="20"/>
          <w:szCs w:val="20"/>
          <w:color w:val="auto"/>
        </w:rPr>
      </w:pPr>
      <w:r>
        <w:rPr>
          <w:rFonts w:ascii="Courier New" w:cs="Courier New" w:eastAsia="Courier New" w:hAnsi="Courier New"/>
          <w:sz w:val="15"/>
          <w:szCs w:val="15"/>
          <w:color w:val="auto"/>
        </w:rPr>
        <w:t>"THE SHARES REPRESENTED BY THIS CERTIFICATE HAVE NOT BEEN REGISTERED UNDER THE SECURITIES ACT OF 1933. SUCH SHARES MAY NOT BE SOLD, ASSIGNED, PLEDGED OR TRANSFERRED IN THE ABSENCE OF SUCH REGISTRATION OR UNLESS THE COMPANY RECEIVES AN OPINION OF COUNSEL REASONABLY ACCEPTABLE TO IT STATING THAT SUCH SALE, PLEDGE OR TRANSFER IS EXEMPT FROM THE REGISTRATION REQUIREMENTS OF SAID ACT."</w:t>
      </w:r>
    </w:p>
    <w:p>
      <w:pPr>
        <w:spacing w:after="0" w:line="177"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Each party consents to the Company making a notation on its records and giving instructions to any transfer agent of the Company Shares in order to implement the restrictions on transfer established in this Agreement.</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9" w:right="1440" w:bottom="1440" w:gutter="0" w:footer="0" w:header="0"/>
        </w:sectPr>
      </w:pPr>
    </w:p>
    <w:bookmarkStart w:id="55" w:name="page56"/>
    <w:bookmarkEnd w:id="55"/>
    <w:p>
      <w:pPr>
        <w:ind w:left="540" w:hanging="367"/>
        <w:spacing w:after="0"/>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PROPOSED TRANSFERS.Prior to any proposed sale, pledge,</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or transfer (any of the foregoing, a "Transfer") of any Shares (other than a Transfer not involving a change in beneficial ownership) unless there is in effect a registration statement under the Securities Act covering the proposed Transfer or unless such proposed transfer satisfies all of the then-applicable requirements of Rule 144, the holder thereof shall give written notice to the Company of such holder's intention to effect such Transfer. Each such notice shall describe the manner and circumstances of the proposed Transfer in sufficient detail, and shall be accompanied, at such holder's expense by either an unqualified written opinion of legal counsel who shall, and whose legal opinion shall, be reasonably satisfactory to the Company addressed to the Company, to the effect that the proposed Transfer of the Shares may be effected without registration under the Securities Act, whereupon the holder of such Shares shall be entitled to transfer such Shares in accordance with the terms of the notice delivered by the holder to the Company. Each certificate evidencing the Shares transferred as above provided shall bear, unless such Transfer is made pursuant to an effective registration statement, the appropriate restrictive legend set forth in section 5, except that such certificate shall not bear such restrictive legend if in the opinion of counsel for such holder and the Company such legend is not required in order to establish compliance with any provision of the Securities Act.</w:t>
      </w:r>
    </w:p>
    <w:p>
      <w:pPr>
        <w:spacing w:after="0" w:line="186" w:lineRule="exact"/>
        <w:rPr>
          <w:rFonts w:ascii="Courier New" w:cs="Courier New" w:eastAsia="Courier New" w:hAnsi="Courier New"/>
          <w:sz w:val="15"/>
          <w:szCs w:val="15"/>
          <w:color w:val="auto"/>
        </w:rPr>
      </w:pPr>
    </w:p>
    <w:p>
      <w:pPr>
        <w:ind w:right="3019" w:firstLine="173"/>
        <w:spacing w:after="0" w:line="244" w:lineRule="auto"/>
        <w:tabs>
          <w:tab w:leader="none" w:pos="54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144. The Company shall timely file the reports required to be filed by it under the Securities Act and the Exchange Act (including but not limited to the reports referred to in subparagraph (c) of Rule 144 adopted by the Commission under the Securities Act) and will take such further action as Simplot may reasonably request, all to the extent required from time to time to enable Simplot or CIBC to sell Shares without registration under the Securities Act pursuant to Rule 144 under the Securities Act, as amended from time to time, or any similar rule or regulation hereafter adopted by the Commission.</w:t>
      </w:r>
    </w:p>
    <w:p>
      <w:pPr>
        <w:spacing w:after="0" w:line="178" w:lineRule="exact"/>
        <w:rPr>
          <w:rFonts w:ascii="Courier New" w:cs="Courier New" w:eastAsia="Courier New" w:hAnsi="Courier New"/>
          <w:sz w:val="15"/>
          <w:szCs w:val="15"/>
          <w:color w:val="auto"/>
        </w:rPr>
      </w:pPr>
    </w:p>
    <w:p>
      <w:pPr>
        <w:ind w:right="3379" w:firstLine="173"/>
        <w:spacing w:after="0" w:line="243" w:lineRule="auto"/>
        <w:tabs>
          <w:tab w:leader="none" w:pos="54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This Agreement may be amended only with the written consent of the parties hereto.</w:t>
      </w:r>
    </w:p>
    <w:p>
      <w:pPr>
        <w:spacing w:after="0" w:line="176" w:lineRule="exact"/>
        <w:rPr>
          <w:rFonts w:ascii="Courier New" w:cs="Courier New" w:eastAsia="Courier New" w:hAnsi="Courier New"/>
          <w:sz w:val="15"/>
          <w:szCs w:val="15"/>
          <w:color w:val="auto"/>
        </w:rPr>
      </w:pPr>
    </w:p>
    <w:p>
      <w:pPr>
        <w:ind w:right="3099" w:firstLine="173"/>
        <w:spacing w:after="0" w:line="244" w:lineRule="auto"/>
        <w:tabs>
          <w:tab w:leader="none" w:pos="54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Except as otherwise provided in this Agreement, all notices, requests and other communications to any Person provided for hereunder shall be in writing and shall be given to such Person as follows:</w:t>
      </w:r>
    </w:p>
    <w:p>
      <w:pPr>
        <w:spacing w:after="0" w:line="175" w:lineRule="exact"/>
        <w:rPr>
          <w:rFonts w:ascii="Courier New" w:cs="Courier New" w:eastAsia="Courier New" w:hAnsi="Courier New"/>
          <w:sz w:val="15"/>
          <w:szCs w:val="15"/>
          <w:color w:val="auto"/>
        </w:rPr>
      </w:pPr>
    </w:p>
    <w:p>
      <w:pPr>
        <w:ind w:left="440" w:right="3019" w:firstLine="274"/>
        <w:spacing w:after="0" w:line="244" w:lineRule="auto"/>
        <w:tabs>
          <w:tab w:leader="none" w:pos="1071"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Simplot: J.R. Simplot Company, Attn: General Counsel, One Capital Center, 999 Main Street, Suite 1300, Boise, Idaho 83707-0027, with a copy to Sonnenschein Nath &amp; Rosenthal, Attn: Jacques K. Meguire, 8000 Sears Tower, Chicago, Illinois 60606;</w:t>
      </w:r>
    </w:p>
    <w:p>
      <w:pPr>
        <w:spacing w:after="0" w:line="175" w:lineRule="exact"/>
        <w:rPr>
          <w:rFonts w:ascii="Courier New" w:cs="Courier New" w:eastAsia="Courier New" w:hAnsi="Courier New"/>
          <w:sz w:val="15"/>
          <w:szCs w:val="15"/>
          <w:color w:val="auto"/>
        </w:rPr>
      </w:pPr>
    </w:p>
    <w:p>
      <w:pPr>
        <w:ind w:left="440" w:right="3019" w:firstLine="274"/>
        <w:spacing w:after="0" w:line="244" w:lineRule="auto"/>
        <w:tabs>
          <w:tab w:leader="none" w:pos="1071"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CIBC: Canadian Imperial Bank of Commerce, Attn: Office of General Counsel, 161 Bay Street, 5th Floor, Toronto, Ontario, Canada, M5J 2S8, with copies to Canadian Imperial Bank of Commerce, Attn: Alexander Bakal, 425 Lexington Avenue, New York, New York 10017, and Rogers</w:t>
      </w:r>
    </w:p>
    <w:p>
      <w:pPr>
        <w:spacing w:after="0" w:line="2" w:lineRule="exact"/>
        <w:rPr>
          <w:rFonts w:ascii="Courier New" w:cs="Courier New" w:eastAsia="Courier New" w:hAnsi="Courier New"/>
          <w:sz w:val="15"/>
          <w:szCs w:val="15"/>
          <w:color w:val="auto"/>
        </w:rPr>
      </w:pPr>
    </w:p>
    <w:p>
      <w:pPr>
        <w:ind w:left="440" w:right="3099" w:firstLine="3"/>
        <w:spacing w:after="0" w:line="243" w:lineRule="auto"/>
        <w:tabs>
          <w:tab w:leader="none" w:pos="62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Wells, Attn: Thomas A. McGavin, Jr., 200 Park Avenue, New York, New York 10166; or</w:t>
      </w:r>
    </w:p>
    <w:p>
      <w:pPr>
        <w:spacing w:after="0" w:line="176" w:lineRule="exact"/>
        <w:rPr>
          <w:rFonts w:ascii="Courier New" w:cs="Courier New" w:eastAsia="Courier New" w:hAnsi="Courier New"/>
          <w:sz w:val="15"/>
          <w:szCs w:val="15"/>
          <w:color w:val="auto"/>
        </w:rPr>
      </w:pPr>
    </w:p>
    <w:p>
      <w:pPr>
        <w:ind w:left="440" w:right="3199" w:firstLine="274"/>
        <w:spacing w:after="0" w:line="243" w:lineRule="auto"/>
        <w:tabs>
          <w:tab w:leader="none" w:pos="1071"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Company: Micron Technology, Inc., Attn: General Counsel, 8000 South Federal Way, P.O. Box 6, Boise, Idaho 83707;</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56" w:name="page57"/>
    <w:bookmarkEnd w:id="56"/>
    <w:p>
      <w:pPr>
        <w:ind w:right="3099"/>
        <w:spacing w:after="0" w:line="244" w:lineRule="auto"/>
        <w:rPr>
          <w:sz w:val="20"/>
          <w:szCs w:val="20"/>
          <w:color w:val="auto"/>
        </w:rPr>
      </w:pPr>
      <w:r>
        <w:rPr>
          <w:rFonts w:ascii="Courier New" w:cs="Courier New" w:eastAsia="Courier New" w:hAnsi="Courier New"/>
          <w:sz w:val="15"/>
          <w:szCs w:val="15"/>
          <w:color w:val="auto"/>
        </w:rPr>
        <w:t>or at such other address, or to the attention of such other officer, as such Person shall have furnished to the other parties to this Agreement. Each such notice, request or other communication shall be effective (i) if given by mail, 72 hours after such communication is deposited in the mails with first class, postage prepaid, addressed as aforesaid or (ii) if given by any other means (including, without limitation, by air courier), when delivered at the address specified above.</w:t>
      </w:r>
    </w:p>
    <w:p>
      <w:pPr>
        <w:spacing w:after="0" w:line="178" w:lineRule="exact"/>
        <w:rPr>
          <w:sz w:val="20"/>
          <w:szCs w:val="20"/>
          <w:color w:val="auto"/>
        </w:rPr>
      </w:pPr>
    </w:p>
    <w:p>
      <w:pPr>
        <w:ind w:right="3459" w:firstLine="173"/>
        <w:spacing w:after="0" w:line="244" w:lineRule="auto"/>
        <w:tabs>
          <w:tab w:leader="none" w:pos="63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be binding upon and inure to the benefit of and be enforceable by the parties hereto and their respective successors and assigns.</w:t>
      </w:r>
    </w:p>
    <w:p>
      <w:pPr>
        <w:spacing w:after="0" w:line="175" w:lineRule="exact"/>
        <w:rPr>
          <w:rFonts w:ascii="Courier New" w:cs="Courier New" w:eastAsia="Courier New" w:hAnsi="Courier New"/>
          <w:sz w:val="15"/>
          <w:szCs w:val="15"/>
          <w:color w:val="auto"/>
        </w:rPr>
      </w:pPr>
    </w:p>
    <w:p>
      <w:pPr>
        <w:ind w:right="3019" w:firstLine="173"/>
        <w:spacing w:after="0" w:line="244" w:lineRule="auto"/>
        <w:tabs>
          <w:tab w:leader="none" w:pos="63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DESCRIPTIVE HEADINGS. The descriptive headings of the several sections and subsections of this Agreement are inserted for reference only and shall not limit or otherwise affect the meaning hereof.</w:t>
      </w:r>
    </w:p>
    <w:p>
      <w:pPr>
        <w:spacing w:after="0" w:line="175" w:lineRule="exact"/>
        <w:rPr>
          <w:rFonts w:ascii="Courier New" w:cs="Courier New" w:eastAsia="Courier New" w:hAnsi="Courier New"/>
          <w:sz w:val="15"/>
          <w:szCs w:val="15"/>
          <w:color w:val="auto"/>
        </w:rPr>
      </w:pPr>
    </w:p>
    <w:p>
      <w:pPr>
        <w:ind w:right="3019" w:firstLine="173"/>
        <w:spacing w:after="0" w:line="244" w:lineRule="auto"/>
        <w:tabs>
          <w:tab w:leader="none" w:pos="63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AND ENFORCED IN ACCORDANCE WITH, AND THE RIGHTS OF THE PARTIES SHALL BE GOVERNED BY, THE LAWS OF THE STATE OF IDAHO WITHOUT REFERENCE TO THE PRINCIPLES OF CONFLICTS OF LAWS.</w:t>
      </w:r>
    </w:p>
    <w:p>
      <w:pPr>
        <w:spacing w:after="0" w:line="175" w:lineRule="exact"/>
        <w:rPr>
          <w:rFonts w:ascii="Courier New" w:cs="Courier New" w:eastAsia="Courier New" w:hAnsi="Courier New"/>
          <w:sz w:val="15"/>
          <w:szCs w:val="15"/>
          <w:color w:val="auto"/>
        </w:rPr>
      </w:pPr>
    </w:p>
    <w:p>
      <w:pPr>
        <w:ind w:right="3099" w:firstLine="173"/>
        <w:spacing w:after="0" w:line="244" w:lineRule="auto"/>
        <w:tabs>
          <w:tab w:leader="none" w:pos="63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simultaneously in any number of counterparts, each of which shall be deemed an original, but all such counterparts shall together constitute one and the same instrument.</w:t>
      </w:r>
    </w:p>
    <w:p>
      <w:pPr>
        <w:spacing w:after="0" w:line="175" w:lineRule="exact"/>
        <w:rPr>
          <w:rFonts w:ascii="Courier New" w:cs="Courier New" w:eastAsia="Courier New" w:hAnsi="Courier New"/>
          <w:sz w:val="15"/>
          <w:szCs w:val="15"/>
          <w:color w:val="auto"/>
        </w:rPr>
      </w:pPr>
    </w:p>
    <w:p>
      <w:pPr>
        <w:ind w:right="3019" w:firstLine="173"/>
        <w:spacing w:after="0" w:line="244" w:lineRule="auto"/>
        <w:tabs>
          <w:tab w:leader="none" w:pos="63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Registration Rights Agreement dated as of June 28, 1996 between the Company and CIBC embody the entire agreements and understandings among the Company, Simplot and CIBC relating to the subject matter hereof and supersede all prior agreements and understandings relating to such subject matter.</w:t>
      </w:r>
    </w:p>
    <w:p>
      <w:pPr>
        <w:spacing w:after="0" w:line="176" w:lineRule="exact"/>
        <w:rPr>
          <w:rFonts w:ascii="Courier New" w:cs="Courier New" w:eastAsia="Courier New" w:hAnsi="Courier New"/>
          <w:sz w:val="15"/>
          <w:szCs w:val="15"/>
          <w:color w:val="auto"/>
        </w:rPr>
      </w:pPr>
    </w:p>
    <w:p>
      <w:pPr>
        <w:ind w:right="3019" w:firstLine="173"/>
        <w:spacing w:after="0" w:line="263" w:lineRule="auto"/>
        <w:tabs>
          <w:tab w:leader="none" w:pos="63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SUBMISSION TO JURISDICTION. ANY LEGAL ACTION OR PROCEEDING WITH RESPECT TO THIS AGREEMENT MAY BE BROUGHT IN THE COURTS OF THE STATE OF IDAHO OR NEW YORK OR OF THE UNITED STATES OF AMERICA FOR THE DISTRICT OF IDAHO OR THE SOUTHERN DISTRICT OF NEW YORK, AND, BY EXECUTION AND DELIVERY OF THIS AGREEMENT, THE PARTIES HEREBY ACCEPT FOR THEMSELVES AND IN RESPECT OF THEIR PROPERTY, GENERALLY AND UNCONDITIONALLY, THE JURISDICTION OF THE AFORESAID COURTS AND APPELLATE COURTS FROM ANY THEREOF. EACH PARTY HERETO HEREBY IRREVOCABLY CONSENTS TO THE SERVICE OF PROCESS OUT OF ANY OF THE AFOREMENTIONED COURTS IN ANY ACTION OR PROCEEDING BY THE MAILING OF COPIES THEREOF TO SUCH PARTY BY REGISTERED OR CERTIFIED MAIL, POSTAGE PREPAID, RETURN RECEIPT REQUESTED, TO SUCH PARTY AT ITS ADDRESS SPECIFIED IN SECTION 9. THE PARTIES HERETO HEREBY IRREVOCABLY WAIVE TRIAL BY JURY, AND THE PARTIES HEREBY IRREVOCABLY WAIVE ANY OBJECTION, INCLUDING, WITHOUT LIMITATION, ANY OBJECTION TO VENUE OR BASED ON THE GROUNDS OF FORUM NON CONVENIENS, WHICH THEY MAY NOW OR HEREAFTER HAVE TO THE BRINGING OF ANY SUCH ACTION OR PROCEEDING IN SUCH RESPECTIVE JURISDICTIONS.</w:t>
      </w:r>
    </w:p>
    <w:p>
      <w:pPr>
        <w:spacing w:after="0" w:line="340" w:lineRule="exact"/>
        <w:rPr>
          <w:rFonts w:ascii="Courier New" w:cs="Courier New" w:eastAsia="Courier New" w:hAnsi="Courier New"/>
          <w:sz w:val="14"/>
          <w:szCs w:val="14"/>
          <w:color w:val="auto"/>
        </w:rPr>
      </w:pPr>
    </w:p>
    <w:p>
      <w:pPr>
        <w:ind w:right="3199" w:firstLine="173"/>
        <w:spacing w:after="0" w:line="244" w:lineRule="auto"/>
        <w:tabs>
          <w:tab w:leader="none" w:pos="63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or the application of such provisions to any Person or circumstance, shall be held invalid, the remainder of this Agreement, or</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9" w:right="1440" w:bottom="1440" w:gutter="0" w:footer="0" w:header="0"/>
        </w:sectPr>
      </w:pPr>
    </w:p>
    <w:bookmarkStart w:id="57" w:name="page58"/>
    <w:bookmarkEnd w:id="57"/>
    <w:p>
      <w:pPr>
        <w:ind w:right="3199"/>
        <w:spacing w:after="0" w:line="243" w:lineRule="auto"/>
        <w:rPr>
          <w:sz w:val="20"/>
          <w:szCs w:val="20"/>
          <w:color w:val="auto"/>
        </w:rPr>
      </w:pPr>
      <w:r>
        <w:rPr>
          <w:rFonts w:ascii="Courier New" w:cs="Courier New" w:eastAsia="Courier New" w:hAnsi="Courier New"/>
          <w:sz w:val="15"/>
          <w:szCs w:val="15"/>
          <w:color w:val="auto"/>
        </w:rPr>
        <w:t>the application of such provision to Persons or circumstances other than those to which it is held invalid, shall not be affected thereby.</w:t>
      </w:r>
    </w:p>
    <w:p>
      <w:pPr>
        <w:spacing w:after="0" w:line="176" w:lineRule="exact"/>
        <w:rPr>
          <w:sz w:val="20"/>
          <w:szCs w:val="20"/>
          <w:color w:val="auto"/>
        </w:rPr>
      </w:pPr>
    </w:p>
    <w:p>
      <w:pPr>
        <w:jc w:val="both"/>
        <w:ind w:right="3099" w:firstLine="180"/>
        <w:spacing w:after="0" w:line="244" w:lineRule="auto"/>
        <w:rPr>
          <w:sz w:val="20"/>
          <w:szCs w:val="20"/>
          <w:color w:val="auto"/>
        </w:rPr>
      </w:pPr>
      <w:r>
        <w:rPr>
          <w:rFonts w:ascii="Courier New" w:cs="Courier New" w:eastAsia="Courier New" w:hAnsi="Courier New"/>
          <w:sz w:val="15"/>
          <w:szCs w:val="15"/>
          <w:color w:val="auto"/>
        </w:rPr>
        <w:t>IN WITNESS WHEREOF, the parties have caused this Agreement to be executed and delivered by their respective officers thereunto duly authorized as of the date first above written.</w:t>
      </w:r>
    </w:p>
    <w:p>
      <w:pPr>
        <w:spacing w:after="0" w:line="34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MICRON TECHNOLOGY, INC.</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J.R. SIMPLOT COMPANY</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CANADIAN IMPERIAL BANK OF COMMERCE</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Title: Managing Director</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9" w:right="1440" w:bottom="1440" w:gutter="0" w:footer="0" w:header="0"/>
        </w:sectPr>
      </w:pPr>
    </w:p>
    <w:bookmarkStart w:id="58" w:name="page59"/>
    <w:bookmarkEnd w:id="58"/>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of Micron Technology, Inc. on Amendment No. 1 to Form S-3 of our report dated October 2, 1997 on our audits of the consolidated financial statements of Micron Technology, Inc. and subsidiaries, as of August 28, 1997 and August 29, 1996 and for each of the three years in the period ended August 28, 1997, which report is included in the Annual Report on Form 10-K of Micron Technology, Inc. filed with the Securities and Exchange Commission pursuant to the Securities Exchange Act of 1934. We also consent to the reference to our firm under the caption "Experts".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17, 1998</w:t>
      </w:r>
    </w:p>
    <w:sectPr>
      <w:pgSz w:w="11900" w:h="16838" w:orient="portrait"/>
      <w:cols w:equalWidth="0" w:num="1">
        <w:col w:w="10219"/>
      </w:cols>
      <w:pgMar w:left="24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Letter"/>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
    <w:nsid w:val="1BEFD79F"/>
    <w:multiLevelType w:val="hybridMultilevel"/>
    <w:lvl w:ilvl="0">
      <w:lvlJc w:val="left"/>
      <w:lvlText w:val="%1"/>
      <w:numFmt w:val="decimal"/>
      <w:start w:val="1"/>
    </w:lvl>
    <w:lvl w:ilvl="1">
      <w:lvlJc w:val="left"/>
      <w:lvlText w:val="(%2)"/>
      <w:numFmt w:val="decimal"/>
      <w:start w:val="2"/>
    </w:lvl>
  </w:abstractNum>
  <w:abstractNum w:abstractNumId="4">
    <w:nsid w:val="41A7C4C9"/>
    <w:multiLevelType w:val="hybridMultilevel"/>
    <w:lvl w:ilvl="0">
      <w:lvlJc w:val="left"/>
      <w:lvlText w:val="%1."/>
      <w:numFmt w:val="decimal"/>
      <w:start w:val="2"/>
    </w:lvl>
    <w:lvl w:ilvl="1">
      <w:lvlJc w:val="left"/>
      <w:lvlText w:val="%2"/>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3"/>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lowerRoman"/>
      <w:start w:val="6"/>
    </w:lvl>
    <w:lvl w:ilvl="1">
      <w:lvlJc w:val="left"/>
      <w:lvlText w:val="(%2)"/>
      <w:numFmt w:val="decimal"/>
      <w:start w:val="1"/>
    </w:lvl>
  </w:abstractNum>
  <w:abstractNum w:abstractNumId="15">
    <w:nsid w:val="628C895D"/>
    <w:multiLevelType w:val="hybridMultilevel"/>
    <w:lvl w:ilvl="0">
      <w:lvlJc w:val="left"/>
      <w:lvlText w:val="(%1)"/>
      <w:numFmt w:val="lowerRoman"/>
      <w:start w:val="10"/>
    </w:lvl>
  </w:abstractNum>
  <w:abstractNum w:abstractNumId="16">
    <w:nsid w:val="333AB105"/>
    <w:multiLevelType w:val="hybridMultilevel"/>
    <w:lvl w:ilvl="0">
      <w:lvlJc w:val="left"/>
      <w:lvlText w:val="%1"/>
      <w:numFmt w:val="lowerRoman"/>
      <w:start w:val="1"/>
    </w:lvl>
    <w:lvl w:ilvl="1">
      <w:lvlJc w:val="left"/>
      <w:lvlText w:val="(%2)"/>
      <w:numFmt w:val="lowerLetter"/>
      <w:start w:val="2"/>
    </w:lvl>
  </w:abstractNum>
  <w:abstractNum w:abstractNumId="17">
    <w:nsid w:val="721DA317"/>
    <w:multiLevelType w:val="hybridMultilevel"/>
    <w:lvl w:ilvl="0">
      <w:lvlJc w:val="left"/>
      <w:lvlText w:val="(%1)"/>
      <w:numFmt w:val="lowerRoman"/>
      <w:start w:val="8"/>
    </w:lvl>
    <w:lvl w:ilvl="1">
      <w:lvlJc w:val="left"/>
      <w:lvlText w:val="%2"/>
      <w:numFmt w:val="lowerLetter"/>
      <w:start w:val="1"/>
    </w:lvl>
  </w:abstractNum>
  <w:abstractNum w:abstractNumId="18">
    <w:nsid w:val="2443A858"/>
    <w:multiLevelType w:val="hybridMultilevel"/>
    <w:lvl w:ilvl="0">
      <w:lvlJc w:val="left"/>
      <w:lvlText w:val="%1"/>
      <w:numFmt w:val="lowerLetter"/>
      <w:start w:val="1"/>
    </w:lvl>
    <w:lvl w:ilvl="1">
      <w:lvlJc w:val="left"/>
      <w:lvlText w:val="(%2)"/>
      <w:numFmt w:val="lowerLetter"/>
      <w:start w:val="1"/>
    </w:lvl>
  </w:abstractNum>
  <w:abstractNum w:abstractNumId="19">
    <w:nsid w:val="2D1D5AE9"/>
    <w:multiLevelType w:val="hybridMultilevel"/>
    <w:lvl w:ilvl="0">
      <w:lvlJc w:val="left"/>
      <w:lvlText w:val="(%1)"/>
      <w:numFmt w:val="lowerLetter"/>
      <w:start w:val="1"/>
    </w:lvl>
    <w:lvl w:ilvl="1">
      <w:lvlJc w:val="left"/>
      <w:lvlText w:val="%2"/>
      <w:numFmt w:val="lowerLetter"/>
      <w:start w:val="1"/>
    </w:lvl>
  </w:abstractNum>
  <w:abstractNum w:abstractNumId="20">
    <w:nsid w:val="6763845E"/>
    <w:multiLevelType w:val="hybridMultilevel"/>
    <w:lvl w:ilvl="0">
      <w:lvlJc w:val="left"/>
      <w:lvlText w:val="(%1)"/>
      <w:numFmt w:val="lowerLetter"/>
      <w:start w:val="3"/>
    </w:lvl>
  </w:abstractNum>
  <w:abstractNum w:abstractNumId="21">
    <w:nsid w:val="75A2A8D4"/>
    <w:multiLevelType w:val="hybridMultilevel"/>
    <w:lvl w:ilvl="0">
      <w:lvlJc w:val="left"/>
      <w:lvlText w:val="%1."/>
      <w:numFmt w:val="decimal"/>
      <w:start w:val="3"/>
    </w:lvl>
  </w:abstractNum>
  <w:abstractNum w:abstractNumId="22">
    <w:nsid w:val="8EDBDAB"/>
    <w:multiLevelType w:val="hybridMultilevel"/>
    <w:lvl w:ilvl="0">
      <w:lvlJc w:val="left"/>
      <w:lvlText w:val="%1."/>
      <w:numFmt w:val="decimal"/>
      <w:start w:val="4"/>
    </w:lvl>
  </w:abstractNum>
  <w:abstractNum w:abstractNumId="23">
    <w:nsid w:val="79838CB2"/>
    <w:multiLevelType w:val="hybridMultilevel"/>
    <w:lvl w:ilvl="0">
      <w:lvlJc w:val="left"/>
      <w:lvlText w:val="%1."/>
      <w:numFmt w:val="decimal"/>
      <w:start w:val="6"/>
    </w:lvl>
    <w:lvl w:ilvl="1">
      <w:lvlJc w:val="left"/>
      <w:lvlText w:val="&amp;"/>
      <w:numFmt w:val="bullet"/>
      <w:start w:val="1"/>
    </w:lvl>
    <w:lvl w:ilvl="2">
      <w:lvlJc w:val="left"/>
      <w:lvlText w:val="(%3)"/>
      <w:numFmt w:val="lowerLetter"/>
      <w:start w:val="1"/>
    </w:lvl>
  </w:abstractNum>
  <w:abstractNum w:abstractNumId="24">
    <w:nsid w:val="4353D0CD"/>
    <w:multiLevelType w:val="hybridMultilevel"/>
    <w:lvl w:ilvl="0">
      <w:lvlJc w:val="left"/>
      <w:lvlText w:val="%1"/>
      <w:numFmt w:val="decimal"/>
      <w:start w:val="1"/>
    </w:lvl>
    <w:lvl w:ilvl="1">
      <w:lvlJc w:val="left"/>
      <w:lvlText w:val="&amp;"/>
      <w:numFmt w:val="bullet"/>
      <w:start w:val="1"/>
    </w:lvl>
    <w:lvl w:ilvl="2">
      <w:lvlJc w:val="left"/>
      <w:lvlText w:val="(%3)"/>
      <w:numFmt w:val="lowerLetter"/>
      <w:start w:val="3"/>
    </w:lvl>
  </w:abstractNum>
  <w:abstractNum w:abstractNumId="25">
    <w:nsid w:val="B03E0C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2019-12-13T13:20:13Z</dcterms:created>
  <dcterms:modified xsi:type="dcterms:W3CDTF">2019-12-13T13:20:13Z</dcterms:modified>
</cp:coreProperties>
</file>