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834390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860425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September 29, 2020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6350</wp:posOffset>
            </wp:positionV>
            <wp:extent cx="1551305"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45085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46"/>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08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1-10658</w:t>
            </w:r>
          </w:p>
        </w:tc>
        <w:tc>
          <w:tcPr>
            <w:tcW w:w="396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43"/>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080" w:type="dxa"/>
            <w:vAlign w:val="bottom"/>
          </w:tcPr>
          <w:p>
            <w:pPr>
              <w:jc w:val="center"/>
              <w:ind w:right="50"/>
              <w:spacing w:after="0"/>
              <w:rPr>
                <w:sz w:val="20"/>
                <w:szCs w:val="20"/>
                <w:color w:val="auto"/>
              </w:rPr>
            </w:pPr>
            <w:r>
              <w:rPr>
                <w:rFonts w:ascii="Arial" w:cs="Arial" w:eastAsia="Arial" w:hAnsi="Arial"/>
                <w:sz w:val="18"/>
                <w:szCs w:val="18"/>
                <w:color w:val="auto"/>
                <w:w w:val="99"/>
              </w:rPr>
              <w:t>(Commission File Number)</w:t>
            </w:r>
          </w:p>
        </w:tc>
        <w:tc>
          <w:tcPr>
            <w:tcW w:w="3960" w:type="dxa"/>
            <w:vAlign w:val="bottom"/>
          </w:tcPr>
          <w:p>
            <w:pPr>
              <w:jc w:val="center"/>
              <w:spacing w:after="0"/>
              <w:rPr>
                <w:sz w:val="20"/>
                <w:szCs w:val="20"/>
                <w:color w:val="auto"/>
              </w:rPr>
            </w:pPr>
            <w:r>
              <w:rPr>
                <w:rFonts w:ascii="Arial" w:cs="Arial" w:eastAsia="Arial" w:hAnsi="Arial"/>
                <w:sz w:val="18"/>
                <w:szCs w:val="18"/>
                <w:color w:val="auto"/>
                <w:w w:val="99"/>
              </w:rPr>
              <w:t>(I.R.S. Employer Identification No.)</w:t>
            </w:r>
          </w:p>
        </w:tc>
      </w:tr>
    </w:tbl>
    <w:p>
      <w:pPr>
        <w:spacing w:after="0" w:line="396"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36"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20320</wp:posOffset>
            </wp:positionV>
            <wp:extent cx="3240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74" w:lineRule="exact"/>
        <w:rPr>
          <w:sz w:val="24"/>
          <w:szCs w:val="24"/>
          <w:color w:val="auto"/>
        </w:rPr>
      </w:pPr>
    </w:p>
    <w:p>
      <w:pPr>
        <w:ind w:right="140"/>
        <w:spacing w:after="0" w:line="24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700" w:type="dxa"/>
            <w:vAlign w:val="bottom"/>
            <w:gridSpan w:val="3"/>
          </w:tcPr>
          <w:p>
            <w:pPr>
              <w:jc w:val="center"/>
              <w:ind w:right="120"/>
              <w:spacing w:after="0"/>
              <w:rPr>
                <w:sz w:val="20"/>
                <w:szCs w:val="20"/>
                <w:color w:val="auto"/>
              </w:rPr>
            </w:pPr>
            <w:r>
              <w:rPr>
                <w:rFonts w:ascii="Arial" w:cs="Arial" w:eastAsia="Arial" w:hAnsi="Arial"/>
                <w:sz w:val="18"/>
                <w:szCs w:val="18"/>
                <w:color w:val="auto"/>
              </w:rPr>
              <w:t>Securities registered pursuant to Section 12(b) of the Act: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77"/>
        </w:trPr>
        <w:tc>
          <w:tcPr>
            <w:tcW w:w="40" w:type="dxa"/>
            <w:vAlign w:val="bottom"/>
          </w:tcPr>
          <w:p>
            <w:pPr>
              <w:spacing w:after="0"/>
              <w:rPr>
                <w:sz w:val="24"/>
                <w:szCs w:val="24"/>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100" w:type="dxa"/>
            <w:vAlign w:val="bottom"/>
          </w:tcPr>
          <w:p>
            <w:pPr>
              <w:spacing w:after="0"/>
              <w:rPr>
                <w:sz w:val="24"/>
                <w:szCs w:val="24"/>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43"/>
        </w:trPr>
        <w:tc>
          <w:tcPr>
            <w:tcW w:w="40" w:type="dxa"/>
            <w:vAlign w:val="bottom"/>
          </w:tcPr>
          <w:p>
            <w:pPr>
              <w:spacing w:after="0"/>
              <w:rPr>
                <w:sz w:val="21"/>
                <w:szCs w:val="21"/>
                <w:color w:val="auto"/>
              </w:rPr>
            </w:pPr>
          </w:p>
        </w:tc>
        <w:tc>
          <w:tcPr>
            <w:tcW w:w="4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Common Stock, par value $0.10 per share</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MU</w:t>
            </w:r>
          </w:p>
        </w:tc>
        <w:tc>
          <w:tcPr>
            <w:tcW w:w="458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21" w:lineRule="exact"/>
        <w:rPr>
          <w:sz w:val="24"/>
          <w:szCs w:val="24"/>
          <w:color w:val="auto"/>
        </w:rPr>
      </w:pPr>
    </w:p>
    <w:p>
      <w:pPr>
        <w:jc w:val="both"/>
        <w:spacing w:after="0" w:line="24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836295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22225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47625</wp:posOffset>
            </wp:positionV>
            <wp:extent cx="6926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290"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On September 29, 2020, we announced the financial results for our fourth quarter and full year of fiscal 2020 ended September 3, 2020. The full text of the press release issued in connection with the announcement is attached as Exhibit 99.1 to this Current Report on Form 8-K.</w:t>
      </w:r>
    </w:p>
    <w:p>
      <w:pPr>
        <w:spacing w:after="0" w:line="30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information in Item 2.02 of this Current Report on Form 8-K shall not be deemed "filed" for the purposes of Section 18 of the Securities Exchange Act of 1934, as amended (the "Exchange Act"), or otherwise subject to the liabilities of that section. The information in Item 2.02 of this Current Report on Form 8-K shall not be incorporated by reference into any filing or other document pursuant to the Securities Act of 1933, as amended (the "Securities Act"), or the Exchange Act, except as shall be expressly set forth by specific reference in such filing or document.</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10080" w:type="dxa"/>
            <w:vAlign w:val="bottom"/>
            <w:gridSpan w:val="3"/>
          </w:tcPr>
          <w:p>
            <w:pPr>
              <w:ind w:left="1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13"/>
        </w:trPr>
        <w:tc>
          <w:tcPr>
            <w:tcW w:w="1160" w:type="dxa"/>
            <w:vAlign w:val="bottom"/>
          </w:tcPr>
          <w:p>
            <w:pPr>
              <w:spacing w:after="0"/>
              <w:rPr>
                <w:sz w:val="24"/>
                <w:szCs w:val="24"/>
                <w:color w:val="auto"/>
              </w:rPr>
            </w:pPr>
          </w:p>
        </w:tc>
        <w:tc>
          <w:tcPr>
            <w:tcW w:w="10080" w:type="dxa"/>
            <w:vAlign w:val="bottom"/>
            <w:gridSpan w:val="3"/>
          </w:tcPr>
          <w:p>
            <w:pPr>
              <w:ind w:left="180"/>
              <w:spacing w:after="0"/>
              <w:rPr>
                <w:sz w:val="20"/>
                <w:szCs w:val="20"/>
                <w:color w:val="auto"/>
              </w:rPr>
            </w:pPr>
            <w:r>
              <w:rPr>
                <w:rFonts w:ascii="Arial" w:cs="Arial" w:eastAsia="Arial" w:hAnsi="Arial"/>
                <w:sz w:val="18"/>
                <w:szCs w:val="18"/>
                <w:color w:val="auto"/>
              </w:rPr>
              <w:t>(d) Exhibits.</w:t>
            </w:r>
          </w:p>
        </w:tc>
      </w:tr>
      <w:tr>
        <w:trPr>
          <w:trHeight w:val="884"/>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Description</w:t>
            </w:r>
          </w:p>
        </w:tc>
        <w:tc>
          <w:tcPr>
            <w:tcW w:w="1440" w:type="dxa"/>
            <w:vAlign w:val="bottom"/>
          </w:tcPr>
          <w:p>
            <w:pPr>
              <w:spacing w:after="0"/>
              <w:rPr>
                <w:sz w:val="24"/>
                <w:szCs w:val="24"/>
                <w:color w:val="auto"/>
              </w:rPr>
            </w:pPr>
          </w:p>
        </w:tc>
      </w:tr>
      <w:tr>
        <w:trPr>
          <w:trHeight w:val="257"/>
        </w:trPr>
        <w:tc>
          <w:tcPr>
            <w:tcW w:w="1160" w:type="dxa"/>
            <w:vAlign w:val="bottom"/>
          </w:tcPr>
          <w:p>
            <w:pPr>
              <w:jc w:val="right"/>
              <w:ind w:right="31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2"/>
                <w:szCs w:val="22"/>
                <w:color w:val="auto"/>
              </w:rPr>
            </w:pPr>
          </w:p>
        </w:tc>
        <w:tc>
          <w:tcPr>
            <w:tcW w:w="9840" w:type="dxa"/>
            <w:vAlign w:val="bottom"/>
            <w:gridSpan w:val="2"/>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issued on September 29, 2020</w:t>
              </w:r>
            </w:hyperlink>
          </w:p>
        </w:tc>
      </w:tr>
      <w:tr>
        <w:trPr>
          <w:trHeight w:val="243"/>
        </w:trPr>
        <w:tc>
          <w:tcPr>
            <w:tcW w:w="1160" w:type="dxa"/>
            <w:vAlign w:val="bottom"/>
          </w:tcPr>
          <w:p>
            <w:pPr>
              <w:jc w:val="right"/>
              <w:ind w:right="33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1"/>
                <w:szCs w:val="21"/>
                <w:color w:val="auto"/>
              </w:rPr>
            </w:pPr>
          </w:p>
        </w:tc>
        <w:tc>
          <w:tcPr>
            <w:tcW w:w="984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92"/>
        </w:trPr>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920" w:type="dxa"/>
            <w:vAlign w:val="bottom"/>
          </w:tcPr>
          <w:p>
            <w:pPr>
              <w:spacing w:after="0"/>
              <w:rPr>
                <w:sz w:val="20"/>
                <w:szCs w:val="20"/>
                <w:color w:val="auto"/>
              </w:rPr>
            </w:pPr>
          </w:p>
        </w:tc>
        <w:tc>
          <w:tcPr>
            <w:tcW w:w="7300" w:type="dxa"/>
            <w:vAlign w:val="bottom"/>
            <w:gridSpan w:val="2"/>
          </w:tcPr>
          <w:p>
            <w:pPr>
              <w:ind w:left="1540"/>
              <w:spacing w:after="0"/>
              <w:rPr>
                <w:sz w:val="20"/>
                <w:szCs w:val="20"/>
                <w:color w:val="auto"/>
              </w:rPr>
            </w:pPr>
            <w:r>
              <w:rPr>
                <w:rFonts w:ascii="Arial" w:cs="Arial" w:eastAsia="Arial" w:hAnsi="Arial"/>
                <w:sz w:val="18"/>
                <w:szCs w:val="18"/>
                <w:b w:val="1"/>
                <w:bCs w:val="1"/>
                <w:color w:val="auto"/>
              </w:rPr>
              <w:t>MICRON TECHNOLOGY, INC.</w:t>
            </w:r>
          </w:p>
        </w:tc>
      </w:tr>
      <w:tr>
        <w:trPr>
          <w:trHeight w:val="776"/>
        </w:trPr>
        <w:tc>
          <w:tcPr>
            <w:tcW w:w="3920" w:type="dxa"/>
            <w:vAlign w:val="bottom"/>
          </w:tcPr>
          <w:p>
            <w:pPr>
              <w:spacing w:after="0"/>
              <w:rPr>
                <w:sz w:val="20"/>
                <w:szCs w:val="20"/>
                <w:color w:val="auto"/>
              </w:rPr>
            </w:pPr>
            <w:r>
              <w:rPr>
                <w:rFonts w:ascii="Arial" w:cs="Arial" w:eastAsia="Arial" w:hAnsi="Arial"/>
                <w:sz w:val="18"/>
                <w:szCs w:val="18"/>
                <w:color w:val="auto"/>
              </w:rPr>
              <w:t>Date:   September 29, 2020</w:t>
            </w:r>
          </w:p>
        </w:tc>
        <w:tc>
          <w:tcPr>
            <w:tcW w:w="2440" w:type="dxa"/>
            <w:vAlign w:val="bottom"/>
          </w:tcPr>
          <w:p>
            <w:pPr>
              <w:ind w:left="15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David A. Zinsner</w:t>
            </w:r>
          </w:p>
        </w:tc>
      </w:tr>
      <w:tr>
        <w:trPr>
          <w:trHeight w:val="243"/>
        </w:trPr>
        <w:tc>
          <w:tcPr>
            <w:tcW w:w="3920" w:type="dxa"/>
            <w:vAlign w:val="bottom"/>
          </w:tcPr>
          <w:p>
            <w:pPr>
              <w:spacing w:after="0"/>
              <w:rPr>
                <w:sz w:val="21"/>
                <w:szCs w:val="21"/>
                <w:color w:val="auto"/>
              </w:rPr>
            </w:pPr>
          </w:p>
        </w:tc>
        <w:tc>
          <w:tcPr>
            <w:tcW w:w="2440" w:type="dxa"/>
            <w:vAlign w:val="bottom"/>
          </w:tcPr>
          <w:p>
            <w:pPr>
              <w:ind w:left="154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57"/>
        </w:trPr>
        <w:tc>
          <w:tcPr>
            <w:tcW w:w="3920" w:type="dxa"/>
            <w:vAlign w:val="bottom"/>
          </w:tcPr>
          <w:p>
            <w:pPr>
              <w:spacing w:after="0"/>
              <w:rPr>
                <w:sz w:val="22"/>
                <w:szCs w:val="22"/>
                <w:color w:val="auto"/>
              </w:rPr>
            </w:pPr>
          </w:p>
        </w:tc>
        <w:tc>
          <w:tcPr>
            <w:tcW w:w="2440" w:type="dxa"/>
            <w:vAlign w:val="bottom"/>
          </w:tcPr>
          <w:p>
            <w:pPr>
              <w:ind w:left="154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1129"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3100" w:type="dxa"/>
            <w:vAlign w:val="bottom"/>
            <w:gridSpan w:val="2"/>
          </w:tcPr>
          <w:p>
            <w:pPr>
              <w:spacing w:after="0"/>
              <w:rPr>
                <w:sz w:val="20"/>
                <w:szCs w:val="20"/>
                <w:color w:val="auto"/>
              </w:rPr>
            </w:pPr>
            <w:r>
              <w:rPr>
                <w:rFonts w:ascii="Arial" w:cs="Arial" w:eastAsia="Arial" w:hAnsi="Arial"/>
                <w:sz w:val="18"/>
                <w:szCs w:val="18"/>
                <w:color w:val="auto"/>
              </w:rPr>
              <w:t>Farhan Ahmad</w:t>
            </w:r>
          </w:p>
        </w:tc>
        <w:tc>
          <w:tcPr>
            <w:tcW w:w="2000" w:type="dxa"/>
            <w:vAlign w:val="bottom"/>
            <w:gridSpan w:val="2"/>
          </w:tcPr>
          <w:p>
            <w:pPr>
              <w:spacing w:after="0"/>
              <w:rPr>
                <w:sz w:val="20"/>
                <w:szCs w:val="20"/>
                <w:color w:val="auto"/>
              </w:rPr>
            </w:pPr>
            <w:r>
              <w:rPr>
                <w:rFonts w:ascii="Arial" w:cs="Arial" w:eastAsia="Arial" w:hAnsi="Arial"/>
                <w:sz w:val="18"/>
                <w:szCs w:val="18"/>
                <w:color w:val="auto"/>
                <w:w w:val="98"/>
              </w:rPr>
              <w:t>Erica Rodriguez Pompen</w:t>
            </w:r>
          </w:p>
        </w:tc>
      </w:tr>
      <w:tr>
        <w:trPr>
          <w:trHeight w:val="257"/>
        </w:trPr>
        <w:tc>
          <w:tcPr>
            <w:tcW w:w="1500" w:type="dxa"/>
            <w:vAlign w:val="bottom"/>
          </w:tcPr>
          <w:p>
            <w:pPr>
              <w:spacing w:after="0"/>
              <w:rPr>
                <w:sz w:val="22"/>
                <w:szCs w:val="22"/>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000" w:type="dxa"/>
            <w:vAlign w:val="bottom"/>
            <w:gridSpan w:val="2"/>
          </w:tcPr>
          <w:p>
            <w:pPr>
              <w:spacing w:after="0"/>
              <w:rPr>
                <w:sz w:val="20"/>
                <w:szCs w:val="20"/>
                <w:color w:val="auto"/>
              </w:rPr>
            </w:pPr>
            <w:r>
              <w:rPr>
                <w:rFonts w:ascii="Arial" w:cs="Arial" w:eastAsia="Arial" w:hAnsi="Arial"/>
                <w:sz w:val="18"/>
                <w:szCs w:val="18"/>
                <w:color w:val="auto"/>
              </w:rPr>
              <w:t>Media Relations</w:t>
            </w:r>
          </w:p>
        </w:tc>
      </w:tr>
      <w:tr>
        <w:trPr>
          <w:trHeight w:val="216"/>
        </w:trPr>
        <w:tc>
          <w:tcPr>
            <w:tcW w:w="1500" w:type="dxa"/>
            <w:vAlign w:val="bottom"/>
          </w:tcPr>
          <w:p>
            <w:pPr>
              <w:spacing w:after="0"/>
              <w:rPr>
                <w:sz w:val="18"/>
                <w:szCs w:val="18"/>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0090DA"/>
              </w:rPr>
              <w:t>farhanahmad@micron.com</w:t>
            </w:r>
          </w:p>
        </w:tc>
        <w:tc>
          <w:tcPr>
            <w:tcW w:w="2000" w:type="dxa"/>
            <w:vAlign w:val="bottom"/>
            <w:gridSpan w:val="2"/>
          </w:tcPr>
          <w:p>
            <w:pPr>
              <w:spacing w:after="0"/>
              <w:rPr>
                <w:sz w:val="20"/>
                <w:szCs w:val="20"/>
                <w:color w:val="auto"/>
              </w:rPr>
            </w:pPr>
            <w:r>
              <w:rPr>
                <w:rFonts w:ascii="Arial" w:cs="Arial" w:eastAsia="Arial" w:hAnsi="Arial"/>
                <w:sz w:val="18"/>
                <w:szCs w:val="18"/>
                <w:color w:val="0090DA"/>
              </w:rPr>
              <w:t>epompen@micron.com</w:t>
            </w:r>
          </w:p>
        </w:tc>
      </w:tr>
      <w:tr>
        <w:trPr>
          <w:trHeight w:val="277"/>
        </w:trPr>
        <w:tc>
          <w:tcPr>
            <w:tcW w:w="1500" w:type="dxa"/>
            <w:vAlign w:val="bottom"/>
          </w:tcPr>
          <w:p>
            <w:pPr>
              <w:spacing w:after="0"/>
              <w:rPr>
                <w:sz w:val="24"/>
                <w:szCs w:val="24"/>
                <w:color w:val="auto"/>
              </w:rPr>
            </w:pPr>
          </w:p>
        </w:tc>
        <w:tc>
          <w:tcPr>
            <w:tcW w:w="216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834-1927</w:t>
            </w:r>
          </w:p>
        </w:tc>
        <w:tc>
          <w:tcPr>
            <w:tcW w:w="940" w:type="dxa"/>
            <w:vAlign w:val="bottom"/>
          </w:tcPr>
          <w:p>
            <w:pPr>
              <w:spacing w:after="0"/>
              <w:rPr>
                <w:sz w:val="24"/>
                <w:szCs w:val="24"/>
                <w:color w:val="auto"/>
              </w:rPr>
            </w:pPr>
          </w:p>
        </w:tc>
        <w:tc>
          <w:tcPr>
            <w:tcW w:w="1860" w:type="dxa"/>
            <w:vAlign w:val="bottom"/>
            <w:tcBorders>
              <w:top w:val="single" w:sz="8" w:color="0090DA"/>
            </w:tcBorders>
          </w:tcPr>
          <w:p>
            <w:pPr>
              <w:spacing w:after="0"/>
              <w:rPr>
                <w:sz w:val="20"/>
                <w:szCs w:val="20"/>
                <w:color w:val="auto"/>
              </w:rPr>
            </w:pPr>
            <w:r>
              <w:rPr>
                <w:rFonts w:ascii="Arial" w:cs="Arial" w:eastAsia="Arial" w:hAnsi="Arial"/>
                <w:sz w:val="18"/>
                <w:szCs w:val="18"/>
                <w:color w:val="auto"/>
              </w:rPr>
              <w:t>(408) 834-1873</w:t>
            </w:r>
          </w:p>
        </w:tc>
        <w:tc>
          <w:tcPr>
            <w:tcW w:w="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QUARTER AND FULL YEAR OF FISCAL 2020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DRAM portfolio strengthened with 1z ramp; High-value NAND shipments reach record levels in FY20</w:t>
      </w:r>
    </w:p>
    <w:p>
      <w:pPr>
        <w:spacing w:after="0" w:line="23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Sept. 29, 2020 – Micron Technology, Inc. (Nasdaq: MU) today announced results for its fourth quarter and full year of fiscal</w:t>
      </w:r>
      <w:r>
        <w:rPr>
          <w:rFonts w:ascii="Arial" w:cs="Arial" w:eastAsia="Arial" w:hAnsi="Arial"/>
          <w:sz w:val="18"/>
          <w:szCs w:val="18"/>
          <w:b w:val="1"/>
          <w:bCs w:val="1"/>
          <w:color w:val="auto"/>
        </w:rPr>
        <w:t xml:space="preserve"> </w:t>
      </w:r>
      <w:r>
        <w:rPr>
          <w:rFonts w:ascii="Arial" w:cs="Arial" w:eastAsia="Arial" w:hAnsi="Arial"/>
          <w:sz w:val="18"/>
          <w:szCs w:val="18"/>
          <w:color w:val="auto"/>
        </w:rPr>
        <w:t>2020, which ended Sept. 3, 2020.</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Q4 2020 highlights</w:t>
      </w:r>
    </w:p>
    <w:p>
      <w:pPr>
        <w:spacing w:after="0" w:line="31"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$6.06 billion versus $5.44 billion for the prior quarter and $4.87 billion for the same period last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$988 million, or $0.87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$1.23 billion, or $1.08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$2.27 billion versus $2.02 billion for the prior quarter and $2.23 billion for the same period last year</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color w:val="auto"/>
        </w:rPr>
        <w:t>Fiscal 2020 highlights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$21.44 billion versus $23.41 billion for the prior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$2.69 billion, or $2.37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$3.24 billion, or $2.83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$8.31 billion versus $13.19 billion for the prior year</w:t>
      </w:r>
    </w:p>
    <w:p>
      <w:pPr>
        <w:spacing w:after="0" w:line="252"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“Micron delivered solid fiscal fourth quarter revenue and EPS resulting from strong DRAM sales in cloud, PC and gaming consoles and an extraordinary increase in QLC NAND shipments,” said Micron Technology President and CEO Sanjay Mehrotra. “We look forward to improving market conditions throughout calendar 2021, driven by 5G, cloud and automotive growth, and we are excited by the continued momentum in our product portfolio.”</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120" w:type="dxa"/>
            <w:vAlign w:val="bottom"/>
          </w:tcPr>
          <w:p>
            <w:pPr>
              <w:spacing w:after="0"/>
              <w:rPr>
                <w:sz w:val="23"/>
                <w:szCs w:val="23"/>
                <w:color w:val="auto"/>
              </w:rPr>
            </w:pPr>
          </w:p>
        </w:tc>
        <w:tc>
          <w:tcPr>
            <w:tcW w:w="18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980" w:type="dxa"/>
            <w:vAlign w:val="bottom"/>
            <w:tcBorders>
              <w:bottom w:val="single" w:sz="8" w:color="0090DA"/>
            </w:tcBorders>
          </w:tcPr>
          <w:p>
            <w:pPr>
              <w:jc w:val="right"/>
              <w:ind w:right="150"/>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p>
        </w:tc>
        <w:tc>
          <w:tcPr>
            <w:tcW w:w="200" w:type="dxa"/>
            <w:vAlign w:val="bottom"/>
            <w:tcBorders>
              <w:bottom w:val="single" w:sz="8" w:color="0090DA"/>
            </w:tcBorders>
          </w:tcPr>
          <w:p>
            <w:pPr>
              <w:spacing w:after="0"/>
              <w:rPr>
                <w:sz w:val="23"/>
                <w:szCs w:val="23"/>
                <w:color w:val="auto"/>
              </w:rPr>
            </w:pPr>
          </w:p>
        </w:tc>
        <w:tc>
          <w:tcPr>
            <w:tcW w:w="980" w:type="dxa"/>
            <w:vAlign w:val="bottom"/>
            <w:tcBorders>
              <w:bottom w:val="single" w:sz="8" w:color="0090DA"/>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0090DA"/>
            </w:tcBorders>
          </w:tcPr>
          <w:p>
            <w:pPr>
              <w:spacing w:after="0"/>
              <w:rPr>
                <w:sz w:val="23"/>
                <w:szCs w:val="23"/>
                <w:color w:val="auto"/>
              </w:rPr>
            </w:pPr>
          </w:p>
        </w:tc>
        <w:tc>
          <w:tcPr>
            <w:tcW w:w="960" w:type="dxa"/>
            <w:vAlign w:val="bottom"/>
            <w:tcBorders>
              <w:bottom w:val="single" w:sz="8" w:color="0090DA"/>
            </w:tcBorders>
          </w:tcPr>
          <w:p>
            <w:pPr>
              <w:spacing w:after="0"/>
              <w:rPr>
                <w:sz w:val="23"/>
                <w:szCs w:val="23"/>
                <w:color w:val="auto"/>
              </w:rPr>
            </w:pPr>
          </w:p>
        </w:tc>
        <w:tc>
          <w:tcPr>
            <w:tcW w:w="118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p>
        </w:tc>
        <w:tc>
          <w:tcPr>
            <w:tcW w:w="200" w:type="dxa"/>
            <w:vAlign w:val="bottom"/>
            <w:tcBorders>
              <w:bottom w:val="single" w:sz="8" w:color="0090DA"/>
            </w:tcBorders>
          </w:tcPr>
          <w:p>
            <w:pPr>
              <w:spacing w:after="0"/>
              <w:rPr>
                <w:sz w:val="23"/>
                <w:szCs w:val="23"/>
                <w:color w:val="auto"/>
              </w:rPr>
            </w:pPr>
          </w:p>
        </w:tc>
        <w:tc>
          <w:tcPr>
            <w:tcW w:w="980" w:type="dxa"/>
            <w:vAlign w:val="bottom"/>
            <w:tcBorders>
              <w:bottom w:val="single" w:sz="8" w:color="0090DA"/>
            </w:tcBorders>
          </w:tcPr>
          <w:p>
            <w:pPr>
              <w:spacing w:after="0"/>
              <w:rPr>
                <w:sz w:val="23"/>
                <w:szCs w:val="23"/>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18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FQ4-20</w:t>
            </w:r>
          </w:p>
        </w:tc>
        <w:tc>
          <w:tcPr>
            <w:tcW w:w="200" w:type="dxa"/>
            <w:vAlign w:val="bottom"/>
          </w:tcPr>
          <w:p>
            <w:pPr>
              <w:spacing w:after="0"/>
              <w:rPr>
                <w:sz w:val="21"/>
                <w:szCs w:val="21"/>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FQ3-20</w:t>
            </w:r>
          </w:p>
        </w:tc>
        <w:tc>
          <w:tcPr>
            <w:tcW w:w="20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FQ4-19</w:t>
            </w:r>
          </w:p>
        </w:tc>
        <w:tc>
          <w:tcPr>
            <w:tcW w:w="200" w:type="dxa"/>
            <w:vAlign w:val="bottom"/>
          </w:tcPr>
          <w:p>
            <w:pPr>
              <w:spacing w:after="0"/>
              <w:rPr>
                <w:sz w:val="21"/>
                <w:szCs w:val="21"/>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FQ4-20</w:t>
            </w:r>
          </w:p>
        </w:tc>
        <w:tc>
          <w:tcPr>
            <w:tcW w:w="220" w:type="dxa"/>
            <w:vAlign w:val="bottom"/>
          </w:tcPr>
          <w:p>
            <w:pPr>
              <w:spacing w:after="0"/>
              <w:rPr>
                <w:sz w:val="21"/>
                <w:szCs w:val="21"/>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FQ3-20</w:t>
            </w:r>
          </w:p>
        </w:tc>
        <w:tc>
          <w:tcPr>
            <w:tcW w:w="200" w:type="dxa"/>
            <w:vAlign w:val="bottom"/>
          </w:tcPr>
          <w:p>
            <w:pPr>
              <w:spacing w:after="0"/>
              <w:rPr>
                <w:sz w:val="21"/>
                <w:szCs w:val="21"/>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FQ4-19</w:t>
            </w:r>
          </w:p>
        </w:tc>
      </w:tr>
      <w:tr>
        <w:trPr>
          <w:trHeight w:val="41"/>
        </w:trPr>
        <w:tc>
          <w:tcPr>
            <w:tcW w:w="4120" w:type="dxa"/>
            <w:vAlign w:val="bottom"/>
            <w:tcBorders>
              <w:top w:val="single" w:sz="8" w:color="0090DA"/>
            </w:tcBorders>
          </w:tcPr>
          <w:p>
            <w:pPr>
              <w:spacing w:after="0"/>
              <w:rPr>
                <w:sz w:val="3"/>
                <w:szCs w:val="3"/>
                <w:color w:val="auto"/>
              </w:rPr>
            </w:pPr>
          </w:p>
        </w:tc>
        <w:tc>
          <w:tcPr>
            <w:tcW w:w="180" w:type="dxa"/>
            <w:vAlign w:val="bottom"/>
            <w:tcBorders>
              <w:top w:val="single" w:sz="8" w:color="0090DA"/>
            </w:tcBorders>
          </w:tcPr>
          <w:p>
            <w:pPr>
              <w:spacing w:after="0"/>
              <w:rPr>
                <w:sz w:val="3"/>
                <w:szCs w:val="3"/>
                <w:color w:val="auto"/>
              </w:rPr>
            </w:pPr>
          </w:p>
        </w:tc>
        <w:tc>
          <w:tcPr>
            <w:tcW w:w="960" w:type="dxa"/>
            <w:vAlign w:val="bottom"/>
            <w:tcBorders>
              <w:top w:val="single" w:sz="8" w:color="0090DA"/>
            </w:tcBorders>
          </w:tcPr>
          <w:p>
            <w:pPr>
              <w:spacing w:after="0"/>
              <w:rPr>
                <w:sz w:val="3"/>
                <w:szCs w:val="3"/>
                <w:color w:val="auto"/>
              </w:rPr>
            </w:pPr>
          </w:p>
        </w:tc>
        <w:tc>
          <w:tcPr>
            <w:tcW w:w="200" w:type="dxa"/>
            <w:vAlign w:val="bottom"/>
            <w:tcBorders>
              <w:top w:val="single" w:sz="8" w:color="0090DA"/>
            </w:tcBorders>
          </w:tcPr>
          <w:p>
            <w:pPr>
              <w:spacing w:after="0"/>
              <w:rPr>
                <w:sz w:val="3"/>
                <w:szCs w:val="3"/>
                <w:color w:val="auto"/>
              </w:rPr>
            </w:pPr>
          </w:p>
        </w:tc>
        <w:tc>
          <w:tcPr>
            <w:tcW w:w="980" w:type="dxa"/>
            <w:vAlign w:val="bottom"/>
            <w:tcBorders>
              <w:top w:val="single" w:sz="8" w:color="0090DA"/>
            </w:tcBorders>
          </w:tcPr>
          <w:p>
            <w:pPr>
              <w:spacing w:after="0"/>
              <w:rPr>
                <w:sz w:val="3"/>
                <w:szCs w:val="3"/>
                <w:color w:val="auto"/>
              </w:rPr>
            </w:pPr>
          </w:p>
        </w:tc>
        <w:tc>
          <w:tcPr>
            <w:tcW w:w="200" w:type="dxa"/>
            <w:vAlign w:val="bottom"/>
            <w:tcBorders>
              <w:top w:val="single" w:sz="8" w:color="0090DA"/>
            </w:tcBorders>
          </w:tcPr>
          <w:p>
            <w:pPr>
              <w:spacing w:after="0"/>
              <w:rPr>
                <w:sz w:val="3"/>
                <w:szCs w:val="3"/>
                <w:color w:val="auto"/>
              </w:rPr>
            </w:pPr>
          </w:p>
        </w:tc>
        <w:tc>
          <w:tcPr>
            <w:tcW w:w="980" w:type="dxa"/>
            <w:vAlign w:val="bottom"/>
            <w:tcBorders>
              <w:top w:val="single" w:sz="8" w:color="0090DA"/>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top w:val="single" w:sz="8" w:color="0090DA"/>
            </w:tcBorders>
          </w:tcPr>
          <w:p>
            <w:pPr>
              <w:spacing w:after="0"/>
              <w:rPr>
                <w:sz w:val="3"/>
                <w:szCs w:val="3"/>
                <w:color w:val="auto"/>
              </w:rPr>
            </w:pPr>
          </w:p>
        </w:tc>
        <w:tc>
          <w:tcPr>
            <w:tcW w:w="960" w:type="dxa"/>
            <w:vAlign w:val="bottom"/>
            <w:tcBorders>
              <w:top w:val="single" w:sz="8" w:color="0090DA"/>
            </w:tcBorders>
          </w:tcPr>
          <w:p>
            <w:pPr>
              <w:spacing w:after="0"/>
              <w:rPr>
                <w:sz w:val="3"/>
                <w:szCs w:val="3"/>
                <w:color w:val="auto"/>
              </w:rPr>
            </w:pPr>
          </w:p>
        </w:tc>
        <w:tc>
          <w:tcPr>
            <w:tcW w:w="220" w:type="dxa"/>
            <w:vAlign w:val="bottom"/>
            <w:tcBorders>
              <w:top w:val="single" w:sz="8" w:color="0090DA"/>
            </w:tcBorders>
          </w:tcPr>
          <w:p>
            <w:pPr>
              <w:spacing w:after="0"/>
              <w:rPr>
                <w:sz w:val="3"/>
                <w:szCs w:val="3"/>
                <w:color w:val="auto"/>
              </w:rPr>
            </w:pPr>
          </w:p>
        </w:tc>
        <w:tc>
          <w:tcPr>
            <w:tcW w:w="960" w:type="dxa"/>
            <w:vAlign w:val="bottom"/>
            <w:tcBorders>
              <w:top w:val="single" w:sz="8" w:color="0090DA"/>
            </w:tcBorders>
          </w:tcPr>
          <w:p>
            <w:pPr>
              <w:spacing w:after="0"/>
              <w:rPr>
                <w:sz w:val="3"/>
                <w:szCs w:val="3"/>
                <w:color w:val="auto"/>
              </w:rPr>
            </w:pPr>
          </w:p>
        </w:tc>
        <w:tc>
          <w:tcPr>
            <w:tcW w:w="200" w:type="dxa"/>
            <w:vAlign w:val="bottom"/>
            <w:tcBorders>
              <w:top w:val="single" w:sz="8" w:color="0090DA"/>
            </w:tcBorders>
          </w:tcPr>
          <w:p>
            <w:pPr>
              <w:spacing w:after="0"/>
              <w:rPr>
                <w:sz w:val="3"/>
                <w:szCs w:val="3"/>
                <w:color w:val="auto"/>
              </w:rPr>
            </w:pPr>
          </w:p>
        </w:tc>
        <w:tc>
          <w:tcPr>
            <w:tcW w:w="980" w:type="dxa"/>
            <w:vAlign w:val="bottom"/>
            <w:tcBorders>
              <w:top w:val="single" w:sz="8" w:color="0090DA"/>
            </w:tcBorders>
          </w:tcPr>
          <w:p>
            <w:pPr>
              <w:spacing w:after="0"/>
              <w:rPr>
                <w:sz w:val="3"/>
                <w:szCs w:val="3"/>
                <w:color w:val="auto"/>
              </w:rPr>
            </w:pPr>
          </w:p>
        </w:tc>
      </w:tr>
      <w:tr>
        <w:trPr>
          <w:trHeight w:val="256"/>
        </w:trPr>
        <w:tc>
          <w:tcPr>
            <w:tcW w:w="412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6,056</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5,438</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70"/>
              <w:spacing w:after="0"/>
              <w:rPr>
                <w:sz w:val="20"/>
                <w:szCs w:val="20"/>
                <w:color w:val="auto"/>
              </w:rPr>
            </w:pPr>
            <w:r>
              <w:rPr>
                <w:rFonts w:ascii="Arial" w:cs="Arial" w:eastAsia="Arial" w:hAnsi="Arial"/>
                <w:sz w:val="18"/>
                <w:szCs w:val="18"/>
                <w:color w:val="auto"/>
              </w:rPr>
              <w:t>4,870</w:t>
            </w:r>
          </w:p>
        </w:tc>
        <w:tc>
          <w:tcPr>
            <w:tcW w:w="100" w:type="dxa"/>
            <w:vAlign w:val="bottom"/>
            <w:shd w:val="clear" w:color="auto" w:fill="DDDDDD"/>
          </w:tcPr>
          <w:p>
            <w:pPr>
              <w:spacing w:after="0"/>
              <w:rPr>
                <w:sz w:val="22"/>
                <w:szCs w:val="22"/>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6,056</w:t>
            </w:r>
          </w:p>
        </w:tc>
        <w:tc>
          <w:tcPr>
            <w:tcW w:w="2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5,438</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70"/>
              <w:spacing w:after="0"/>
              <w:rPr>
                <w:sz w:val="20"/>
                <w:szCs w:val="20"/>
                <w:color w:val="auto"/>
              </w:rPr>
            </w:pPr>
            <w:r>
              <w:rPr>
                <w:rFonts w:ascii="Arial" w:cs="Arial" w:eastAsia="Arial" w:hAnsi="Arial"/>
                <w:sz w:val="18"/>
                <w:szCs w:val="18"/>
                <w:color w:val="auto"/>
              </w:rPr>
              <w:t>4,870</w:t>
            </w: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2,068</w:t>
            </w:r>
          </w:p>
        </w:tc>
        <w:tc>
          <w:tcPr>
            <w:tcW w:w="20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1,763</w:t>
            </w:r>
          </w:p>
        </w:tc>
        <w:tc>
          <w:tcPr>
            <w:tcW w:w="20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2,111</w:t>
            </w:r>
          </w:p>
        </w:tc>
        <w:tc>
          <w:tcPr>
            <w:tcW w:w="22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1,804</w:t>
            </w:r>
          </w:p>
        </w:tc>
        <w:tc>
          <w:tcPr>
            <w:tcW w:w="20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1,491</w:t>
            </w:r>
          </w:p>
        </w:tc>
      </w:tr>
      <w:tr>
        <w:trPr>
          <w:trHeight w:val="263"/>
        </w:trPr>
        <w:tc>
          <w:tcPr>
            <w:tcW w:w="412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8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34.1 %</w:t>
            </w:r>
          </w:p>
        </w:tc>
        <w:tc>
          <w:tcPr>
            <w:tcW w:w="200" w:type="dxa"/>
            <w:vAlign w:val="bottom"/>
            <w:shd w:val="clear" w:color="auto" w:fill="DDDDDD"/>
          </w:tcPr>
          <w:p>
            <w:pPr>
              <w:spacing w:after="0"/>
              <w:rPr>
                <w:sz w:val="22"/>
                <w:szCs w:val="22"/>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32.4 %</w:t>
            </w:r>
          </w:p>
        </w:tc>
        <w:tc>
          <w:tcPr>
            <w:tcW w:w="200" w:type="dxa"/>
            <w:vAlign w:val="bottom"/>
            <w:shd w:val="clear" w:color="auto" w:fill="DDDDDD"/>
          </w:tcPr>
          <w:p>
            <w:pPr>
              <w:spacing w:after="0"/>
              <w:rPr>
                <w:sz w:val="22"/>
                <w:szCs w:val="22"/>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28.6 %</w:t>
            </w:r>
          </w:p>
        </w:tc>
        <w:tc>
          <w:tcPr>
            <w:tcW w:w="100" w:type="dxa"/>
            <w:vAlign w:val="bottom"/>
            <w:shd w:val="clear" w:color="auto" w:fill="DDDDDD"/>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34.9 %</w:t>
            </w:r>
          </w:p>
        </w:tc>
        <w:tc>
          <w:tcPr>
            <w:tcW w:w="220" w:type="dxa"/>
            <w:vAlign w:val="bottom"/>
            <w:shd w:val="clear" w:color="auto" w:fill="DDDDDD"/>
          </w:tcPr>
          <w:p>
            <w:pPr>
              <w:spacing w:after="0"/>
              <w:rPr>
                <w:sz w:val="22"/>
                <w:szCs w:val="22"/>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33.2 %</w:t>
            </w:r>
          </w:p>
        </w:tc>
        <w:tc>
          <w:tcPr>
            <w:tcW w:w="200" w:type="dxa"/>
            <w:vAlign w:val="bottom"/>
            <w:shd w:val="clear" w:color="auto" w:fill="DDDDDD"/>
          </w:tcPr>
          <w:p>
            <w:pPr>
              <w:spacing w:after="0"/>
              <w:rPr>
                <w:sz w:val="22"/>
                <w:szCs w:val="22"/>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30.6 %</w:t>
            </w: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911</w:t>
            </w:r>
          </w:p>
        </w:tc>
        <w:tc>
          <w:tcPr>
            <w:tcW w:w="20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809</w:t>
            </w:r>
          </w:p>
        </w:tc>
        <w:tc>
          <w:tcPr>
            <w:tcW w:w="22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823</w:t>
            </w:r>
          </w:p>
        </w:tc>
        <w:tc>
          <w:tcPr>
            <w:tcW w:w="20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797</w:t>
            </w:r>
          </w:p>
        </w:tc>
      </w:tr>
      <w:tr>
        <w:trPr>
          <w:trHeight w:val="263"/>
        </w:trPr>
        <w:tc>
          <w:tcPr>
            <w:tcW w:w="412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DDDDDD"/>
          </w:tcPr>
          <w:p>
            <w:pPr>
              <w:spacing w:after="0"/>
              <w:rPr>
                <w:sz w:val="22"/>
                <w:szCs w:val="22"/>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1,157</w:t>
            </w:r>
          </w:p>
        </w:tc>
        <w:tc>
          <w:tcPr>
            <w:tcW w:w="200" w:type="dxa"/>
            <w:vAlign w:val="bottom"/>
            <w:shd w:val="clear" w:color="auto" w:fill="DDDDDD"/>
          </w:tcPr>
          <w:p>
            <w:pPr>
              <w:spacing w:after="0"/>
              <w:rPr>
                <w:sz w:val="22"/>
                <w:szCs w:val="22"/>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888</w:t>
            </w:r>
          </w:p>
        </w:tc>
        <w:tc>
          <w:tcPr>
            <w:tcW w:w="200" w:type="dxa"/>
            <w:vAlign w:val="bottom"/>
            <w:shd w:val="clear" w:color="auto" w:fill="DDDDDD"/>
          </w:tcPr>
          <w:p>
            <w:pPr>
              <w:spacing w:after="0"/>
              <w:rPr>
                <w:sz w:val="22"/>
                <w:szCs w:val="22"/>
                <w:color w:val="auto"/>
              </w:rPr>
            </w:pPr>
          </w:p>
        </w:tc>
        <w:tc>
          <w:tcPr>
            <w:tcW w:w="980" w:type="dxa"/>
            <w:vAlign w:val="bottom"/>
            <w:shd w:val="clear" w:color="auto" w:fill="DDDDDD"/>
          </w:tcPr>
          <w:p>
            <w:pPr>
              <w:jc w:val="right"/>
              <w:ind w:right="17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DDDDDD"/>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1,302</w:t>
            </w:r>
          </w:p>
        </w:tc>
        <w:tc>
          <w:tcPr>
            <w:tcW w:w="220" w:type="dxa"/>
            <w:vAlign w:val="bottom"/>
            <w:shd w:val="clear" w:color="auto" w:fill="DDDDDD"/>
          </w:tcPr>
          <w:p>
            <w:pPr>
              <w:spacing w:after="0"/>
              <w:rPr>
                <w:sz w:val="22"/>
                <w:szCs w:val="22"/>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981</w:t>
            </w:r>
          </w:p>
        </w:tc>
        <w:tc>
          <w:tcPr>
            <w:tcW w:w="200" w:type="dxa"/>
            <w:vAlign w:val="bottom"/>
            <w:shd w:val="clear" w:color="auto" w:fill="DDDDDD"/>
          </w:tcPr>
          <w:p>
            <w:pPr>
              <w:spacing w:after="0"/>
              <w:rPr>
                <w:sz w:val="22"/>
                <w:szCs w:val="22"/>
                <w:color w:val="auto"/>
              </w:rPr>
            </w:pPr>
          </w:p>
        </w:tc>
        <w:tc>
          <w:tcPr>
            <w:tcW w:w="980" w:type="dxa"/>
            <w:vAlign w:val="bottom"/>
            <w:shd w:val="clear" w:color="auto" w:fill="DDDDDD"/>
          </w:tcPr>
          <w:p>
            <w:pPr>
              <w:jc w:val="right"/>
              <w:ind w:right="170"/>
              <w:spacing w:after="0"/>
              <w:rPr>
                <w:sz w:val="20"/>
                <w:szCs w:val="20"/>
                <w:color w:val="auto"/>
              </w:rPr>
            </w:pPr>
            <w:r>
              <w:rPr>
                <w:rFonts w:ascii="Arial" w:cs="Arial" w:eastAsia="Arial" w:hAnsi="Arial"/>
                <w:sz w:val="18"/>
                <w:szCs w:val="18"/>
                <w:color w:val="auto"/>
              </w:rPr>
              <w:t>694</w:t>
            </w: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19.1 %</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16.3 %</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13.3 %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21.5 %</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18.0 %</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14.3 %</w:t>
            </w:r>
          </w:p>
        </w:tc>
      </w:tr>
      <w:tr>
        <w:trPr>
          <w:trHeight w:val="263"/>
        </w:trPr>
        <w:tc>
          <w:tcPr>
            <w:tcW w:w="412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 attributable to Micron</w:t>
            </w:r>
          </w:p>
        </w:tc>
        <w:tc>
          <w:tcPr>
            <w:tcW w:w="180" w:type="dxa"/>
            <w:vAlign w:val="bottom"/>
            <w:shd w:val="clear" w:color="auto" w:fill="DDDDDD"/>
          </w:tcPr>
          <w:p>
            <w:pPr>
              <w:spacing w:after="0"/>
              <w:rPr>
                <w:sz w:val="22"/>
                <w:szCs w:val="22"/>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988</w:t>
            </w:r>
          </w:p>
        </w:tc>
        <w:tc>
          <w:tcPr>
            <w:tcW w:w="200" w:type="dxa"/>
            <w:vAlign w:val="bottom"/>
            <w:shd w:val="clear" w:color="auto" w:fill="DDDDDD"/>
          </w:tcPr>
          <w:p>
            <w:pPr>
              <w:spacing w:after="0"/>
              <w:rPr>
                <w:sz w:val="22"/>
                <w:szCs w:val="22"/>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803</w:t>
            </w:r>
          </w:p>
        </w:tc>
        <w:tc>
          <w:tcPr>
            <w:tcW w:w="200" w:type="dxa"/>
            <w:vAlign w:val="bottom"/>
            <w:shd w:val="clear" w:color="auto" w:fill="DDDDDD"/>
          </w:tcPr>
          <w:p>
            <w:pPr>
              <w:spacing w:after="0"/>
              <w:rPr>
                <w:sz w:val="22"/>
                <w:szCs w:val="22"/>
                <w:color w:val="auto"/>
              </w:rPr>
            </w:pPr>
          </w:p>
        </w:tc>
        <w:tc>
          <w:tcPr>
            <w:tcW w:w="980" w:type="dxa"/>
            <w:vAlign w:val="bottom"/>
            <w:shd w:val="clear" w:color="auto" w:fill="DDDDDD"/>
          </w:tcPr>
          <w:p>
            <w:pPr>
              <w:jc w:val="right"/>
              <w:ind w:right="170"/>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DDDDDD"/>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1,229</w:t>
            </w:r>
          </w:p>
        </w:tc>
        <w:tc>
          <w:tcPr>
            <w:tcW w:w="220" w:type="dxa"/>
            <w:vAlign w:val="bottom"/>
            <w:shd w:val="clear" w:color="auto" w:fill="DDDDDD"/>
          </w:tcPr>
          <w:p>
            <w:pPr>
              <w:spacing w:after="0"/>
              <w:rPr>
                <w:sz w:val="22"/>
                <w:szCs w:val="22"/>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941</w:t>
            </w:r>
          </w:p>
        </w:tc>
        <w:tc>
          <w:tcPr>
            <w:tcW w:w="200" w:type="dxa"/>
            <w:vAlign w:val="bottom"/>
            <w:shd w:val="clear" w:color="auto" w:fill="DDDDDD"/>
          </w:tcPr>
          <w:p>
            <w:pPr>
              <w:spacing w:after="0"/>
              <w:rPr>
                <w:sz w:val="22"/>
                <w:szCs w:val="22"/>
                <w:color w:val="auto"/>
              </w:rPr>
            </w:pPr>
          </w:p>
        </w:tc>
        <w:tc>
          <w:tcPr>
            <w:tcW w:w="980" w:type="dxa"/>
            <w:vAlign w:val="bottom"/>
            <w:shd w:val="clear" w:color="auto" w:fill="DDDDDD"/>
          </w:tcPr>
          <w:p>
            <w:pPr>
              <w:jc w:val="right"/>
              <w:ind w:right="170"/>
              <w:spacing w:after="0"/>
              <w:rPr>
                <w:sz w:val="20"/>
                <w:szCs w:val="20"/>
                <w:color w:val="auto"/>
              </w:rPr>
            </w:pPr>
            <w:r>
              <w:rPr>
                <w:rFonts w:ascii="Arial" w:cs="Arial" w:eastAsia="Arial" w:hAnsi="Arial"/>
                <w:sz w:val="18"/>
                <w:szCs w:val="18"/>
                <w:color w:val="auto"/>
              </w:rPr>
              <w:t>637</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0.87</w:t>
            </w:r>
          </w:p>
        </w:tc>
        <w:tc>
          <w:tcPr>
            <w:tcW w:w="20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0.71</w:t>
            </w:r>
          </w:p>
        </w:tc>
        <w:tc>
          <w:tcPr>
            <w:tcW w:w="20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0.82</w:t>
            </w:r>
          </w:p>
        </w:tc>
        <w:tc>
          <w:tcPr>
            <w:tcW w:w="20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0.56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0"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2"/>
          <w:szCs w:val="22"/>
          <w:b w:val="1"/>
          <w:bCs w:val="1"/>
          <w:color w:val="auto"/>
        </w:rPr>
        <w:t>Annual Financial Results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spacing w:after="0"/>
              <w:rPr>
                <w:sz w:val="22"/>
                <w:szCs w:val="22"/>
                <w:color w:val="auto"/>
              </w:rPr>
            </w:pPr>
          </w:p>
        </w:tc>
        <w:tc>
          <w:tcPr>
            <w:tcW w:w="156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p>
        </w:tc>
        <w:tc>
          <w:tcPr>
            <w:tcW w:w="880" w:type="dxa"/>
            <w:vAlign w:val="bottom"/>
            <w:tcBorders>
              <w:bottom w:val="single" w:sz="8" w:color="0090DA"/>
            </w:tcBorders>
          </w:tcPr>
          <w:p>
            <w:pPr>
              <w:spacing w:after="0"/>
              <w:rPr>
                <w:sz w:val="22"/>
                <w:szCs w:val="22"/>
                <w:color w:val="auto"/>
              </w:rPr>
            </w:pPr>
          </w:p>
        </w:tc>
        <w:tc>
          <w:tcPr>
            <w:tcW w:w="80" w:type="dxa"/>
            <w:vAlign w:val="bottom"/>
          </w:tcPr>
          <w:p>
            <w:pPr>
              <w:spacing w:after="0"/>
              <w:rPr>
                <w:sz w:val="22"/>
                <w:szCs w:val="22"/>
                <w:color w:val="auto"/>
              </w:rPr>
            </w:pPr>
          </w:p>
        </w:tc>
        <w:tc>
          <w:tcPr>
            <w:tcW w:w="2440" w:type="dxa"/>
            <w:vAlign w:val="bottom"/>
            <w:tcBorders>
              <w:bottom w:val="single" w:sz="8" w:color="0090DA"/>
            </w:tcBorders>
            <w:gridSpan w:val="3"/>
          </w:tcPr>
          <w:p>
            <w:pPr>
              <w:jc w:val="right"/>
              <w:ind w:right="590"/>
              <w:spacing w:after="0"/>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FY 20</w:t>
            </w:r>
          </w:p>
        </w:tc>
        <w:tc>
          <w:tcPr>
            <w:tcW w:w="340" w:type="dxa"/>
            <w:vAlign w:val="bottom"/>
          </w:tcPr>
          <w:p>
            <w:pPr>
              <w:spacing w:after="0"/>
              <w:rPr>
                <w:sz w:val="21"/>
                <w:szCs w:val="21"/>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rPr>
              <w:t>FY 19</w:t>
            </w: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FY 20</w:t>
            </w:r>
          </w:p>
        </w:tc>
        <w:tc>
          <w:tcPr>
            <w:tcW w:w="240" w:type="dxa"/>
            <w:vAlign w:val="bottom"/>
          </w:tcPr>
          <w:p>
            <w:pPr>
              <w:spacing w:after="0"/>
              <w:rPr>
                <w:sz w:val="21"/>
                <w:szCs w:val="21"/>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FY 19</w:t>
            </w:r>
          </w:p>
        </w:tc>
      </w:tr>
      <w:tr>
        <w:trPr>
          <w:trHeight w:val="41"/>
        </w:trPr>
        <w:tc>
          <w:tcPr>
            <w:tcW w:w="6280" w:type="dxa"/>
            <w:vAlign w:val="bottom"/>
            <w:tcBorders>
              <w:top w:val="single" w:sz="8" w:color="0090DA"/>
            </w:tcBorders>
          </w:tcPr>
          <w:p>
            <w:pPr>
              <w:spacing w:after="0"/>
              <w:rPr>
                <w:sz w:val="3"/>
                <w:szCs w:val="3"/>
                <w:color w:val="auto"/>
              </w:rPr>
            </w:pPr>
          </w:p>
        </w:tc>
        <w:tc>
          <w:tcPr>
            <w:tcW w:w="1220" w:type="dxa"/>
            <w:vAlign w:val="bottom"/>
            <w:tcBorders>
              <w:top w:val="single" w:sz="8" w:color="0090DA"/>
            </w:tcBorders>
          </w:tcPr>
          <w:p>
            <w:pPr>
              <w:spacing w:after="0"/>
              <w:rPr>
                <w:sz w:val="3"/>
                <w:szCs w:val="3"/>
                <w:color w:val="auto"/>
              </w:rPr>
            </w:pPr>
          </w:p>
        </w:tc>
        <w:tc>
          <w:tcPr>
            <w:tcW w:w="340" w:type="dxa"/>
            <w:vAlign w:val="bottom"/>
            <w:tcBorders>
              <w:top w:val="single" w:sz="8" w:color="0090DA"/>
            </w:tcBorders>
          </w:tcPr>
          <w:p>
            <w:pPr>
              <w:spacing w:after="0"/>
              <w:rPr>
                <w:sz w:val="3"/>
                <w:szCs w:val="3"/>
                <w:color w:val="auto"/>
              </w:rPr>
            </w:pPr>
          </w:p>
        </w:tc>
        <w:tc>
          <w:tcPr>
            <w:tcW w:w="880" w:type="dxa"/>
            <w:vAlign w:val="bottom"/>
            <w:tcBorders>
              <w:top w:val="single" w:sz="8" w:color="0090DA"/>
            </w:tcBorders>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Borders>
              <w:top w:val="single" w:sz="8" w:color="0090DA"/>
            </w:tcBorders>
          </w:tcPr>
          <w:p>
            <w:pPr>
              <w:spacing w:after="0"/>
              <w:rPr>
                <w:sz w:val="3"/>
                <w:szCs w:val="3"/>
                <w:color w:val="auto"/>
              </w:rPr>
            </w:pPr>
          </w:p>
        </w:tc>
        <w:tc>
          <w:tcPr>
            <w:tcW w:w="240" w:type="dxa"/>
            <w:vAlign w:val="bottom"/>
            <w:tcBorders>
              <w:top w:val="single" w:sz="8" w:color="0090DA"/>
            </w:tcBorders>
          </w:tcPr>
          <w:p>
            <w:pPr>
              <w:spacing w:after="0"/>
              <w:rPr>
                <w:sz w:val="3"/>
                <w:szCs w:val="3"/>
                <w:color w:val="auto"/>
              </w:rPr>
            </w:pPr>
          </w:p>
        </w:tc>
        <w:tc>
          <w:tcPr>
            <w:tcW w:w="980" w:type="dxa"/>
            <w:vAlign w:val="bottom"/>
            <w:tcBorders>
              <w:top w:val="single" w:sz="8" w:color="0090DA"/>
            </w:tcBorders>
          </w:tcPr>
          <w:p>
            <w:pPr>
              <w:spacing w:after="0"/>
              <w:rPr>
                <w:sz w:val="3"/>
                <w:szCs w:val="3"/>
                <w:color w:val="auto"/>
              </w:rPr>
            </w:pPr>
          </w:p>
        </w:tc>
      </w:tr>
      <w:tr>
        <w:trPr>
          <w:trHeight w:val="256"/>
        </w:trPr>
        <w:tc>
          <w:tcPr>
            <w:tcW w:w="628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1220" w:type="dxa"/>
            <w:vAlign w:val="bottom"/>
            <w:shd w:val="clear" w:color="auto" w:fill="DDDDDD"/>
          </w:tcPr>
          <w:p>
            <w:pPr>
              <w:jc w:val="right"/>
              <w:ind w:right="170"/>
              <w:spacing w:after="0"/>
              <w:rPr>
                <w:sz w:val="20"/>
                <w:szCs w:val="20"/>
                <w:color w:val="auto"/>
              </w:rPr>
            </w:pPr>
            <w:r>
              <w:rPr>
                <w:rFonts w:ascii="Arial" w:cs="Arial" w:eastAsia="Arial" w:hAnsi="Arial"/>
                <w:sz w:val="18"/>
                <w:szCs w:val="18"/>
                <w:color w:val="auto"/>
              </w:rPr>
              <w:t>$   21,435</w:t>
            </w:r>
          </w:p>
        </w:tc>
        <w:tc>
          <w:tcPr>
            <w:tcW w:w="3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DDDDD"/>
          </w:tcPr>
          <w:p>
            <w:pPr>
              <w:jc w:val="right"/>
              <w:ind w:right="170"/>
              <w:spacing w:after="0"/>
              <w:rPr>
                <w:sz w:val="20"/>
                <w:szCs w:val="20"/>
                <w:color w:val="auto"/>
              </w:rPr>
            </w:pPr>
            <w:r>
              <w:rPr>
                <w:rFonts w:ascii="Arial" w:cs="Arial" w:eastAsia="Arial" w:hAnsi="Arial"/>
                <w:sz w:val="18"/>
                <w:szCs w:val="18"/>
                <w:color w:val="auto"/>
              </w:rPr>
              <w:t>23,406</w:t>
            </w:r>
          </w:p>
        </w:tc>
        <w:tc>
          <w:tcPr>
            <w:tcW w:w="80" w:type="dxa"/>
            <w:vAlign w:val="bottom"/>
            <w:shd w:val="clear" w:color="auto" w:fill="DDDDDD"/>
          </w:tcPr>
          <w:p>
            <w:pPr>
              <w:spacing w:after="0"/>
              <w:rPr>
                <w:sz w:val="22"/>
                <w:szCs w:val="22"/>
                <w:color w:val="auto"/>
              </w:rPr>
            </w:pPr>
          </w:p>
        </w:tc>
        <w:tc>
          <w:tcPr>
            <w:tcW w:w="122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   21,435</w:t>
            </w: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70"/>
              <w:spacing w:after="0"/>
              <w:rPr>
                <w:sz w:val="20"/>
                <w:szCs w:val="20"/>
                <w:color w:val="auto"/>
              </w:rPr>
            </w:pPr>
            <w:r>
              <w:rPr>
                <w:rFonts w:ascii="Arial" w:cs="Arial" w:eastAsia="Arial" w:hAnsi="Arial"/>
                <w:sz w:val="18"/>
                <w:szCs w:val="18"/>
                <w:color w:val="auto"/>
              </w:rPr>
              <w:t>23,406</w:t>
            </w:r>
          </w:p>
        </w:tc>
      </w:tr>
      <w:tr>
        <w:trPr>
          <w:trHeight w:val="250"/>
        </w:trPr>
        <w:tc>
          <w:tcPr>
            <w:tcW w:w="62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6,552</w:t>
            </w:r>
          </w:p>
        </w:tc>
        <w:tc>
          <w:tcPr>
            <w:tcW w:w="340" w:type="dxa"/>
            <w:vAlign w:val="bottom"/>
          </w:tcPr>
          <w:p>
            <w:pPr>
              <w:spacing w:after="0"/>
              <w:rPr>
                <w:sz w:val="21"/>
                <w:szCs w:val="21"/>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10,702</w:t>
            </w:r>
          </w:p>
        </w:tc>
        <w:tc>
          <w:tcPr>
            <w:tcW w:w="8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6,718</w:t>
            </w:r>
          </w:p>
        </w:tc>
        <w:tc>
          <w:tcPr>
            <w:tcW w:w="24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10,973</w:t>
            </w:r>
          </w:p>
        </w:tc>
      </w:tr>
      <w:tr>
        <w:trPr>
          <w:trHeight w:val="263"/>
        </w:trPr>
        <w:tc>
          <w:tcPr>
            <w:tcW w:w="628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22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30.6 %</w:t>
            </w:r>
          </w:p>
        </w:tc>
        <w:tc>
          <w:tcPr>
            <w:tcW w:w="340" w:type="dxa"/>
            <w:vAlign w:val="bottom"/>
            <w:shd w:val="clear" w:color="auto" w:fill="DDDDDD"/>
          </w:tcPr>
          <w:p>
            <w:pPr>
              <w:spacing w:after="0"/>
              <w:rPr>
                <w:sz w:val="22"/>
                <w:szCs w:val="22"/>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45.7 %</w:t>
            </w:r>
          </w:p>
        </w:tc>
        <w:tc>
          <w:tcPr>
            <w:tcW w:w="80" w:type="dxa"/>
            <w:vAlign w:val="bottom"/>
            <w:shd w:val="clear" w:color="auto" w:fill="DDDDDD"/>
          </w:tcPr>
          <w:p>
            <w:pPr>
              <w:spacing w:after="0"/>
              <w:rPr>
                <w:sz w:val="22"/>
                <w:szCs w:val="22"/>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31.3 %</w:t>
            </w:r>
          </w:p>
        </w:tc>
        <w:tc>
          <w:tcPr>
            <w:tcW w:w="240" w:type="dxa"/>
            <w:vAlign w:val="bottom"/>
            <w:shd w:val="clear" w:color="auto" w:fill="DDDDDD"/>
          </w:tcPr>
          <w:p>
            <w:pPr>
              <w:spacing w:after="0"/>
              <w:rPr>
                <w:sz w:val="22"/>
                <w:szCs w:val="22"/>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46.9 %</w:t>
            </w:r>
          </w:p>
        </w:tc>
      </w:tr>
      <w:tr>
        <w:trPr>
          <w:trHeight w:val="250"/>
        </w:trPr>
        <w:tc>
          <w:tcPr>
            <w:tcW w:w="6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3,549</w:t>
            </w:r>
          </w:p>
        </w:tc>
        <w:tc>
          <w:tcPr>
            <w:tcW w:w="340" w:type="dxa"/>
            <w:vAlign w:val="bottom"/>
          </w:tcPr>
          <w:p>
            <w:pPr>
              <w:spacing w:after="0"/>
              <w:rPr>
                <w:sz w:val="21"/>
                <w:szCs w:val="21"/>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3,326</w:t>
            </w:r>
          </w:p>
        </w:tc>
        <w:tc>
          <w:tcPr>
            <w:tcW w:w="8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3,299</w:t>
            </w:r>
          </w:p>
        </w:tc>
        <w:tc>
          <w:tcPr>
            <w:tcW w:w="24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3,172</w:t>
            </w:r>
          </w:p>
        </w:tc>
      </w:tr>
      <w:tr>
        <w:trPr>
          <w:trHeight w:val="263"/>
        </w:trPr>
        <w:tc>
          <w:tcPr>
            <w:tcW w:w="628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w:t>
            </w:r>
          </w:p>
        </w:tc>
        <w:tc>
          <w:tcPr>
            <w:tcW w:w="1220" w:type="dxa"/>
            <w:vAlign w:val="bottom"/>
            <w:shd w:val="clear" w:color="auto" w:fill="DDDDDD"/>
          </w:tcPr>
          <w:p>
            <w:pPr>
              <w:jc w:val="right"/>
              <w:ind w:right="170"/>
              <w:spacing w:after="0"/>
              <w:rPr>
                <w:sz w:val="20"/>
                <w:szCs w:val="20"/>
                <w:color w:val="auto"/>
              </w:rPr>
            </w:pPr>
            <w:r>
              <w:rPr>
                <w:rFonts w:ascii="Arial" w:cs="Arial" w:eastAsia="Arial" w:hAnsi="Arial"/>
                <w:sz w:val="18"/>
                <w:szCs w:val="18"/>
                <w:color w:val="auto"/>
              </w:rPr>
              <w:t>3,003</w:t>
            </w:r>
          </w:p>
        </w:tc>
        <w:tc>
          <w:tcPr>
            <w:tcW w:w="340" w:type="dxa"/>
            <w:vAlign w:val="bottom"/>
            <w:shd w:val="clear" w:color="auto" w:fill="DDDDDD"/>
          </w:tcPr>
          <w:p>
            <w:pPr>
              <w:spacing w:after="0"/>
              <w:rPr>
                <w:sz w:val="22"/>
                <w:szCs w:val="22"/>
                <w:color w:val="auto"/>
              </w:rPr>
            </w:pPr>
          </w:p>
        </w:tc>
        <w:tc>
          <w:tcPr>
            <w:tcW w:w="880" w:type="dxa"/>
            <w:vAlign w:val="bottom"/>
            <w:shd w:val="clear" w:color="auto" w:fill="DDDDDD"/>
          </w:tcPr>
          <w:p>
            <w:pPr>
              <w:jc w:val="right"/>
              <w:ind w:right="170"/>
              <w:spacing w:after="0"/>
              <w:rPr>
                <w:sz w:val="20"/>
                <w:szCs w:val="20"/>
                <w:color w:val="auto"/>
              </w:rPr>
            </w:pPr>
            <w:r>
              <w:rPr>
                <w:rFonts w:ascii="Arial" w:cs="Arial" w:eastAsia="Arial" w:hAnsi="Arial"/>
                <w:sz w:val="18"/>
                <w:szCs w:val="18"/>
                <w:color w:val="auto"/>
              </w:rPr>
              <w:t>7,376</w:t>
            </w:r>
          </w:p>
        </w:tc>
        <w:tc>
          <w:tcPr>
            <w:tcW w:w="80" w:type="dxa"/>
            <w:vAlign w:val="bottom"/>
            <w:shd w:val="clear" w:color="auto" w:fill="DDDDDD"/>
          </w:tcPr>
          <w:p>
            <w:pPr>
              <w:spacing w:after="0"/>
              <w:rPr>
                <w:sz w:val="22"/>
                <w:szCs w:val="22"/>
                <w:color w:val="auto"/>
              </w:rPr>
            </w:pPr>
          </w:p>
        </w:tc>
        <w:tc>
          <w:tcPr>
            <w:tcW w:w="122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3,419</w:t>
            </w:r>
          </w:p>
        </w:tc>
        <w:tc>
          <w:tcPr>
            <w:tcW w:w="240" w:type="dxa"/>
            <w:vAlign w:val="bottom"/>
            <w:shd w:val="clear" w:color="auto" w:fill="DDDDDD"/>
          </w:tcPr>
          <w:p>
            <w:pPr>
              <w:spacing w:after="0"/>
              <w:rPr>
                <w:sz w:val="22"/>
                <w:szCs w:val="22"/>
                <w:color w:val="auto"/>
              </w:rPr>
            </w:pPr>
          </w:p>
        </w:tc>
        <w:tc>
          <w:tcPr>
            <w:tcW w:w="980" w:type="dxa"/>
            <w:vAlign w:val="bottom"/>
            <w:shd w:val="clear" w:color="auto" w:fill="DDDDDD"/>
          </w:tcPr>
          <w:p>
            <w:pPr>
              <w:jc w:val="right"/>
              <w:ind w:right="170"/>
              <w:spacing w:after="0"/>
              <w:rPr>
                <w:sz w:val="20"/>
                <w:szCs w:val="20"/>
                <w:color w:val="auto"/>
              </w:rPr>
            </w:pPr>
            <w:r>
              <w:rPr>
                <w:rFonts w:ascii="Arial" w:cs="Arial" w:eastAsia="Arial" w:hAnsi="Arial"/>
                <w:sz w:val="18"/>
                <w:szCs w:val="18"/>
                <w:color w:val="auto"/>
              </w:rPr>
              <w:t>7,801</w:t>
            </w:r>
          </w:p>
        </w:tc>
      </w:tr>
      <w:tr>
        <w:trPr>
          <w:trHeight w:val="250"/>
        </w:trPr>
        <w:tc>
          <w:tcPr>
            <w:tcW w:w="628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14.0 %</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31.5 %</w:t>
            </w:r>
          </w:p>
        </w:tc>
        <w:tc>
          <w:tcPr>
            <w:tcW w:w="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16.0 %</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33.3 %</w:t>
            </w:r>
          </w:p>
        </w:tc>
      </w:tr>
      <w:tr>
        <w:trPr>
          <w:trHeight w:val="263"/>
        </w:trPr>
        <w:tc>
          <w:tcPr>
            <w:tcW w:w="628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 attributable to Micron</w:t>
            </w:r>
          </w:p>
        </w:tc>
        <w:tc>
          <w:tcPr>
            <w:tcW w:w="1220" w:type="dxa"/>
            <w:vAlign w:val="bottom"/>
            <w:shd w:val="clear" w:color="auto" w:fill="DDDDDD"/>
          </w:tcPr>
          <w:p>
            <w:pPr>
              <w:jc w:val="right"/>
              <w:ind w:right="170"/>
              <w:spacing w:after="0"/>
              <w:rPr>
                <w:sz w:val="20"/>
                <w:szCs w:val="20"/>
                <w:color w:val="auto"/>
              </w:rPr>
            </w:pPr>
            <w:r>
              <w:rPr>
                <w:rFonts w:ascii="Arial" w:cs="Arial" w:eastAsia="Arial" w:hAnsi="Arial"/>
                <w:sz w:val="18"/>
                <w:szCs w:val="18"/>
                <w:color w:val="auto"/>
              </w:rPr>
              <w:t>2,687</w:t>
            </w:r>
          </w:p>
        </w:tc>
        <w:tc>
          <w:tcPr>
            <w:tcW w:w="340" w:type="dxa"/>
            <w:vAlign w:val="bottom"/>
            <w:shd w:val="clear" w:color="auto" w:fill="DDDDDD"/>
          </w:tcPr>
          <w:p>
            <w:pPr>
              <w:spacing w:after="0"/>
              <w:rPr>
                <w:sz w:val="22"/>
                <w:szCs w:val="22"/>
                <w:color w:val="auto"/>
              </w:rPr>
            </w:pPr>
          </w:p>
        </w:tc>
        <w:tc>
          <w:tcPr>
            <w:tcW w:w="880" w:type="dxa"/>
            <w:vAlign w:val="bottom"/>
            <w:shd w:val="clear" w:color="auto" w:fill="DDDDDD"/>
          </w:tcPr>
          <w:p>
            <w:pPr>
              <w:jc w:val="right"/>
              <w:ind w:right="170"/>
              <w:spacing w:after="0"/>
              <w:rPr>
                <w:sz w:val="20"/>
                <w:szCs w:val="20"/>
                <w:color w:val="auto"/>
              </w:rPr>
            </w:pPr>
            <w:r>
              <w:rPr>
                <w:rFonts w:ascii="Arial" w:cs="Arial" w:eastAsia="Arial" w:hAnsi="Arial"/>
                <w:sz w:val="18"/>
                <w:szCs w:val="18"/>
                <w:color w:val="auto"/>
              </w:rPr>
              <w:t>6,313</w:t>
            </w:r>
          </w:p>
        </w:tc>
        <w:tc>
          <w:tcPr>
            <w:tcW w:w="80" w:type="dxa"/>
            <w:vAlign w:val="bottom"/>
            <w:shd w:val="clear" w:color="auto" w:fill="DDDDDD"/>
          </w:tcPr>
          <w:p>
            <w:pPr>
              <w:spacing w:after="0"/>
              <w:rPr>
                <w:sz w:val="22"/>
                <w:szCs w:val="22"/>
                <w:color w:val="auto"/>
              </w:rPr>
            </w:pPr>
          </w:p>
        </w:tc>
        <w:tc>
          <w:tcPr>
            <w:tcW w:w="122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3,235</w:t>
            </w:r>
          </w:p>
        </w:tc>
        <w:tc>
          <w:tcPr>
            <w:tcW w:w="240" w:type="dxa"/>
            <w:vAlign w:val="bottom"/>
            <w:shd w:val="clear" w:color="auto" w:fill="DDDDDD"/>
          </w:tcPr>
          <w:p>
            <w:pPr>
              <w:spacing w:after="0"/>
              <w:rPr>
                <w:sz w:val="22"/>
                <w:szCs w:val="22"/>
                <w:color w:val="auto"/>
              </w:rPr>
            </w:pPr>
          </w:p>
        </w:tc>
        <w:tc>
          <w:tcPr>
            <w:tcW w:w="980" w:type="dxa"/>
            <w:vAlign w:val="bottom"/>
            <w:shd w:val="clear" w:color="auto" w:fill="DDDDDD"/>
          </w:tcPr>
          <w:p>
            <w:pPr>
              <w:jc w:val="right"/>
              <w:ind w:right="170"/>
              <w:spacing w:after="0"/>
              <w:rPr>
                <w:sz w:val="20"/>
                <w:szCs w:val="20"/>
                <w:color w:val="auto"/>
              </w:rPr>
            </w:pPr>
            <w:r>
              <w:rPr>
                <w:rFonts w:ascii="Arial" w:cs="Arial" w:eastAsia="Arial" w:hAnsi="Arial"/>
                <w:sz w:val="18"/>
                <w:szCs w:val="18"/>
                <w:color w:val="auto"/>
              </w:rPr>
              <w:t>7,314</w:t>
            </w: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2.37</w:t>
            </w:r>
          </w:p>
        </w:tc>
        <w:tc>
          <w:tcPr>
            <w:tcW w:w="340" w:type="dxa"/>
            <w:vAlign w:val="bottom"/>
          </w:tcPr>
          <w:p>
            <w:pPr>
              <w:spacing w:after="0"/>
              <w:rPr>
                <w:sz w:val="21"/>
                <w:szCs w:val="21"/>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5.51</w:t>
            </w:r>
          </w:p>
        </w:tc>
        <w:tc>
          <w:tcPr>
            <w:tcW w:w="8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2.83</w:t>
            </w:r>
          </w:p>
        </w:tc>
        <w:tc>
          <w:tcPr>
            <w:tcW w:w="240" w:type="dxa"/>
            <w:vAlign w:val="bottom"/>
          </w:tcPr>
          <w:p>
            <w:pPr>
              <w:spacing w:after="0"/>
              <w:rPr>
                <w:sz w:val="21"/>
                <w:szCs w:val="21"/>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6.35</w:t>
            </w:r>
          </w:p>
        </w:tc>
      </w:tr>
    </w:tbl>
    <w:p>
      <w:pPr>
        <w:spacing w:after="0" w:line="364"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Investments in capital expenditures, net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were $2.16 billion for the fourth quarter of 2020 and $7.95 billion for the full year of 2020, which resulted in adjusted free cash flows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$111 million for the fourth quarter of 2020 and $361 million for the full year of 2020. Micron repurchased approximately 824,000 shares of its common stock for $41 million during the fourth quarter of 2020 and 3.6 million shares of its common stock for $176 million during the full year of 2020 and ended the year with cash, marketable investments, and restricted cash of $9.26 billion, for a net cash</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position of $2.61 billion.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40" w:type="dxa"/>
            <w:vAlign w:val="bottom"/>
          </w:tcPr>
          <w:p>
            <w:pPr>
              <w:spacing w:after="0"/>
              <w:rPr>
                <w:sz w:val="20"/>
                <w:szCs w:val="20"/>
                <w:color w:val="auto"/>
              </w:rPr>
            </w:pPr>
            <w:r>
              <w:rPr>
                <w:rFonts w:ascii="Arial" w:cs="Arial" w:eastAsia="Arial" w:hAnsi="Arial"/>
                <w:sz w:val="18"/>
                <w:szCs w:val="18"/>
                <w:b w:val="1"/>
                <w:bCs w:val="1"/>
                <w:color w:val="auto"/>
              </w:rPr>
              <w:t>Business Outlook</w:t>
            </w:r>
          </w:p>
        </w:tc>
        <w:tc>
          <w:tcPr>
            <w:tcW w:w="262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59"/>
        </w:trPr>
        <w:tc>
          <w:tcPr>
            <w:tcW w:w="6440" w:type="dxa"/>
            <w:vAlign w:val="bottom"/>
          </w:tcPr>
          <w:p>
            <w:pPr>
              <w:spacing w:after="0"/>
              <w:rPr>
                <w:sz w:val="20"/>
                <w:szCs w:val="20"/>
                <w:color w:val="auto"/>
              </w:rPr>
            </w:pPr>
            <w:r>
              <w:rPr>
                <w:rFonts w:ascii="Arial" w:cs="Arial" w:eastAsia="Arial" w:hAnsi="Arial"/>
                <w:sz w:val="18"/>
                <w:szCs w:val="18"/>
                <w:color w:val="auto"/>
              </w:rPr>
              <w:t>The following table presents Micron’s guidance for the first quarter of 2021:</w:t>
            </w:r>
          </w:p>
        </w:tc>
        <w:tc>
          <w:tcPr>
            <w:tcW w:w="26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83"/>
        </w:trPr>
        <w:tc>
          <w:tcPr>
            <w:tcW w:w="64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FQ1-21</w:t>
            </w:r>
          </w:p>
        </w:tc>
        <w:tc>
          <w:tcPr>
            <w:tcW w:w="2620" w:type="dxa"/>
            <w:vAlign w:val="bottom"/>
            <w:tcBorders>
              <w:bottom w:val="single" w:sz="8" w:color="0090DA"/>
            </w:tcBorders>
          </w:tcPr>
          <w:p>
            <w:pPr>
              <w:jc w:val="right"/>
              <w:ind w:right="50"/>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18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34"/>
        </w:trPr>
        <w:tc>
          <w:tcPr>
            <w:tcW w:w="64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7"/>
        </w:trPr>
        <w:tc>
          <w:tcPr>
            <w:tcW w:w="644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62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rPr>
              <w:t>$5.2 billion ± $200 million</w:t>
            </w:r>
          </w:p>
        </w:tc>
        <w:tc>
          <w:tcPr>
            <w:tcW w:w="2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$5.2 billion ± $200 million</w:t>
            </w:r>
          </w:p>
        </w:tc>
      </w:tr>
      <w:tr>
        <w:trPr>
          <w:trHeight w:val="257"/>
        </w:trPr>
        <w:tc>
          <w:tcPr>
            <w:tcW w:w="64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620" w:type="dxa"/>
            <w:vAlign w:val="bottom"/>
          </w:tcPr>
          <w:p>
            <w:pPr>
              <w:jc w:val="right"/>
              <w:ind w:right="50"/>
              <w:spacing w:after="0"/>
              <w:rPr>
                <w:sz w:val="20"/>
                <w:szCs w:val="20"/>
                <w:color w:val="auto"/>
              </w:rPr>
            </w:pPr>
            <w:r>
              <w:rPr>
                <w:rFonts w:ascii="Arial" w:cs="Arial" w:eastAsia="Arial" w:hAnsi="Arial"/>
                <w:sz w:val="18"/>
                <w:szCs w:val="18"/>
                <w:color w:val="auto"/>
              </w:rPr>
              <w:t>26.5% ± 1%</w:t>
            </w:r>
          </w:p>
        </w:tc>
        <w:tc>
          <w:tcPr>
            <w:tcW w:w="2180" w:type="dxa"/>
            <w:vAlign w:val="bottom"/>
          </w:tcPr>
          <w:p>
            <w:pPr>
              <w:jc w:val="right"/>
              <w:spacing w:after="0"/>
              <w:rPr>
                <w:sz w:val="20"/>
                <w:szCs w:val="20"/>
                <w:color w:val="auto"/>
              </w:rPr>
            </w:pPr>
            <w:r>
              <w:rPr>
                <w:rFonts w:ascii="Arial" w:cs="Arial" w:eastAsia="Arial" w:hAnsi="Arial"/>
                <w:sz w:val="18"/>
                <w:szCs w:val="18"/>
                <w:color w:val="auto"/>
              </w:rPr>
              <w:t>27.5% ± 1%</w:t>
            </w:r>
          </w:p>
        </w:tc>
      </w:tr>
      <w:tr>
        <w:trPr>
          <w:trHeight w:val="257"/>
        </w:trPr>
        <w:tc>
          <w:tcPr>
            <w:tcW w:w="644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expenses</w:t>
            </w:r>
          </w:p>
        </w:tc>
        <w:tc>
          <w:tcPr>
            <w:tcW w:w="262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rPr>
              <w:t>$873 million ± $25 million</w:t>
            </w:r>
          </w:p>
        </w:tc>
        <w:tc>
          <w:tcPr>
            <w:tcW w:w="2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$825 million ± $25 million</w:t>
            </w:r>
          </w:p>
        </w:tc>
      </w:tr>
      <w:tr>
        <w:trPr>
          <w:trHeight w:val="256"/>
        </w:trPr>
        <w:tc>
          <w:tcPr>
            <w:tcW w:w="644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2620" w:type="dxa"/>
            <w:vAlign w:val="bottom"/>
          </w:tcPr>
          <w:p>
            <w:pPr>
              <w:jc w:val="right"/>
              <w:ind w:right="50"/>
              <w:spacing w:after="0"/>
              <w:rPr>
                <w:sz w:val="20"/>
                <w:szCs w:val="20"/>
                <w:color w:val="auto"/>
              </w:rPr>
            </w:pPr>
            <w:r>
              <w:rPr>
                <w:rFonts w:ascii="Arial" w:cs="Arial" w:eastAsia="Arial" w:hAnsi="Arial"/>
                <w:sz w:val="18"/>
                <w:szCs w:val="18"/>
                <w:color w:val="auto"/>
              </w:rPr>
              <w:t>$37 million</w:t>
            </w:r>
          </w:p>
        </w:tc>
        <w:tc>
          <w:tcPr>
            <w:tcW w:w="2180" w:type="dxa"/>
            <w:vAlign w:val="bottom"/>
          </w:tcPr>
          <w:p>
            <w:pPr>
              <w:jc w:val="right"/>
              <w:spacing w:after="0"/>
              <w:rPr>
                <w:sz w:val="20"/>
                <w:szCs w:val="20"/>
                <w:color w:val="auto"/>
              </w:rPr>
            </w:pPr>
            <w:r>
              <w:rPr>
                <w:rFonts w:ascii="Arial" w:cs="Arial" w:eastAsia="Arial" w:hAnsi="Arial"/>
                <w:sz w:val="18"/>
                <w:szCs w:val="18"/>
                <w:color w:val="auto"/>
              </w:rPr>
              <w:t>$35 million</w:t>
            </w:r>
          </w:p>
        </w:tc>
      </w:tr>
      <w:tr>
        <w:trPr>
          <w:trHeight w:val="257"/>
        </w:trPr>
        <w:tc>
          <w:tcPr>
            <w:tcW w:w="6440" w:type="dxa"/>
            <w:vAlign w:val="bottom"/>
            <w:shd w:val="clear" w:color="auto" w:fill="DDDDDD"/>
          </w:tcPr>
          <w:p>
            <w:pPr>
              <w:ind w:left="20"/>
              <w:spacing w:after="0"/>
              <w:rPr>
                <w:sz w:val="20"/>
                <w:szCs w:val="20"/>
                <w:color w:val="auto"/>
              </w:rPr>
            </w:pPr>
            <w:r>
              <w:rPr>
                <w:rFonts w:ascii="Arial" w:cs="Arial" w:eastAsia="Arial" w:hAnsi="Arial"/>
                <w:sz w:val="18"/>
                <w:szCs w:val="18"/>
                <w:color w:val="auto"/>
              </w:rPr>
              <w:t>Diluted earnings per share</w:t>
            </w:r>
          </w:p>
        </w:tc>
        <w:tc>
          <w:tcPr>
            <w:tcW w:w="2620" w:type="dxa"/>
            <w:vAlign w:val="bottom"/>
            <w:shd w:val="clear" w:color="auto" w:fill="DDDDDD"/>
          </w:tcPr>
          <w:p>
            <w:pPr>
              <w:jc w:val="right"/>
              <w:ind w:right="50"/>
              <w:spacing w:after="0"/>
              <w:rPr>
                <w:sz w:val="20"/>
                <w:szCs w:val="20"/>
                <w:color w:val="auto"/>
              </w:rPr>
            </w:pPr>
            <w:r>
              <w:rPr>
                <w:rFonts w:ascii="Arial" w:cs="Arial" w:eastAsia="Arial" w:hAnsi="Arial"/>
                <w:sz w:val="18"/>
                <w:szCs w:val="18"/>
                <w:color w:val="auto"/>
              </w:rPr>
              <w:t>$0.39 ± $0.07</w:t>
            </w:r>
          </w:p>
        </w:tc>
        <w:tc>
          <w:tcPr>
            <w:tcW w:w="21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$0.47 ± $0.07</w:t>
            </w:r>
          </w:p>
        </w:tc>
      </w:tr>
    </w:tbl>
    <w:p>
      <w:pPr>
        <w:spacing w:after="0" w:line="350"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 xml:space="preserve">Further information regarding Micron’s business outlook is included in the prepared remarks and slides, which have been posted at </w:t>
      </w:r>
      <w:r>
        <w:rPr>
          <w:rFonts w:ascii="Arial" w:cs="Arial" w:eastAsia="Arial" w:hAnsi="Arial"/>
          <w:sz w:val="18"/>
          <w:szCs w:val="18"/>
          <w:u w:val="single" w:color="auto"/>
          <w:color w:val="0090DA"/>
        </w:rPr>
        <w:t>investors.micron.com</w:t>
      </w:r>
      <w:r>
        <w:rPr>
          <w:rFonts w:ascii="Arial" w:cs="Arial" w:eastAsia="Arial" w:hAnsi="Arial"/>
          <w:sz w:val="18"/>
          <w:szCs w:val="18"/>
          <w:color w:val="000000"/>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7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 xml:space="preserve">Micron will host a conference call on Tuesday, Sept. 29, 2020 at 2:30 p.m. MT to discuss its fourth quarter financial results and provide forward-looking guidance for its first quarter. A live webcast of the call will be available online at </w:t>
      </w:r>
      <w:r>
        <w:rPr>
          <w:rFonts w:ascii="Arial" w:cs="Arial" w:eastAsia="Arial" w:hAnsi="Arial"/>
          <w:sz w:val="18"/>
          <w:szCs w:val="18"/>
          <w:u w:val="single" w:color="auto"/>
          <w:color w:val="0090DA"/>
        </w:rPr>
        <w:t>investors.micron.com</w:t>
      </w:r>
      <w:r>
        <w:rPr>
          <w:rFonts w:ascii="Arial" w:cs="Arial" w:eastAsia="Arial" w:hAnsi="Arial"/>
          <w:sz w:val="18"/>
          <w:szCs w:val="18"/>
          <w:color w:val="auto"/>
        </w:rPr>
        <w:t xml:space="preserve">. A webcast replay will be available for one year after the call. For Investor Relations and other company updates, follow @MicronTech on Twitter at </w:t>
      </w:r>
      <w:r>
        <w:rPr>
          <w:rFonts w:ascii="Arial" w:cs="Arial" w:eastAsia="Arial" w:hAnsi="Arial"/>
          <w:sz w:val="18"/>
          <w:szCs w:val="18"/>
          <w:u w:val="single" w:color="auto"/>
          <w:color w:val="0090DA"/>
        </w:rPr>
        <w:t>twitter.com/MicronTech</w:t>
      </w:r>
      <w:r>
        <w:rPr>
          <w:rFonts w:ascii="Arial" w:cs="Arial" w:eastAsia="Arial" w:hAnsi="Arial"/>
          <w:sz w:val="18"/>
          <w:szCs w:val="18"/>
          <w:color w:val="000000"/>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7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are an industry leader in innovative memory and storage solutions. Through our global brands — Micron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Crucial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 our broad portfolio of high-performance memory and storage technologies, including DRAM, NAND, 3D XPoint™ memory, and NOR, is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xml:space="preserve">. Backed by more than 40 years of technology leadership, our memory and storage solutions enable disruptive trends, including artificial intelligence, 5G, machine learning, and autonomous vehicles, in key market segments like mobile, data center, client, consumer, industrial, graphics, automotive, and networking. Our common stock is traded on Nasdaq under the MU symbol. To learn more about Micron Technology, Inc., visit </w:t>
      </w:r>
      <w:r>
        <w:rPr>
          <w:rFonts w:ascii="Arial" w:cs="Arial" w:eastAsia="Arial" w:hAnsi="Arial"/>
          <w:sz w:val="18"/>
          <w:szCs w:val="18"/>
          <w:u w:val="single" w:color="auto"/>
          <w:color w:val="0090DA"/>
        </w:rPr>
        <w:t>micron.com</w:t>
      </w:r>
      <w:r>
        <w:rPr>
          <w:rFonts w:ascii="Arial" w:cs="Arial" w:eastAsia="Arial" w:hAnsi="Arial"/>
          <w:sz w:val="18"/>
          <w:szCs w:val="18"/>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Micron and the Micron orbit logo are trademarks of Micron Technology, Inc. All other trademarks are the property of their respective owners.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931"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7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This press release contains forward-looking statements regarding the industry, our strategic position, and our financial and operating results. These forward-looking statements are subject to a number of risks and uncertainties that could cause actual results to differ materially. Please refer to the documents we file with the Securities and Exchange Commission, specifically our most recent Form 10-K and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8"/>
          <w:szCs w:val="18"/>
          <w:u w:val="single" w:color="auto"/>
          <w:color w:val="0090DA"/>
        </w:rPr>
        <w:t>www.micron.com/certainfactors</w:t>
      </w:r>
      <w:r>
        <w:rPr>
          <w:rFonts w:ascii="Arial" w:cs="Arial" w:eastAsia="Arial" w:hAnsi="Arial"/>
          <w:sz w:val="18"/>
          <w:szCs w:val="18"/>
          <w:color w:val="auto"/>
        </w:rPr>
        <w:t>. Although we believe that the expectations reflected in the forward-looking statements are reasonable, we cannot guarantee future results, levels of activity, performance, or achievements. We are under no duty to update any of the forward-looking statements after the date of this release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0" w:hanging="312"/>
        <w:spacing w:after="0"/>
        <w:tabs>
          <w:tab w:leader="none" w:pos="32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ind w:left="340" w:right="240" w:hanging="332"/>
        <w:spacing w:after="0" w:line="234" w:lineRule="auto"/>
        <w:tabs>
          <w:tab w:leader="none" w:pos="334"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net cash, and business outlook. Further information regarding Micron’s use of non-GAAP measures and reconciliations between GAAP and non-GAAP measures are included within this press release.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2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6"/>
              </w:rPr>
              <w:t>4th Qtr.</w:t>
            </w:r>
          </w:p>
        </w:tc>
        <w:tc>
          <w:tcPr>
            <w:tcW w:w="24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3rd Qtr.</w:t>
            </w:r>
          </w:p>
        </w:tc>
        <w:tc>
          <w:tcPr>
            <w:tcW w:w="160" w:type="dxa"/>
            <w:vAlign w:val="bottom"/>
          </w:tcPr>
          <w:p>
            <w:pPr>
              <w:spacing w:after="0"/>
              <w:rPr>
                <w:sz w:val="20"/>
                <w:szCs w:val="20"/>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4th Qtr.</w:t>
            </w:r>
          </w:p>
        </w:tc>
        <w:tc>
          <w:tcPr>
            <w:tcW w:w="320" w:type="dxa"/>
            <w:vAlign w:val="bottom"/>
          </w:tcPr>
          <w:p>
            <w:pPr>
              <w:spacing w:after="0"/>
              <w:rPr>
                <w:sz w:val="20"/>
                <w:szCs w:val="20"/>
                <w:color w:val="auto"/>
              </w:rPr>
            </w:pPr>
          </w:p>
        </w:tc>
        <w:tc>
          <w:tcPr>
            <w:tcW w:w="240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Year Ended</w:t>
            </w:r>
          </w:p>
        </w:tc>
      </w:tr>
      <w:tr>
        <w:trPr>
          <w:trHeight w:val="220"/>
        </w:trPr>
        <w:tc>
          <w:tcPr>
            <w:tcW w:w="452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rPr>
              <w:t>September 3,</w:t>
            </w:r>
          </w:p>
        </w:tc>
        <w:tc>
          <w:tcPr>
            <w:tcW w:w="24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May 28,</w:t>
            </w:r>
          </w:p>
        </w:tc>
        <w:tc>
          <w:tcPr>
            <w:tcW w:w="160" w:type="dxa"/>
            <w:vAlign w:val="bottom"/>
          </w:tcPr>
          <w:p>
            <w:pPr>
              <w:spacing w:after="0"/>
              <w:rPr>
                <w:sz w:val="19"/>
                <w:szCs w:val="19"/>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August 29,</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3,</w:t>
            </w:r>
          </w:p>
        </w:tc>
        <w:tc>
          <w:tcPr>
            <w:tcW w:w="1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rPr>
              <w:t>August 29,</w:t>
            </w:r>
          </w:p>
        </w:tc>
      </w:tr>
      <w:tr>
        <w:trPr>
          <w:trHeight w:val="246"/>
        </w:trPr>
        <w:tc>
          <w:tcPr>
            <w:tcW w:w="4520" w:type="dxa"/>
            <w:vAlign w:val="bottom"/>
            <w:tcBorders>
              <w:bottom w:val="single" w:sz="8" w:color="0090DA"/>
            </w:tcBorders>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2020</w:t>
            </w:r>
          </w:p>
        </w:tc>
        <w:tc>
          <w:tcPr>
            <w:tcW w:w="24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2020</w:t>
            </w:r>
          </w:p>
        </w:tc>
        <w:tc>
          <w:tcPr>
            <w:tcW w:w="16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2019</w:t>
            </w:r>
          </w:p>
        </w:tc>
        <w:tc>
          <w:tcPr>
            <w:tcW w:w="320" w:type="dxa"/>
            <w:vAlign w:val="bottom"/>
            <w:tcBorders>
              <w:bottom w:val="single" w:sz="8" w:color="0090DA"/>
            </w:tcBorders>
          </w:tcPr>
          <w:p>
            <w:pPr>
              <w:spacing w:after="0"/>
              <w:rPr>
                <w:sz w:val="21"/>
                <w:szCs w:val="21"/>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41"/>
        </w:trPr>
        <w:tc>
          <w:tcPr>
            <w:tcW w:w="4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7"/>
        </w:trPr>
        <w:tc>
          <w:tcPr>
            <w:tcW w:w="4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6,056</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5,438</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4,870</w:t>
            </w:r>
          </w:p>
        </w:tc>
        <w:tc>
          <w:tcPr>
            <w:tcW w:w="32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21,435</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23,406</w:t>
            </w:r>
          </w:p>
        </w:tc>
      </w:tr>
      <w:tr>
        <w:trPr>
          <w:trHeight w:val="250"/>
        </w:trPr>
        <w:tc>
          <w:tcPr>
            <w:tcW w:w="45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14,883</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12,704</w:t>
            </w:r>
          </w:p>
        </w:tc>
      </w:tr>
      <w:tr>
        <w:trPr>
          <w:trHeight w:val="257"/>
        </w:trPr>
        <w:tc>
          <w:tcPr>
            <w:tcW w:w="45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2,068</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1,763</w:t>
            </w:r>
          </w:p>
        </w:tc>
        <w:tc>
          <w:tcPr>
            <w:tcW w:w="16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1,395</w:t>
            </w: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6,552</w:t>
            </w:r>
          </w:p>
        </w:tc>
        <w:tc>
          <w:tcPr>
            <w:tcW w:w="180" w:type="dxa"/>
            <w:vAlign w:val="bottom"/>
            <w:shd w:val="clear" w:color="auto" w:fill="D1D2D4"/>
          </w:tcPr>
          <w:p>
            <w:pPr>
              <w:spacing w:after="0"/>
              <w:rPr>
                <w:sz w:val="22"/>
                <w:szCs w:val="22"/>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10,702</w:t>
            </w:r>
          </w:p>
        </w:tc>
      </w:tr>
      <w:tr>
        <w:trPr>
          <w:trHeight w:val="256"/>
        </w:trPr>
        <w:tc>
          <w:tcPr>
            <w:tcW w:w="4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7"/>
        </w:trPr>
        <w:tc>
          <w:tcPr>
            <w:tcW w:w="4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231</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881</w:t>
            </w:r>
          </w:p>
        </w:tc>
        <w:tc>
          <w:tcPr>
            <w:tcW w:w="18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836</w:t>
            </w:r>
          </w:p>
        </w:tc>
      </w:tr>
      <w:tr>
        <w:trPr>
          <w:trHeight w:val="250"/>
        </w:trPr>
        <w:tc>
          <w:tcPr>
            <w:tcW w:w="45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630</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649</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623</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2,600</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2,441</w:t>
            </w:r>
          </w:p>
        </w:tc>
      </w:tr>
      <w:tr>
        <w:trPr>
          <w:trHeight w:val="257"/>
        </w:trPr>
        <w:tc>
          <w:tcPr>
            <w:tcW w:w="4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240" w:type="dxa"/>
            <w:vAlign w:val="bottom"/>
            <w:tcBorders>
              <w:bottom w:val="single" w:sz="8" w:color="auto"/>
            </w:tcBorders>
            <w:shd w:val="clear" w:color="auto" w:fill="D1D2D4"/>
          </w:tcPr>
          <w:p>
            <w:pPr>
              <w:spacing w:after="0"/>
              <w:rPr>
                <w:sz w:val="22"/>
                <w:szCs w:val="22"/>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auto"/>
            </w:tcBorders>
            <w:shd w:val="clear" w:color="auto" w:fill="D1D2D4"/>
          </w:tcPr>
          <w:p>
            <w:pPr>
              <w:spacing w:after="0"/>
              <w:rPr>
                <w:sz w:val="22"/>
                <w:szCs w:val="22"/>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(90)</w:t>
            </w:r>
          </w:p>
        </w:tc>
        <w:tc>
          <w:tcPr>
            <w:tcW w:w="320" w:type="dxa"/>
            <w:vAlign w:val="bottom"/>
            <w:tcBorders>
              <w:bottom w:val="single" w:sz="8" w:color="auto"/>
            </w:tcBorders>
            <w:shd w:val="clear" w:color="auto" w:fill="D1D2D4"/>
          </w:tcPr>
          <w:p>
            <w:pPr>
              <w:spacing w:after="0"/>
              <w:rPr>
                <w:sz w:val="22"/>
                <w:szCs w:val="22"/>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180" w:type="dxa"/>
            <w:vAlign w:val="bottom"/>
            <w:tcBorders>
              <w:bottom w:val="single" w:sz="8" w:color="auto"/>
            </w:tcBorders>
            <w:shd w:val="clear" w:color="auto" w:fill="D1D2D4"/>
          </w:tcPr>
          <w:p>
            <w:pPr>
              <w:spacing w:after="0"/>
              <w:rPr>
                <w:sz w:val="22"/>
                <w:szCs w:val="22"/>
                <w:color w:val="auto"/>
              </w:rPr>
            </w:pPr>
          </w:p>
        </w:tc>
        <w:tc>
          <w:tcPr>
            <w:tcW w:w="11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49</w:t>
            </w:r>
          </w:p>
        </w:tc>
      </w:tr>
      <w:tr>
        <w:trPr>
          <w:trHeight w:val="250"/>
        </w:trPr>
        <w:tc>
          <w:tcPr>
            <w:tcW w:w="452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1,157</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888</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650</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3,003</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7,376</w:t>
            </w:r>
          </w:p>
        </w:tc>
      </w:tr>
      <w:tr>
        <w:trPr>
          <w:trHeight w:val="263"/>
        </w:trPr>
        <w:tc>
          <w:tcPr>
            <w:tcW w:w="45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r>
      <w:tr>
        <w:trPr>
          <w:trHeight w:val="250"/>
        </w:trPr>
        <w:tc>
          <w:tcPr>
            <w:tcW w:w="45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63"/>
        </w:trPr>
        <w:tc>
          <w:tcPr>
            <w:tcW w:w="4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w:t>
            </w: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D1D2D4"/>
          </w:tcPr>
          <w:p>
            <w:pPr>
              <w:spacing w:after="0"/>
              <w:rPr>
                <w:sz w:val="22"/>
                <w:szCs w:val="22"/>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r>
      <w:tr>
        <w:trPr>
          <w:trHeight w:val="250"/>
        </w:trPr>
        <w:tc>
          <w:tcPr>
            <w:tcW w:w="45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r>
      <w:tr>
        <w:trPr>
          <w:trHeight w:val="256"/>
        </w:trPr>
        <w:tc>
          <w:tcPr>
            <w:tcW w:w="45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1,125</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870</w:t>
            </w:r>
          </w:p>
        </w:tc>
        <w:tc>
          <w:tcPr>
            <w:tcW w:w="16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655</w:t>
            </w: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2,983</w:t>
            </w:r>
          </w:p>
        </w:tc>
        <w:tc>
          <w:tcPr>
            <w:tcW w:w="18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7,048</w:t>
            </w:r>
          </w:p>
        </w:tc>
      </w:tr>
      <w:tr>
        <w:trPr>
          <w:trHeight w:val="257"/>
        </w:trPr>
        <w:tc>
          <w:tcPr>
            <w:tcW w:w="4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6"/>
        </w:trPr>
        <w:tc>
          <w:tcPr>
            <w:tcW w:w="4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D1D2D4"/>
          </w:tcPr>
          <w:p>
            <w:pPr>
              <w:spacing w:after="0"/>
              <w:rPr>
                <w:sz w:val="22"/>
                <w:szCs w:val="22"/>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(693)</w:t>
            </w:r>
          </w:p>
        </w:tc>
      </w:tr>
      <w:tr>
        <w:trPr>
          <w:trHeight w:val="250"/>
        </w:trPr>
        <w:tc>
          <w:tcPr>
            <w:tcW w:w="45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57"/>
        </w:trPr>
        <w:tc>
          <w:tcPr>
            <w:tcW w:w="45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990</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805</w:t>
            </w:r>
          </w:p>
        </w:tc>
        <w:tc>
          <w:tcPr>
            <w:tcW w:w="16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586</w:t>
            </w: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2,710</w:t>
            </w:r>
          </w:p>
        </w:tc>
        <w:tc>
          <w:tcPr>
            <w:tcW w:w="18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6,358</w:t>
            </w:r>
          </w:p>
        </w:tc>
      </w:tr>
      <w:tr>
        <w:trPr>
          <w:trHeight w:val="257"/>
        </w:trPr>
        <w:tc>
          <w:tcPr>
            <w:tcW w:w="4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0"/>
        </w:trPr>
        <w:tc>
          <w:tcPr>
            <w:tcW w:w="452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auto"/>
            </w:tcBorders>
            <w:shd w:val="clear" w:color="auto" w:fill="D1D2D4"/>
          </w:tcPr>
          <w:p>
            <w:pPr>
              <w:spacing w:after="0"/>
              <w:rPr>
                <w:sz w:val="21"/>
                <w:szCs w:val="21"/>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shd w:val="clear" w:color="auto" w:fill="D1D2D4"/>
          </w:tcPr>
          <w:p>
            <w:pPr>
              <w:spacing w:after="0"/>
              <w:rPr>
                <w:sz w:val="21"/>
                <w:szCs w:val="21"/>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shd w:val="clear" w:color="auto" w:fill="D1D2D4"/>
          </w:tcPr>
          <w:p>
            <w:pPr>
              <w:spacing w:after="0"/>
              <w:rPr>
                <w:sz w:val="21"/>
                <w:szCs w:val="21"/>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w:t>
            </w:r>
          </w:p>
        </w:tc>
        <w:tc>
          <w:tcPr>
            <w:tcW w:w="320" w:type="dxa"/>
            <w:vAlign w:val="bottom"/>
            <w:tcBorders>
              <w:bottom w:val="single" w:sz="8" w:color="auto"/>
            </w:tcBorders>
            <w:shd w:val="clear" w:color="auto" w:fill="D1D2D4"/>
          </w:tcPr>
          <w:p>
            <w:pPr>
              <w:spacing w:after="0"/>
              <w:rPr>
                <w:sz w:val="21"/>
                <w:szCs w:val="21"/>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bottom w:val="single" w:sz="8" w:color="auto"/>
            </w:tcBorders>
            <w:shd w:val="clear" w:color="auto" w:fill="D1D2D4"/>
          </w:tcPr>
          <w:p>
            <w:pPr>
              <w:spacing w:after="0"/>
              <w:rPr>
                <w:sz w:val="21"/>
                <w:szCs w:val="21"/>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w:t>
            </w:r>
          </w:p>
        </w:tc>
      </w:tr>
      <w:tr>
        <w:trPr>
          <w:trHeight w:val="257"/>
        </w:trPr>
        <w:tc>
          <w:tcPr>
            <w:tcW w:w="4520" w:type="dxa"/>
            <w:vAlign w:val="bottom"/>
          </w:tcPr>
          <w:p>
            <w:pPr>
              <w:ind w:left="220"/>
              <w:spacing w:after="0"/>
              <w:rPr>
                <w:sz w:val="20"/>
                <w:szCs w:val="20"/>
                <w:color w:val="auto"/>
              </w:rPr>
            </w:pPr>
            <w:r>
              <w:rPr>
                <w:rFonts w:ascii="Arial" w:cs="Arial" w:eastAsia="Arial" w:hAnsi="Arial"/>
                <w:sz w:val="18"/>
                <w:szCs w:val="18"/>
                <w:color w:val="auto"/>
              </w:rPr>
              <w:t>Net income attributable to Micron</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6,313</w:t>
            </w:r>
          </w:p>
        </w:tc>
      </w:tr>
      <w:tr>
        <w:trPr>
          <w:trHeight w:val="20"/>
        </w:trPr>
        <w:tc>
          <w:tcPr>
            <w:tcW w:w="4520" w:type="dxa"/>
            <w:vAlign w:val="bottom"/>
            <w:tcBorders>
              <w:bottom w:val="single" w:sz="8" w:color="D1D2D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45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50"/>
        </w:trPr>
        <w:tc>
          <w:tcPr>
            <w:tcW w:w="452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3"/>
        </w:trPr>
        <w:tc>
          <w:tcPr>
            <w:tcW w:w="45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0.89</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0.72</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0.51</w:t>
            </w:r>
          </w:p>
        </w:tc>
        <w:tc>
          <w:tcPr>
            <w:tcW w:w="32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2.42</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5.67</w:t>
            </w:r>
          </w:p>
        </w:tc>
      </w:tr>
      <w:tr>
        <w:trPr>
          <w:trHeight w:val="250"/>
        </w:trPr>
        <w:tc>
          <w:tcPr>
            <w:tcW w:w="4520" w:type="dxa"/>
            <w:vAlign w:val="bottom"/>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0.87</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0.71</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0.49</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5.51</w:t>
            </w:r>
          </w:p>
        </w:tc>
      </w:tr>
      <w:tr>
        <w:trPr>
          <w:trHeight w:val="263"/>
        </w:trPr>
        <w:tc>
          <w:tcPr>
            <w:tcW w:w="45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160" w:type="dxa"/>
            <w:vAlign w:val="bottom"/>
            <w:shd w:val="clear" w:color="auto" w:fill="D1D2D4"/>
          </w:tcPr>
          <w:p>
            <w:pPr>
              <w:spacing w:after="0"/>
              <w:rPr>
                <w:sz w:val="22"/>
                <w:szCs w:val="22"/>
                <w:color w:val="auto"/>
              </w:rPr>
            </w:pP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r>
      <w:tr>
        <w:trPr>
          <w:trHeight w:val="250"/>
        </w:trPr>
        <w:tc>
          <w:tcPr>
            <w:tcW w:w="452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3"/>
        </w:trPr>
        <w:tc>
          <w:tcPr>
            <w:tcW w:w="45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1,111</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1,111</w:t>
            </w:r>
          </w:p>
        </w:tc>
        <w:tc>
          <w:tcPr>
            <w:tcW w:w="16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1,104</w:t>
            </w: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1,110</w:t>
            </w:r>
          </w:p>
        </w:tc>
        <w:tc>
          <w:tcPr>
            <w:tcW w:w="18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1,114</w:t>
            </w:r>
          </w:p>
        </w:tc>
      </w:tr>
      <w:tr>
        <w:trPr>
          <w:trHeight w:val="243"/>
        </w:trPr>
        <w:tc>
          <w:tcPr>
            <w:tcW w:w="4520" w:type="dxa"/>
            <w:vAlign w:val="bottom"/>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1,131</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1,129</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1,128</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1,131</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2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September 3,</w:t>
            </w:r>
          </w:p>
        </w:tc>
        <w:tc>
          <w:tcPr>
            <w:tcW w:w="260" w:type="dxa"/>
            <w:vAlign w:val="bottom"/>
          </w:tcPr>
          <w:p>
            <w:pPr>
              <w:spacing w:after="0"/>
              <w:rPr>
                <w:sz w:val="17"/>
                <w:szCs w:val="17"/>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May 28,</w:t>
            </w:r>
          </w:p>
        </w:tc>
        <w:tc>
          <w:tcPr>
            <w:tcW w:w="180" w:type="dxa"/>
            <w:vAlign w:val="bottom"/>
          </w:tcPr>
          <w:p>
            <w:pPr>
              <w:spacing w:after="0"/>
              <w:rPr>
                <w:sz w:val="17"/>
                <w:szCs w:val="17"/>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August 29,</w:t>
            </w:r>
          </w:p>
        </w:tc>
      </w:tr>
      <w:tr>
        <w:trPr>
          <w:trHeight w:val="246"/>
        </w:trPr>
        <w:tc>
          <w:tcPr>
            <w:tcW w:w="71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Borders>
              <w:bottom w:val="single" w:sz="8" w:color="0090DA"/>
            </w:tcBorders>
          </w:tcPr>
          <w:p>
            <w:pPr>
              <w:spacing w:after="0"/>
              <w:rPr>
                <w:sz w:val="21"/>
                <w:szCs w:val="21"/>
                <w:color w:val="auto"/>
              </w:rPr>
            </w:pPr>
          </w:p>
        </w:tc>
        <w:tc>
          <w:tcPr>
            <w:tcW w:w="12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41"/>
        </w:trPr>
        <w:tc>
          <w:tcPr>
            <w:tcW w:w="7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6"/>
        </w:trPr>
        <w:tc>
          <w:tcPr>
            <w:tcW w:w="71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D1D2D4"/>
          </w:tcPr>
          <w:p>
            <w:pPr>
              <w:spacing w:after="0"/>
              <w:rPr>
                <w:sz w:val="22"/>
                <w:szCs w:val="22"/>
                <w:color w:val="auto"/>
              </w:rPr>
            </w:pPr>
          </w:p>
        </w:tc>
        <w:tc>
          <w:tcPr>
            <w:tcW w:w="124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7,624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8,267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7,152</w:t>
            </w:r>
          </w:p>
        </w:tc>
      </w:tr>
      <w:tr>
        <w:trPr>
          <w:trHeight w:val="263"/>
        </w:trPr>
        <w:tc>
          <w:tcPr>
            <w:tcW w:w="71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D1D2D4"/>
          </w:tcPr>
          <w:p>
            <w:pPr>
              <w:spacing w:after="0"/>
              <w:rPr>
                <w:sz w:val="22"/>
                <w:szCs w:val="22"/>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518</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391</w:t>
            </w:r>
          </w:p>
        </w:tc>
        <w:tc>
          <w:tcPr>
            <w:tcW w:w="18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803</w:t>
            </w: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3,912</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3,603</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3,195</w:t>
            </w:r>
          </w:p>
        </w:tc>
      </w:tr>
      <w:tr>
        <w:trPr>
          <w:trHeight w:val="263"/>
        </w:trPr>
        <w:tc>
          <w:tcPr>
            <w:tcW w:w="71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D1D2D4"/>
          </w:tcPr>
          <w:p>
            <w:pPr>
              <w:spacing w:after="0"/>
              <w:rPr>
                <w:sz w:val="22"/>
                <w:szCs w:val="22"/>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5,607</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5,405</w:t>
            </w:r>
          </w:p>
        </w:tc>
        <w:tc>
          <w:tcPr>
            <w:tcW w:w="18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5,118</w:t>
            </w:r>
          </w:p>
        </w:tc>
      </w:tr>
      <w:tr>
        <w:trPr>
          <w:trHeight w:val="250"/>
        </w:trPr>
        <w:tc>
          <w:tcPr>
            <w:tcW w:w="71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w:t>
            </w:r>
          </w:p>
        </w:tc>
      </w:tr>
      <w:tr>
        <w:trPr>
          <w:trHeight w:val="256"/>
        </w:trPr>
        <w:tc>
          <w:tcPr>
            <w:tcW w:w="71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D1D2D4"/>
          </w:tcPr>
          <w:p>
            <w:pPr>
              <w:spacing w:after="0"/>
              <w:rPr>
                <w:sz w:val="22"/>
                <w:szCs w:val="22"/>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17,965</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17,899</w:t>
            </w:r>
          </w:p>
        </w:tc>
        <w:tc>
          <w:tcPr>
            <w:tcW w:w="180" w:type="dxa"/>
            <w:vAlign w:val="bottom"/>
            <w:shd w:val="clear" w:color="auto" w:fill="D1D2D4"/>
          </w:tcPr>
          <w:p>
            <w:pPr>
              <w:spacing w:after="0"/>
              <w:rPr>
                <w:sz w:val="22"/>
                <w:szCs w:val="22"/>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16,503</w:t>
            </w: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1,048</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577</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1,164</w:t>
            </w:r>
          </w:p>
        </w:tc>
      </w:tr>
      <w:tr>
        <w:trPr>
          <w:trHeight w:val="263"/>
        </w:trPr>
        <w:tc>
          <w:tcPr>
            <w:tcW w:w="71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D1D2D4"/>
          </w:tcPr>
          <w:p>
            <w:pPr>
              <w:spacing w:after="0"/>
              <w:rPr>
                <w:sz w:val="22"/>
                <w:szCs w:val="22"/>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31,031</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30,081</w:t>
            </w:r>
          </w:p>
        </w:tc>
        <w:tc>
          <w:tcPr>
            <w:tcW w:w="180" w:type="dxa"/>
            <w:vAlign w:val="bottom"/>
            <w:shd w:val="clear" w:color="auto" w:fill="D1D2D4"/>
          </w:tcPr>
          <w:p>
            <w:pPr>
              <w:spacing w:after="0"/>
              <w:rPr>
                <w:sz w:val="22"/>
                <w:szCs w:val="22"/>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28,240</w:t>
            </w: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334</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340</w:t>
            </w:r>
          </w:p>
        </w:tc>
      </w:tr>
      <w:tr>
        <w:trPr>
          <w:trHeight w:val="263"/>
        </w:trPr>
        <w:tc>
          <w:tcPr>
            <w:tcW w:w="714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D1D2D4"/>
          </w:tcPr>
          <w:p>
            <w:pPr>
              <w:spacing w:after="0"/>
              <w:rPr>
                <w:sz w:val="22"/>
                <w:szCs w:val="22"/>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707</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775</w:t>
            </w:r>
          </w:p>
        </w:tc>
        <w:tc>
          <w:tcPr>
            <w:tcW w:w="18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837</w:t>
            </w: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1,228</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1,228</w:t>
            </w:r>
          </w:p>
        </w:tc>
      </w:tr>
      <w:tr>
        <w:trPr>
          <w:trHeight w:val="263"/>
        </w:trPr>
        <w:tc>
          <w:tcPr>
            <w:tcW w:w="71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D1D2D4"/>
          </w:tcPr>
          <w:p>
            <w:pPr>
              <w:spacing w:after="0"/>
              <w:rPr>
                <w:sz w:val="22"/>
                <w:szCs w:val="22"/>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584</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599</w:t>
            </w:r>
          </w:p>
        </w:tc>
        <w:tc>
          <w:tcPr>
            <w:tcW w:w="18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1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575</w:t>
            </w:r>
          </w:p>
        </w:tc>
      </w:tr>
      <w:tr>
        <w:trPr>
          <w:trHeight w:val="281"/>
        </w:trPr>
        <w:tc>
          <w:tcPr>
            <w:tcW w:w="7140" w:type="dxa"/>
            <w:vAlign w:val="bottom"/>
            <w:tcBorders>
              <w:bottom w:val="single" w:sz="8" w:color="D1D2D4"/>
            </w:tcBorders>
            <w:shd w:val="clear" w:color="auto" w:fill="D1D2D4"/>
          </w:tcPr>
          <w:p>
            <w:pPr>
              <w:ind w:left="4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53,678</w:t>
            </w:r>
          </w:p>
        </w:tc>
        <w:tc>
          <w:tcPr>
            <w:tcW w:w="2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52,005</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48,887</w:t>
            </w:r>
          </w:p>
        </w:tc>
      </w:tr>
      <w:tr>
        <w:trPr>
          <w:trHeight w:val="20"/>
        </w:trPr>
        <w:tc>
          <w:tcPr>
            <w:tcW w:w="714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4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r>
      <w:tr>
        <w:trPr>
          <w:trHeight w:val="163"/>
        </w:trPr>
        <w:tc>
          <w:tcPr>
            <w:tcW w:w="7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56"/>
        </w:trPr>
        <w:tc>
          <w:tcPr>
            <w:tcW w:w="71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D1D2D4"/>
          </w:tcPr>
          <w:p>
            <w:pPr>
              <w:spacing w:after="0"/>
              <w:rPr>
                <w:sz w:val="22"/>
                <w:szCs w:val="22"/>
                <w:color w:val="auto"/>
              </w:rPr>
            </w:pPr>
          </w:p>
        </w:tc>
        <w:tc>
          <w:tcPr>
            <w:tcW w:w="1240" w:type="dxa"/>
            <w:vAlign w:val="bottom"/>
            <w:shd w:val="clear" w:color="auto" w:fill="D1D2D4"/>
          </w:tcPr>
          <w:p>
            <w:pPr>
              <w:spacing w:after="0"/>
              <w:rPr>
                <w:sz w:val="22"/>
                <w:szCs w:val="22"/>
                <w:color w:val="auto"/>
              </w:rPr>
            </w:pP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1200" w:type="dxa"/>
            <w:vAlign w:val="bottom"/>
            <w:shd w:val="clear" w:color="auto" w:fill="D1D2D4"/>
          </w:tcPr>
          <w:p>
            <w:pPr>
              <w:spacing w:after="0"/>
              <w:rPr>
                <w:sz w:val="22"/>
                <w:szCs w:val="22"/>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5,817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5,364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4,626</w:t>
            </w:r>
          </w:p>
        </w:tc>
      </w:tr>
      <w:tr>
        <w:trPr>
          <w:trHeight w:val="263"/>
        </w:trPr>
        <w:tc>
          <w:tcPr>
            <w:tcW w:w="71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120" w:type="dxa"/>
            <w:vAlign w:val="bottom"/>
            <w:shd w:val="clear" w:color="auto" w:fill="D1D2D4"/>
          </w:tcPr>
          <w:p>
            <w:pPr>
              <w:spacing w:after="0"/>
              <w:rPr>
                <w:sz w:val="22"/>
                <w:szCs w:val="22"/>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330</w:t>
            </w:r>
          </w:p>
        </w:tc>
        <w:tc>
          <w:tcPr>
            <w:tcW w:w="18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1,310</w:t>
            </w:r>
          </w:p>
        </w:tc>
      </w:tr>
      <w:tr>
        <w:trPr>
          <w:trHeight w:val="250"/>
        </w:trPr>
        <w:tc>
          <w:tcPr>
            <w:tcW w:w="71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454</w:t>
            </w:r>
          </w:p>
        </w:tc>
      </w:tr>
      <w:tr>
        <w:trPr>
          <w:trHeight w:val="257"/>
        </w:trPr>
        <w:tc>
          <w:tcPr>
            <w:tcW w:w="71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D1D2D4"/>
          </w:tcPr>
          <w:p>
            <w:pPr>
              <w:spacing w:after="0"/>
              <w:rPr>
                <w:sz w:val="22"/>
                <w:szCs w:val="22"/>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6,635</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6,185</w:t>
            </w:r>
          </w:p>
        </w:tc>
        <w:tc>
          <w:tcPr>
            <w:tcW w:w="18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6,390</w:t>
            </w: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6,373</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6,356</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4,541</w:t>
            </w:r>
          </w:p>
        </w:tc>
      </w:tr>
      <w:tr>
        <w:trPr>
          <w:trHeight w:val="263"/>
        </w:trPr>
        <w:tc>
          <w:tcPr>
            <w:tcW w:w="71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20" w:type="dxa"/>
            <w:vAlign w:val="bottom"/>
            <w:shd w:val="clear" w:color="auto" w:fill="D1D2D4"/>
          </w:tcPr>
          <w:p>
            <w:pPr>
              <w:spacing w:after="0"/>
              <w:rPr>
                <w:sz w:val="22"/>
                <w:szCs w:val="22"/>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533</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540</w:t>
            </w:r>
          </w:p>
        </w:tc>
        <w:tc>
          <w:tcPr>
            <w:tcW w:w="18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643</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553</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636</w:t>
            </w:r>
          </w:p>
        </w:tc>
      </w:tr>
      <w:tr>
        <w:trPr>
          <w:trHeight w:val="257"/>
        </w:trPr>
        <w:tc>
          <w:tcPr>
            <w:tcW w:w="71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shd w:val="clear" w:color="auto" w:fill="D1D2D4"/>
          </w:tcPr>
          <w:p>
            <w:pPr>
              <w:spacing w:after="0"/>
              <w:rPr>
                <w:sz w:val="22"/>
                <w:szCs w:val="22"/>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260" w:type="dxa"/>
            <w:vAlign w:val="bottom"/>
            <w:tcBorders>
              <w:bottom w:val="single" w:sz="8" w:color="auto"/>
            </w:tcBorders>
            <w:shd w:val="clear" w:color="auto" w:fill="D1D2D4"/>
          </w:tcPr>
          <w:p>
            <w:pPr>
              <w:spacing w:after="0"/>
              <w:rPr>
                <w:sz w:val="22"/>
                <w:szCs w:val="22"/>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453</w:t>
            </w:r>
          </w:p>
        </w:tc>
        <w:tc>
          <w:tcPr>
            <w:tcW w:w="180" w:type="dxa"/>
            <w:vAlign w:val="bottom"/>
            <w:tcBorders>
              <w:bottom w:val="single" w:sz="8" w:color="auto"/>
            </w:tcBorders>
            <w:shd w:val="clear" w:color="auto" w:fill="D1D2D4"/>
          </w:tcPr>
          <w:p>
            <w:pPr>
              <w:spacing w:after="0"/>
              <w:rPr>
                <w:sz w:val="22"/>
                <w:szCs w:val="22"/>
                <w:color w:val="auto"/>
              </w:rPr>
            </w:pPr>
          </w:p>
        </w:tc>
        <w:tc>
          <w:tcPr>
            <w:tcW w:w="120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452</w:t>
            </w:r>
          </w:p>
        </w:tc>
      </w:tr>
      <w:tr>
        <w:trPr>
          <w:trHeight w:val="250"/>
        </w:trPr>
        <w:tc>
          <w:tcPr>
            <w:tcW w:w="7140" w:type="dxa"/>
            <w:vAlign w:val="bottom"/>
            <w:tcBorders>
              <w:bottom w:val="single" w:sz="8" w:color="D1D2D4"/>
            </w:tcBorders>
          </w:tcPr>
          <w:p>
            <w:pPr>
              <w:ind w:left="4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14,682</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14,087</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12,019</w:t>
            </w:r>
          </w:p>
        </w:tc>
      </w:tr>
      <w:tr>
        <w:trPr>
          <w:trHeight w:val="203"/>
        </w:trPr>
        <w:tc>
          <w:tcPr>
            <w:tcW w:w="714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240" w:type="dxa"/>
            <w:vAlign w:val="bottom"/>
            <w:shd w:val="clear" w:color="auto" w:fill="D1D2D4"/>
          </w:tcPr>
          <w:p>
            <w:pPr>
              <w:spacing w:after="0"/>
              <w:rPr>
                <w:sz w:val="17"/>
                <w:szCs w:val="17"/>
                <w:color w:val="auto"/>
              </w:rPr>
            </w:pPr>
          </w:p>
        </w:tc>
        <w:tc>
          <w:tcPr>
            <w:tcW w:w="260" w:type="dxa"/>
            <w:vAlign w:val="bottom"/>
            <w:shd w:val="clear" w:color="auto" w:fill="D1D2D4"/>
          </w:tcPr>
          <w:p>
            <w:pPr>
              <w:spacing w:after="0"/>
              <w:rPr>
                <w:sz w:val="17"/>
                <w:szCs w:val="17"/>
                <w:color w:val="auto"/>
              </w:rPr>
            </w:pPr>
          </w:p>
        </w:tc>
        <w:tc>
          <w:tcPr>
            <w:tcW w:w="110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1200" w:type="dxa"/>
            <w:vAlign w:val="bottom"/>
            <w:shd w:val="clear" w:color="auto" w:fill="D1D2D4"/>
          </w:tcPr>
          <w:p>
            <w:pPr>
              <w:spacing w:after="0"/>
              <w:rPr>
                <w:sz w:val="17"/>
                <w:szCs w:val="17"/>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3"/>
        </w:trPr>
        <w:tc>
          <w:tcPr>
            <w:tcW w:w="714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4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23"/>
        </w:trPr>
        <w:tc>
          <w:tcPr>
            <w:tcW w:w="714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24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Micron shareholders’ equity</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3"/>
        </w:trPr>
        <w:tc>
          <w:tcPr>
            <w:tcW w:w="71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D1D2D4"/>
          </w:tcPr>
          <w:p>
            <w:pPr>
              <w:spacing w:after="0"/>
              <w:rPr>
                <w:sz w:val="22"/>
                <w:szCs w:val="22"/>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118</w:t>
            </w:r>
          </w:p>
        </w:tc>
      </w:tr>
      <w:tr>
        <w:trPr>
          <w:trHeight w:val="250"/>
        </w:trPr>
        <w:tc>
          <w:tcPr>
            <w:tcW w:w="7140" w:type="dxa"/>
            <w:vAlign w:val="bottom"/>
          </w:tcPr>
          <w:p>
            <w:pPr>
              <w:ind w:left="220"/>
              <w:spacing w:after="0"/>
              <w:rPr>
                <w:sz w:val="20"/>
                <w:szCs w:val="20"/>
                <w:color w:val="auto"/>
              </w:rPr>
            </w:pPr>
            <w:r>
              <w:rPr>
                <w:rFonts w:ascii="Arial" w:cs="Arial" w:eastAsia="Arial" w:hAnsi="Arial"/>
                <w:sz w:val="18"/>
                <w:szCs w:val="18"/>
                <w:color w:val="auto"/>
              </w:rPr>
              <w:t>Additional capital</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8,917</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8,764</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8,214</w:t>
            </w:r>
          </w:p>
        </w:tc>
      </w:tr>
      <w:tr>
        <w:trPr>
          <w:trHeight w:val="263"/>
        </w:trPr>
        <w:tc>
          <w:tcPr>
            <w:tcW w:w="71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D1D2D4"/>
          </w:tcPr>
          <w:p>
            <w:pPr>
              <w:spacing w:after="0"/>
              <w:rPr>
                <w:sz w:val="22"/>
                <w:szCs w:val="22"/>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33,384</w:t>
            </w:r>
          </w:p>
        </w:tc>
        <w:tc>
          <w:tcPr>
            <w:tcW w:w="26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32,402</w:t>
            </w:r>
          </w:p>
        </w:tc>
        <w:tc>
          <w:tcPr>
            <w:tcW w:w="180" w:type="dxa"/>
            <w:vAlign w:val="bottom"/>
            <w:shd w:val="clear" w:color="auto" w:fill="D1D2D4"/>
          </w:tcPr>
          <w:p>
            <w:pPr>
              <w:spacing w:after="0"/>
              <w:rPr>
                <w:sz w:val="22"/>
                <w:szCs w:val="22"/>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30,761</w:t>
            </w:r>
          </w:p>
        </w:tc>
      </w:tr>
      <w:tr>
        <w:trPr>
          <w:trHeight w:val="250"/>
        </w:trPr>
        <w:tc>
          <w:tcPr>
            <w:tcW w:w="7140" w:type="dxa"/>
            <w:vAlign w:val="bottom"/>
          </w:tcPr>
          <w:p>
            <w:pPr>
              <w:ind w:left="220"/>
              <w:spacing w:after="0"/>
              <w:rPr>
                <w:sz w:val="20"/>
                <w:szCs w:val="20"/>
                <w:color w:val="auto"/>
              </w:rPr>
            </w:pPr>
            <w:r>
              <w:rPr>
                <w:rFonts w:ascii="Arial" w:cs="Arial" w:eastAsia="Arial" w:hAnsi="Arial"/>
                <w:sz w:val="18"/>
                <w:szCs w:val="18"/>
                <w:color w:val="auto"/>
              </w:rPr>
              <w:t>Treasury stock</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(3,495)</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(3,454)</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(3,221)</w:t>
            </w:r>
          </w:p>
        </w:tc>
      </w:tr>
      <w:tr>
        <w:trPr>
          <w:trHeight w:val="257"/>
        </w:trPr>
        <w:tc>
          <w:tcPr>
            <w:tcW w:w="71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Borders>
              <w:bottom w:val="single" w:sz="8" w:color="auto"/>
            </w:tcBorders>
            <w:shd w:val="clear" w:color="auto" w:fill="D1D2D4"/>
          </w:tcPr>
          <w:p>
            <w:pPr>
              <w:spacing w:after="0"/>
              <w:rPr>
                <w:sz w:val="22"/>
                <w:szCs w:val="22"/>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260" w:type="dxa"/>
            <w:vAlign w:val="bottom"/>
            <w:tcBorders>
              <w:bottom w:val="single" w:sz="8" w:color="auto"/>
            </w:tcBorders>
            <w:shd w:val="clear" w:color="auto" w:fill="D1D2D4"/>
          </w:tcPr>
          <w:p>
            <w:pPr>
              <w:spacing w:after="0"/>
              <w:rPr>
                <w:sz w:val="22"/>
                <w:szCs w:val="22"/>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auto"/>
            </w:tcBorders>
            <w:shd w:val="clear" w:color="auto" w:fill="D1D2D4"/>
          </w:tcPr>
          <w:p>
            <w:pPr>
              <w:spacing w:after="0"/>
              <w:rPr>
                <w:sz w:val="22"/>
                <w:szCs w:val="22"/>
                <w:color w:val="auto"/>
              </w:rPr>
            </w:pPr>
          </w:p>
        </w:tc>
        <w:tc>
          <w:tcPr>
            <w:tcW w:w="120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9</w:t>
            </w:r>
          </w:p>
        </w:tc>
      </w:tr>
      <w:tr>
        <w:trPr>
          <w:trHeight w:val="250"/>
        </w:trPr>
        <w:tc>
          <w:tcPr>
            <w:tcW w:w="7140" w:type="dxa"/>
            <w:vAlign w:val="bottom"/>
          </w:tcPr>
          <w:p>
            <w:pPr>
              <w:ind w:left="460"/>
              <w:spacing w:after="0"/>
              <w:rPr>
                <w:sz w:val="20"/>
                <w:szCs w:val="20"/>
                <w:color w:val="auto"/>
              </w:rPr>
            </w:pPr>
            <w:r>
              <w:rPr>
                <w:rFonts w:ascii="Arial" w:cs="Arial" w:eastAsia="Arial" w:hAnsi="Arial"/>
                <w:sz w:val="18"/>
                <w:szCs w:val="18"/>
                <w:color w:val="auto"/>
              </w:rPr>
              <w:t>Total Micron shareholders’ equity</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38,996</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37,820</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35,881</w:t>
            </w:r>
          </w:p>
        </w:tc>
      </w:tr>
      <w:tr>
        <w:trPr>
          <w:trHeight w:val="257"/>
        </w:trPr>
        <w:tc>
          <w:tcPr>
            <w:tcW w:w="71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Noncontrolling interest in subsidiary</w:t>
            </w:r>
          </w:p>
        </w:tc>
        <w:tc>
          <w:tcPr>
            <w:tcW w:w="120" w:type="dxa"/>
            <w:vAlign w:val="bottom"/>
            <w:tcBorders>
              <w:bottom w:val="single" w:sz="8" w:color="auto"/>
            </w:tcBorders>
            <w:shd w:val="clear" w:color="auto" w:fill="D1D2D4"/>
          </w:tcPr>
          <w:p>
            <w:pPr>
              <w:spacing w:after="0"/>
              <w:rPr>
                <w:sz w:val="22"/>
                <w:szCs w:val="22"/>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D1D2D4"/>
          </w:tcPr>
          <w:p>
            <w:pPr>
              <w:spacing w:after="0"/>
              <w:rPr>
                <w:sz w:val="22"/>
                <w:szCs w:val="22"/>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22"/>
                <w:szCs w:val="22"/>
                <w:color w:val="auto"/>
              </w:rPr>
            </w:pPr>
          </w:p>
        </w:tc>
        <w:tc>
          <w:tcPr>
            <w:tcW w:w="120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889</w:t>
            </w:r>
          </w:p>
        </w:tc>
      </w:tr>
      <w:tr>
        <w:trPr>
          <w:trHeight w:val="250"/>
        </w:trPr>
        <w:tc>
          <w:tcPr>
            <w:tcW w:w="7140" w:type="dxa"/>
            <w:vAlign w:val="bottom"/>
            <w:tcBorders>
              <w:bottom w:val="single" w:sz="8" w:color="D1D2D4"/>
            </w:tcBorders>
          </w:tcPr>
          <w:p>
            <w:pPr>
              <w:ind w:left="46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38,996</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37,820</w:t>
            </w: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36,770</w:t>
            </w:r>
          </w:p>
        </w:tc>
      </w:tr>
      <w:tr>
        <w:trPr>
          <w:trHeight w:val="281"/>
        </w:trPr>
        <w:tc>
          <w:tcPr>
            <w:tcW w:w="7140" w:type="dxa"/>
            <w:vAlign w:val="bottom"/>
            <w:tcBorders>
              <w:bottom w:val="single" w:sz="8" w:color="D1D2D4"/>
            </w:tcBorders>
            <w:shd w:val="clear" w:color="auto" w:fill="D1D2D4"/>
          </w:tcPr>
          <w:p>
            <w:pPr>
              <w:ind w:left="46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53,678</w:t>
            </w:r>
          </w:p>
        </w:tc>
        <w:tc>
          <w:tcPr>
            <w:tcW w:w="26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52,005</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48,887</w:t>
            </w:r>
          </w:p>
        </w:tc>
      </w:tr>
      <w:tr>
        <w:trPr>
          <w:trHeight w:val="20"/>
        </w:trPr>
        <w:tc>
          <w:tcPr>
            <w:tcW w:w="714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4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886"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3,</w:t>
            </w:r>
          </w:p>
        </w:tc>
        <w:tc>
          <w:tcPr>
            <w:tcW w:w="200" w:type="dxa"/>
            <w:vAlign w:val="bottom"/>
          </w:tcPr>
          <w:p>
            <w:pPr>
              <w:spacing w:after="0"/>
              <w:rPr>
                <w:sz w:val="17"/>
                <w:szCs w:val="17"/>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rPr>
              <w:t>August 29,</w:t>
            </w:r>
          </w:p>
        </w:tc>
      </w:tr>
      <w:tr>
        <w:trPr>
          <w:trHeight w:val="246"/>
        </w:trPr>
        <w:tc>
          <w:tcPr>
            <w:tcW w:w="83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40" w:type="dxa"/>
            <w:vAlign w:val="bottom"/>
            <w:tcBorders>
              <w:bottom w:val="single" w:sz="8" w:color="0090DA"/>
            </w:tcBorders>
          </w:tcPr>
          <w:p>
            <w:pPr>
              <w:spacing w:after="0"/>
              <w:rPr>
                <w:sz w:val="21"/>
                <w:szCs w:val="21"/>
                <w:color w:val="auto"/>
              </w:rPr>
            </w:pPr>
          </w:p>
        </w:tc>
        <w:tc>
          <w:tcPr>
            <w:tcW w:w="13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0090DA"/>
            </w:tcBorders>
          </w:tcPr>
          <w:p>
            <w:pPr>
              <w:spacing w:after="0"/>
              <w:rPr>
                <w:sz w:val="21"/>
                <w:szCs w:val="21"/>
                <w:color w:val="auto"/>
              </w:rPr>
            </w:pPr>
          </w:p>
        </w:tc>
        <w:tc>
          <w:tcPr>
            <w:tcW w:w="128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41"/>
        </w:trPr>
        <w:tc>
          <w:tcPr>
            <w:tcW w:w="8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6"/>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6,358</w:t>
            </w:r>
          </w:p>
        </w:tc>
      </w:tr>
      <w:tr>
        <w:trPr>
          <w:trHeight w:val="263"/>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r>
      <w:tr>
        <w:trPr>
          <w:trHeight w:val="250"/>
        </w:trPr>
        <w:tc>
          <w:tcPr>
            <w:tcW w:w="830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5,650</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5,424</w:t>
            </w:r>
          </w:p>
        </w:tc>
      </w:tr>
      <w:tr>
        <w:trPr>
          <w:trHeight w:val="263"/>
        </w:trPr>
        <w:tc>
          <w:tcPr>
            <w:tcW w:w="83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Amortization of debt discount and other costs</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49</w:t>
            </w:r>
          </w:p>
        </w:tc>
      </w:tr>
      <w:tr>
        <w:trPr>
          <w:trHeight w:val="250"/>
        </w:trPr>
        <w:tc>
          <w:tcPr>
            <w:tcW w:w="83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243</w:t>
            </w:r>
          </w:p>
        </w:tc>
      </w:tr>
      <w:tr>
        <w:trPr>
          <w:trHeight w:val="263"/>
        </w:trPr>
        <w:tc>
          <w:tcPr>
            <w:tcW w:w="83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(Gain) loss on debt prepayments, repurchases, and conversions</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396</w:t>
            </w:r>
          </w:p>
        </w:tc>
      </w:tr>
      <w:tr>
        <w:trPr>
          <w:trHeight w:val="257"/>
        </w:trPr>
        <w:tc>
          <w:tcPr>
            <w:tcW w:w="830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7"/>
        </w:trPr>
        <w:tc>
          <w:tcPr>
            <w:tcW w:w="8300" w:type="dxa"/>
            <w:vAlign w:val="bottom"/>
            <w:shd w:val="clear" w:color="auto" w:fill="D1D2D4"/>
          </w:tcPr>
          <w:p>
            <w:pPr>
              <w:ind w:left="460"/>
              <w:spacing w:after="0"/>
              <w:rPr>
                <w:sz w:val="20"/>
                <w:szCs w:val="20"/>
                <w:color w:val="auto"/>
              </w:rPr>
            </w:pPr>
            <w:r>
              <w:rPr>
                <w:rFonts w:ascii="Arial" w:cs="Arial" w:eastAsia="Arial" w:hAnsi="Arial"/>
                <w:sz w:val="18"/>
                <w:szCs w:val="18"/>
                <w:color w:val="auto"/>
              </w:rPr>
              <w:t>Receivables</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(723)</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2,431</w:t>
            </w:r>
          </w:p>
        </w:tc>
      </w:tr>
      <w:tr>
        <w:trPr>
          <w:trHeight w:val="250"/>
        </w:trPr>
        <w:tc>
          <w:tcPr>
            <w:tcW w:w="8300" w:type="dxa"/>
            <w:vAlign w:val="bottom"/>
          </w:tcPr>
          <w:p>
            <w:pPr>
              <w:ind w:left="4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(489)</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(1,528)</w:t>
            </w:r>
          </w:p>
        </w:tc>
      </w:tr>
      <w:tr>
        <w:trPr>
          <w:trHeight w:val="263"/>
        </w:trPr>
        <w:tc>
          <w:tcPr>
            <w:tcW w:w="8300" w:type="dxa"/>
            <w:vAlign w:val="bottom"/>
            <w:shd w:val="clear" w:color="auto" w:fill="D1D2D4"/>
          </w:tcPr>
          <w:p>
            <w:pPr>
              <w:ind w:left="46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725</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(174)</w:t>
            </w:r>
          </w:p>
        </w:tc>
      </w:tr>
      <w:tr>
        <w:trPr>
          <w:trHeight w:val="250"/>
        </w:trPr>
        <w:tc>
          <w:tcPr>
            <w:tcW w:w="8300" w:type="dxa"/>
            <w:vAlign w:val="bottom"/>
          </w:tcPr>
          <w:p>
            <w:pPr>
              <w:ind w:left="460"/>
              <w:spacing w:after="0"/>
              <w:rPr>
                <w:sz w:val="20"/>
                <w:szCs w:val="20"/>
                <w:color w:val="auto"/>
              </w:rPr>
            </w:pPr>
            <w:r>
              <w:rPr>
                <w:rFonts w:ascii="Arial" w:cs="Arial" w:eastAsia="Arial" w:hAnsi="Arial"/>
                <w:sz w:val="18"/>
                <w:szCs w:val="18"/>
                <w:color w:val="auto"/>
              </w:rPr>
              <w:t>Deferred income taxes, net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57"/>
        </w:trPr>
        <w:tc>
          <w:tcPr>
            <w:tcW w:w="83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D1D2D4"/>
          </w:tcPr>
          <w:p>
            <w:pPr>
              <w:spacing w:after="0"/>
              <w:rPr>
                <w:sz w:val="22"/>
                <w:szCs w:val="22"/>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auto"/>
            </w:tcBorders>
            <w:shd w:val="clear" w:color="auto" w:fill="D1D2D4"/>
          </w:tcPr>
          <w:p>
            <w:pPr>
              <w:spacing w:after="0"/>
              <w:rPr>
                <w:sz w:val="22"/>
                <w:szCs w:val="22"/>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(160)</w:t>
            </w:r>
          </w:p>
        </w:tc>
      </w:tr>
      <w:tr>
        <w:trPr>
          <w:trHeight w:val="250"/>
        </w:trPr>
        <w:tc>
          <w:tcPr>
            <w:tcW w:w="830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8,306</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13,189</w:t>
            </w:r>
          </w:p>
        </w:tc>
      </w:tr>
      <w:tr>
        <w:trPr>
          <w:trHeight w:val="243"/>
        </w:trPr>
        <w:tc>
          <w:tcPr>
            <w:tcW w:w="8300" w:type="dxa"/>
            <w:vAlign w:val="bottom"/>
            <w:shd w:val="clear" w:color="auto" w:fill="D1D2D4"/>
          </w:tcPr>
          <w:p>
            <w:pPr>
              <w:spacing w:after="0"/>
              <w:rPr>
                <w:sz w:val="21"/>
                <w:szCs w:val="21"/>
                <w:color w:val="auto"/>
              </w:rPr>
            </w:pPr>
          </w:p>
        </w:tc>
        <w:tc>
          <w:tcPr>
            <w:tcW w:w="140" w:type="dxa"/>
            <w:vAlign w:val="bottom"/>
            <w:shd w:val="clear" w:color="auto" w:fill="D1D2D4"/>
          </w:tcPr>
          <w:p>
            <w:pPr>
              <w:spacing w:after="0"/>
              <w:rPr>
                <w:sz w:val="21"/>
                <w:szCs w:val="21"/>
                <w:color w:val="auto"/>
              </w:rPr>
            </w:pPr>
          </w:p>
        </w:tc>
        <w:tc>
          <w:tcPr>
            <w:tcW w:w="1320" w:type="dxa"/>
            <w:vAlign w:val="bottom"/>
            <w:shd w:val="clear" w:color="auto" w:fill="D1D2D4"/>
          </w:tcPr>
          <w:p>
            <w:pPr>
              <w:spacing w:after="0"/>
              <w:rPr>
                <w:sz w:val="21"/>
                <w:szCs w:val="21"/>
                <w:color w:val="auto"/>
              </w:rPr>
            </w:pPr>
          </w:p>
        </w:tc>
        <w:tc>
          <w:tcPr>
            <w:tcW w:w="200" w:type="dxa"/>
            <w:vAlign w:val="bottom"/>
            <w:shd w:val="clear" w:color="auto" w:fill="D1D2D4"/>
          </w:tcPr>
          <w:p>
            <w:pPr>
              <w:spacing w:after="0"/>
              <w:rPr>
                <w:sz w:val="21"/>
                <w:szCs w:val="21"/>
                <w:color w:val="auto"/>
              </w:rPr>
            </w:pPr>
          </w:p>
        </w:tc>
        <w:tc>
          <w:tcPr>
            <w:tcW w:w="1280" w:type="dxa"/>
            <w:vAlign w:val="bottom"/>
            <w:shd w:val="clear" w:color="auto" w:fill="D1D2D4"/>
          </w:tcPr>
          <w:p>
            <w:pPr>
              <w:spacing w:after="0"/>
              <w:rPr>
                <w:sz w:val="21"/>
                <w:szCs w:val="21"/>
                <w:color w:val="auto"/>
              </w:rPr>
            </w:pP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(8,223)</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(9,780)</w:t>
            </w: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(1,857)</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(4,218)</w:t>
            </w:r>
          </w:p>
        </w:tc>
      </w:tr>
      <w:tr>
        <w:trPr>
          <w:trHeight w:val="263"/>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1,458</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1,504</w:t>
            </w: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814</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1,541</w:t>
            </w:r>
          </w:p>
        </w:tc>
      </w:tr>
      <w:tr>
        <w:trPr>
          <w:trHeight w:val="263"/>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government incentives</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748</w:t>
            </w:r>
          </w:p>
        </w:tc>
      </w:tr>
      <w:tr>
        <w:trPr>
          <w:trHeight w:val="250"/>
        </w:trPr>
        <w:tc>
          <w:tcPr>
            <w:tcW w:w="83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w:t>
            </w:r>
          </w:p>
        </w:tc>
      </w:tr>
      <w:tr>
        <w:trPr>
          <w:trHeight w:val="250"/>
        </w:trPr>
        <w:tc>
          <w:tcPr>
            <w:tcW w:w="8300" w:type="dxa"/>
            <w:vAlign w:val="bottom"/>
            <w:shd w:val="clear" w:color="auto" w:fill="D1D2D4"/>
          </w:tcPr>
          <w:p>
            <w:pPr>
              <w:ind w:left="120"/>
              <w:spacing w:after="0"/>
              <w:rPr>
                <w:sz w:val="20"/>
                <w:szCs w:val="20"/>
                <w:color w:val="auto"/>
              </w:rPr>
            </w:pPr>
            <w:r>
              <w:rPr>
                <w:rFonts w:ascii="Arial" w:cs="Arial" w:eastAsia="Arial" w:hAnsi="Arial"/>
                <w:sz w:val="18"/>
                <w:szCs w:val="18"/>
                <w:color w:val="auto"/>
              </w:rPr>
              <w:t>Net cash provided by (used for) investing activities</w:t>
            </w:r>
          </w:p>
        </w:tc>
        <w:tc>
          <w:tcPr>
            <w:tcW w:w="140" w:type="dxa"/>
            <w:vAlign w:val="bottom"/>
            <w:tcBorders>
              <w:bottom w:val="single" w:sz="8" w:color="auto"/>
            </w:tcBorders>
            <w:shd w:val="clear" w:color="auto" w:fill="D1D2D4"/>
          </w:tcPr>
          <w:p>
            <w:pPr>
              <w:spacing w:after="0"/>
              <w:rPr>
                <w:sz w:val="21"/>
                <w:szCs w:val="21"/>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(7,589)</w:t>
            </w:r>
          </w:p>
        </w:tc>
        <w:tc>
          <w:tcPr>
            <w:tcW w:w="200" w:type="dxa"/>
            <w:vAlign w:val="bottom"/>
            <w:tcBorders>
              <w:bottom w:val="single" w:sz="8" w:color="auto"/>
            </w:tcBorders>
            <w:shd w:val="clear" w:color="auto" w:fill="D1D2D4"/>
          </w:tcPr>
          <w:p>
            <w:pPr>
              <w:spacing w:after="0"/>
              <w:rPr>
                <w:sz w:val="21"/>
                <w:szCs w:val="21"/>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(10,085)</w:t>
            </w:r>
          </w:p>
        </w:tc>
      </w:tr>
      <w:tr>
        <w:trPr>
          <w:trHeight w:val="243"/>
        </w:trPr>
        <w:tc>
          <w:tcPr>
            <w:tcW w:w="8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7"/>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spacing w:after="0"/>
              <w:rPr>
                <w:sz w:val="22"/>
                <w:szCs w:val="22"/>
                <w:color w:val="auto"/>
              </w:rPr>
            </w:pP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(4,366)</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(3,340)</w:t>
            </w:r>
          </w:p>
        </w:tc>
      </w:tr>
      <w:tr>
        <w:trPr>
          <w:trHeight w:val="263"/>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Acquisition of noncontrolling interest in IMFT</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(744)</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Payments to acquire treasury stock</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(2,729)</w:t>
            </w:r>
          </w:p>
        </w:tc>
      </w:tr>
      <w:tr>
        <w:trPr>
          <w:trHeight w:val="263"/>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w:t>
            </w:r>
          </w:p>
        </w:tc>
      </w:tr>
      <w:tr>
        <w:trPr>
          <w:trHeight w:val="250"/>
        </w:trPr>
        <w:tc>
          <w:tcPr>
            <w:tcW w:w="8300" w:type="dxa"/>
            <w:vAlign w:val="bottom"/>
          </w:tcPr>
          <w:p>
            <w:pPr>
              <w:ind w:left="20"/>
              <w:spacing w:after="0"/>
              <w:rPr>
                <w:sz w:val="20"/>
                <w:szCs w:val="20"/>
                <w:color w:val="auto"/>
              </w:rPr>
            </w:pPr>
            <w:r>
              <w:rPr>
                <w:rFonts w:ascii="Arial" w:cs="Arial" w:eastAsia="Arial" w:hAnsi="Arial"/>
                <w:sz w:val="18"/>
                <w:szCs w:val="18"/>
                <w:color w:val="auto"/>
              </w:rPr>
              <w:t>Proceeds from issuance of debt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3,550</w:t>
            </w:r>
          </w:p>
        </w:tc>
      </w:tr>
      <w:tr>
        <w:trPr>
          <w:trHeight w:val="263"/>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issuance of stock</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179</w:t>
            </w:r>
          </w:p>
        </w:tc>
      </w:tr>
      <w:tr>
        <w:trPr>
          <w:trHeight w:val="250"/>
        </w:trPr>
        <w:tc>
          <w:tcPr>
            <w:tcW w:w="83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8300" w:type="dxa"/>
            <w:vAlign w:val="bottom"/>
            <w:shd w:val="clear" w:color="auto" w:fill="D1D2D4"/>
          </w:tcPr>
          <w:p>
            <w:pPr>
              <w:ind w:left="120"/>
              <w:spacing w:after="0"/>
              <w:rPr>
                <w:sz w:val="20"/>
                <w:szCs w:val="20"/>
                <w:color w:val="auto"/>
              </w:rPr>
            </w:pPr>
            <w:r>
              <w:rPr>
                <w:rFonts w:ascii="Arial" w:cs="Arial" w:eastAsia="Arial" w:hAnsi="Arial"/>
                <w:sz w:val="18"/>
                <w:szCs w:val="18"/>
                <w:color w:val="auto"/>
              </w:rPr>
              <w:t>Net cash provided by (used for) financing activities</w:t>
            </w:r>
          </w:p>
        </w:tc>
        <w:tc>
          <w:tcPr>
            <w:tcW w:w="140" w:type="dxa"/>
            <w:vAlign w:val="bottom"/>
            <w:tcBorders>
              <w:bottom w:val="single" w:sz="8" w:color="auto"/>
            </w:tcBorders>
            <w:shd w:val="clear" w:color="auto" w:fill="D1D2D4"/>
          </w:tcPr>
          <w:p>
            <w:pPr>
              <w:spacing w:after="0"/>
              <w:rPr>
                <w:sz w:val="21"/>
                <w:szCs w:val="21"/>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Borders>
              <w:bottom w:val="single" w:sz="8" w:color="auto"/>
            </w:tcBorders>
            <w:shd w:val="clear" w:color="auto" w:fill="D1D2D4"/>
          </w:tcPr>
          <w:p>
            <w:pPr>
              <w:spacing w:after="0"/>
              <w:rPr>
                <w:sz w:val="21"/>
                <w:szCs w:val="21"/>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(2,438)</w:t>
            </w:r>
          </w:p>
        </w:tc>
      </w:tr>
      <w:tr>
        <w:trPr>
          <w:trHeight w:val="243"/>
        </w:trPr>
        <w:tc>
          <w:tcPr>
            <w:tcW w:w="8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7"/>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26</w:t>
            </w:r>
          </w:p>
        </w:tc>
      </w:tr>
      <w:tr>
        <w:trPr>
          <w:trHeight w:val="256"/>
        </w:trPr>
        <w:tc>
          <w:tcPr>
            <w:tcW w:w="8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6"/>
        </w:trPr>
        <w:tc>
          <w:tcPr>
            <w:tcW w:w="8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411</w:t>
            </w:r>
          </w:p>
        </w:tc>
        <w:tc>
          <w:tcPr>
            <w:tcW w:w="200" w:type="dxa"/>
            <w:vAlign w:val="bottom"/>
            <w:shd w:val="clear" w:color="auto" w:fill="D1D2D4"/>
          </w:tcPr>
          <w:p>
            <w:pPr>
              <w:spacing w:after="0"/>
              <w:rPr>
                <w:sz w:val="22"/>
                <w:szCs w:val="22"/>
                <w:color w:val="auto"/>
              </w:rPr>
            </w:pPr>
          </w:p>
        </w:tc>
        <w:tc>
          <w:tcPr>
            <w:tcW w:w="12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692</w:t>
            </w:r>
          </w:p>
        </w:tc>
      </w:tr>
      <w:tr>
        <w:trPr>
          <w:trHeight w:val="250"/>
        </w:trPr>
        <w:tc>
          <w:tcPr>
            <w:tcW w:w="83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7,279</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6,587</w:t>
            </w:r>
          </w:p>
        </w:tc>
      </w:tr>
      <w:tr>
        <w:trPr>
          <w:trHeight w:val="281"/>
        </w:trPr>
        <w:tc>
          <w:tcPr>
            <w:tcW w:w="83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7,690</w:t>
            </w:r>
          </w:p>
        </w:tc>
        <w:tc>
          <w:tcPr>
            <w:tcW w:w="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7,279</w:t>
            </w:r>
          </w:p>
        </w:tc>
      </w:tr>
      <w:tr>
        <w:trPr>
          <w:trHeight w:val="20"/>
        </w:trPr>
        <w:tc>
          <w:tcPr>
            <w:tcW w:w="830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886"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Property, Plant, and Equipment</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periodically assess the estimated useful lives of our property, plant, and equipment. Based on our assessment of planned technology node transitions, capital spending, and re -use rates, we revised the estimated useful lives of the existing equipment in our NAND wafer fabrication facilities and our research and development facilities from five years to seven years as of the beginning of the first quarter of 2020. This revision reduced our aggregate depreciation expense by approximately $675 million in 2020, of which approximately $165 million remained capitalized in inventory as of the end of 2020. Adjusting for the effect of the reduced amount of depreciation expense remaining in inventory, the revision in estimated useful lives benefited both operating income and net income by approximately $ 150 million and diluted earnings per share by approximately $0.13 for the fourth quarter of 2020, and benefited both operating income and net income by approximately $510 million and diluted earnings per share by approximately $0.45 for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Adoption of Lease Accounting Standard</w:t>
      </w:r>
    </w:p>
    <w:p>
      <w:pPr>
        <w:spacing w:after="0" w:line="25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In the first quarter of 2020, we adopted ASU 2016-02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amended, “ASC 842”), which amends a number of aspects of lease accounting, including requiring lessees to recognize operating leases with a term greater than one year on their balance sheet as a right-of-use asset and corresponding lease liability, measured at the present value of lease payments. In adoption, we applied the modified retrospective method and elected to not recast prior periods. As a result, we recognized $567 million for operating lease liabilities and right-of-use assets and reclassified an additional $66 million of other balances to right-of-use assets to conform to the new presentation requirements of ASC 842.</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86" w:right="339" w:bottom="1440" w:gutter="0" w:footer="0" w:header="0"/>
        </w:sectPr>
      </w:pPr>
    </w:p>
    <w:bookmarkStart w:id="10" w:name="page11"/>
    <w:bookmarkEnd w:id="10"/>
    <w:p>
      <w:pPr>
        <w:ind w:left="4380"/>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(In millions, except per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6"/>
              </w:rPr>
              <w:t>4th Qtr.</w:t>
            </w:r>
          </w:p>
        </w:tc>
        <w:tc>
          <w:tcPr>
            <w:tcW w:w="24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3rd Qtr.</w:t>
            </w:r>
          </w:p>
        </w:tc>
        <w:tc>
          <w:tcPr>
            <w:tcW w:w="160" w:type="dxa"/>
            <w:vAlign w:val="bottom"/>
          </w:tcPr>
          <w:p>
            <w:pPr>
              <w:spacing w:after="0"/>
              <w:rPr>
                <w:sz w:val="20"/>
                <w:szCs w:val="20"/>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4th Qtr.</w:t>
            </w:r>
          </w:p>
        </w:tc>
        <w:tc>
          <w:tcPr>
            <w:tcW w:w="320" w:type="dxa"/>
            <w:vAlign w:val="bottom"/>
          </w:tcPr>
          <w:p>
            <w:pPr>
              <w:spacing w:after="0"/>
              <w:rPr>
                <w:sz w:val="20"/>
                <w:szCs w:val="20"/>
                <w:color w:val="auto"/>
              </w:rPr>
            </w:pPr>
          </w:p>
        </w:tc>
        <w:tc>
          <w:tcPr>
            <w:tcW w:w="240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Year Ended</w:t>
            </w:r>
          </w:p>
        </w:tc>
      </w:tr>
      <w:tr>
        <w:trPr>
          <w:trHeight w:val="220"/>
        </w:trPr>
        <w:tc>
          <w:tcPr>
            <w:tcW w:w="452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rPr>
              <w:t>September 3,</w:t>
            </w:r>
          </w:p>
        </w:tc>
        <w:tc>
          <w:tcPr>
            <w:tcW w:w="24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May 28,</w:t>
            </w:r>
          </w:p>
        </w:tc>
        <w:tc>
          <w:tcPr>
            <w:tcW w:w="160" w:type="dxa"/>
            <w:vAlign w:val="bottom"/>
          </w:tcPr>
          <w:p>
            <w:pPr>
              <w:spacing w:after="0"/>
              <w:rPr>
                <w:sz w:val="19"/>
                <w:szCs w:val="19"/>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August 29,</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3,</w:t>
            </w:r>
          </w:p>
        </w:tc>
        <w:tc>
          <w:tcPr>
            <w:tcW w:w="1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rPr>
              <w:t>August 29,</w:t>
            </w:r>
          </w:p>
        </w:tc>
      </w:tr>
      <w:tr>
        <w:trPr>
          <w:trHeight w:val="246"/>
        </w:trPr>
        <w:tc>
          <w:tcPr>
            <w:tcW w:w="4520" w:type="dxa"/>
            <w:vAlign w:val="bottom"/>
            <w:tcBorders>
              <w:bottom w:val="single" w:sz="8" w:color="0090DA"/>
            </w:tcBorders>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2020</w:t>
            </w:r>
          </w:p>
        </w:tc>
        <w:tc>
          <w:tcPr>
            <w:tcW w:w="24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2020</w:t>
            </w:r>
          </w:p>
        </w:tc>
        <w:tc>
          <w:tcPr>
            <w:tcW w:w="16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2019</w:t>
            </w:r>
          </w:p>
        </w:tc>
        <w:tc>
          <w:tcPr>
            <w:tcW w:w="320" w:type="dxa"/>
            <w:vAlign w:val="bottom"/>
            <w:tcBorders>
              <w:bottom w:val="single" w:sz="8" w:color="0090DA"/>
            </w:tcBorders>
          </w:tcPr>
          <w:p>
            <w:pPr>
              <w:spacing w:after="0"/>
              <w:rPr>
                <w:sz w:val="21"/>
                <w:szCs w:val="21"/>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41"/>
        </w:trPr>
        <w:tc>
          <w:tcPr>
            <w:tcW w:w="4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7"/>
        </w:trPr>
        <w:tc>
          <w:tcPr>
            <w:tcW w:w="452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gross margin</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2,068</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1,763</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1,395</w:t>
            </w:r>
          </w:p>
        </w:tc>
        <w:tc>
          <w:tcPr>
            <w:tcW w:w="32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6,552</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10,702</w:t>
            </w:r>
          </w:p>
        </w:tc>
      </w:tr>
      <w:tr>
        <w:trPr>
          <w:trHeight w:val="250"/>
        </w:trPr>
        <w:tc>
          <w:tcPr>
            <w:tcW w:w="452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63"/>
        </w:trPr>
        <w:tc>
          <w:tcPr>
            <w:tcW w:w="452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Start-up and preproduction costs</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58</w:t>
            </w:r>
          </w:p>
        </w:tc>
      </w:tr>
      <w:tr>
        <w:trPr>
          <w:trHeight w:val="250"/>
        </w:trPr>
        <w:tc>
          <w:tcPr>
            <w:tcW w:w="4520" w:type="dxa"/>
            <w:vAlign w:val="bottom"/>
          </w:tcPr>
          <w:p>
            <w:pPr>
              <w:ind w:left="120"/>
              <w:spacing w:after="0"/>
              <w:rPr>
                <w:sz w:val="20"/>
                <w:szCs w:val="20"/>
                <w:color w:val="auto"/>
              </w:rPr>
            </w:pPr>
            <w:r>
              <w:rPr>
                <w:rFonts w:ascii="Arial" w:cs="Arial" w:eastAsia="Arial" w:hAnsi="Arial"/>
                <w:sz w:val="18"/>
                <w:szCs w:val="18"/>
                <w:color w:val="auto"/>
              </w:rPr>
              <w:t>Employee severance</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57"/>
        </w:trPr>
        <w:tc>
          <w:tcPr>
            <w:tcW w:w="452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D1D2D4"/>
          </w:tcPr>
          <w:p>
            <w:pPr>
              <w:spacing w:after="0"/>
              <w:rPr>
                <w:sz w:val="22"/>
                <w:szCs w:val="22"/>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shd w:val="clear" w:color="auto" w:fill="D1D2D4"/>
          </w:tcPr>
          <w:p>
            <w:pPr>
              <w:spacing w:after="0"/>
              <w:rPr>
                <w:sz w:val="22"/>
                <w:szCs w:val="22"/>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auto"/>
            </w:tcBorders>
            <w:shd w:val="clear" w:color="auto" w:fill="D1D2D4"/>
          </w:tcPr>
          <w:p>
            <w:pPr>
              <w:spacing w:after="0"/>
              <w:rPr>
                <w:sz w:val="22"/>
                <w:szCs w:val="22"/>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shd w:val="clear" w:color="auto" w:fill="D1D2D4"/>
          </w:tcPr>
          <w:p>
            <w:pPr>
              <w:spacing w:after="0"/>
              <w:rPr>
                <w:sz w:val="22"/>
                <w:szCs w:val="22"/>
                <w:color w:val="auto"/>
              </w:rPr>
            </w:pPr>
          </w:p>
        </w:tc>
        <w:tc>
          <w:tcPr>
            <w:tcW w:w="11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38</w:t>
            </w:r>
          </w:p>
        </w:tc>
      </w:tr>
      <w:tr>
        <w:trPr>
          <w:trHeight w:val="257"/>
        </w:trPr>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Non-GAAP gross margin</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10,973</w:t>
            </w:r>
          </w:p>
        </w:tc>
      </w:tr>
      <w:tr>
        <w:trPr>
          <w:trHeight w:val="20"/>
        </w:trPr>
        <w:tc>
          <w:tcPr>
            <w:tcW w:w="4520" w:type="dxa"/>
            <w:vAlign w:val="bottom"/>
            <w:tcBorders>
              <w:bottom w:val="single" w:sz="8" w:color="D1D2D4"/>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45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r>
      <w:tr>
        <w:trPr>
          <w:trHeight w:val="250"/>
        </w:trPr>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GAAP operating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745</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3,549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3,326</w:t>
            </w:r>
          </w:p>
        </w:tc>
      </w:tr>
      <w:tr>
        <w:trPr>
          <w:trHeight w:val="263"/>
        </w:trPr>
        <w:tc>
          <w:tcPr>
            <w:tcW w:w="452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(189)</w:t>
            </w:r>
          </w:p>
        </w:tc>
        <w:tc>
          <w:tcPr>
            <w:tcW w:w="180" w:type="dxa"/>
            <w:vAlign w:val="bottom"/>
            <w:shd w:val="clear" w:color="auto" w:fill="D1D2D4"/>
          </w:tcPr>
          <w:p>
            <w:pPr>
              <w:spacing w:after="0"/>
              <w:rPr>
                <w:sz w:val="22"/>
                <w:szCs w:val="22"/>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w:t>
            </w:r>
          </w:p>
        </w:tc>
      </w:tr>
      <w:tr>
        <w:trPr>
          <w:trHeight w:val="250"/>
        </w:trPr>
        <w:tc>
          <w:tcPr>
            <w:tcW w:w="4520" w:type="dxa"/>
            <w:vAlign w:val="bottom"/>
          </w:tcPr>
          <w:p>
            <w:pPr>
              <w:ind w:left="120"/>
              <w:spacing w:after="0"/>
              <w:rPr>
                <w:sz w:val="20"/>
                <w:szCs w:val="20"/>
                <w:color w:val="auto"/>
              </w:rPr>
            </w:pPr>
            <w:r>
              <w:rPr>
                <w:rFonts w:ascii="Arial" w:cs="Arial" w:eastAsia="Arial" w:hAnsi="Arial"/>
                <w:sz w:val="18"/>
                <w:szCs w:val="18"/>
                <w:color w:val="auto"/>
              </w:rPr>
              <w:t>Employee severance</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63"/>
        </w:trPr>
        <w:tc>
          <w:tcPr>
            <w:tcW w:w="4520" w:type="dxa"/>
            <w:vAlign w:val="bottom"/>
            <w:shd w:val="clear" w:color="auto" w:fill="D1D2D4"/>
          </w:tcPr>
          <w:p>
            <w:pPr>
              <w:ind w:left="120"/>
              <w:spacing w:after="0"/>
              <w:rPr>
                <w:sz w:val="20"/>
                <w:szCs w:val="20"/>
                <w:color w:val="auto"/>
              </w:rPr>
            </w:pPr>
            <w:r>
              <w:rPr>
                <w:rFonts w:ascii="Arial" w:cs="Arial" w:eastAsia="Arial" w:hAnsi="Arial"/>
                <w:sz w:val="18"/>
                <w:szCs w:val="18"/>
                <w:color w:val="auto"/>
              </w:rPr>
              <w:t>Restructure and asset impairments</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w:t>
            </w: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32</w:t>
            </w:r>
          </w:p>
        </w:tc>
      </w:tr>
      <w:tr>
        <w:trPr>
          <w:trHeight w:val="250"/>
        </w:trPr>
        <w:tc>
          <w:tcPr>
            <w:tcW w:w="452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82"/>
        </w:trPr>
        <w:tc>
          <w:tcPr>
            <w:tcW w:w="452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operating expenses</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809</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823</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797</w:t>
            </w:r>
          </w:p>
        </w:tc>
        <w:tc>
          <w:tcPr>
            <w:tcW w:w="32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3,299</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3,172</w:t>
            </w:r>
          </w:p>
        </w:tc>
      </w:tr>
      <w:tr>
        <w:trPr>
          <w:trHeight w:val="20"/>
        </w:trPr>
        <w:tc>
          <w:tcPr>
            <w:tcW w:w="452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4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7"/>
        </w:trPr>
        <w:tc>
          <w:tcPr>
            <w:tcW w:w="452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operating income</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1,157</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888</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650</w:t>
            </w:r>
          </w:p>
        </w:tc>
        <w:tc>
          <w:tcPr>
            <w:tcW w:w="32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3,003</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7,376</w:t>
            </w:r>
          </w:p>
        </w:tc>
      </w:tr>
      <w:tr>
        <w:trPr>
          <w:trHeight w:val="250"/>
        </w:trPr>
        <w:tc>
          <w:tcPr>
            <w:tcW w:w="452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243</w:t>
            </w:r>
          </w:p>
        </w:tc>
      </w:tr>
      <w:tr>
        <w:trPr>
          <w:trHeight w:val="263"/>
        </w:trPr>
        <w:tc>
          <w:tcPr>
            <w:tcW w:w="452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Start-up and preproduction costs</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22"/>
                <w:szCs w:val="22"/>
                <w:color w:val="auto"/>
              </w:rPr>
            </w:pPr>
          </w:p>
        </w:tc>
        <w:tc>
          <w:tcPr>
            <w:tcW w:w="118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58</w:t>
            </w:r>
          </w:p>
        </w:tc>
      </w:tr>
      <w:tr>
        <w:trPr>
          <w:trHeight w:val="250"/>
        </w:trPr>
        <w:tc>
          <w:tcPr>
            <w:tcW w:w="4520" w:type="dxa"/>
            <w:vAlign w:val="bottom"/>
          </w:tcPr>
          <w:p>
            <w:pPr>
              <w:ind w:left="120"/>
              <w:spacing w:after="0"/>
              <w:rPr>
                <w:sz w:val="20"/>
                <w:szCs w:val="20"/>
                <w:color w:val="auto"/>
              </w:rPr>
            </w:pPr>
            <w:r>
              <w:rPr>
                <w:rFonts w:ascii="Arial" w:cs="Arial" w:eastAsia="Arial" w:hAnsi="Arial"/>
                <w:sz w:val="18"/>
                <w:szCs w:val="18"/>
                <w:color w:val="auto"/>
              </w:rPr>
              <w:t>Employee severance</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116</w:t>
            </w:r>
          </w:p>
        </w:tc>
      </w:tr>
      <w:tr>
        <w:trPr>
          <w:trHeight w:val="263"/>
        </w:trPr>
        <w:tc>
          <w:tcPr>
            <w:tcW w:w="4520" w:type="dxa"/>
            <w:vAlign w:val="bottom"/>
            <w:shd w:val="clear" w:color="auto" w:fill="D1D2D4"/>
          </w:tcPr>
          <w:p>
            <w:pPr>
              <w:ind w:left="120"/>
              <w:spacing w:after="0"/>
              <w:rPr>
                <w:sz w:val="20"/>
                <w:szCs w:val="20"/>
                <w:color w:val="auto"/>
              </w:rPr>
            </w:pPr>
            <w:r>
              <w:rPr>
                <w:rFonts w:ascii="Arial" w:cs="Arial" w:eastAsia="Arial" w:hAnsi="Arial"/>
                <w:sz w:val="18"/>
                <w:szCs w:val="18"/>
                <w:color w:val="auto"/>
              </w:rPr>
              <w:t>Restructure and asset impairments</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w:t>
            </w: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D1D2D4"/>
          </w:tcPr>
          <w:p>
            <w:pPr>
              <w:spacing w:after="0"/>
              <w:rPr>
                <w:sz w:val="22"/>
                <w:szCs w:val="22"/>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w:t>
            </w:r>
          </w:p>
        </w:tc>
      </w:tr>
      <w:tr>
        <w:trPr>
          <w:trHeight w:val="250"/>
        </w:trPr>
        <w:tc>
          <w:tcPr>
            <w:tcW w:w="452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r>
      <w:tr>
        <w:trPr>
          <w:trHeight w:val="281"/>
        </w:trPr>
        <w:tc>
          <w:tcPr>
            <w:tcW w:w="452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operating income</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1,302</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981</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694</w:t>
            </w:r>
          </w:p>
        </w:tc>
        <w:tc>
          <w:tcPr>
            <w:tcW w:w="32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3,419</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7,801</w:t>
            </w:r>
          </w:p>
        </w:tc>
      </w:tr>
      <w:tr>
        <w:trPr>
          <w:trHeight w:val="20"/>
        </w:trPr>
        <w:tc>
          <w:tcPr>
            <w:tcW w:w="452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p>
      <w:pPr>
        <w:spacing w:after="0" w:line="247" w:lineRule="exact"/>
        <w:rPr>
          <w:sz w:val="20"/>
          <w:szCs w:val="20"/>
          <w:color w:val="auto"/>
        </w:rPr>
      </w:pPr>
    </w:p>
    <w:p>
      <w:pPr>
        <w:ind w:left="20"/>
        <w:spacing w:after="0"/>
        <w:tabs>
          <w:tab w:leader="none" w:pos="4520" w:val="left"/>
        </w:tabs>
        <w:rPr>
          <w:sz w:val="20"/>
          <w:szCs w:val="20"/>
          <w:color w:val="auto"/>
        </w:rPr>
      </w:pPr>
      <w:r>
        <w:rPr>
          <w:rFonts w:ascii="Arial" w:cs="Arial" w:eastAsia="Arial" w:hAnsi="Arial"/>
          <w:sz w:val="18"/>
          <w:szCs w:val="18"/>
          <w:b w:val="1"/>
          <w:bCs w:val="1"/>
          <w:color w:val="auto"/>
        </w:rPr>
        <w:t>GAAP net income attributable to Micron</w:t>
      </w:r>
      <w:r>
        <w:rPr>
          <w:sz w:val="20"/>
          <w:szCs w:val="20"/>
          <w:color w:val="auto"/>
        </w:rPr>
        <w:tab/>
      </w:r>
      <w:r>
        <w:rPr>
          <w:rFonts w:ascii="Arial" w:cs="Arial" w:eastAsia="Arial" w:hAnsi="Arial"/>
          <w:sz w:val="17"/>
          <w:szCs w:val="17"/>
          <w:color w:val="auto"/>
        </w:rPr>
        <w:t>$</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Start-up and preproduction costs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Employee severance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Restructure and asset impairments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Amortization of debt discount and other costs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(Gain) loss on debt repurchases and conversions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Estimated tax effects of above, non-cash changes in</w:t>
      </w:r>
    </w:p>
    <w:p>
      <w:pPr>
        <w:ind w:left="300"/>
        <w:spacing w:after="0" w:line="203" w:lineRule="auto"/>
        <w:rPr>
          <w:sz w:val="20"/>
          <w:szCs w:val="20"/>
          <w:color w:val="auto"/>
        </w:rPr>
      </w:pPr>
      <w:r>
        <w:rPr>
          <w:rFonts w:ascii="Arial" w:cs="Arial" w:eastAsia="Arial" w:hAnsi="Arial"/>
          <w:sz w:val="18"/>
          <w:szCs w:val="18"/>
          <w:color w:val="auto"/>
        </w:rPr>
        <w:t>net deferred income taxes, assessments of tax</w:t>
      </w:r>
    </w:p>
    <w:p>
      <w:pPr>
        <w:ind w:left="300"/>
        <w:spacing w:after="0"/>
        <w:rPr>
          <w:sz w:val="20"/>
          <w:szCs w:val="20"/>
          <w:color w:val="auto"/>
        </w:rPr>
      </w:pPr>
      <w:r>
        <w:rPr>
          <w:rFonts w:ascii="Arial" w:cs="Arial" w:eastAsia="Arial" w:hAnsi="Arial"/>
          <w:sz w:val="18"/>
          <w:szCs w:val="18"/>
          <w:color w:val="auto"/>
        </w:rPr>
        <w:t>exposures, and impact of U.S. income tax reform</w:t>
      </w:r>
    </w:p>
    <w:p>
      <w:pPr>
        <w:spacing w:after="0" w:line="50" w:lineRule="exact"/>
        <w:rPr>
          <w:sz w:val="20"/>
          <w:szCs w:val="20"/>
          <w:color w:val="auto"/>
        </w:rPr>
      </w:pPr>
    </w:p>
    <w:p>
      <w:pPr>
        <w:ind w:left="20"/>
        <w:spacing w:after="0"/>
        <w:tabs>
          <w:tab w:leader="none" w:pos="4520" w:val="left"/>
        </w:tabs>
        <w:rPr>
          <w:sz w:val="20"/>
          <w:szCs w:val="20"/>
          <w:color w:val="auto"/>
        </w:rPr>
      </w:pPr>
      <w:r>
        <w:rPr>
          <w:rFonts w:ascii="Arial" w:cs="Arial" w:eastAsia="Arial" w:hAnsi="Arial"/>
          <w:sz w:val="18"/>
          <w:szCs w:val="18"/>
          <w:b w:val="1"/>
          <w:bCs w:val="1"/>
          <w:color w:val="auto"/>
        </w:rPr>
        <w:t>Non-GAAP net income attributable to Micron</w:t>
      </w:r>
      <w:r>
        <w:rPr>
          <w:sz w:val="20"/>
          <w:szCs w:val="20"/>
          <w:color w:val="auto"/>
        </w:rPr>
        <w:tab/>
      </w:r>
      <w:r>
        <w:rPr>
          <w:rFonts w:ascii="Arial" w:cs="Arial" w:eastAsia="Arial" w:hAnsi="Arial"/>
          <w:sz w:val="17"/>
          <w:szCs w:val="17"/>
          <w:color w:val="auto"/>
        </w:rPr>
        <w:t>$</w:t>
      </w:r>
    </w:p>
    <w:p>
      <w:pPr>
        <w:spacing w:after="0" w:line="298" w:lineRule="exact"/>
        <w:rPr>
          <w:sz w:val="20"/>
          <w:szCs w:val="20"/>
          <w:color w:val="auto"/>
        </w:rPr>
      </w:pPr>
    </w:p>
    <w:p>
      <w:pPr>
        <w:ind w:left="180" w:right="1100" w:hanging="161"/>
        <w:spacing w:after="0"/>
        <w:rPr>
          <w:sz w:val="20"/>
          <w:szCs w:val="20"/>
          <w:color w:val="auto"/>
        </w:rPr>
      </w:pPr>
      <w:r>
        <w:rPr>
          <w:rFonts w:ascii="Arial" w:cs="Arial" w:eastAsia="Arial" w:hAnsi="Arial"/>
          <w:sz w:val="18"/>
          <w:szCs w:val="18"/>
          <w:b w:val="1"/>
          <w:bCs w:val="1"/>
          <w:color w:val="auto"/>
        </w:rPr>
        <w:t>GAAP weighted-average common shares outstanding - Diluted</w:t>
      </w:r>
    </w:p>
    <w:p>
      <w:pPr>
        <w:spacing w:after="0" w:line="13" w:lineRule="exact"/>
        <w:rPr>
          <w:sz w:val="20"/>
          <w:szCs w:val="20"/>
          <w:color w:val="auto"/>
        </w:rPr>
      </w:pPr>
    </w:p>
    <w:p>
      <w:pPr>
        <w:ind w:left="300" w:right="160" w:hanging="161"/>
        <w:spacing w:after="0" w:line="227" w:lineRule="auto"/>
        <w:rPr>
          <w:sz w:val="20"/>
          <w:szCs w:val="20"/>
          <w:color w:val="auto"/>
        </w:rPr>
      </w:pPr>
      <w:r>
        <w:rPr>
          <w:rFonts w:ascii="Arial" w:cs="Arial" w:eastAsia="Arial" w:hAnsi="Arial"/>
          <w:sz w:val="18"/>
          <w:szCs w:val="18"/>
          <w:color w:val="auto"/>
        </w:rPr>
        <w:t>Adjustment for stock-based compensation and capped calls</w:t>
      </w:r>
    </w:p>
    <w:p>
      <w:pPr>
        <w:spacing w:after="0" w:line="1" w:lineRule="exact"/>
        <w:rPr>
          <w:sz w:val="20"/>
          <w:szCs w:val="20"/>
          <w:color w:val="auto"/>
        </w:rPr>
      </w:pPr>
    </w:p>
    <w:p>
      <w:pPr>
        <w:ind w:left="180" w:right="680" w:hanging="161"/>
        <w:spacing w:after="0" w:line="234" w:lineRule="auto"/>
        <w:rPr>
          <w:sz w:val="20"/>
          <w:szCs w:val="20"/>
          <w:color w:val="auto"/>
        </w:rPr>
      </w:pPr>
      <w:r>
        <w:rPr>
          <w:rFonts w:ascii="Arial" w:cs="Arial" w:eastAsia="Arial" w:hAnsi="Arial"/>
          <w:sz w:val="18"/>
          <w:szCs w:val="18"/>
          <w:b w:val="1"/>
          <w:bCs w:val="1"/>
          <w:color w:val="auto"/>
        </w:rPr>
        <w:t>Non-GAAP weighted-average common shares outstanding - Diluted</w:t>
      </w:r>
    </w:p>
    <w:p>
      <w:pPr>
        <w:spacing w:after="0" w:line="276" w:lineRule="exact"/>
        <w:rPr>
          <w:sz w:val="20"/>
          <w:szCs w:val="20"/>
          <w:color w:val="auto"/>
        </w:rPr>
      </w:pPr>
    </w:p>
    <w:p>
      <w:pPr>
        <w:ind w:left="20"/>
        <w:spacing w:after="0"/>
        <w:tabs>
          <w:tab w:leader="none" w:pos="4520" w:val="left"/>
        </w:tabs>
        <w:rPr>
          <w:sz w:val="20"/>
          <w:szCs w:val="20"/>
          <w:color w:val="auto"/>
        </w:rPr>
      </w:pPr>
      <w:r>
        <w:rPr>
          <w:rFonts w:ascii="Arial" w:cs="Arial" w:eastAsia="Arial" w:hAnsi="Arial"/>
          <w:sz w:val="18"/>
          <w:szCs w:val="18"/>
          <w:b w:val="1"/>
          <w:bCs w:val="1"/>
          <w:color w:val="auto"/>
        </w:rPr>
        <w:t>GAAP diluted earnings per share</w:t>
      </w:r>
      <w:r>
        <w:rPr>
          <w:sz w:val="20"/>
          <w:szCs w:val="20"/>
          <w:color w:val="auto"/>
        </w:rPr>
        <w:tab/>
      </w:r>
      <w:r>
        <w:rPr>
          <w:rFonts w:ascii="Arial" w:cs="Arial" w:eastAsia="Arial" w:hAnsi="Arial"/>
          <w:sz w:val="17"/>
          <w:szCs w:val="17"/>
          <w:color w:val="auto"/>
        </w:rPr>
        <w:t>$</w:t>
      </w:r>
    </w:p>
    <w:p>
      <w:pPr>
        <w:spacing w:after="0" w:line="7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Effects of the above adjustments</w:t>
      </w:r>
    </w:p>
    <w:p>
      <w:pPr>
        <w:spacing w:after="0" w:line="50" w:lineRule="exact"/>
        <w:rPr>
          <w:sz w:val="20"/>
          <w:szCs w:val="20"/>
          <w:color w:val="auto"/>
        </w:rPr>
      </w:pPr>
    </w:p>
    <w:p>
      <w:pPr>
        <w:ind w:left="20"/>
        <w:spacing w:after="0"/>
        <w:tabs>
          <w:tab w:leader="none" w:pos="4520" w:val="left"/>
        </w:tabs>
        <w:rPr>
          <w:sz w:val="20"/>
          <w:szCs w:val="20"/>
          <w:color w:val="auto"/>
        </w:rPr>
      </w:pPr>
      <w:r>
        <w:rPr>
          <w:rFonts w:ascii="Arial" w:cs="Arial" w:eastAsia="Arial" w:hAnsi="Arial"/>
          <w:sz w:val="18"/>
          <w:szCs w:val="18"/>
          <w:b w:val="1"/>
          <w:bCs w:val="1"/>
          <w:color w:val="auto"/>
        </w:rPr>
        <w:t>Non-GAAP diluted earnings per share</w:t>
      </w:r>
      <w:r>
        <w:rPr>
          <w:sz w:val="20"/>
          <w:szCs w:val="20"/>
          <w:color w:val="auto"/>
        </w:rPr>
        <w:tab/>
      </w:r>
      <w:r>
        <w:rPr>
          <w:rFonts w:ascii="Arial" w:cs="Arial" w:eastAsia="Arial" w:hAnsi="Arial"/>
          <w:sz w:val="26"/>
          <w:szCs w:val="26"/>
          <w:color w:val="auto"/>
          <w:vertAlign w:val="superscript"/>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jc w:val="right"/>
              <w:spacing w:after="0"/>
              <w:rPr>
                <w:sz w:val="20"/>
                <w:szCs w:val="20"/>
                <w:color w:val="auto"/>
              </w:rPr>
            </w:pPr>
            <w:r>
              <w:rPr>
                <w:rFonts w:ascii="Arial" w:cs="Arial" w:eastAsia="Arial" w:hAnsi="Arial"/>
                <w:sz w:val="18"/>
                <w:szCs w:val="18"/>
                <w:color w:val="auto"/>
              </w:rPr>
              <w:t>988</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803</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561</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2,687</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6,313</w:t>
            </w:r>
          </w:p>
        </w:tc>
      </w:tr>
      <w:tr>
        <w:trPr>
          <w:trHeight w:val="257"/>
        </w:trPr>
        <w:tc>
          <w:tcPr>
            <w:tcW w:w="540" w:type="dxa"/>
            <w:vAlign w:val="bottom"/>
          </w:tcPr>
          <w:p>
            <w:pPr>
              <w:jc w:val="right"/>
              <w:spacing w:after="0"/>
              <w:rPr>
                <w:sz w:val="20"/>
                <w:szCs w:val="20"/>
                <w:color w:val="auto"/>
              </w:rPr>
            </w:pPr>
            <w:r>
              <w:rPr>
                <w:rFonts w:ascii="Arial" w:cs="Arial" w:eastAsia="Arial" w:hAnsi="Arial"/>
                <w:sz w:val="18"/>
                <w:szCs w:val="18"/>
                <w:color w:val="auto"/>
              </w:rPr>
              <w:t>89</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c>
          <w:tcPr>
            <w:tcW w:w="5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56"/>
        </w:trPr>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57"/>
        </w:trPr>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w:t>
            </w: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56"/>
        </w:trPr>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w:t>
            </w: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57"/>
        </w:trPr>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57"/>
        </w:trPr>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56"/>
        </w:trPr>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580"/>
        </w:trPr>
        <w:tc>
          <w:tcPr>
            <w:tcW w:w="540" w:type="dxa"/>
            <w:vAlign w:val="bottom"/>
          </w:tcPr>
          <w:p>
            <w:pPr>
              <w:jc w:val="right"/>
              <w:spacing w:after="0"/>
              <w:rPr>
                <w:sz w:val="20"/>
                <w:szCs w:val="20"/>
                <w:color w:val="auto"/>
              </w:rPr>
            </w:pPr>
            <w:r>
              <w:rPr>
                <w:rFonts w:ascii="Arial" w:cs="Arial" w:eastAsia="Arial" w:hAnsi="Arial"/>
                <w:sz w:val="18"/>
                <w:szCs w:val="18"/>
                <w:color w:val="auto"/>
              </w:rPr>
              <w:t>90</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0"/>
        </w:trPr>
        <w:tc>
          <w:tcPr>
            <w:tcW w:w="540" w:type="dxa"/>
            <w:vAlign w:val="bottom"/>
          </w:tcPr>
          <w:p>
            <w:pPr>
              <w:jc w:val="right"/>
              <w:spacing w:after="0"/>
              <w:rPr>
                <w:sz w:val="20"/>
                <w:szCs w:val="20"/>
                <w:color w:val="auto"/>
              </w:rPr>
            </w:pPr>
            <w:r>
              <w:rPr>
                <w:rFonts w:ascii="Arial" w:cs="Arial" w:eastAsia="Arial" w:hAnsi="Arial"/>
                <w:sz w:val="18"/>
                <w:szCs w:val="18"/>
                <w:color w:val="auto"/>
                <w:w w:val="97"/>
              </w:rPr>
              <w:t>1,229</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941</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637</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3,235</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7,314</w:t>
            </w:r>
          </w:p>
        </w:tc>
      </w:tr>
      <w:tr>
        <w:trPr>
          <w:trHeight w:val="688"/>
        </w:trPr>
        <w:tc>
          <w:tcPr>
            <w:tcW w:w="540" w:type="dxa"/>
            <w:vAlign w:val="bottom"/>
          </w:tcPr>
          <w:p>
            <w:pPr>
              <w:jc w:val="right"/>
              <w:spacing w:after="0"/>
              <w:rPr>
                <w:sz w:val="20"/>
                <w:szCs w:val="20"/>
                <w:color w:val="auto"/>
              </w:rPr>
            </w:pPr>
            <w:r>
              <w:rPr>
                <w:rFonts w:ascii="Arial" w:cs="Arial" w:eastAsia="Arial" w:hAnsi="Arial"/>
                <w:sz w:val="18"/>
                <w:szCs w:val="18"/>
                <w:color w:val="auto"/>
                <w:w w:val="97"/>
              </w:rPr>
              <w:t>1,131</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1,129</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1,128</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1,131</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1,143</w:t>
            </w:r>
          </w:p>
        </w:tc>
      </w:tr>
      <w:tr>
        <w:trPr>
          <w:trHeight w:val="405"/>
        </w:trPr>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78"/>
        </w:trPr>
        <w:tc>
          <w:tcPr>
            <w:tcW w:w="540" w:type="dxa"/>
            <w:vAlign w:val="bottom"/>
          </w:tcPr>
          <w:p>
            <w:pPr>
              <w:jc w:val="right"/>
              <w:spacing w:after="0"/>
              <w:rPr>
                <w:sz w:val="20"/>
                <w:szCs w:val="20"/>
                <w:color w:val="auto"/>
              </w:rPr>
            </w:pPr>
            <w:r>
              <w:rPr>
                <w:rFonts w:ascii="Arial" w:cs="Arial" w:eastAsia="Arial" w:hAnsi="Arial"/>
                <w:sz w:val="18"/>
                <w:szCs w:val="18"/>
                <w:color w:val="auto"/>
                <w:w w:val="97"/>
              </w:rPr>
              <w:t>1,142</w:t>
            </w: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1,142</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1,134</w:t>
            </w: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1,141</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w:t>
            </w:r>
          </w:p>
        </w:tc>
      </w:tr>
      <w:tr>
        <w:trPr>
          <w:trHeight w:val="540"/>
        </w:trPr>
        <w:tc>
          <w:tcPr>
            <w:tcW w:w="540" w:type="dxa"/>
            <w:vAlign w:val="bottom"/>
          </w:tcPr>
          <w:p>
            <w:pPr>
              <w:jc w:val="right"/>
              <w:spacing w:after="0"/>
              <w:rPr>
                <w:sz w:val="20"/>
                <w:szCs w:val="20"/>
                <w:color w:val="auto"/>
              </w:rPr>
            </w:pPr>
            <w:r>
              <w:rPr>
                <w:rFonts w:ascii="Arial" w:cs="Arial" w:eastAsia="Arial" w:hAnsi="Arial"/>
                <w:sz w:val="18"/>
                <w:szCs w:val="18"/>
                <w:color w:val="auto"/>
              </w:rPr>
              <w:t>0.87</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0.71</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0.49</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2.37</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256"/>
        </w:trPr>
        <w:tc>
          <w:tcPr>
            <w:tcW w:w="540" w:type="dxa"/>
            <w:vAlign w:val="bottom"/>
          </w:tcPr>
          <w:p>
            <w:pPr>
              <w:jc w:val="right"/>
              <w:spacing w:after="0"/>
              <w:rPr>
                <w:sz w:val="20"/>
                <w:szCs w:val="20"/>
                <w:color w:val="auto"/>
              </w:rPr>
            </w:pPr>
            <w:r>
              <w:rPr>
                <w:rFonts w:ascii="Arial" w:cs="Arial" w:eastAsia="Arial" w:hAnsi="Arial"/>
                <w:sz w:val="18"/>
                <w:szCs w:val="18"/>
                <w:color w:val="auto"/>
              </w:rPr>
              <w:t>0.21</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0.11</w:t>
            </w:r>
          </w:p>
        </w:tc>
        <w:tc>
          <w:tcPr>
            <w:tcW w:w="5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0.07</w:t>
            </w: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0.46</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0.84</w:t>
            </w:r>
          </w:p>
        </w:tc>
      </w:tr>
      <w:tr>
        <w:trPr>
          <w:trHeight w:val="270"/>
        </w:trPr>
        <w:tc>
          <w:tcPr>
            <w:tcW w:w="540" w:type="dxa"/>
            <w:vAlign w:val="bottom"/>
          </w:tcPr>
          <w:p>
            <w:pPr>
              <w:jc w:val="right"/>
              <w:spacing w:after="0"/>
              <w:rPr>
                <w:sz w:val="20"/>
                <w:szCs w:val="20"/>
                <w:color w:val="auto"/>
              </w:rPr>
            </w:pPr>
            <w:r>
              <w:rPr>
                <w:rFonts w:ascii="Arial" w:cs="Arial" w:eastAsia="Arial" w:hAnsi="Arial"/>
                <w:sz w:val="18"/>
                <w:szCs w:val="18"/>
                <w:color w:val="auto"/>
              </w:rPr>
              <w:t>1.08</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0.82</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0.56</w:t>
            </w: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2.83</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-3119755</wp:posOffset>
            </wp:positionV>
            <wp:extent cx="713232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-2794000</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-2468245</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-2142490</wp:posOffset>
            </wp:positionV>
            <wp:extent cx="7132320" cy="2185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185670"/>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4640" w:space="680"/>
            <w:col w:w="5920"/>
          </w:cols>
          <w:pgMar w:left="320" w:top="886" w:right="33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886"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9"/>
        </w:trPr>
        <w:tc>
          <w:tcPr>
            <w:tcW w:w="5860" w:type="dxa"/>
            <w:vAlign w:val="bottom"/>
            <w:gridSpan w:val="3"/>
          </w:tcPr>
          <w:p>
            <w:pPr>
              <w:spacing w:after="0"/>
              <w:rPr>
                <w:sz w:val="20"/>
                <w:szCs w:val="20"/>
                <w:color w:val="auto"/>
              </w:rPr>
            </w:pPr>
            <w:r>
              <w:rPr>
                <w:rFonts w:ascii="Arial" w:cs="Arial" w:eastAsia="Arial" w:hAnsi="Arial"/>
                <w:sz w:val="18"/>
                <w:szCs w:val="18"/>
                <w:b w:val="1"/>
                <w:bCs w:val="1"/>
                <w:color w:val="auto"/>
              </w:rPr>
              <w:t>RECONCILIATION OF GAAP TO NON-GAAP MEASURES, Continued</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13"/>
        </w:trPr>
        <w:tc>
          <w:tcPr>
            <w:tcW w:w="4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6"/>
              </w:rPr>
              <w:t>4th Qtr.</w:t>
            </w:r>
          </w:p>
        </w:tc>
        <w:tc>
          <w:tcPr>
            <w:tcW w:w="240" w:type="dxa"/>
            <w:vAlign w:val="bottom"/>
          </w:tcPr>
          <w:p>
            <w:pPr>
              <w:spacing w:after="0"/>
              <w:rPr>
                <w:sz w:val="24"/>
                <w:szCs w:val="24"/>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3rd Qtr.</w:t>
            </w:r>
          </w:p>
        </w:tc>
        <w:tc>
          <w:tcPr>
            <w:tcW w:w="160" w:type="dxa"/>
            <w:vAlign w:val="bottom"/>
          </w:tcPr>
          <w:p>
            <w:pPr>
              <w:spacing w:after="0"/>
              <w:rPr>
                <w:sz w:val="24"/>
                <w:szCs w:val="24"/>
                <w:color w:val="auto"/>
              </w:rPr>
            </w:pPr>
          </w:p>
        </w:tc>
        <w:tc>
          <w:tcPr>
            <w:tcW w:w="116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4th Qtr.</w:t>
            </w:r>
          </w:p>
        </w:tc>
        <w:tc>
          <w:tcPr>
            <w:tcW w:w="320" w:type="dxa"/>
            <w:vAlign w:val="bottom"/>
          </w:tcPr>
          <w:p>
            <w:pPr>
              <w:spacing w:after="0"/>
              <w:rPr>
                <w:sz w:val="24"/>
                <w:szCs w:val="24"/>
                <w:color w:val="auto"/>
              </w:rPr>
            </w:pPr>
          </w:p>
        </w:tc>
        <w:tc>
          <w:tcPr>
            <w:tcW w:w="240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Year Ended</w:t>
            </w:r>
          </w:p>
        </w:tc>
      </w:tr>
      <w:tr>
        <w:trPr>
          <w:trHeight w:val="220"/>
        </w:trPr>
        <w:tc>
          <w:tcPr>
            <w:tcW w:w="452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rPr>
              <w:t>September 3,</w:t>
            </w:r>
          </w:p>
        </w:tc>
        <w:tc>
          <w:tcPr>
            <w:tcW w:w="240" w:type="dxa"/>
            <w:vAlign w:val="bottom"/>
          </w:tcPr>
          <w:p>
            <w:pPr>
              <w:spacing w:after="0"/>
              <w:rPr>
                <w:sz w:val="19"/>
                <w:szCs w:val="19"/>
                <w:color w:val="auto"/>
              </w:rPr>
            </w:pPr>
          </w:p>
        </w:tc>
        <w:tc>
          <w:tcPr>
            <w:tcW w:w="110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May 28,</w:t>
            </w:r>
          </w:p>
        </w:tc>
        <w:tc>
          <w:tcPr>
            <w:tcW w:w="160" w:type="dxa"/>
            <w:vAlign w:val="bottom"/>
          </w:tcPr>
          <w:p>
            <w:pPr>
              <w:spacing w:after="0"/>
              <w:rPr>
                <w:sz w:val="19"/>
                <w:szCs w:val="19"/>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August 29,</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3,</w:t>
            </w:r>
          </w:p>
        </w:tc>
        <w:tc>
          <w:tcPr>
            <w:tcW w:w="1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rPr>
              <w:t>August 29,</w:t>
            </w:r>
          </w:p>
        </w:tc>
      </w:tr>
      <w:tr>
        <w:trPr>
          <w:trHeight w:val="246"/>
        </w:trPr>
        <w:tc>
          <w:tcPr>
            <w:tcW w:w="4520" w:type="dxa"/>
            <w:vAlign w:val="bottom"/>
            <w:tcBorders>
              <w:bottom w:val="single" w:sz="8" w:color="0090DA"/>
            </w:tcBorders>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2020</w:t>
            </w:r>
          </w:p>
        </w:tc>
        <w:tc>
          <w:tcPr>
            <w:tcW w:w="24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center"/>
              <w:ind w:right="130"/>
              <w:spacing w:after="0"/>
              <w:rPr>
                <w:sz w:val="20"/>
                <w:szCs w:val="20"/>
                <w:color w:val="auto"/>
              </w:rPr>
            </w:pPr>
            <w:r>
              <w:rPr>
                <w:rFonts w:ascii="Arial" w:cs="Arial" w:eastAsia="Arial" w:hAnsi="Arial"/>
                <w:sz w:val="18"/>
                <w:szCs w:val="18"/>
                <w:b w:val="1"/>
                <w:bCs w:val="1"/>
                <w:color w:val="auto"/>
                <w:w w:val="99"/>
              </w:rPr>
              <w:t>2020</w:t>
            </w:r>
          </w:p>
        </w:tc>
        <w:tc>
          <w:tcPr>
            <w:tcW w:w="160" w:type="dxa"/>
            <w:vAlign w:val="bottom"/>
            <w:tcBorders>
              <w:bottom w:val="single" w:sz="8" w:color="0090DA"/>
            </w:tcBorders>
          </w:tcPr>
          <w:p>
            <w:pPr>
              <w:spacing w:after="0"/>
              <w:rPr>
                <w:sz w:val="21"/>
                <w:szCs w:val="21"/>
                <w:color w:val="auto"/>
              </w:rPr>
            </w:pPr>
          </w:p>
        </w:tc>
        <w:tc>
          <w:tcPr>
            <w:tcW w:w="116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2019</w:t>
            </w:r>
          </w:p>
        </w:tc>
        <w:tc>
          <w:tcPr>
            <w:tcW w:w="320" w:type="dxa"/>
            <w:vAlign w:val="bottom"/>
            <w:tcBorders>
              <w:bottom w:val="single" w:sz="8" w:color="0090DA"/>
            </w:tcBorders>
          </w:tcPr>
          <w:p>
            <w:pPr>
              <w:spacing w:after="0"/>
              <w:rPr>
                <w:sz w:val="21"/>
                <w:szCs w:val="21"/>
                <w:color w:val="auto"/>
              </w:rPr>
            </w:pPr>
          </w:p>
        </w:tc>
        <w:tc>
          <w:tcPr>
            <w:tcW w:w="104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0090DA"/>
            </w:tcBorders>
          </w:tcPr>
          <w:p>
            <w:pPr>
              <w:spacing w:after="0"/>
              <w:rPr>
                <w:sz w:val="21"/>
                <w:szCs w:val="21"/>
                <w:color w:val="auto"/>
              </w:rPr>
            </w:pPr>
          </w:p>
        </w:tc>
        <w:tc>
          <w:tcPr>
            <w:tcW w:w="11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41"/>
        </w:trPr>
        <w:tc>
          <w:tcPr>
            <w:tcW w:w="4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7"/>
        </w:trPr>
        <w:tc>
          <w:tcPr>
            <w:tcW w:w="452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2,271</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2,233</w:t>
            </w:r>
          </w:p>
        </w:tc>
        <w:tc>
          <w:tcPr>
            <w:tcW w:w="32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8,306</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13,189</w:t>
            </w:r>
          </w:p>
        </w:tc>
      </w:tr>
      <w:tr>
        <w:trPr>
          <w:trHeight w:val="250"/>
        </w:trPr>
        <w:tc>
          <w:tcPr>
            <w:tcW w:w="4520" w:type="dxa"/>
            <w:vAlign w:val="bottom"/>
          </w:tcPr>
          <w:p>
            <w:pPr>
              <w:ind w:left="20"/>
              <w:spacing w:after="0"/>
              <w:rPr>
                <w:sz w:val="20"/>
                <w:szCs w:val="20"/>
                <w:color w:val="auto"/>
              </w:rPr>
            </w:pPr>
            <w:r>
              <w:rPr>
                <w:rFonts w:ascii="Arial" w:cs="Arial" w:eastAsia="Arial" w:hAnsi="Arial"/>
                <w:sz w:val="18"/>
                <w:szCs w:val="18"/>
                <w:color w:val="auto"/>
              </w:rPr>
              <w:t>Investments in capital expenditures, net</w:t>
            </w: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3"/>
        </w:trPr>
        <w:tc>
          <w:tcPr>
            <w:tcW w:w="4520" w:type="dxa"/>
            <w:vAlign w:val="bottom"/>
            <w:shd w:val="clear" w:color="auto" w:fill="D1D2D4"/>
          </w:tcPr>
          <w:p>
            <w:pPr>
              <w:ind w:left="140"/>
              <w:spacing w:after="0" w:line="263" w:lineRule="exact"/>
              <w:rPr>
                <w:sz w:val="20"/>
                <w:szCs w:val="20"/>
                <w:color w:val="auto"/>
              </w:rPr>
            </w:pPr>
            <w:r>
              <w:rPr>
                <w:rFonts w:ascii="Arial" w:cs="Arial" w:eastAsia="Arial" w:hAnsi="Arial"/>
                <w:sz w:val="18"/>
                <w:szCs w:val="18"/>
                <w:color w:val="auto"/>
              </w:rPr>
              <w:t>Expenditures for property, plant, and equipment, net</w:t>
            </w:r>
            <w:r>
              <w:rPr>
                <w:rFonts w:ascii="Arial" w:cs="Arial" w:eastAsia="Arial" w:hAnsi="Arial"/>
                <w:sz w:val="23"/>
                <w:szCs w:val="23"/>
                <w:color w:val="auto"/>
                <w:vertAlign w:val="superscript"/>
              </w:rPr>
              <w:t>(1)</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(2,268)</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(1,937)</w:t>
            </w:r>
          </w:p>
        </w:tc>
        <w:tc>
          <w:tcPr>
            <w:tcW w:w="160" w:type="dxa"/>
            <w:vAlign w:val="bottom"/>
            <w:shd w:val="clear" w:color="auto" w:fill="D1D2D4"/>
          </w:tcPr>
          <w:p>
            <w:pPr>
              <w:spacing w:after="0"/>
              <w:rPr>
                <w:sz w:val="22"/>
                <w:szCs w:val="22"/>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(1,983)</w:t>
            </w:r>
          </w:p>
        </w:tc>
        <w:tc>
          <w:tcPr>
            <w:tcW w:w="320" w:type="dxa"/>
            <w:vAlign w:val="bottom"/>
            <w:shd w:val="clear" w:color="auto" w:fill="D1D2D4"/>
          </w:tcPr>
          <w:p>
            <w:pPr>
              <w:spacing w:after="0"/>
              <w:rPr>
                <w:sz w:val="22"/>
                <w:szCs w:val="22"/>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(8,154)</w:t>
            </w:r>
          </w:p>
        </w:tc>
        <w:tc>
          <w:tcPr>
            <w:tcW w:w="180" w:type="dxa"/>
            <w:vAlign w:val="bottom"/>
            <w:shd w:val="clear" w:color="auto" w:fill="D1D2D4"/>
          </w:tcPr>
          <w:p>
            <w:pPr>
              <w:spacing w:after="0"/>
              <w:rPr>
                <w:sz w:val="22"/>
                <w:szCs w:val="22"/>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(9,634)</w:t>
            </w:r>
          </w:p>
        </w:tc>
      </w:tr>
      <w:tr>
        <w:trPr>
          <w:trHeight w:val="257"/>
        </w:trPr>
        <w:tc>
          <w:tcPr>
            <w:tcW w:w="4520" w:type="dxa"/>
            <w:vAlign w:val="bottom"/>
          </w:tcPr>
          <w:p>
            <w:pPr>
              <w:ind w:left="140"/>
              <w:spacing w:after="0"/>
              <w:rPr>
                <w:sz w:val="20"/>
                <w:szCs w:val="20"/>
                <w:color w:val="auto"/>
              </w:rPr>
            </w:pPr>
            <w:r>
              <w:rPr>
                <w:rFonts w:ascii="Arial" w:cs="Arial" w:eastAsia="Arial" w:hAnsi="Arial"/>
                <w:sz w:val="18"/>
                <w:szCs w:val="18"/>
                <w:color w:val="auto"/>
              </w:rPr>
              <w:t>Payments on equipment purchase contracts</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57"/>
        </w:trPr>
        <w:tc>
          <w:tcPr>
            <w:tcW w:w="45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Amounts funded by partners</w:t>
            </w:r>
          </w:p>
        </w:tc>
        <w:tc>
          <w:tcPr>
            <w:tcW w:w="240" w:type="dxa"/>
            <w:vAlign w:val="bottom"/>
            <w:tcBorders>
              <w:bottom w:val="single" w:sz="8" w:color="auto"/>
            </w:tcBorders>
            <w:shd w:val="clear" w:color="auto" w:fill="D1D2D4"/>
          </w:tcPr>
          <w:p>
            <w:pPr>
              <w:spacing w:after="0"/>
              <w:rPr>
                <w:sz w:val="22"/>
                <w:szCs w:val="22"/>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Borders>
              <w:bottom w:val="single" w:sz="8" w:color="auto"/>
            </w:tcBorders>
            <w:shd w:val="clear" w:color="auto" w:fill="D1D2D4"/>
          </w:tcPr>
          <w:p>
            <w:pPr>
              <w:spacing w:after="0"/>
              <w:rPr>
                <w:sz w:val="22"/>
                <w:szCs w:val="22"/>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auto"/>
            </w:tcBorders>
            <w:shd w:val="clear" w:color="auto" w:fill="D1D2D4"/>
          </w:tcPr>
          <w:p>
            <w:pPr>
              <w:spacing w:after="0"/>
              <w:rPr>
                <w:sz w:val="22"/>
                <w:szCs w:val="22"/>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w:t>
            </w:r>
          </w:p>
        </w:tc>
        <w:tc>
          <w:tcPr>
            <w:tcW w:w="320" w:type="dxa"/>
            <w:vAlign w:val="bottom"/>
            <w:tcBorders>
              <w:bottom w:val="single" w:sz="8" w:color="auto"/>
            </w:tcBorders>
            <w:shd w:val="clear" w:color="auto" w:fill="D1D2D4"/>
          </w:tcPr>
          <w:p>
            <w:pPr>
              <w:spacing w:after="0"/>
              <w:rPr>
                <w:sz w:val="22"/>
                <w:szCs w:val="22"/>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272</w:t>
            </w:r>
          </w:p>
        </w:tc>
        <w:tc>
          <w:tcPr>
            <w:tcW w:w="180" w:type="dxa"/>
            <w:vAlign w:val="bottom"/>
            <w:tcBorders>
              <w:bottom w:val="single" w:sz="8" w:color="auto"/>
            </w:tcBorders>
            <w:shd w:val="clear" w:color="auto" w:fill="D1D2D4"/>
          </w:tcPr>
          <w:p>
            <w:pPr>
              <w:spacing w:after="0"/>
              <w:rPr>
                <w:sz w:val="22"/>
                <w:szCs w:val="22"/>
                <w:color w:val="auto"/>
              </w:rPr>
            </w:pPr>
          </w:p>
        </w:tc>
        <w:tc>
          <w:tcPr>
            <w:tcW w:w="118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754</w:t>
            </w:r>
          </w:p>
        </w:tc>
      </w:tr>
      <w:tr>
        <w:trPr>
          <w:trHeight w:val="250"/>
        </w:trPr>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4,234</w:t>
            </w:r>
          </w:p>
        </w:tc>
      </w:tr>
      <w:tr>
        <w:trPr>
          <w:trHeight w:val="20"/>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340" w:right="140" w:hanging="332"/>
        <w:spacing w:after="0" w:line="229" w:lineRule="auto"/>
        <w:tabs>
          <w:tab w:leader="none" w:pos="33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Expenditures for property, plant, and equipment, net include proceeds from sales of property, plant, and equipment of $12 million for the fourth quarter of 2020, $7 million for the third quarter of 2020, $45 million for the fourth quarter of 2019, $69 million for the full year of 2020, and $146 million for the full year of 2019.</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September 3,</w:t>
            </w:r>
          </w:p>
        </w:tc>
        <w:tc>
          <w:tcPr>
            <w:tcW w:w="240" w:type="dxa"/>
            <w:vAlign w:val="bottom"/>
          </w:tcPr>
          <w:p>
            <w:pPr>
              <w:spacing w:after="0"/>
              <w:rPr>
                <w:sz w:val="17"/>
                <w:szCs w:val="17"/>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May 28,</w:t>
            </w:r>
          </w:p>
        </w:tc>
        <w:tc>
          <w:tcPr>
            <w:tcW w:w="180" w:type="dxa"/>
            <w:vAlign w:val="bottom"/>
          </w:tcPr>
          <w:p>
            <w:pPr>
              <w:spacing w:after="0"/>
              <w:rPr>
                <w:sz w:val="17"/>
                <w:szCs w:val="17"/>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August 29,</w:t>
            </w:r>
          </w:p>
        </w:tc>
      </w:tr>
      <w:tr>
        <w:trPr>
          <w:trHeight w:val="246"/>
        </w:trPr>
        <w:tc>
          <w:tcPr>
            <w:tcW w:w="71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Borders>
              <w:bottom w:val="single" w:sz="8" w:color="0090DA"/>
            </w:tcBorders>
          </w:tcPr>
          <w:p>
            <w:pPr>
              <w:spacing w:after="0"/>
              <w:rPr>
                <w:sz w:val="21"/>
                <w:szCs w:val="21"/>
                <w:color w:val="auto"/>
              </w:rPr>
            </w:pPr>
          </w:p>
        </w:tc>
        <w:tc>
          <w:tcPr>
            <w:tcW w:w="124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2019</w:t>
            </w:r>
          </w:p>
        </w:tc>
      </w:tr>
      <w:tr>
        <w:trPr>
          <w:trHeight w:val="41"/>
        </w:trPr>
        <w:tc>
          <w:tcPr>
            <w:tcW w:w="7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6"/>
        </w:trPr>
        <w:tc>
          <w:tcPr>
            <w:tcW w:w="7160" w:type="dxa"/>
            <w:vAlign w:val="bottom"/>
            <w:shd w:val="clear" w:color="auto" w:fill="D1D2D4"/>
          </w:tcPr>
          <w:p>
            <w:pPr>
              <w:ind w:left="40"/>
              <w:spacing w:after="0"/>
              <w:rPr>
                <w:sz w:val="20"/>
                <w:szCs w:val="20"/>
                <w:color w:val="auto"/>
              </w:rPr>
            </w:pPr>
            <w:r>
              <w:rPr>
                <w:rFonts w:ascii="Arial" w:cs="Arial" w:eastAsia="Arial" w:hAnsi="Arial"/>
                <w:sz w:val="18"/>
                <w:szCs w:val="18"/>
                <w:color w:val="auto"/>
              </w:rPr>
              <w:t>Cash and short-term investments</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8,142</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8,658</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7,955</w:t>
            </w:r>
          </w:p>
        </w:tc>
      </w:tr>
      <w:tr>
        <w:trPr>
          <w:trHeight w:val="257"/>
        </w:trPr>
        <w:tc>
          <w:tcPr>
            <w:tcW w:w="7160" w:type="dxa"/>
            <w:vAlign w:val="bottom"/>
          </w:tcPr>
          <w:p>
            <w:pPr>
              <w:ind w:left="40"/>
              <w:spacing w:after="0"/>
              <w:rPr>
                <w:sz w:val="20"/>
                <w:szCs w:val="20"/>
                <w:color w:val="auto"/>
              </w:rPr>
            </w:pPr>
            <w:r>
              <w:rPr>
                <w:rFonts w:ascii="Arial" w:cs="Arial" w:eastAsia="Arial" w:hAnsi="Arial"/>
                <w:sz w:val="18"/>
                <w:szCs w:val="18"/>
                <w:color w:val="auto"/>
              </w:rPr>
              <w:t>Current and noncurrent restricted cash</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57"/>
        </w:trPr>
        <w:tc>
          <w:tcPr>
            <w:tcW w:w="7160" w:type="dxa"/>
            <w:vAlign w:val="bottom"/>
            <w:shd w:val="clear" w:color="auto" w:fill="D1D2D4"/>
          </w:tcPr>
          <w:p>
            <w:pPr>
              <w:ind w:left="40"/>
              <w:spacing w:after="0"/>
              <w:rPr>
                <w:sz w:val="20"/>
                <w:szCs w:val="20"/>
                <w:color w:val="auto"/>
              </w:rPr>
            </w:pPr>
            <w:r>
              <w:rPr>
                <w:rFonts w:ascii="Arial" w:cs="Arial" w:eastAsia="Arial" w:hAnsi="Arial"/>
                <w:sz w:val="18"/>
                <w:szCs w:val="18"/>
                <w:color w:val="auto"/>
              </w:rPr>
              <w:t>Long-term marketable investments</w:t>
            </w:r>
          </w:p>
        </w:tc>
        <w:tc>
          <w:tcPr>
            <w:tcW w:w="120" w:type="dxa"/>
            <w:vAlign w:val="bottom"/>
            <w:shd w:val="clear" w:color="auto" w:fill="D1D2D4"/>
          </w:tcPr>
          <w:p>
            <w:pPr>
              <w:spacing w:after="0"/>
              <w:rPr>
                <w:sz w:val="22"/>
                <w:szCs w:val="22"/>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1,048</w:t>
            </w: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577</w:t>
            </w:r>
          </w:p>
        </w:tc>
        <w:tc>
          <w:tcPr>
            <w:tcW w:w="180" w:type="dxa"/>
            <w:vAlign w:val="bottom"/>
            <w:shd w:val="clear" w:color="auto" w:fill="D1D2D4"/>
          </w:tcPr>
          <w:p>
            <w:pPr>
              <w:spacing w:after="0"/>
              <w:rPr>
                <w:sz w:val="22"/>
                <w:szCs w:val="22"/>
                <w:color w:val="auto"/>
              </w:rPr>
            </w:pPr>
          </w:p>
        </w:tc>
        <w:tc>
          <w:tcPr>
            <w:tcW w:w="120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1,164</w:t>
            </w:r>
          </w:p>
        </w:tc>
      </w:tr>
      <w:tr>
        <w:trPr>
          <w:trHeight w:val="257"/>
        </w:trPr>
        <w:tc>
          <w:tcPr>
            <w:tcW w:w="7160" w:type="dxa"/>
            <w:vAlign w:val="bottom"/>
            <w:tcBorders>
              <w:bottom w:val="single" w:sz="8" w:color="D1D2D4"/>
            </w:tcBorders>
          </w:tcPr>
          <w:p>
            <w:pPr>
              <w:ind w:left="40"/>
              <w:spacing w:after="0"/>
              <w:rPr>
                <w:sz w:val="20"/>
                <w:szCs w:val="20"/>
                <w:color w:val="auto"/>
              </w:rPr>
            </w:pPr>
            <w:r>
              <w:rPr>
                <w:rFonts w:ascii="Arial" w:cs="Arial" w:eastAsia="Arial" w:hAnsi="Arial"/>
                <w:sz w:val="18"/>
                <w:szCs w:val="18"/>
                <w:color w:val="auto"/>
              </w:rPr>
              <w:t>Current and long-term debt</w:t>
            </w: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(6,643)</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(6,686)</w:t>
            </w: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(5,851)</w:t>
            </w:r>
          </w:p>
        </w:tc>
      </w:tr>
      <w:tr>
        <w:trPr>
          <w:trHeight w:val="275"/>
        </w:trPr>
        <w:tc>
          <w:tcPr>
            <w:tcW w:w="71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Net cash</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2,613</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2,602</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rPr>
              <w:t>3,395</w:t>
            </w:r>
          </w:p>
        </w:tc>
      </w:tr>
      <w:tr>
        <w:trPr>
          <w:trHeight w:val="20"/>
        </w:trPr>
        <w:tc>
          <w:tcPr>
            <w:tcW w:w="71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24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00" w:type="dxa"/>
            <w:vAlign w:val="bottom"/>
            <w:tcBorders>
              <w:top w:val="single" w:sz="8" w:color="D1D2D4"/>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net income attributable to Micron, diluted shares, diluted earnings per share, adjusted free cash flow, and net cash.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amounts presented in accordance with U.S. GAAP and therefore may not be comparable to amounts reported by other companies. Our management excludes the following items in analyzing our operating results and understanding trends in our earnings:</w:t>
      </w:r>
    </w:p>
    <w:p>
      <w:pPr>
        <w:spacing w:after="0" w:line="23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Flow-through of business acquisition-related inventory adjustments;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Acquisition-related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Start-up and preproduction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severance;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Amortization of debt discount and other costs, including the accretion of non-cash interest expense associated with our convertible debt and MMJ creditor debt;</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debt repurchases and conversions;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business acquisition activities;</w:t>
      </w:r>
    </w:p>
    <w:p>
      <w:pPr>
        <w:spacing w:after="0" w:line="9" w:lineRule="exact"/>
        <w:rPr>
          <w:rFonts w:ascii="Arial" w:cs="Arial" w:eastAsia="Arial" w:hAnsi="Arial"/>
          <w:sz w:val="18"/>
          <w:szCs w:val="18"/>
          <w:color w:val="auto"/>
        </w:rPr>
      </w:pPr>
    </w:p>
    <w:p>
      <w:pPr>
        <w:ind w:left="660" w:right="4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Impact of U.S. income tax reform for the one-time transition tax, release of U.S. valuation allowance, and remeasurement of net deferred taxes reflecting lower U.S. corporate tax rates; and</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and assessments of tax exposures.</w:t>
      </w:r>
    </w:p>
    <w:p>
      <w:pPr>
        <w:sectPr>
          <w:pgSz w:w="11900" w:h="16838" w:orient="portrait"/>
          <w:cols w:equalWidth="0" w:num="1">
            <w:col w:w="11240"/>
          </w:cols>
          <w:pgMar w:left="320" w:top="11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129" w:right="339" w:bottom="1440" w:gutter="0" w:footer="0" w:header="0"/>
          <w:type w:val="continuous"/>
        </w:sectPr>
      </w:pPr>
    </w:p>
    <w:bookmarkStart w:id="12" w:name="page13"/>
    <w:bookmarkEnd w:id="12"/>
    <w:p>
      <w:pPr>
        <w:ind w:right="40"/>
        <w:spacing w:after="0" w:line="254" w:lineRule="auto"/>
        <w:rPr>
          <w:sz w:val="20"/>
          <w:szCs w:val="20"/>
          <w:color w:val="auto"/>
        </w:rPr>
      </w:pPr>
      <w:r>
        <w:rPr>
          <w:rFonts w:ascii="Arial" w:cs="Arial" w:eastAsia="Arial" w:hAnsi="Arial"/>
          <w:sz w:val="18"/>
          <w:szCs w:val="18"/>
          <w:color w:val="auto"/>
        </w:rPr>
        <w:t>Non-GAAP diluted shares are adjusted for the impact of additional shares resulting from the exclusion of stock-based compensation from non-GAAP income. Non-GAAP diluted shares also include the impact of capped calls, which are anti-dilutive in GAAP earnings per share but are expected to mitigate the dilutive effect of convertible notes, based on the average share price for the period the capped calls were outstanding.</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80" w:type="dxa"/>
            <w:vAlign w:val="bottom"/>
          </w:tcPr>
          <w:p>
            <w:pPr>
              <w:spacing w:after="0"/>
              <w:rPr>
                <w:sz w:val="21"/>
                <w:szCs w:val="21"/>
                <w:color w:val="auto"/>
              </w:rPr>
            </w:pPr>
          </w:p>
        </w:tc>
        <w:tc>
          <w:tcPr>
            <w:tcW w:w="2660" w:type="dxa"/>
            <w:vAlign w:val="bottom"/>
            <w:gridSpan w:val="3"/>
          </w:tcPr>
          <w:p>
            <w:pPr>
              <w:ind w:left="360"/>
              <w:spacing w:after="0"/>
              <w:rPr>
                <w:sz w:val="20"/>
                <w:szCs w:val="20"/>
                <w:color w:val="auto"/>
              </w:rPr>
            </w:pPr>
            <w:r>
              <w:rPr>
                <w:rFonts w:ascii="Arial" w:cs="Arial" w:eastAsia="Arial" w:hAnsi="Arial"/>
                <w:sz w:val="18"/>
                <w:szCs w:val="18"/>
                <w:b w:val="1"/>
                <w:bCs w:val="1"/>
                <w:color w:val="auto"/>
              </w:rPr>
              <w:t>GAAP Outlook</w:t>
            </w:r>
          </w:p>
        </w:tc>
        <w:tc>
          <w:tcPr>
            <w:tcW w:w="218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Adjustments</w:t>
            </w:r>
          </w:p>
        </w:tc>
        <w:tc>
          <w:tcPr>
            <w:tcW w:w="2120" w:type="dxa"/>
            <w:vAlign w:val="bottom"/>
          </w:tcPr>
          <w:p>
            <w:pPr>
              <w:jc w:val="right"/>
              <w:ind w:right="230"/>
              <w:spacing w:after="0"/>
              <w:rPr>
                <w:sz w:val="20"/>
                <w:szCs w:val="20"/>
                <w:color w:val="auto"/>
              </w:rPr>
            </w:pPr>
            <w:r>
              <w:rPr>
                <w:rFonts w:ascii="Arial" w:cs="Arial" w:eastAsia="Arial" w:hAnsi="Arial"/>
                <w:sz w:val="18"/>
                <w:szCs w:val="18"/>
                <w:b w:val="1"/>
                <w:bCs w:val="1"/>
                <w:color w:val="auto"/>
              </w:rPr>
              <w:t>Non-GAAP Outlook</w:t>
            </w:r>
          </w:p>
        </w:tc>
      </w:tr>
      <w:tr>
        <w:trPr>
          <w:trHeight w:val="41"/>
        </w:trPr>
        <w:tc>
          <w:tcPr>
            <w:tcW w:w="4280" w:type="dxa"/>
            <w:vAlign w:val="bottom"/>
            <w:tcBorders>
              <w:top w:val="single" w:sz="8" w:color="0090DA"/>
            </w:tcBorders>
          </w:tcPr>
          <w:p>
            <w:pPr>
              <w:spacing w:after="0"/>
              <w:rPr>
                <w:sz w:val="3"/>
                <w:szCs w:val="3"/>
                <w:color w:val="auto"/>
              </w:rPr>
            </w:pPr>
          </w:p>
        </w:tc>
        <w:tc>
          <w:tcPr>
            <w:tcW w:w="2120" w:type="dxa"/>
            <w:vAlign w:val="bottom"/>
            <w:tcBorders>
              <w:top w:val="single" w:sz="8" w:color="0090DA"/>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Borders>
              <w:top w:val="single" w:sz="8" w:color="0090DA"/>
            </w:tcBorders>
          </w:tcPr>
          <w:p>
            <w:pPr>
              <w:spacing w:after="0"/>
              <w:rPr>
                <w:sz w:val="3"/>
                <w:szCs w:val="3"/>
                <w:color w:val="auto"/>
              </w:rPr>
            </w:pPr>
          </w:p>
        </w:tc>
        <w:tc>
          <w:tcPr>
            <w:tcW w:w="1900" w:type="dxa"/>
            <w:vAlign w:val="bottom"/>
            <w:tcBorders>
              <w:top w:val="single" w:sz="8" w:color="0090DA"/>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top w:val="single" w:sz="8" w:color="0090DA"/>
            </w:tcBorders>
          </w:tcPr>
          <w:p>
            <w:pPr>
              <w:spacing w:after="0"/>
              <w:rPr>
                <w:sz w:val="3"/>
                <w:szCs w:val="3"/>
                <w:color w:val="auto"/>
              </w:rPr>
            </w:pPr>
          </w:p>
        </w:tc>
        <w:tc>
          <w:tcPr>
            <w:tcW w:w="2120" w:type="dxa"/>
            <w:vAlign w:val="bottom"/>
            <w:tcBorders>
              <w:top w:val="single" w:sz="8" w:color="0090DA"/>
            </w:tcBorders>
          </w:tcPr>
          <w:p>
            <w:pPr>
              <w:spacing w:after="0"/>
              <w:rPr>
                <w:sz w:val="3"/>
                <w:szCs w:val="3"/>
                <w:color w:val="auto"/>
              </w:rPr>
            </w:pPr>
          </w:p>
        </w:tc>
      </w:tr>
      <w:tr>
        <w:trPr>
          <w:trHeight w:val="256"/>
        </w:trPr>
        <w:tc>
          <w:tcPr>
            <w:tcW w:w="4280" w:type="dxa"/>
            <w:vAlign w:val="bottom"/>
            <w:shd w:val="clear" w:color="auto" w:fill="CBCBCB"/>
          </w:tcPr>
          <w:p>
            <w:pPr>
              <w:ind w:left="20"/>
              <w:spacing w:after="0"/>
              <w:rPr>
                <w:sz w:val="20"/>
                <w:szCs w:val="20"/>
                <w:color w:val="auto"/>
              </w:rPr>
            </w:pPr>
            <w:r>
              <w:rPr>
                <w:rFonts w:ascii="Arial" w:cs="Arial" w:eastAsia="Arial" w:hAnsi="Arial"/>
                <w:sz w:val="18"/>
                <w:szCs w:val="18"/>
                <w:color w:val="auto"/>
              </w:rPr>
              <w:t>Revenue</w:t>
            </w:r>
          </w:p>
        </w:tc>
        <w:tc>
          <w:tcPr>
            <w:tcW w:w="2660" w:type="dxa"/>
            <w:vAlign w:val="bottom"/>
            <w:gridSpan w:val="3"/>
            <w:shd w:val="clear" w:color="auto" w:fill="CBCBCB"/>
          </w:tcPr>
          <w:p>
            <w:pPr>
              <w:jc w:val="right"/>
              <w:ind w:right="560"/>
              <w:spacing w:after="0"/>
              <w:rPr>
                <w:sz w:val="20"/>
                <w:szCs w:val="20"/>
                <w:color w:val="auto"/>
              </w:rPr>
            </w:pPr>
            <w:r>
              <w:rPr>
                <w:rFonts w:ascii="Arial" w:cs="Arial" w:eastAsia="Arial" w:hAnsi="Arial"/>
                <w:sz w:val="18"/>
                <w:szCs w:val="18"/>
                <w:color w:val="auto"/>
              </w:rPr>
              <w:t>$5.2 billion ± $200 million</w:t>
            </w:r>
          </w:p>
        </w:tc>
        <w:tc>
          <w:tcPr>
            <w:tcW w:w="2180" w:type="dxa"/>
            <w:vAlign w:val="bottom"/>
            <w:gridSpan w:val="4"/>
            <w:shd w:val="clear" w:color="auto" w:fill="CBCBCB"/>
          </w:tcPr>
          <w:p>
            <w:pPr>
              <w:jc w:val="right"/>
              <w:ind w:right="136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$5.2 billion ± $200 million</w:t>
            </w:r>
          </w:p>
        </w:tc>
      </w:tr>
      <w:tr>
        <w:trPr>
          <w:trHeight w:val="257"/>
        </w:trPr>
        <w:tc>
          <w:tcPr>
            <w:tcW w:w="42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120" w:type="dxa"/>
            <w:vAlign w:val="bottom"/>
          </w:tcPr>
          <w:p>
            <w:pPr>
              <w:jc w:val="right"/>
              <w:spacing w:after="0"/>
              <w:rPr>
                <w:sz w:val="20"/>
                <w:szCs w:val="20"/>
                <w:color w:val="auto"/>
              </w:rPr>
            </w:pPr>
            <w:r>
              <w:rPr>
                <w:rFonts w:ascii="Arial" w:cs="Arial" w:eastAsia="Arial" w:hAnsi="Arial"/>
                <w:sz w:val="18"/>
                <w:szCs w:val="18"/>
                <w:color w:val="auto"/>
              </w:rPr>
              <w:t>26.5% ± 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180" w:type="dxa"/>
            <w:vAlign w:val="bottom"/>
            <w:gridSpan w:val="4"/>
          </w:tcPr>
          <w:p>
            <w:pPr>
              <w:jc w:val="right"/>
              <w:ind w:right="1140"/>
              <w:spacing w:after="0"/>
              <w:rPr>
                <w:sz w:val="20"/>
                <w:szCs w:val="20"/>
                <w:color w:val="auto"/>
              </w:rPr>
            </w:pPr>
            <w:r>
              <w:rPr>
                <w:rFonts w:ascii="Arial" w:cs="Arial" w:eastAsia="Arial" w:hAnsi="Arial"/>
                <w:sz w:val="18"/>
                <w:szCs w:val="18"/>
                <w:color w:val="auto"/>
              </w:rPr>
              <w:t>1% A</w:t>
            </w:r>
          </w:p>
        </w:tc>
        <w:tc>
          <w:tcPr>
            <w:tcW w:w="2120" w:type="dxa"/>
            <w:vAlign w:val="bottom"/>
          </w:tcPr>
          <w:p>
            <w:pPr>
              <w:jc w:val="right"/>
              <w:spacing w:after="0"/>
              <w:rPr>
                <w:sz w:val="20"/>
                <w:szCs w:val="20"/>
                <w:color w:val="auto"/>
              </w:rPr>
            </w:pPr>
            <w:r>
              <w:rPr>
                <w:rFonts w:ascii="Arial" w:cs="Arial" w:eastAsia="Arial" w:hAnsi="Arial"/>
                <w:sz w:val="18"/>
                <w:szCs w:val="18"/>
                <w:color w:val="auto"/>
              </w:rPr>
              <w:t>27.5% ± 1%</w:t>
            </w:r>
          </w:p>
        </w:tc>
      </w:tr>
      <w:tr>
        <w:trPr>
          <w:trHeight w:val="257"/>
        </w:trPr>
        <w:tc>
          <w:tcPr>
            <w:tcW w:w="4280" w:type="dxa"/>
            <w:vAlign w:val="bottom"/>
            <w:shd w:val="clear" w:color="auto" w:fill="CBCBCB"/>
          </w:tcPr>
          <w:p>
            <w:pPr>
              <w:ind w:left="20"/>
              <w:spacing w:after="0"/>
              <w:rPr>
                <w:sz w:val="20"/>
                <w:szCs w:val="20"/>
                <w:color w:val="auto"/>
              </w:rPr>
            </w:pPr>
            <w:r>
              <w:rPr>
                <w:rFonts w:ascii="Arial" w:cs="Arial" w:eastAsia="Arial" w:hAnsi="Arial"/>
                <w:sz w:val="18"/>
                <w:szCs w:val="18"/>
                <w:color w:val="auto"/>
              </w:rPr>
              <w:t>Operating expenses</w:t>
            </w:r>
          </w:p>
        </w:tc>
        <w:tc>
          <w:tcPr>
            <w:tcW w:w="2660" w:type="dxa"/>
            <w:vAlign w:val="bottom"/>
            <w:gridSpan w:val="3"/>
            <w:shd w:val="clear" w:color="auto" w:fill="CBCBCB"/>
          </w:tcPr>
          <w:p>
            <w:pPr>
              <w:jc w:val="right"/>
              <w:ind w:right="560"/>
              <w:spacing w:after="0"/>
              <w:rPr>
                <w:sz w:val="20"/>
                <w:szCs w:val="20"/>
                <w:color w:val="auto"/>
              </w:rPr>
            </w:pPr>
            <w:r>
              <w:rPr>
                <w:rFonts w:ascii="Arial" w:cs="Arial" w:eastAsia="Arial" w:hAnsi="Arial"/>
                <w:sz w:val="18"/>
                <w:szCs w:val="18"/>
                <w:color w:val="auto"/>
              </w:rPr>
              <w:t>$873 million ± $25 million</w:t>
            </w:r>
          </w:p>
        </w:tc>
        <w:tc>
          <w:tcPr>
            <w:tcW w:w="2180" w:type="dxa"/>
            <w:vAlign w:val="bottom"/>
            <w:gridSpan w:val="4"/>
            <w:shd w:val="clear" w:color="auto" w:fill="CBCBCB"/>
          </w:tcPr>
          <w:p>
            <w:pPr>
              <w:jc w:val="right"/>
              <w:ind w:right="1140"/>
              <w:spacing w:after="0"/>
              <w:rPr>
                <w:sz w:val="20"/>
                <w:szCs w:val="20"/>
                <w:color w:val="auto"/>
              </w:rPr>
            </w:pPr>
            <w:r>
              <w:rPr>
                <w:rFonts w:ascii="Arial" w:cs="Arial" w:eastAsia="Arial" w:hAnsi="Arial"/>
                <w:sz w:val="18"/>
                <w:szCs w:val="18"/>
                <w:color w:val="auto"/>
                <w:w w:val="98"/>
              </w:rPr>
              <w:t>$48 million B</w:t>
            </w:r>
          </w:p>
        </w:tc>
        <w:tc>
          <w:tcPr>
            <w:tcW w:w="21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$825 million ± $25 million</w:t>
            </w:r>
          </w:p>
        </w:tc>
      </w:tr>
      <w:tr>
        <w:trPr>
          <w:trHeight w:val="250"/>
        </w:trPr>
        <w:tc>
          <w:tcPr>
            <w:tcW w:w="4280" w:type="dxa"/>
            <w:vAlign w:val="bottom"/>
          </w:tcPr>
          <w:p>
            <w:pPr>
              <w:ind w:left="20"/>
              <w:spacing w:after="0"/>
              <w:rPr>
                <w:sz w:val="20"/>
                <w:szCs w:val="20"/>
                <w:color w:val="auto"/>
              </w:rPr>
            </w:pPr>
            <w:r>
              <w:rPr>
                <w:rFonts w:ascii="Arial" w:cs="Arial" w:eastAsia="Arial" w:hAnsi="Arial"/>
                <w:sz w:val="18"/>
                <w:szCs w:val="18"/>
                <w:color w:val="auto"/>
              </w:rPr>
              <w:t>Interest (income) expense, net</w:t>
            </w:r>
          </w:p>
        </w:tc>
        <w:tc>
          <w:tcPr>
            <w:tcW w:w="2660" w:type="dxa"/>
            <w:vAlign w:val="bottom"/>
            <w:gridSpan w:val="3"/>
          </w:tcPr>
          <w:p>
            <w:pPr>
              <w:jc w:val="right"/>
              <w:ind w:right="560"/>
              <w:spacing w:after="0"/>
              <w:rPr>
                <w:sz w:val="20"/>
                <w:szCs w:val="20"/>
                <w:color w:val="auto"/>
              </w:rPr>
            </w:pPr>
            <w:r>
              <w:rPr>
                <w:rFonts w:ascii="Arial" w:cs="Arial" w:eastAsia="Arial" w:hAnsi="Arial"/>
                <w:sz w:val="18"/>
                <w:szCs w:val="18"/>
                <w:color w:val="auto"/>
              </w:rPr>
              <w:t>$37 million</w:t>
            </w:r>
          </w:p>
        </w:tc>
        <w:tc>
          <w:tcPr>
            <w:tcW w:w="2180" w:type="dxa"/>
            <w:vAlign w:val="bottom"/>
            <w:gridSpan w:val="4"/>
          </w:tcPr>
          <w:p>
            <w:pPr>
              <w:jc w:val="right"/>
              <w:ind w:right="1120"/>
              <w:spacing w:after="0"/>
              <w:rPr>
                <w:sz w:val="20"/>
                <w:szCs w:val="20"/>
                <w:color w:val="auto"/>
              </w:rPr>
            </w:pPr>
            <w:r>
              <w:rPr>
                <w:rFonts w:ascii="Arial" w:cs="Arial" w:eastAsia="Arial" w:hAnsi="Arial"/>
                <w:sz w:val="18"/>
                <w:szCs w:val="18"/>
                <w:color w:val="auto"/>
              </w:rPr>
              <w:t>$2 million C</w:t>
            </w:r>
          </w:p>
        </w:tc>
        <w:tc>
          <w:tcPr>
            <w:tcW w:w="2120" w:type="dxa"/>
            <w:vAlign w:val="bottom"/>
          </w:tcPr>
          <w:p>
            <w:pPr>
              <w:jc w:val="right"/>
              <w:spacing w:after="0"/>
              <w:rPr>
                <w:sz w:val="20"/>
                <w:szCs w:val="20"/>
                <w:color w:val="auto"/>
              </w:rPr>
            </w:pPr>
            <w:r>
              <w:rPr>
                <w:rFonts w:ascii="Arial" w:cs="Arial" w:eastAsia="Arial" w:hAnsi="Arial"/>
                <w:sz w:val="18"/>
                <w:szCs w:val="18"/>
                <w:color w:val="auto"/>
              </w:rPr>
              <w:t>$35 million</w:t>
            </w:r>
          </w:p>
        </w:tc>
      </w:tr>
      <w:tr>
        <w:trPr>
          <w:trHeight w:val="263"/>
        </w:trPr>
        <w:tc>
          <w:tcPr>
            <w:tcW w:w="4280" w:type="dxa"/>
            <w:vAlign w:val="bottom"/>
            <w:shd w:val="clear" w:color="auto" w:fill="CBCBCB"/>
          </w:tcPr>
          <w:p>
            <w:pPr>
              <w:ind w:left="20"/>
              <w:spacing w:after="0" w:line="263" w:lineRule="exact"/>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21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$0.39 ± $0.07</w:t>
            </w:r>
          </w:p>
        </w:tc>
        <w:tc>
          <w:tcPr>
            <w:tcW w:w="120" w:type="dxa"/>
            <w:vAlign w:val="bottom"/>
            <w:shd w:val="clear" w:color="auto" w:fill="CBCBCB"/>
          </w:tcPr>
          <w:p>
            <w:pPr>
              <w:spacing w:after="0"/>
              <w:rPr>
                <w:sz w:val="22"/>
                <w:szCs w:val="22"/>
                <w:color w:val="auto"/>
              </w:rPr>
            </w:pPr>
          </w:p>
        </w:tc>
        <w:tc>
          <w:tcPr>
            <w:tcW w:w="420" w:type="dxa"/>
            <w:vAlign w:val="bottom"/>
            <w:shd w:val="clear" w:color="auto" w:fill="CBCBCB"/>
          </w:tcPr>
          <w:p>
            <w:pPr>
              <w:spacing w:after="0"/>
              <w:rPr>
                <w:sz w:val="22"/>
                <w:szCs w:val="22"/>
                <w:color w:val="auto"/>
              </w:rPr>
            </w:pPr>
          </w:p>
        </w:tc>
        <w:tc>
          <w:tcPr>
            <w:tcW w:w="2180" w:type="dxa"/>
            <w:vAlign w:val="bottom"/>
            <w:gridSpan w:val="4"/>
            <w:shd w:val="clear" w:color="auto" w:fill="CBCBCB"/>
          </w:tcPr>
          <w:p>
            <w:pPr>
              <w:jc w:val="right"/>
              <w:ind w:right="460"/>
              <w:spacing w:after="0"/>
              <w:rPr>
                <w:sz w:val="20"/>
                <w:szCs w:val="20"/>
                <w:color w:val="auto"/>
              </w:rPr>
            </w:pPr>
            <w:r>
              <w:rPr>
                <w:rFonts w:ascii="Arial" w:cs="Arial" w:eastAsia="Arial" w:hAnsi="Arial"/>
                <w:sz w:val="18"/>
                <w:szCs w:val="18"/>
                <w:color w:val="auto"/>
              </w:rPr>
              <w:t>$0.08 A, B, C, D</w:t>
            </w:r>
          </w:p>
        </w:tc>
        <w:tc>
          <w:tcPr>
            <w:tcW w:w="2120" w:type="dxa"/>
            <w:vAlign w:val="bottom"/>
            <w:shd w:val="clear" w:color="auto" w:fill="CBCBCB"/>
          </w:tcPr>
          <w:p>
            <w:pPr>
              <w:jc w:val="right"/>
              <w:spacing w:after="0"/>
              <w:rPr>
                <w:sz w:val="20"/>
                <w:szCs w:val="20"/>
                <w:color w:val="auto"/>
              </w:rPr>
            </w:pPr>
            <w:r>
              <w:rPr>
                <w:rFonts w:ascii="Arial" w:cs="Arial" w:eastAsia="Arial" w:hAnsi="Arial"/>
                <w:sz w:val="18"/>
                <w:szCs w:val="18"/>
                <w:color w:val="auto"/>
              </w:rPr>
              <w:t>$0.47 ± $0.07</w:t>
            </w:r>
          </w:p>
        </w:tc>
      </w:tr>
      <w:tr>
        <w:trPr>
          <w:trHeight w:val="554"/>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Non-GAAP Adjustments</w:t>
            </w: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29"/>
        </w:trPr>
        <w:tc>
          <w:tcPr>
            <w:tcW w:w="4280" w:type="dxa"/>
            <w:vAlign w:val="bottom"/>
            <w:tcBorders>
              <w:bottom w:val="single" w:sz="8" w:color="0090DA"/>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2120" w:type="dxa"/>
            <w:vAlign w:val="bottom"/>
            <w:tcBorders>
              <w:bottom w:val="single" w:sz="8" w:color="0090DA"/>
            </w:tcBorders>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420" w:type="dxa"/>
            <w:vAlign w:val="bottom"/>
            <w:tcBorders>
              <w:bottom w:val="single" w:sz="8" w:color="0090DA"/>
            </w:tcBorders>
          </w:tcPr>
          <w:p>
            <w:pPr>
              <w:spacing w:after="0"/>
              <w:rPr>
                <w:sz w:val="19"/>
                <w:szCs w:val="19"/>
                <w:color w:val="auto"/>
              </w:rPr>
            </w:pPr>
          </w:p>
        </w:tc>
        <w:tc>
          <w:tcPr>
            <w:tcW w:w="1900" w:type="dxa"/>
            <w:vAlign w:val="bottom"/>
            <w:tcBorders>
              <w:bottom w:val="single" w:sz="8" w:color="0090DA"/>
            </w:tcBorders>
          </w:tcPr>
          <w:p>
            <w:pPr>
              <w:spacing w:after="0"/>
              <w:rPr>
                <w:sz w:val="19"/>
                <w:szCs w:val="19"/>
                <w:color w:val="auto"/>
              </w:rPr>
            </w:pPr>
          </w:p>
        </w:tc>
        <w:tc>
          <w:tcPr>
            <w:tcW w:w="80" w:type="dxa"/>
            <w:vAlign w:val="bottom"/>
            <w:tcBorders>
              <w:bottom w:val="single" w:sz="8" w:color="0090DA"/>
            </w:tcBorders>
          </w:tcPr>
          <w:p>
            <w:pPr>
              <w:spacing w:after="0"/>
              <w:rPr>
                <w:sz w:val="19"/>
                <w:szCs w:val="19"/>
                <w:color w:val="auto"/>
              </w:rPr>
            </w:pPr>
          </w:p>
        </w:tc>
        <w:tc>
          <w:tcPr>
            <w:tcW w:w="20" w:type="dxa"/>
            <w:vAlign w:val="bottom"/>
            <w:tcBorders>
              <w:bottom w:val="single" w:sz="8" w:color="0090DA"/>
            </w:tcBorders>
          </w:tcPr>
          <w:p>
            <w:pPr>
              <w:spacing w:after="0"/>
              <w:rPr>
                <w:sz w:val="19"/>
                <w:szCs w:val="19"/>
                <w:color w:val="auto"/>
              </w:rPr>
            </w:pPr>
          </w:p>
        </w:tc>
        <w:tc>
          <w:tcPr>
            <w:tcW w:w="180" w:type="dxa"/>
            <w:vAlign w:val="bottom"/>
            <w:tcBorders>
              <w:bottom w:val="single" w:sz="8" w:color="0090DA"/>
            </w:tcBorders>
          </w:tcPr>
          <w:p>
            <w:pPr>
              <w:spacing w:after="0"/>
              <w:rPr>
                <w:sz w:val="19"/>
                <w:szCs w:val="19"/>
                <w:color w:val="auto"/>
              </w:rPr>
            </w:pPr>
          </w:p>
        </w:tc>
        <w:tc>
          <w:tcPr>
            <w:tcW w:w="2120" w:type="dxa"/>
            <w:vAlign w:val="bottom"/>
            <w:tcBorders>
              <w:bottom w:val="single" w:sz="8" w:color="0090DA"/>
            </w:tcBorders>
          </w:tcPr>
          <w:p>
            <w:pPr>
              <w:spacing w:after="0"/>
              <w:rPr>
                <w:sz w:val="19"/>
                <w:szCs w:val="19"/>
                <w:color w:val="auto"/>
              </w:rPr>
            </w:pPr>
          </w:p>
        </w:tc>
      </w:tr>
      <w:tr>
        <w:trPr>
          <w:trHeight w:val="34"/>
        </w:trPr>
        <w:tc>
          <w:tcPr>
            <w:tcW w:w="4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7"/>
        </w:trPr>
        <w:tc>
          <w:tcPr>
            <w:tcW w:w="4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  Stock-based compensation – cost of goods sold</w:t>
            </w:r>
          </w:p>
        </w:tc>
        <w:tc>
          <w:tcPr>
            <w:tcW w:w="212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420" w:type="dxa"/>
            <w:vAlign w:val="bottom"/>
            <w:shd w:val="clear" w:color="auto" w:fill="D1D2D4"/>
          </w:tcPr>
          <w:p>
            <w:pPr>
              <w:spacing w:after="0"/>
              <w:rPr>
                <w:sz w:val="22"/>
                <w:szCs w:val="22"/>
                <w:color w:val="auto"/>
              </w:rPr>
            </w:pPr>
          </w:p>
        </w:tc>
        <w:tc>
          <w:tcPr>
            <w:tcW w:w="2180" w:type="dxa"/>
            <w:vAlign w:val="bottom"/>
            <w:gridSpan w:val="4"/>
            <w:shd w:val="clear" w:color="auto" w:fill="D1D2D4"/>
          </w:tcPr>
          <w:p>
            <w:pPr>
              <w:jc w:val="right"/>
              <w:ind w:right="80"/>
              <w:spacing w:after="0"/>
              <w:rPr>
                <w:sz w:val="20"/>
                <w:szCs w:val="20"/>
                <w:color w:val="auto"/>
              </w:rPr>
            </w:pPr>
            <w:r>
              <w:rPr>
                <w:rFonts w:ascii="Arial" w:cs="Arial" w:eastAsia="Arial" w:hAnsi="Arial"/>
                <w:sz w:val="18"/>
                <w:szCs w:val="18"/>
                <w:color w:val="auto"/>
              </w:rPr>
              <w:t>$</w:t>
            </w:r>
          </w:p>
        </w:tc>
        <w:tc>
          <w:tcPr>
            <w:tcW w:w="21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39</w:t>
            </w:r>
          </w:p>
        </w:tc>
      </w:tr>
      <w:tr>
        <w:trPr>
          <w:trHeight w:val="256"/>
        </w:trPr>
        <w:tc>
          <w:tcPr>
            <w:tcW w:w="4280" w:type="dxa"/>
            <w:vAlign w:val="bottom"/>
          </w:tcPr>
          <w:p>
            <w:pPr>
              <w:ind w:left="20"/>
              <w:spacing w:after="0"/>
              <w:rPr>
                <w:sz w:val="20"/>
                <w:szCs w:val="20"/>
                <w:color w:val="auto"/>
              </w:rPr>
            </w:pPr>
            <w:r>
              <w:rPr>
                <w:rFonts w:ascii="Arial" w:cs="Arial" w:eastAsia="Arial" w:hAnsi="Arial"/>
                <w:sz w:val="18"/>
                <w:szCs w:val="18"/>
                <w:color w:val="auto"/>
              </w:rPr>
              <w:t>A  Other – cost of goods sold</w:t>
            </w:r>
          </w:p>
        </w:tc>
        <w:tc>
          <w:tcPr>
            <w:tcW w:w="2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57"/>
        </w:trPr>
        <w:tc>
          <w:tcPr>
            <w:tcW w:w="6940" w:type="dxa"/>
            <w:vAlign w:val="bottom"/>
            <w:gridSpan w:val="4"/>
            <w:shd w:val="clear" w:color="auto" w:fill="D1D2D4"/>
          </w:tcPr>
          <w:p>
            <w:pPr>
              <w:ind w:left="20"/>
              <w:spacing w:after="0"/>
              <w:rPr>
                <w:sz w:val="20"/>
                <w:szCs w:val="20"/>
                <w:color w:val="auto"/>
              </w:rPr>
            </w:pPr>
            <w:r>
              <w:rPr>
                <w:rFonts w:ascii="Arial" w:cs="Arial" w:eastAsia="Arial" w:hAnsi="Arial"/>
                <w:sz w:val="18"/>
                <w:szCs w:val="18"/>
                <w:color w:val="auto"/>
              </w:rPr>
              <w:t>B  Stock-based compensation – sales, general, and administrative</w:t>
            </w:r>
          </w:p>
        </w:tc>
        <w:tc>
          <w:tcPr>
            <w:tcW w:w="1900" w:type="dxa"/>
            <w:vAlign w:val="bottom"/>
            <w:shd w:val="clear" w:color="auto" w:fill="D1D2D4"/>
          </w:tcPr>
          <w:p>
            <w:pPr>
              <w:spacing w:after="0"/>
              <w:rPr>
                <w:sz w:val="22"/>
                <w:szCs w:val="22"/>
                <w:color w:val="auto"/>
              </w:rPr>
            </w:pPr>
          </w:p>
        </w:tc>
        <w:tc>
          <w:tcPr>
            <w:tcW w:w="80" w:type="dxa"/>
            <w:vAlign w:val="bottom"/>
            <w:shd w:val="clear" w:color="auto" w:fill="D1D2D4"/>
          </w:tcPr>
          <w:p>
            <w:pPr>
              <w:spacing w:after="0"/>
              <w:rPr>
                <w:sz w:val="22"/>
                <w:szCs w:val="22"/>
                <w:color w:val="auto"/>
              </w:rPr>
            </w:pPr>
          </w:p>
        </w:tc>
        <w:tc>
          <w:tcPr>
            <w:tcW w:w="2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21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25</w:t>
            </w:r>
          </w:p>
        </w:tc>
      </w:tr>
      <w:tr>
        <w:trPr>
          <w:trHeight w:val="257"/>
        </w:trPr>
        <w:tc>
          <w:tcPr>
            <w:tcW w:w="6940" w:type="dxa"/>
            <w:vAlign w:val="bottom"/>
            <w:gridSpan w:val="4"/>
          </w:tcPr>
          <w:p>
            <w:pPr>
              <w:ind w:left="20"/>
              <w:spacing w:after="0"/>
              <w:rPr>
                <w:sz w:val="20"/>
                <w:szCs w:val="20"/>
                <w:color w:val="auto"/>
              </w:rPr>
            </w:pPr>
            <w:r>
              <w:rPr>
                <w:rFonts w:ascii="Arial" w:cs="Arial" w:eastAsia="Arial" w:hAnsi="Arial"/>
                <w:sz w:val="18"/>
                <w:szCs w:val="18"/>
                <w:color w:val="auto"/>
              </w:rPr>
              <w:t>B  Stock-based compensation – research and development</w:t>
            </w:r>
          </w:p>
        </w:tc>
        <w:tc>
          <w:tcPr>
            <w:tcW w:w="1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56"/>
        </w:trPr>
        <w:tc>
          <w:tcPr>
            <w:tcW w:w="4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C  Amortization of debt discount and other costs</w:t>
            </w:r>
          </w:p>
        </w:tc>
        <w:tc>
          <w:tcPr>
            <w:tcW w:w="212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420" w:type="dxa"/>
            <w:vAlign w:val="bottom"/>
            <w:shd w:val="clear" w:color="auto" w:fill="D1D2D4"/>
          </w:tcPr>
          <w:p>
            <w:pPr>
              <w:spacing w:after="0"/>
              <w:rPr>
                <w:sz w:val="22"/>
                <w:szCs w:val="22"/>
                <w:color w:val="auto"/>
              </w:rPr>
            </w:pPr>
          </w:p>
        </w:tc>
        <w:tc>
          <w:tcPr>
            <w:tcW w:w="1900" w:type="dxa"/>
            <w:vAlign w:val="bottom"/>
            <w:shd w:val="clear" w:color="auto" w:fill="D1D2D4"/>
          </w:tcPr>
          <w:p>
            <w:pPr>
              <w:spacing w:after="0"/>
              <w:rPr>
                <w:sz w:val="22"/>
                <w:szCs w:val="22"/>
                <w:color w:val="auto"/>
              </w:rPr>
            </w:pPr>
          </w:p>
        </w:tc>
        <w:tc>
          <w:tcPr>
            <w:tcW w:w="80" w:type="dxa"/>
            <w:vAlign w:val="bottom"/>
            <w:shd w:val="clear" w:color="auto" w:fill="D1D2D4"/>
          </w:tcPr>
          <w:p>
            <w:pPr>
              <w:spacing w:after="0"/>
              <w:rPr>
                <w:sz w:val="22"/>
                <w:szCs w:val="22"/>
                <w:color w:val="auto"/>
              </w:rPr>
            </w:pPr>
          </w:p>
        </w:tc>
        <w:tc>
          <w:tcPr>
            <w:tcW w:w="20" w:type="dxa"/>
            <w:vAlign w:val="bottom"/>
            <w:shd w:val="clear" w:color="auto" w:fill="D1D2D4"/>
          </w:tcPr>
          <w:p>
            <w:pPr>
              <w:spacing w:after="0"/>
              <w:rPr>
                <w:sz w:val="22"/>
                <w:szCs w:val="22"/>
                <w:color w:val="auto"/>
              </w:rPr>
            </w:pPr>
          </w:p>
        </w:tc>
        <w:tc>
          <w:tcPr>
            <w:tcW w:w="180" w:type="dxa"/>
            <w:vAlign w:val="bottom"/>
            <w:shd w:val="clear" w:color="auto" w:fill="D1D2D4"/>
          </w:tcPr>
          <w:p>
            <w:pPr>
              <w:spacing w:after="0"/>
              <w:rPr>
                <w:sz w:val="22"/>
                <w:szCs w:val="22"/>
                <w:color w:val="auto"/>
              </w:rPr>
            </w:pPr>
          </w:p>
        </w:tc>
        <w:tc>
          <w:tcPr>
            <w:tcW w:w="21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w:t>
            </w:r>
          </w:p>
        </w:tc>
      </w:tr>
      <w:tr>
        <w:trPr>
          <w:trHeight w:val="257"/>
        </w:trPr>
        <w:tc>
          <w:tcPr>
            <w:tcW w:w="6940" w:type="dxa"/>
            <w:vAlign w:val="bottom"/>
            <w:tcBorders>
              <w:bottom w:val="single" w:sz="8" w:color="D1D2D4"/>
            </w:tcBorders>
            <w:gridSpan w:val="4"/>
          </w:tcPr>
          <w:p>
            <w:pPr>
              <w:ind w:left="20"/>
              <w:spacing w:after="0"/>
              <w:rPr>
                <w:sz w:val="20"/>
                <w:szCs w:val="20"/>
                <w:color w:val="auto"/>
              </w:rPr>
            </w:pPr>
            <w:r>
              <w:rPr>
                <w:rFonts w:ascii="Arial" w:cs="Arial" w:eastAsia="Arial" w:hAnsi="Arial"/>
                <w:sz w:val="18"/>
                <w:szCs w:val="18"/>
                <w:color w:val="auto"/>
              </w:rPr>
              <w:t>D  Tax effects of the above items and non-cash changes in net deferred income taxes</w:t>
            </w:r>
          </w:p>
        </w:tc>
        <w:tc>
          <w:tcPr>
            <w:tcW w:w="1900" w:type="dxa"/>
            <w:vAlign w:val="bottom"/>
            <w:tcBorders>
              <w:bottom w:val="single" w:sz="8" w:color="D1D2D4"/>
            </w:tcBorders>
          </w:tcPr>
          <w:p>
            <w:pPr>
              <w:spacing w:after="0"/>
              <w:rPr>
                <w:sz w:val="22"/>
                <w:szCs w:val="22"/>
                <w:color w:val="auto"/>
              </w:rPr>
            </w:pPr>
          </w:p>
        </w:tc>
        <w:tc>
          <w:tcPr>
            <w:tcW w:w="80" w:type="dxa"/>
            <w:vAlign w:val="bottom"/>
            <w:tcBorders>
              <w:bottom w:val="single" w:sz="8" w:color="D1D2D4"/>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4280" w:type="dxa"/>
            <w:vAlign w:val="bottom"/>
            <w:shd w:val="clear" w:color="auto" w:fill="D1D2D4"/>
          </w:tcPr>
          <w:p>
            <w:pPr>
              <w:spacing w:after="0"/>
              <w:rPr>
                <w:sz w:val="22"/>
                <w:szCs w:val="22"/>
                <w:color w:val="auto"/>
              </w:rPr>
            </w:pPr>
          </w:p>
        </w:tc>
        <w:tc>
          <w:tcPr>
            <w:tcW w:w="2120" w:type="dxa"/>
            <w:vAlign w:val="bottom"/>
            <w:shd w:val="clear" w:color="auto" w:fill="D1D2D4"/>
          </w:tcPr>
          <w:p>
            <w:pPr>
              <w:spacing w:after="0"/>
              <w:rPr>
                <w:sz w:val="22"/>
                <w:szCs w:val="22"/>
                <w:color w:val="auto"/>
              </w:rPr>
            </w:pPr>
          </w:p>
        </w:tc>
        <w:tc>
          <w:tcPr>
            <w:tcW w:w="120" w:type="dxa"/>
            <w:vAlign w:val="bottom"/>
            <w:shd w:val="clear" w:color="auto" w:fill="D1D2D4"/>
          </w:tcPr>
          <w:p>
            <w:pPr>
              <w:spacing w:after="0"/>
              <w:rPr>
                <w:sz w:val="22"/>
                <w:szCs w:val="22"/>
                <w:color w:val="auto"/>
              </w:rPr>
            </w:pPr>
          </w:p>
        </w:tc>
        <w:tc>
          <w:tcPr>
            <w:tcW w:w="420" w:type="dxa"/>
            <w:vAlign w:val="bottom"/>
            <w:shd w:val="clear" w:color="auto" w:fill="D1D2D4"/>
          </w:tcPr>
          <w:p>
            <w:pPr>
              <w:spacing w:after="0"/>
              <w:rPr>
                <w:sz w:val="22"/>
                <w:szCs w:val="22"/>
                <w:color w:val="auto"/>
              </w:rPr>
            </w:pPr>
          </w:p>
        </w:tc>
        <w:tc>
          <w:tcPr>
            <w:tcW w:w="2180" w:type="dxa"/>
            <w:vAlign w:val="bottom"/>
            <w:gridSpan w:val="4"/>
            <w:shd w:val="clear" w:color="auto" w:fill="D1D2D4"/>
          </w:tcPr>
          <w:p>
            <w:pPr>
              <w:jc w:val="right"/>
              <w:ind w:right="80"/>
              <w:spacing w:after="0"/>
              <w:rPr>
                <w:sz w:val="20"/>
                <w:szCs w:val="20"/>
                <w:color w:val="auto"/>
              </w:rPr>
            </w:pPr>
            <w:r>
              <w:rPr>
                <w:rFonts w:ascii="Arial" w:cs="Arial" w:eastAsia="Arial" w:hAnsi="Arial"/>
                <w:sz w:val="18"/>
                <w:szCs w:val="18"/>
                <w:color w:val="auto"/>
              </w:rPr>
              <w:t>$</w:t>
            </w:r>
          </w:p>
        </w:tc>
        <w:tc>
          <w:tcPr>
            <w:tcW w:w="21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95</w:t>
            </w:r>
          </w:p>
        </w:tc>
      </w:tr>
      <w:tr>
        <w:trPr>
          <w:trHeight w:val="20"/>
        </w:trPr>
        <w:tc>
          <w:tcPr>
            <w:tcW w:w="4280" w:type="dxa"/>
            <w:vAlign w:val="bottom"/>
            <w:tcBorders>
              <w:top w:val="single" w:sz="8" w:color="D1D2D4"/>
            </w:tcBorders>
          </w:tcPr>
          <w:p>
            <w:pPr>
              <w:spacing w:after="0" w:line="20" w:lineRule="exact"/>
              <w:rPr>
                <w:sz w:val="1"/>
                <w:szCs w:val="1"/>
                <w:color w:val="auto"/>
              </w:rPr>
            </w:pPr>
          </w:p>
        </w:tc>
        <w:tc>
          <w:tcPr>
            <w:tcW w:w="212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tcBorders>
          </w:tcPr>
          <w:p>
            <w:pPr>
              <w:spacing w:after="0" w:line="20" w:lineRule="exact"/>
              <w:rPr>
                <w:sz w:val="1"/>
                <w:szCs w:val="1"/>
                <w:color w:val="auto"/>
              </w:rPr>
            </w:pPr>
          </w:p>
        </w:tc>
        <w:tc>
          <w:tcPr>
            <w:tcW w:w="420" w:type="dxa"/>
            <w:vAlign w:val="bottom"/>
            <w:tcBorders>
              <w:top w:val="single" w:sz="8" w:color="D1D2D4"/>
            </w:tcBorders>
          </w:tcPr>
          <w:p>
            <w:pPr>
              <w:spacing w:after="0" w:line="20" w:lineRule="exact"/>
              <w:rPr>
                <w:sz w:val="1"/>
                <w:szCs w:val="1"/>
                <w:color w:val="auto"/>
              </w:rPr>
            </w:pPr>
          </w:p>
        </w:tc>
        <w:tc>
          <w:tcPr>
            <w:tcW w:w="1900" w:type="dxa"/>
            <w:vAlign w:val="bottom"/>
            <w:tcBorders>
              <w:top w:val="single" w:sz="8" w:color="D1D2D4"/>
            </w:tcBorders>
          </w:tcPr>
          <w:p>
            <w:pPr>
              <w:spacing w:after="0" w:line="20" w:lineRule="exact"/>
              <w:rPr>
                <w:sz w:val="1"/>
                <w:szCs w:val="1"/>
                <w:color w:val="auto"/>
              </w:rPr>
            </w:pPr>
          </w:p>
        </w:tc>
        <w:tc>
          <w:tcPr>
            <w:tcW w:w="80" w:type="dxa"/>
            <w:vAlign w:val="bottom"/>
            <w:tcBorders>
              <w:top w:val="single" w:sz="8" w:color="D1D2D4"/>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340" w:right="60" w:hanging="332"/>
        <w:spacing w:after="0" w:line="220" w:lineRule="auto"/>
        <w:tabs>
          <w:tab w:leader="none" w:pos="33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GAAP earnings per share based on approximately 1.13 billion diluted shares and non-GAAP earnings per share based on approximately 1.15 billion diluted shares.</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2020-09-29T15:59:34Z</dcterms:created>
  <dcterms:modified xsi:type="dcterms:W3CDTF">2020-09-29T15:59:34Z</dcterms:modified>
</cp:coreProperties>
</file>