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10,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firstLine="324"/>
        <w:spacing w:after="0" w:line="270" w:lineRule="auto"/>
        <w:rPr>
          <w:sz w:val="20"/>
          <w:szCs w:val="20"/>
          <w:color w:val="auto"/>
        </w:rPr>
      </w:pPr>
      <w:r>
        <w:rPr>
          <w:rFonts w:ascii="Arial" w:cs="Arial" w:eastAsia="Arial" w:hAnsi="Arial"/>
          <w:sz w:val="17"/>
          <w:szCs w:val="17"/>
          <w:color w:val="auto"/>
        </w:rPr>
        <w:t>In its Quarterly Reports on Form 10-Q for the first, second, and third quarters of fiscal 2017 (“Recent Quarterly Reports”), the Company revised the measure of segment profitability reviewed by its chief operating decision maker and, as a result, certain items are no longer allocated to its business segments. The Company is filing this current report on Form 8-K (“Current Report”) to provide revised segment reporting financial information with respect to the historical financial information included in its Annual Report on Form 10-K for the year ended September 1, 2016 (the “Annual Report”) in order to make such historical financial information consistent with the segment presentation set forth in the Company’s Recent Quarterly Reports and consistent with how the Company expects to present segment information in its future filings. This Current Report does not reflect events occurring after the October 28, 2016 filing date of the Annual Report and does not modify or update the disclosures therein except to update the new measure of segment profitability and to add a subsequent events footnote to Item 8. Financial Statements and Supplementary Data, presented in Exhibit 99.2, for significant events that occurred during the interim time between the filing dates of the Annual Report and this Current Report. Accordingly, the Company is presenting this revised measure of segment profitability of the Annual Report as follows:</w:t>
      </w:r>
    </w:p>
    <w:p>
      <w:pPr>
        <w:spacing w:after="0" w:line="178" w:lineRule="exact"/>
        <w:rPr>
          <w:sz w:val="24"/>
          <w:szCs w:val="24"/>
          <w:color w:val="auto"/>
        </w:rPr>
      </w:pPr>
    </w:p>
    <w:p>
      <w:pPr>
        <w:ind w:left="1120" w:hanging="46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99.1 —</w:t>
      </w:r>
      <w:r>
        <w:rPr>
          <w:rFonts w:ascii="Arial" w:cs="Arial" w:eastAsia="Arial" w:hAnsi="Arial"/>
          <w:sz w:val="16"/>
          <w:szCs w:val="16"/>
          <w:color w:val="auto"/>
        </w:rPr>
        <w:t>Revised Item 7. Management’s Discussion and Analysis of Financial Condition and Results of Operations</w:t>
      </w:r>
    </w:p>
    <w:p>
      <w:pPr>
        <w:spacing w:after="0" w:line="23" w:lineRule="exact"/>
        <w:rPr>
          <w:rFonts w:ascii="Arial" w:cs="Arial" w:eastAsia="Arial" w:hAnsi="Arial"/>
          <w:sz w:val="18"/>
          <w:szCs w:val="18"/>
          <w:color w:val="auto"/>
        </w:rPr>
      </w:pPr>
    </w:p>
    <w:p>
      <w:pPr>
        <w:ind w:left="1120" w:hanging="46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99.2 —</w:t>
      </w:r>
      <w:r>
        <w:rPr>
          <w:rFonts w:ascii="Arial" w:cs="Arial" w:eastAsia="Arial" w:hAnsi="Arial"/>
          <w:sz w:val="16"/>
          <w:szCs w:val="16"/>
          <w:color w:val="auto"/>
        </w:rPr>
        <w:t>Revised Item 8. Financial Statements and Supplementary Data</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99.3 —</w:t>
      </w:r>
      <w:r>
        <w:rPr>
          <w:rFonts w:ascii="Arial" w:cs="Arial" w:eastAsia="Arial" w:hAnsi="Arial"/>
          <w:sz w:val="16"/>
          <w:szCs w:val="16"/>
          <w:color w:val="auto"/>
        </w:rPr>
        <w:t>Item 15(a)(2). Financial Statement Schedules I and II</w:t>
      </w:r>
    </w:p>
    <w:p>
      <w:pPr>
        <w:spacing w:after="0" w:line="211"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Investors are encouraged to check the documents the Company files from time to time with the Securities and Exchange Commission for information related to the Company’s business and results of operations subsequent to the date of the Annual Report.</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Company is also providing certain information regarding its business on Exhibit 99.4 to this report.</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attached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6"/>
                <w:szCs w:val="16"/>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Revised Item 7. Management’s Discussion and Analysis of Financial Condition and Results of Operations</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w w:val="91"/>
              </w:rPr>
              <w:t>Revised Item 8. Financial Statements and Supplementary Data as of September 1, 2016 and September 3, 2015 and for the fiscal years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ended September 1, 2016, September 3, 2015, and August 28, 2014</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Item 15(a)(2). Financial Statement Schedules I and II</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Company Information</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0"/>
                <w:szCs w:val="20"/>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60" w:type="dxa"/>
            <w:vAlign w:val="bottom"/>
            <w:gridSpan w:val="5"/>
          </w:tcPr>
          <w:p>
            <w:pPr>
              <w:jc w:val="center"/>
              <w:ind w:left="4350"/>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320" w:type="dxa"/>
            <w:vAlign w:val="bottom"/>
            <w:gridSpan w:val="6"/>
          </w:tcPr>
          <w:p>
            <w:pPr>
              <w:jc w:val="center"/>
              <w:ind w:right="3100"/>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320" w:type="dxa"/>
            <w:vAlign w:val="bottom"/>
            <w:gridSpan w:val="6"/>
          </w:tcPr>
          <w:p>
            <w:pPr>
              <w:jc w:val="center"/>
              <w:ind w:right="3100"/>
              <w:spacing w:after="0"/>
              <w:rPr>
                <w:sz w:val="20"/>
                <w:szCs w:val="20"/>
                <w:color w:val="auto"/>
              </w:rPr>
            </w:pPr>
            <w:r>
              <w:rPr>
                <w:rFonts w:ascii="Arial" w:cs="Arial" w:eastAsia="Arial" w:hAnsi="Arial"/>
                <w:sz w:val="18"/>
                <w:szCs w:val="18"/>
                <w:b w:val="1"/>
                <w:bCs w:val="1"/>
                <w:color w:val="auto"/>
              </w:rPr>
              <w:t>THE CURRENT REPORT ON FORM 8-K</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30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Consent of Independent Registered Public Accounting Firm</w:t>
              </w:r>
            </w:hyperlink>
          </w:p>
        </w:tc>
        <w:tc>
          <w:tcPr>
            <w:tcW w:w="560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7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Revised Item 7. Management’s Discussion and Analysis of Financial Condition and Results of Operations</w:t>
              </w:r>
            </w:hyperlink>
          </w:p>
        </w:tc>
        <w:tc>
          <w:tcPr>
            <w:tcW w:w="22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Revised Item 8. Financial Statements and Supplementary Data as of September 1, 2016 and September 3, 2015 and for the fiscal years</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ended September 1, 2016, September 3, 2015, and August 28, 2014</w:t>
              </w:r>
            </w:hyperlink>
          </w:p>
        </w:tc>
        <w:tc>
          <w:tcPr>
            <w:tcW w:w="4820" w:type="dxa"/>
            <w:vAlign w:val="bottom"/>
            <w:tcBorders>
              <w:top w:val="single" w:sz="8" w:color="0000EE"/>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99.3</w:t>
            </w:r>
          </w:p>
        </w:tc>
        <w:tc>
          <w:tcPr>
            <w:tcW w:w="340" w:type="dxa"/>
            <w:vAlign w:val="bottom"/>
          </w:tcPr>
          <w:p>
            <w:pPr>
              <w:spacing w:after="0"/>
              <w:rPr>
                <w:sz w:val="17"/>
                <w:szCs w:val="17"/>
                <w:color w:val="auto"/>
              </w:rPr>
            </w:pPr>
          </w:p>
        </w:tc>
        <w:tc>
          <w:tcPr>
            <w:tcW w:w="3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15(a)(2). Financial Statement Schedules I and II</w:t>
              </w:r>
            </w:hyperlink>
          </w:p>
        </w:tc>
        <w:tc>
          <w:tcPr>
            <w:tcW w:w="608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99.4</w:t>
            </w:r>
          </w:p>
        </w:tc>
        <w:tc>
          <w:tcPr>
            <w:tcW w:w="34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Company Information</w:t>
              </w:r>
            </w:hyperlink>
          </w:p>
        </w:tc>
        <w:tc>
          <w:tcPr>
            <w:tcW w:w="832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19"/>
                <w:szCs w:val="19"/>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9"/>
                <w:szCs w:val="19"/>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18"/>
                <w:szCs w:val="18"/>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18"/>
                <w:szCs w:val="18"/>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0"/>
                <w:szCs w:val="20"/>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60" w:type="dxa"/>
            <w:vAlign w:val="bottom"/>
            <w:gridSpan w:val="5"/>
          </w:tcPr>
          <w:p>
            <w:pPr>
              <w:jc w:val="center"/>
              <w:ind w:left="4350"/>
              <w:spacing w:after="0"/>
              <w:rPr>
                <w:sz w:val="20"/>
                <w:szCs w:val="20"/>
                <w:color w:val="auto"/>
              </w:rPr>
            </w:pPr>
            <w:r>
              <w:rPr>
                <w:rFonts w:ascii="Arial" w:cs="Arial" w:eastAsia="Arial" w:hAnsi="Arial"/>
                <w:sz w:val="18"/>
                <w:szCs w:val="18"/>
                <w:color w:val="auto"/>
                <w:w w:val="99"/>
              </w:rPr>
              <w:t>3</w:t>
            </w: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-2919095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-2919095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October 10, 2017</w:t>
            </w:r>
          </w:p>
        </w:tc>
        <w:tc>
          <w:tcPr>
            <w:tcW w:w="2680" w:type="dxa"/>
            <w:vAlign w:val="bottom"/>
          </w:tcPr>
          <w:p>
            <w:pPr>
              <w:ind w:left="20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Ernest E. Maddock</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6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Ernest E. Maddock</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680" w:type="dxa"/>
            <w:vAlign w:val="bottom"/>
          </w:tcPr>
          <w:p>
            <w:pPr>
              <w:ind w:left="20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80" w:type="dxa"/>
            <w:vAlign w:val="bottom"/>
          </w:tcPr>
          <w:p>
            <w:pPr>
              <w:ind w:left="1940"/>
              <w:spacing w:after="0"/>
              <w:rPr>
                <w:sz w:val="20"/>
                <w:szCs w:val="20"/>
                <w:color w:val="auto"/>
              </w:rPr>
            </w:pPr>
            <w:r>
              <w:rPr>
                <w:rFonts w:ascii="Arial" w:cs="Arial" w:eastAsia="Arial" w:hAnsi="Arial"/>
                <w:sz w:val="18"/>
                <w:szCs w:val="18"/>
                <w:color w:val="auto"/>
              </w:rPr>
              <w:t>4</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hereby consent to the incorporation by reference in the Registration Statement on Form S-8 (File Nos. 333-17073, 333-50353, 333-99271, 333-102545, 333-103341, 333-111170, 333-120620, 333-133667, 333-140091, 333-148357, 333-159711, 333-167536, 333-167536a, 333-171717, 333-179592, 333-190010, 333-196293, 333-203467, 333-217314) of Micron Technology, Inc. of our report dated October 28, 2016, except with respect to our opinion on the consolidated financial statements insofar as it relates to the effects of the change in measure of segment profitability discussed in the Segment Information note, as to which the date is October 10, 2017, relating to the financial statements, financial statement schedules and the effectiveness of internal control over financial reporting, which appears in Micron Technology, Inc.’s Current Report on Form 8-K dated October 10,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regarding the acquisition of the remaining shares of Inotera; changes in future depreciation expense; future costs and savings for restructure activities; our pursuit of additional financing and debt restructuring including expected funding of the Inotera acquisition; the sufficiency of our cash and investments, cash flows from operations, and available financing to meet our requirements for at least the next 12 months; capital spending in 2017; and the timing of payments for certain contractual obligations.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 Item 1A. Risk Factors.” This discussion should be read in conjunction with the consolidated financial statements and accompanying notes for the year ended September 1, 2016. All period references are to our fiscal periods unless otherwise indicated. Our fiscal year is the 52 or 53-week period ending on the Thursday closest to August 31. Our fiscal 2016 contained 52 weeks, fiscal 2015 contained 53 weeks, and fiscal 2014 contained 52 weeks. All production data includes the production of IMFT and Inotera. All tabular dollar amounts are in millions except per share amounts.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Management’s Discussion and Analysis (“MD&amp;A”) is provided in addition to the accompanying consolidated financial statements and notes to assist readers in understanding our results of operations, financial condition, and cash flows. MD&amp;A is organized as follows:</w:t>
      </w:r>
    </w:p>
    <w:p>
      <w:pPr>
        <w:spacing w:after="0" w:line="17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Overview of our operations, business, and highlights of key events.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An analysis of our financial results consisting of the following: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Operating results by business segment;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Operating results by product;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Operating expenses and other.</w:t>
      </w:r>
    </w:p>
    <w:p>
      <w:pPr>
        <w:spacing w:after="0" w:line="21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Liquidity and Capital Resources: </w:t>
      </w:r>
      <w:r>
        <w:rPr>
          <w:rFonts w:ascii="Arial" w:cs="Arial" w:eastAsia="Arial" w:hAnsi="Arial"/>
          <w:sz w:val="16"/>
          <w:szCs w:val="16"/>
          <w:color w:val="auto"/>
        </w:rPr>
        <w:t>An analysis of changes in our balance sheet and cash flows and discussion of our financial condition and liquidity.</w:t>
      </w:r>
    </w:p>
    <w:p>
      <w:pPr>
        <w:spacing w:after="0" w:line="46"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Description of off-balance sheet arrangements.</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Critical Accounting Estimates: </w:t>
      </w:r>
      <w:r>
        <w:rPr>
          <w:rFonts w:ascii="Arial" w:cs="Arial" w:eastAsia="Arial" w:hAnsi="Arial"/>
          <w:sz w:val="18"/>
          <w:szCs w:val="18"/>
          <w:color w:val="auto"/>
        </w:rPr>
        <w:t>Accounting estimates that we believe are most important to understanding the assumptions and judgments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our reported financial results and forecasts.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and Issued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an overview of our business, see “Part I — Item 1. — Business — Overview” and “Item 8. Financial Statements and Supplementary Data — Notes to Consolidated Financial Statements — Events Subsequent to Original Issuance of Financial Statements.” In the first quarter of 2017, we revised the measure of segment profitability reviewed by our chief operating decision maker and, as a result, certain items are no longer allocated to our business units. All periods have been revised to reflect these changes.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66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12,399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16,192</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16,358</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8"/>
                <w:szCs w:val="18"/>
                <w:color w:val="auto"/>
              </w:rPr>
              <w:t>9,894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10,977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10,921</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659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719</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8"/>
                <w:szCs w:val="18"/>
                <w:color w:val="auto"/>
              </w:rPr>
              <w:t>1,617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1,540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asset impairments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67</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5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(395)</w:t>
            </w: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50"/>
              <w:spacing w:after="0"/>
              <w:rPr>
                <w:sz w:val="20"/>
                <w:szCs w:val="20"/>
                <w:color w:val="auto"/>
              </w:rPr>
            </w:pPr>
            <w:r>
              <w:rPr>
                <w:rFonts w:ascii="Arial" w:cs="Arial" w:eastAsia="Arial" w:hAnsi="Arial"/>
                <w:sz w:val="18"/>
                <w:szCs w:val="18"/>
                <w:color w:val="auto"/>
              </w:rPr>
              <w:t>(54)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Equity in net income (loss) of equity method investees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447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6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Net Sales</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66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CNBU</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4,529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6,725</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SBU</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8"/>
                <w:szCs w:val="18"/>
                <w:color w:val="auto"/>
              </w:rPr>
              <w:t>3,262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3,687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3,480</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MBU</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2,569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3,692</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EBU</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10"/>
              <w:spacing w:after="0"/>
              <w:rPr>
                <w:sz w:val="20"/>
                <w:szCs w:val="20"/>
                <w:color w:val="auto"/>
              </w:rPr>
            </w:pPr>
            <w:r>
              <w:rPr>
                <w:rFonts w:ascii="Arial" w:cs="Arial" w:eastAsia="Arial" w:hAnsi="Arial"/>
                <w:sz w:val="18"/>
                <w:szCs w:val="18"/>
                <w:color w:val="auto"/>
              </w:rPr>
              <w:t>1,939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1,999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1,774</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100</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Percentages of total net sales reflect rounding and may not total 100%.</w:t>
      </w:r>
    </w:p>
    <w:p>
      <w:pPr>
        <w:sectPr>
          <w:pgSz w:w="11900" w:h="16838" w:orient="portrait"/>
          <w:cols w:equalWidth="0" w:num="1">
            <w:col w:w="11420"/>
          </w:cols>
          <w:pgMar w:left="240" w:top="121" w:right="239" w:bottom="0" w:gutter="0" w:footer="0" w:header="0"/>
          <w:type w:val="continuous"/>
        </w:sectPr>
      </w:pPr>
    </w:p>
    <w:bookmarkStart w:id="4" w:name="page5"/>
    <w:bookmarkEnd w:id="4"/>
    <w:p>
      <w:pPr>
        <w:ind w:right="200" w:firstLine="324"/>
        <w:spacing w:after="0" w:line="312" w:lineRule="auto"/>
        <w:rPr>
          <w:sz w:val="20"/>
          <w:szCs w:val="20"/>
          <w:color w:val="auto"/>
        </w:rPr>
      </w:pPr>
      <w:r>
        <w:rPr>
          <w:rFonts w:ascii="Arial" w:cs="Arial" w:eastAsia="Arial" w:hAnsi="Arial"/>
          <w:sz w:val="16"/>
          <w:szCs w:val="16"/>
          <w:color w:val="auto"/>
        </w:rPr>
        <w:t>Total net sales for 2016 decreased 23% as compared to 2015 primarily due to lower CNBU, MBU, and SBU sales as declines in average selling prices outpaced increases in gigabit sales volumes. The increases in gigabit sales volumes for 2016 were primarily attributable to higher manufacturing output due to improvements in product and process technologies partially offset by reductions resulting from transitions to the next technology node.</w:t>
      </w:r>
    </w:p>
    <w:p>
      <w:pPr>
        <w:spacing w:after="0" w:line="14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Total net sales for 2015 decreased 1% as compared to 2014 primarily due to lower CNBU sales as a result of decreases in DRAM sales as declines in average selling prices outpaced increases in gigabit sales volumes. SBU and MBU sales for 2015 increased as compared to 2014 as a result of higher NAND Flash sales due to increases in gigabit sales volumes partially offset by declines in average selling prices. The increases in gigabit sales volumes for 2015 were primarily attributable to higher manufacturing output due to improvements in product and process technologies. EBU sales for 2015 increased as compared to 2014 due to higher sales volumes as a result of increases in market demand.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overall gross margin percentage declined to 20% for 2016 from 32% for 2015 primarily due to declines in the gross margin percentages for CNBU, MBU, and SBU, as decreases in average selling prices outpaced manufacturing cost reductions. EBU’s gross margin percentage for 2016 was relatively unchanged from 2015 as manufacturing cost reductions offset declines in average selling prices.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From January 2013 through December 2015, we purchased all of Inotera’s DRAM output under supply agreements at prices reflecting discounts from market prices for our comparable components. Effective beginning on January 1, 2016, the price for DRAM products purchased by us is based on a formula that equally shares margin between Inotera and us. We purchased $1.43 billion, $2.37 billion, and $2.68 billion of DRAM products from Inotera in 2016, 2015, and 2014, respectively. DRAM products purchased from Inotera accounted for 30% of our aggregate DRAM gigabit production for 2016 as compared to 35% for 2015 and 38% for 2014. In 2015 and 2014, our cost for Inotera products was higher than our cost for similar products manufactured in our wholly-owned facilities. Due to declines in average selling prices, our per gigabit cost of products purchased from Inotera decreased throughout 2015 and the first half of 2016 such that our cost for Inotera products more closely approximated our cost for similar products manufactured in our wholly-owned facilities for the second and third quarters of 2016. Due to improvements in average selling prices in late 2016 coupled with decreases in manufacturing costs of our wholly-owned operations, our cost for Inotera products increased and were approximately 20% higher than our cost for similar products manufactured in our wholly-owned facilities for the fourth quarter of 2016. The current supply agreement with Inotera has an initial three-year term, which commenced on January 1, 2016, followed by a three-year wind-down period. Upon termination of the initial three-year term, the share of Inotera’s capacity we would purchase would decline over the wind-down period.</w:t>
      </w:r>
    </w:p>
    <w:p>
      <w:pPr>
        <w:spacing w:after="0" w:line="1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overall gross margin percentage declined to 32% for 2015 from 33% for 2014 primarily due to declines in average selling prices partially offset by manufacturing cost reductions. CNBU and SBU experienced declines in gross margin percentage for 2015 as compared to 2014 as declines in average selling price outpaced manufacturing cost reductions. MBU’s gross margin percentage for 2015 improved as compared to 2014 as manufacturing cost reductions outpaced declines in average selling prices.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Due to the lengthening period of time between DRAM product technology node transitions, an increased re-use rate of equipment, and industry trends, we revised the estimated useful lives of equipment in our DRAM wafer fabrication facilities from five to seven years in the fourth quarter of 2016. For 2016, the effect of the revision was not material and we expect this change will reduce depreciation costs by approximately $100 million per quarter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Business Segments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CNBU</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r>
    </w:tbl>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CNBU sales and operating results are significantly impacted by average selling prices, gigabit sales volumes, and cost per gigabit of our DRAM products. (See “Operating Results by Product — DRAM” for further detail.) CNBU sales for 2016 decreased 33% as compared to 2015 primarily due to declines in average selling prices as a result of continued weakness in the PC sector, partially offset by increases in gigabits sold. CNBU operating margin for 2016 declined from 2015 as decreases in average selling prices outpaced manufacturing cost reductions.</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CNBU sales for 2015 decreased 8% as compared to 2014 primarily due to declines in average selling prices as a result of continued weakness in the PC sector, partially offset by increases in gigabits sold. CNBU operating margin for 2015 declined from 2014 as decreases in average selling prices outpaced manufacturing cost reductions.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SBU</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26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20"/>
                <w:szCs w:val="20"/>
                <w:color w:val="auto"/>
              </w:rPr>
            </w:pPr>
          </w:p>
        </w:tc>
      </w:tr>
      <w:tr>
        <w:trPr>
          <w:trHeight w:val="418"/>
        </w:trPr>
        <w:tc>
          <w:tcPr>
            <w:tcW w:w="3700" w:type="dxa"/>
            <w:vAlign w:val="bottom"/>
          </w:tcPr>
          <w:p>
            <w:pPr>
              <w:spacing w:after="0"/>
              <w:rPr>
                <w:sz w:val="24"/>
                <w:szCs w:val="24"/>
                <w:color w:val="auto"/>
              </w:rPr>
            </w:pPr>
          </w:p>
        </w:tc>
        <w:tc>
          <w:tcPr>
            <w:tcW w:w="268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SBU sales and operating results are significantly impacted by average selling prices, gigabit sales volumes, and cost per gigabit of our Non-Volatile Memory products. (See “Operating Results by Product — Trade Non-Volatile Memory” for further details.) SBU sales for 2016 decreased 12% from 2015 primarily due to declines in average selling prices partially offset by increases in gigabits sold. SBU sales included Non-Trade Non-Volatile Memory sales of $501 million, $463 million, and $475 million, for 2016, 2015, and 2014, respectively.</w:t>
      </w:r>
    </w:p>
    <w:p>
      <w:pPr>
        <w:sectPr>
          <w:pgSz w:w="11900" w:h="16838" w:orient="portrait"/>
          <w:cols w:equalWidth="0" w:num="1">
            <w:col w:w="11460"/>
          </w:cols>
          <w:pgMar w:left="240" w:top="341" w:right="199" w:bottom="0" w:gutter="0" w:footer="0" w:header="0"/>
        </w:sectPr>
      </w:pPr>
    </w:p>
    <w:bookmarkStart w:id="5" w:name="page6"/>
    <w:bookmarkEnd w:id="5"/>
    <w:p>
      <w:pPr>
        <w:spacing w:after="0" w:line="5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SBU sales of Trade Non-Volatile Memory products for 2016 decreased 16% from 2015 primarily due to declines in average selling prices partially offset by increases in gigabits sold. SBU operating margin for 2016 declined from 2015 as decreases in average selling prices outpaced manufacturing cost reductions.</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SBU sales of Trade Non-Volatile Memory products for 2015 increased 7% as compared to 2014 primarily due to increases in gigabits sold partially offset by declines in average selling prices. Increases in gigabits sold for 2015 as compared to 2014 were primarily due to higher manufacturing output. SBU operating margin for 2015 declined from 2014 as decreases in average selling prices outpaced manufacturing cost reductions and R&amp;D costs increased in connection with increased spending on controllers, firmware, and engineering for SSDs and managed NAND Flash products.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MBU</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r>
    </w:tbl>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MBU sales are comprised primarily of DRAM and NAND Flash, with mobile DRAM products accounting for a significant majority of the sales. MBU sales for 2016 decreased 30% as compared to 2015 primarily due to declines in average selling prices and DRAM gigabits sold. MBU operating income for 2016 declined from 2015 as decreases in average selling prices outpaced manufacturing cost reductions.</w:t>
      </w:r>
    </w:p>
    <w:p>
      <w:pPr>
        <w:spacing w:after="0" w:line="18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MBU sales for 2015 increased 2% as compared to 2014 primarily due to significant increases in gigabit sales volumes for managed NAND Flash and MCP products partially offset by lower sales of mobile DRAM products as a result of declines in average selling prices and sales volumes. MBU operating income for 2015 improved from 2014 as manufacturing cost reductions outpaced declines in average selling prices.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EBU</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1,999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bl>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EBU sales are comprised of DRAM, NAND Flash, and NOR Flash in decreasing order of revenue. EBU sales for 2016 decreased 3% as compared to 2015 primarily due to declines in average selling prices for DRAM and NAND Flash products, which were partially offset by higher sales volumes as a result of increases in demand. EBU operating income for 2016 was relatively unchanged from 2015 as manufacturing cost reductions offset declines in average selling prices.</w:t>
      </w:r>
    </w:p>
    <w:p>
      <w:pPr>
        <w:spacing w:after="0" w:line="187"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EBU sales for 2015 increased 13% as compared to 2014 primarily due to higher sales volumes of DRAM and NAND Flash products as a result of increases in demand. EBU operating income for 2015 improved as compared to 2014 primarily due to the higher sales volumes.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Product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Sales by Product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DRAM</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Non-Volatile Memory</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Non-Trade</w:t>
            </w:r>
          </w:p>
        </w:tc>
        <w:tc>
          <w:tcPr>
            <w:tcW w:w="3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501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463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6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of total net sales reflect rounding and may not total 100%.</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Trade Non-Volatile Memory includes NAND Flash and 3D XPoint memory. Non-Trade Non-Volatile Memory primarily consists of Non-Volatile Memory products manufactured and sold to Intel through IMFT at long-term negotiated prices approximating cost. Information regarding our MCP products, which combine both NAND Flash and DRAM components, is reported within Trade Non-Volatile Memory. Sales of NOR Flash products are included in Other.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DRAM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2300" w:type="dxa"/>
            <w:vAlign w:val="bottom"/>
          </w:tcPr>
          <w:p>
            <w:pPr>
              <w:jc w:val="right"/>
              <w:ind w:right="1216"/>
              <w:spacing w:after="0"/>
              <w:rPr>
                <w:sz w:val="20"/>
                <w:szCs w:val="20"/>
                <w:color w:val="auto"/>
              </w:rPr>
            </w:pPr>
            <w:r>
              <w:rPr>
                <w:rFonts w:ascii="Arial" w:cs="Arial" w:eastAsia="Arial" w:hAnsi="Arial"/>
                <w:sz w:val="14"/>
                <w:szCs w:val="14"/>
                <w:b w:val="1"/>
                <w:bCs w:val="1"/>
                <w:color w:val="auto"/>
              </w:rPr>
              <w:t>2016</w:t>
            </w:r>
          </w:p>
        </w:tc>
        <w:tc>
          <w:tcPr>
            <w:tcW w:w="13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r>
      <w:tr>
        <w:trPr>
          <w:trHeight w:val="142"/>
        </w:trPr>
        <w:tc>
          <w:tcPr>
            <w:tcW w:w="70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Borders>
              <w:top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(percentage change from prior year)</w:t>
            </w:r>
          </w:p>
        </w:tc>
        <w:tc>
          <w:tcPr>
            <w:tcW w:w="340" w:type="dxa"/>
            <w:vAlign w:val="bottom"/>
          </w:tcPr>
          <w:p>
            <w:pPr>
              <w:spacing w:after="0"/>
              <w:rPr>
                <w:sz w:val="12"/>
                <w:szCs w:val="12"/>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Average selling prices per gigabit</w:t>
            </w:r>
          </w:p>
        </w:tc>
        <w:tc>
          <w:tcPr>
            <w:tcW w:w="2300" w:type="dxa"/>
            <w:vAlign w:val="bottom"/>
          </w:tcPr>
          <w:p>
            <w:pPr>
              <w:jc w:val="right"/>
              <w:ind w:right="316"/>
              <w:spacing w:after="0"/>
              <w:rPr>
                <w:sz w:val="20"/>
                <w:szCs w:val="20"/>
                <w:color w:val="auto"/>
              </w:rPr>
            </w:pPr>
            <w:r>
              <w:rPr>
                <w:rFonts w:ascii="Arial" w:cs="Arial" w:eastAsia="Arial" w:hAnsi="Arial"/>
                <w:sz w:val="18"/>
                <w:szCs w:val="18"/>
                <w:color w:val="auto"/>
              </w:rPr>
              <w:t>(35)%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Gigabits sold</w:t>
            </w:r>
          </w:p>
        </w:tc>
        <w:tc>
          <w:tcPr>
            <w:tcW w:w="230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Cost per gigabit</w:t>
            </w:r>
          </w:p>
        </w:tc>
        <w:tc>
          <w:tcPr>
            <w:tcW w:w="2300" w:type="dxa"/>
            <w:vAlign w:val="bottom"/>
          </w:tcPr>
          <w:p>
            <w:pPr>
              <w:jc w:val="right"/>
              <w:ind w:right="316"/>
              <w:spacing w:after="0"/>
              <w:rPr>
                <w:sz w:val="20"/>
                <w:szCs w:val="20"/>
                <w:color w:val="auto"/>
              </w:rPr>
            </w:pPr>
            <w:r>
              <w:rPr>
                <w:rFonts w:ascii="Arial" w:cs="Arial" w:eastAsia="Arial" w:hAnsi="Arial"/>
                <w:sz w:val="18"/>
                <w:szCs w:val="18"/>
                <w:color w:val="auto"/>
              </w:rPr>
              <w:t>(17)%</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bl>
    <w:p>
      <w:pPr>
        <w:spacing w:after="0" w:line="18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increase in gigabits sold and decrease in cost per gigabit for 2016 and 2015 as compared to prior years, were primarily due to increases in gigabit production as a result of improvements in product and process technologies. Lower costs for products purchased from Inotera contributed to manufacturing cost reductions for 2016 and 2015. Gigabit production and cost reductions for 2016 and 2015, were constrained by equipment downtime incurred in connection with transitioning from 25nm to 20nm-based products and a shift to a higher mix of DDR4 products, which have larger die sizes and fewer bits per wafer.</w:t>
      </w:r>
    </w:p>
    <w:p>
      <w:pPr>
        <w:spacing w:after="0" w:line="18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Our gross margin percentage for 2016 declined as compared to 2015 as decreases in average selling prices outpaced manufacturing cost reductions. Our gross margin percentage on sales of DRAM products for 2015 improved from 2014 as manufacturing cost reductions outpaced declines in average selling</w:t>
      </w:r>
    </w:p>
    <w:p>
      <w:pPr>
        <w:sectPr>
          <w:pgSz w:w="11900" w:h="16894"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Non-Volatile Memory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color w:val="auto"/>
              </w:rPr>
              <w:t>For the year ended</w:t>
            </w:r>
          </w:p>
        </w:tc>
        <w:tc>
          <w:tcPr>
            <w:tcW w:w="5560" w:type="dxa"/>
            <w:vAlign w:val="bottom"/>
            <w:gridSpan w:val="3"/>
          </w:tcPr>
          <w:p>
            <w:pPr>
              <w:jc w:val="right"/>
              <w:ind w:right="1228"/>
              <w:spacing w:after="0"/>
              <w:rPr>
                <w:sz w:val="20"/>
                <w:szCs w:val="20"/>
                <w:color w:val="auto"/>
              </w:rPr>
            </w:pPr>
            <w:r>
              <w:rPr>
                <w:rFonts w:ascii="Arial" w:cs="Arial" w:eastAsia="Arial" w:hAnsi="Arial"/>
                <w:sz w:val="14"/>
                <w:szCs w:val="14"/>
                <w:b w:val="1"/>
                <w:bCs w:val="1"/>
                <w:color w:val="auto"/>
              </w:rPr>
              <w:t>2016</w:t>
            </w:r>
          </w:p>
        </w:tc>
        <w:tc>
          <w:tcPr>
            <w:tcW w:w="13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14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80" w:type="dxa"/>
            <w:vAlign w:val="bottom"/>
            <w:tcBorders>
              <w:top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(percentage change from prior year)</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to trade customers</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5560" w:type="dxa"/>
            <w:vAlign w:val="bottom"/>
            <w:gridSpan w:val="3"/>
          </w:tcPr>
          <w:p>
            <w:pPr>
              <w:jc w:val="right"/>
              <w:ind w:right="328"/>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selling prices per gigabit</w:t>
            </w:r>
          </w:p>
        </w:tc>
        <w:tc>
          <w:tcPr>
            <w:tcW w:w="55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Gigabits sold</w:t>
            </w:r>
          </w:p>
        </w:tc>
        <w:tc>
          <w:tcPr>
            <w:tcW w:w="5560" w:type="dxa"/>
            <w:vAlign w:val="bottom"/>
            <w:gridSpan w:val="3"/>
          </w:tcPr>
          <w:p>
            <w:pPr>
              <w:jc w:val="right"/>
              <w:ind w:right="388"/>
              <w:spacing w:after="0"/>
              <w:rPr>
                <w:sz w:val="20"/>
                <w:szCs w:val="20"/>
                <w:color w:val="auto"/>
              </w:rPr>
            </w:pPr>
            <w:r>
              <w:rPr>
                <w:rFonts w:ascii="Arial" w:cs="Arial" w:eastAsia="Arial" w:hAnsi="Arial"/>
                <w:sz w:val="18"/>
                <w:szCs w:val="18"/>
                <w:color w:val="auto"/>
              </w:rPr>
              <w:t>8%</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per gigabit</w:t>
            </w:r>
          </w:p>
        </w:tc>
        <w:tc>
          <w:tcPr>
            <w:tcW w:w="556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432"/>
        </w:trPr>
        <w:tc>
          <w:tcPr>
            <w:tcW w:w="4140" w:type="dxa"/>
            <w:vAlign w:val="bottom"/>
          </w:tcPr>
          <w:p>
            <w:pPr>
              <w:spacing w:after="0"/>
              <w:rPr>
                <w:sz w:val="24"/>
                <w:szCs w:val="24"/>
                <w:color w:val="auto"/>
              </w:rPr>
            </w:pPr>
          </w:p>
        </w:tc>
        <w:tc>
          <w:tcPr>
            <w:tcW w:w="2920" w:type="dxa"/>
            <w:vAlign w:val="bottom"/>
          </w:tcPr>
          <w:p>
            <w:pPr>
              <w:jc w:val="right"/>
              <w:ind w:right="1213"/>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4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Through 2016, substantially all of our Trade Non-Volatile Memory sales were from NAND Flash products. The increase in gigabits sold of Trade Non-Volatile Memory for 2016 as compared to 2015, was primarily due to increases in gigabit production due to improvements in product and process technology. Increases in gigabit production for 2016 were constrained by equipment downtime incurred in connection with transitioning to 3D NAND Flash products. The increase in gigabits sold of Trade Non-Volatile Memory for 2015 as compared to 2014, was primarily due to higher production from improved product and process technologies and the transition of our wafer fabrication facility in Singapore from DRAM to NAND Flash production. Increases in gigabit production for 2015 as compared to 2014, were limited by a shift in product mix to higher levels of managed NAND Flash and MCP products, which have both higher average selling prices and costs per gigabit.</w:t>
      </w:r>
    </w:p>
    <w:p>
      <w:pPr>
        <w:spacing w:after="0" w:line="18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gross margin percentage on sales of Trade Non-Volatile Memory products for 2016 declined from 2015 as decreases in average selling prices outpaced manufacturing cost reductions. Our gross margin percentage on sales of Trade Non-Volatile Memory products for 2015 declined from 2014 as the decreases in average selling prices outpaced manufacturing cost reductions.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SG&amp;A expenses for 2016 decreased 8% as compared to 2015 due to decreases in payroll costs resulting primarily from the suspension of variable-pay plans, decreases in travel costs, and an additional week in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SG&amp;A expenses for 2015 increased 2% as compared to 2014 primarily due to an additional week in 2015 and higher legal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R&amp;D expenses for 2016 increased 5% from 2015 primarily due to higher volumes of development wafers processed, higher payroll costs, and an increase in depreciation expense from R&amp;D capital expenditures.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R&amp;D expenses for 2015 increased 12% from 2014 primarily due to a higher volume of development wafers processed, an increase in depreciation expense due to R&amp;D capital expenditures, higher payroll costs, higher subcontracted engineering and other professional service costs, and an additional week in 2015. Increases in R&amp;D expenses for 2015 as compared to 2014 were partly attributable to increased spending on controllers, firmware, and engineering to support system-level products, including SSD, managed NAND Flash, and HMC products.</w:t>
      </w:r>
    </w:p>
    <w:p>
      <w:pPr>
        <w:spacing w:after="0" w:line="17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generally share with Intel the costs of product design and process development activities for NAND Flash and 3D XPoint memory. Our R&amp;D expenses reflect net reductions as a result of reimbursements under our cost-sharing arrangements with Intel and others of $208 million, $231 million, and $162 million in 2016, 2015, and 2014,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further discussion of our R&amp;D in “Part I — Item 1. — Business — Research and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Restructure and Asset Impairments</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the fourth quarter of 2016, we initiated a restructure plan in response to the current business environment and the need to accelerate focus on our key priorities in which we expect to save, as compared to our previously planned spending levels, approximately $80 million per quarter in 2017. The savings are expected to result from a combination of a more focused set of projects and programs, the permanent closure of a number of open headcount requisitions, workforce reductions in certain areas of the business, and other non-headcount related spending reductions. (See “Item 8. Financial Statements and Supplementary Data — Notes to Consolidated Financial Statements — Restructure and Asset Impairments.”)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effective tax rates were 6.8%, 6.0%, and 4.7% for 2016, 2015, and 2014, respectively, primarily reflecting provisions on non-U.S. operations. Our effective tax rates reflect the following:</w:t>
      </w:r>
    </w:p>
    <w:p>
      <w:pPr>
        <w:spacing w:after="0" w:line="170" w:lineRule="exact"/>
        <w:rPr>
          <w:sz w:val="20"/>
          <w:szCs w:val="20"/>
          <w:color w:val="auto"/>
        </w:rPr>
      </w:pPr>
    </w:p>
    <w:p>
      <w:pPr>
        <w:ind w:left="660" w:right="4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in tax jurisdictions, including Singapore and Taiwan, where our earnings are indefinitely reinvested and the tax rates are significantly lower than the U.S. statutory rate;</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outside the U.S., including Singapore and, to a lesser extent, Taiwan, where we have tax incentive arrangements that further decrease our effective tax rates; and</w:t>
      </w:r>
    </w:p>
    <w:p>
      <w:pPr>
        <w:sectPr>
          <w:pgSz w:w="11900" w:h="16838" w:orient="portrait"/>
          <w:cols w:equalWidth="0" w:num="1">
            <w:col w:w="11460"/>
          </w:cols>
          <w:pgMar w:left="240" w:top="125" w:right="199" w:bottom="0" w:gutter="0" w:footer="0" w:header="0"/>
        </w:sectPr>
      </w:pPr>
    </w:p>
    <w:bookmarkStart w:id="7" w:name="page8"/>
    <w:bookmarkEnd w:id="7"/>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valuation allowance against substantially all of our U.S. net deferred tax assets.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Income taxes for 2016, 2015, and 2014 included $114 million, $80 million and $59 million, respectively, related to utilization of, and other changes in, deferred tax assets of MMJ and MMT. Income taxes for 2016 also included tax benefits of $58 million related to the favorable resolution of certain prior year tax matters, which were previously reserved as uncertain tax positions, and $41 million related to a U.S. valuation allowance release resulting from the acquisition of Tidal Systems, Ltd. The remaining tax provision for 2016, 2015, and 2014 primarily reflects taxes on our other non-U.S. operations. Income taxes on U.S. operations for 2016, 2015, and 2014 were substantially offset by changes in the valuation allowance.</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 full valuation allowance for our net deferred tax asset associated with our U.S. operations. Management continues to evaluate future projected financial performance to determine whether such performance is sufficient evidence to support a reduction in or reversal of the valuation allowance. The amount of the deferred tax asset considered realizable could be adjusted if sufficient positive evidence exists.</w:t>
      </w:r>
    </w:p>
    <w:p>
      <w:pPr>
        <w:spacing w:after="0" w:line="18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operate in a number of locations outside the U.S., including Singapore and, to a lesser extent, Taiwan, where we have tax incentive arrangements that are conditional, in part, upon meeting certain business operations and employment thresholds. The benefit of tax incentive arrangements, which expire in whole or in part at various dates through 2030, was not material to our tax provision for 2016 and reduced our tax provision for 2015 and 2014 by $338 million (benefitting our diluted earnings per share by $0.29) and $286 million ($0.24 per diluted share),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 Net Income (Loss) of Equity Method Investees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recognize our share of earnings or losses from equity method investments generally on a two-month lag. Equity in net income (loss) of equity method investees, net of tax, included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Inotera</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Tera Probe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0"/>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equity in net income (loss) of Inotera declined for 2016 as compared to 2015 primarily due to declines in average selling prices and cost of transitioning to the next technology node. Included in our earnings for 2015 was $49 million from Inotera’s full release of its valuation allowance against net deferred tax assets related to its net operating loss carryforward and the resulting tax provision in subsequent periods.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2016 and 2015, we recorded an impairment charge of $25 million and $10 million, respectively, within equity in net income (loss) of equity method investees to write down the carrying value of our investment in Tera Probe to its fair value based on its trading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8. Financial Statements and Supplementary Data — Notes to Consolidated Financial Statements”:</w:t>
      </w:r>
    </w:p>
    <w:p>
      <w:pPr>
        <w:spacing w:after="0" w:line="170"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primary sources of liquidity are cash generated from operations and financing obtained from capital markets. Cash generated from operations is highly dependent on selling prices for our products, which can vary significantly from period to period. We are continuously evaluating alternatives for efficiently funding capital expenditures and ongoing operations. We expect, from time to time in the future, to engage in a variety of transactions for such purposes, including the issuance or incurrence of secured and unsecured debt and the refinancing and restructuring of existing debt. As of September 1, 2016, we had a revolving credit facility available for up to $488 million of additional financing based on eligible receivables. We expect that our cash and investments, cash flows from operations, and available financing will be sufficient to meet our requirements at least through the next 12 months.</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develop new product and process technologies, support future growth, achieve operating efficiencies, and maintain product quality, we must continue to invest in manufacturing technologies, facilities and equipment, and R&amp;D. We estimate that net cash expenditures in 2017 for property, plant, and equipment will be approximately $4.8 billion to $5.2 billion, which reflects the offset of amounts we expect to be funded by our partners. The actual amounts for 2017 will vary depending on market conditions. Total additions to property, plant, and equipment in 2016 were $7.01 billion, which, in comparison to cash expenditures, reflects differences in timing of receipts and payments for equipment as well as non-cash additions such as equipment leases. As of September 1, 2016, we had commitments of approximately $780 million for the acquisition of property, plant, and equipment, substantially all of which is expected to be paid within one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Long-term marketable investments</w:t>
            </w: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bl>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investments consist primarily of liquid investment-grade fixed-income securities, diversified among industries and individual issuers. As of September 1, 2016, $1.32 billion of our cash and equivalents and short-term investments was held by foreign subsidiaries, primarily denominated in the U.S. dollar. To mitigate credit risk, we invest through high-credit-quality financial institutions and, by policy, generally limit the concentration of credit exposure by restricting the amount of investments with any single obligor.</w:t>
      </w:r>
    </w:p>
    <w:p>
      <w:pPr>
        <w:sectPr>
          <w:pgSz w:w="11900" w:h="16838" w:orient="portrait"/>
          <w:cols w:equalWidth="0" w:num="1">
            <w:col w:w="11420"/>
          </w:cols>
          <w:pgMar w:left="240" w:top="125" w:right="239" w:bottom="0" w:gutter="0" w:footer="0" w:header="0"/>
        </w:sectPr>
      </w:pPr>
    </w:p>
    <w:bookmarkStart w:id="8" w:name="page9"/>
    <w:bookmarkEnd w:id="8"/>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Acquisition of Inotera</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second quarter of 2016, we entered into agreements to acquire the remaining interest in Inotera for 30 New Taiwan dollars per share in cash (equivalent to approximately $0.95 per share, assuming 31.7 New Taiwan dollars per U.S. dollar, the exchange rate as of September 1, 2016). Based on the exchange rate as of September 1, 2016, we estimate the aggregate consideration payable for the 67% of Inotera shares not owned by us would be approximately $4.1 billion.</w:t>
      </w:r>
    </w:p>
    <w:p>
      <w:pPr>
        <w:spacing w:after="0" w:line="18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i w:val="1"/>
          <w:iCs w:val="1"/>
          <w:color w:val="auto"/>
        </w:rPr>
        <w:t>Acquisition Financing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October 11, 2016, we and Inotera, as co-borrowers, entered into a single-draw term loan facility (the “Term Loan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which proceeds will be used to pay a portion of the acquisition consideration and any related transaction costs and to provide working capital for Inotera. In the second and third quarters of 2016, we entered into agreements with Nanya pursuant to which we have the option to issue a combination of shares of our common stock (the “Micron Shares”) and 2.00% convertible senior notes due 2021 (the “2021 Convertible Notes”) to Nanya, which is subject to regulatory approvals and various other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u w:val="single" w:color="auto"/>
          <w:color w:val="auto"/>
        </w:rPr>
        <w:t>Term Loan Facility</w:t>
      </w:r>
      <w:r>
        <w:rPr>
          <w:rFonts w:ascii="Arial" w:cs="Arial" w:eastAsia="Arial" w:hAnsi="Arial"/>
          <w:sz w:val="18"/>
          <w:szCs w:val="18"/>
          <w:color w:val="auto"/>
        </w:rPr>
        <w:t>: The Term Loan Facility can be made in a single draw on or prior to July 10, 2017, subject to the satisfaction of customary conditions, up to a maximum aggregate borrowing amount of 80 billion New Taiwan dollars in cash (equivalent to $2.5 billion). The loan will bear interest at a variable rate equal to the three-month or six-month TAIBOR, at our or Inotera’s option, plus a margin of 2.05% per annum, payable monthly in arrears. The loan will mature five years from the date it is made and principal is payable in six equal semi-annual installments, commencing thirty months after such loan is made.</w:t>
      </w:r>
    </w:p>
    <w:p>
      <w:pPr>
        <w:spacing w:after="0" w:line="188"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The Term Loan Facility will be collateralized by certain assets including a real estate mortgage on Inotera’s main production facility and site, a chattel mortgage over certain equipment of Inotera, all of the stock of our MSTW subsidiary and the approximately 80% of the stock of Inotera held by MSTW following the consummation of the acquisition. Micron will guarantee all of Inotera’s and MSTW’s obligations under the Term Loan Facility.</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Term Loan Facility contains affirmative and negative covenants which are customary for financings of this type, including covenants that limit or restrict the ability to create liens in or dispose of collateral securing obligations under the Term Loan Facility, mergers involving MSTW and/or Inotera, loans or guarantees to third parties by Inotera and/or MSTW, and MSTW’s distribution of cash dividends (subject to satisfaction of certain financial conditions). The Term Loan Facility also contains financial covenants as follows, which are tested semi-annually:</w:t>
      </w:r>
    </w:p>
    <w:p>
      <w:pPr>
        <w:spacing w:after="0" w:line="171" w:lineRule="exact"/>
        <w:rPr>
          <w:sz w:val="20"/>
          <w:szCs w:val="20"/>
          <w:color w:val="auto"/>
        </w:rPr>
      </w:pPr>
    </w:p>
    <w:p>
      <w:pPr>
        <w:ind w:left="980" w:right="180" w:hanging="324"/>
        <w:spacing w:after="0" w:line="258"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MSTW must maintain a consolidated ratio of total debt to EBITDA not higher than 5.50x in 2017 and 2018; and not higher than 4.50x through 2019 to 2021.</w:t>
      </w:r>
    </w:p>
    <w:p>
      <w:pPr>
        <w:spacing w:after="0" w:line="1" w:lineRule="exact"/>
        <w:rPr>
          <w:rFonts w:ascii="Arial" w:cs="Arial" w:eastAsia="Arial" w:hAnsi="Arial"/>
          <w:sz w:val="18"/>
          <w:szCs w:val="18"/>
          <w:color w:val="auto"/>
        </w:rPr>
      </w:pPr>
    </w:p>
    <w:p>
      <w:pPr>
        <w:ind w:left="980" w:right="300" w:hanging="324"/>
        <w:spacing w:after="0" w:line="250"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MSTW must maintain consolidated tangible net worth of not less than 4 billion New Taiwan dollars (equivalent to $126 million) in 2017 and 2018; not less than 6.5 billion New Taiwan dollars (equivalent to $205 million) in 2019 and 2020; and not less than 12 billion New Taiwan dollars (equivalent to $378 million) in 2021.</w:t>
      </w:r>
    </w:p>
    <w:p>
      <w:pPr>
        <w:spacing w:after="0" w:line="1" w:lineRule="exact"/>
        <w:rPr>
          <w:rFonts w:ascii="Arial" w:cs="Arial" w:eastAsia="Arial" w:hAnsi="Arial"/>
          <w:sz w:val="18"/>
          <w:szCs w:val="18"/>
          <w:color w:val="auto"/>
        </w:rPr>
      </w:pPr>
    </w:p>
    <w:p>
      <w:pPr>
        <w:ind w:left="980" w:right="400" w:hanging="324"/>
        <w:spacing w:after="0" w:line="250"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consolidated basis, we must maintain a ratio of total debt to EBITDA not higher than 3.50x in 2017; not higher than 3.00x in 2018 and 2019; and not higher than 2.50x in 2020 and 2021.</w:t>
      </w:r>
    </w:p>
    <w:p>
      <w:pPr>
        <w:ind w:left="980" w:right="160" w:hanging="324"/>
        <w:spacing w:after="0" w:line="261"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consolidated basis, we must maintain tangible net worth not less than $9 billion in 2017; not less than $12.5 billion in 2018 and 2019; and not less than $16.5 billion in 2020 and 2021.</w:t>
      </w:r>
    </w:p>
    <w:p>
      <w:pPr>
        <w:spacing w:after="0" w:line="18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one or more of the required financial ratios is not maintained at the time the ratios are tested, the interest rate will be increased by 0.25% until such time as the required financial ratios are maintained. In addition, if MSTW fails to maintain a required financial ratio for two consecutive semi-annual periods, such failure will constitute an event of default that could result in all obligations owed under the Term Loan Agreement being accelerated to be immediately due and payable. Our failure to maintain a required consolidated financial ratio will only result in an increase to the applicable interest rate and will not constitute an event of default under the Term Loan Facility. The Term Loan Facility also contains customary events of default.</w:t>
      </w:r>
    </w:p>
    <w:p>
      <w:pPr>
        <w:spacing w:after="0" w:line="158" w:lineRule="exact"/>
        <w:rPr>
          <w:sz w:val="20"/>
          <w:szCs w:val="20"/>
          <w:color w:val="auto"/>
        </w:rPr>
      </w:pPr>
    </w:p>
    <w:p>
      <w:pPr>
        <w:jc w:val="both"/>
        <w:ind w:right="280" w:firstLine="648"/>
        <w:spacing w:after="0" w:line="285" w:lineRule="auto"/>
        <w:rPr>
          <w:sz w:val="20"/>
          <w:szCs w:val="20"/>
          <w:color w:val="auto"/>
        </w:rPr>
      </w:pPr>
      <w:r>
        <w:rPr>
          <w:rFonts w:ascii="Arial" w:cs="Arial" w:eastAsia="Arial" w:hAnsi="Arial"/>
          <w:sz w:val="17"/>
          <w:szCs w:val="17"/>
          <w:u w:val="single" w:color="auto"/>
          <w:color w:val="auto"/>
        </w:rPr>
        <w:t>Micron Shares</w:t>
      </w:r>
      <w:r>
        <w:rPr>
          <w:rFonts w:ascii="Arial" w:cs="Arial" w:eastAsia="Arial" w:hAnsi="Arial"/>
          <w:sz w:val="17"/>
          <w:szCs w:val="17"/>
          <w:color w:val="auto"/>
        </w:rPr>
        <w:t>: We have the option to issue Micron Shares in an amount up to 31.5 billion New Taiwan dollars (equivalent to $991 million) (the “Private Placement”), which would be used to fund a portion of the acquisition consideration. The per-share selling price for the Micron Shares would be equal to the greater of the New Taiwan dollar equivalent of (i) the average of the closing sale price of our common stock during the 30 consecutive trading day period ending on and including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prior to the consummation of the Inotera acquisition or (ii) $10.00.</w:t>
      </w:r>
    </w:p>
    <w:p>
      <w:pPr>
        <w:spacing w:after="0" w:line="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u w:val="single" w:color="auto"/>
          <w:color w:val="auto"/>
        </w:rPr>
        <w:t>2021 Convertible Notes</w:t>
      </w:r>
      <w:r>
        <w:rPr>
          <w:rFonts w:ascii="Arial" w:cs="Arial" w:eastAsia="Arial" w:hAnsi="Arial"/>
          <w:sz w:val="18"/>
          <w:szCs w:val="18"/>
          <w:color w:val="auto"/>
        </w:rPr>
        <w:t>: We have the option to issue 12.6 billion New Taiwan dollars (equivalent to $396 million) in 2021 Convertible Notes in lieu of a corresponding value of Micron Shares so long as we also issue Micron Shares to Nanya of at least 6.3 billion New Taiwan dollars (equivalent to $198 million) pursuant to the Private Placement.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Proposed Acquisition of Inotera and Events Subsequent to Original Issuance of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i w:val="1"/>
          <w:iCs w:val="1"/>
          <w:color w:val="auto"/>
        </w:rPr>
        <w:t>MMJ Group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equivalents and short-term investments in the table above included an aggregate of $896 million held by the MMJ Group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1, 2016. As a result of the corporate reorganization proceedings of the MMJ Companies entered into in March 2012, and for so long as such proceedings are continuing, the MMJ Companies and their subsidiaries are subject to certain restrictions on dividends, loans, and advances. The plans of reorganization of the MMJ Companies prohibit the MMJ Companies from paying dividends, including any cash dividends, to us and require that excess earnings be used in their businesses or to fund the MMJ Companies’ installment payments. These prohibitions also effectively prevent the subsidiaries of the MMJ Companies from paying cash dividends. In addition, pursuant to an order of the Japan Court, the MMJ Companies cannot make loans or advances, other than certain ordinary course advances, to us without the consent of the Japan Court. Moreover, loans or advances by subsidiaries of the MMJ Companies may be considered outside of the ordinary course of business and subject to approval of the legal trustee and Japan Court. As a result, the assets of the MMJ Group are not available for use by us in our other operations. Furthermore, certain uses of the assets of the MMJ Group, including investments in certain capital expenditures and in MMT, may require consent of MMJ’s trustees and/or the Japan Court.</w:t>
      </w:r>
    </w:p>
    <w:p>
      <w:pPr>
        <w:sectPr>
          <w:pgSz w:w="11900" w:h="16917" w:orient="portrait"/>
          <w:cols w:equalWidth="0" w:num="1">
            <w:col w:w="11420"/>
          </w:cols>
          <w:pgMar w:left="240" w:top="121" w:right="239" w:bottom="0" w:gutter="0" w:footer="0" w:header="0"/>
        </w:sectPr>
      </w:pPr>
    </w:p>
    <w:bookmarkStart w:id="9" w:name="page10"/>
    <w:bookmarkEnd w:id="9"/>
    <w:p>
      <w:pPr>
        <w:ind w:right="12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equivalents and short-term investments in the table above included $98 million held by IMFT as of September 1, 2016. Our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funds held by IMFT to finance 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b w:val="1"/>
          <w:bCs w:val="1"/>
          <w:i w:val="1"/>
          <w:iCs w:val="1"/>
          <w:color w:val="auto"/>
        </w:rPr>
        <w:t>Indefinitely Reinvested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1, 2016, $919 million of cash and equivalents and short-term investments, including substantially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held by the MMJ Group, was held by foreign subsidiaries whose earnings were considered to be indefinitely reinvested and repatriation of these funds to the U.S. would subject these funds to U.S. federal income taxes. Determination of the amount of unrecognized deferred tax liabilities related to investments in these foreign subsidiaries is not practicable.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(3,068)</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(6,232)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 on cash and equivalents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equivalents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24"/>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2016, cash provided by operating activities was due primarily to cash generated by our operations and the effect of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adjustments, which included $465 million of cash provided from reductions in receivables due to a lower level of net sales, offset by $549 million of cash used for net increases in inventories.</w:t>
      </w:r>
    </w:p>
    <w:p>
      <w:pPr>
        <w:spacing w:after="0" w:line="18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For 2015, cash provided by operating activities was due primarily to cash generated by operations and the effect of working capital adjustments, which included $393 of cash provided from reductions in receivables due to a lower level of net sales, offset by $691 million of cash used for reductions in accounts payable and accrued expenses.</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For 2014, cash provided by operating activities was due primarily to cash generated by operations and the effect of working capital adjustments, which included $671 million of cash provided from increases in accounts payable and accrued expenses, offset by $518 million of cash used for increases in receivables.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cash used for investing activities for 2016 consisted primarily of $5.82 billion of expenditures for property, plant,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excludes offsets of amounts funded by our partners) and $148 million for the acquisition of Tidal Systems, Ltd., partially offset by $2.66 billion of net inflows from sales, maturities, and purchases of available-for-sale securities.</w:t>
      </w:r>
    </w:p>
    <w:p>
      <w:pPr>
        <w:spacing w:after="0" w:line="18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Net cash used for investing activities for 2015 consisted primarily of $4.02 billion of expenditures for property, plant, and equipment (which excludes offsets of amounts funded by our partners) and $2.14 billion of net outflows for purchases, sales, and maturities of available-for-sale securities.</w:t>
      </w:r>
    </w:p>
    <w:p>
      <w:pPr>
        <w:spacing w:after="0" w:line="12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Net cash used for investing activities for 2014 consisted primarily of $3.11 billion of expenditures for property, plant, and equipment (which excludes offsets of amounts funded by our partners) and $506 million of net outflows from purchases, sales, and maturities of available-for-sale securities offset by the use of $534 million of restricted cash in connection with the first MMJ creditor installment payment.</w:t>
      </w:r>
    </w:p>
    <w:p>
      <w:pPr>
        <w:spacing w:after="0" w:line="17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cash provided by financing activities for 2016 consisted primarily of $1.25 billion from the issuance of our 2023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Notes, $742 million (net of original issue discount) from the issuance of our 2022 Term Loan B notes, and $765 million from equipment sale-leaseback financing transactions, which were partially offset by cash outflows of $870 million for repayments of debt and $125 million for the open-market repurchases of 7 million shares of our common stock.</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cash used for financing activities for 2015 consisted primarily of $2.33 billion for repayments of debt (including $932 million for the amount in excess of principal of our convertible notes), $831 million for the open-market repurchases of 42 million shares of our common stock, and $95 million of payments on equipment purchase contracts. Cash outflows for financing activities in 2015 were partially offset by inflows of $2.00 billion in aggregate from the issuance of the 2023 Notes, 2024 Notes, and 2026 Notes, $291 million from proceeds of sale-leaseback transactions, $125 million from draws on our revolving credit facilities, and $87 million from term loans.</w:t>
      </w:r>
    </w:p>
    <w:p>
      <w:pPr>
        <w:spacing w:after="0" w:line="188"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Net cash used for financing activities for 2014 consisted primarily of $3.84 billion for repayments of debt (including $1.20 billion for the amount in excess of principal of our convertible notes) offset by $2.21 billion of proceeds from issuance of debt, $265 million of proceeds from issuance of common stock under our equity plans, and by $92 million of net cash received from noncontrolling interests.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Debt and Events Subsequent to Original Issuance of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Since the closing price of our common stock for at least 20 trading days in the 30 trading day period ended on June 30, 2016 did not exceed 130% of the conversion price per share of our 2032 Notes and 2033 Notes, those notes were not convertible by the holders during the calendar quarter ended September 30, 2016. The closing price of our common stock exceeded the thresholds for the calendar quarter ended September 30, 2016; therefore, these notes are convertible by the holders for the calendar quarter ending December 31, 2016. The following table summarizes the potential settlements that we could be required to make for the calendar quarter ending December 31, 2016 if all holders converted their 2032 Notes and 2033 Notes. The amounts in the table below are based on our closing share price of $16.64 as of September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8"/>
              </w:rPr>
              <w:t>If Settled With</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vMerge w:val="restart"/>
          </w:tcPr>
          <w:p>
            <w:pPr>
              <w:jc w:val="center"/>
              <w:ind w:right="360"/>
              <w:spacing w:after="0"/>
              <w:rPr>
                <w:sz w:val="20"/>
                <w:szCs w:val="20"/>
                <w:color w:val="auto"/>
              </w:rPr>
            </w:pPr>
            <w:r>
              <w:rPr>
                <w:rFonts w:ascii="Arial" w:cs="Arial" w:eastAsia="Arial" w:hAnsi="Arial"/>
                <w:sz w:val="14"/>
                <w:szCs w:val="14"/>
                <w:b w:val="1"/>
                <w:bCs w:val="1"/>
                <w:color w:val="auto"/>
                <w:w w:val="96"/>
              </w:rPr>
              <w:t>If Settled Entirely</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60" w:type="dxa"/>
            <w:vAlign w:val="bottom"/>
            <w:gridSpan w:val="5"/>
            <w:vMerge w:val="restart"/>
          </w:tcPr>
          <w:p>
            <w:pPr>
              <w:ind w:left="1460"/>
              <w:spacing w:after="0"/>
              <w:rPr>
                <w:sz w:val="20"/>
                <w:szCs w:val="20"/>
                <w:color w:val="auto"/>
              </w:rPr>
            </w:pPr>
            <w:r>
              <w:rPr>
                <w:rFonts w:ascii="Arial" w:cs="Arial" w:eastAsia="Arial" w:hAnsi="Arial"/>
                <w:sz w:val="14"/>
                <w:szCs w:val="14"/>
                <w:b w:val="1"/>
                <w:bCs w:val="1"/>
                <w:color w:val="auto"/>
              </w:rPr>
              <w:t>Settlement Option for</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7"/>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Minimum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60" w:type="dxa"/>
            <w:vAlign w:val="bottom"/>
            <w:tcBorders>
              <w:bottom w:val="single" w:sz="8" w:color="auto"/>
            </w:tcBorders>
            <w:gridSpan w:val="5"/>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b w:val="1"/>
                <w:bCs w:val="1"/>
                <w:color w:val="auto"/>
                <w:w w:val="92"/>
              </w:rPr>
              <w:t>Required</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With Cash</w:t>
            </w: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Principal Amount</w:t>
            </w:r>
          </w:p>
        </w:tc>
        <w:tc>
          <w:tcPr>
            <w:tcW w:w="260" w:type="dxa"/>
            <w:vAlign w:val="bottom"/>
          </w:tcPr>
          <w:p>
            <w:pPr>
              <w:spacing w:after="0"/>
              <w:rPr>
                <w:sz w:val="10"/>
                <w:szCs w:val="10"/>
                <w:color w:val="auto"/>
              </w:rPr>
            </w:pPr>
          </w:p>
        </w:tc>
        <w:tc>
          <w:tcPr>
            <w:tcW w:w="138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Amount in Excess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Remainder</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of Principal</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in Shares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2032C Notes</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and/or shares</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1"/>
              </w:rPr>
              <w:t>Cash and/or shares</w:t>
            </w: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2032D Notes</w:t>
            </w:r>
          </w:p>
        </w:tc>
        <w:tc>
          <w:tcPr>
            <w:tcW w:w="2300" w:type="dxa"/>
            <w:vAlign w:val="bottom"/>
            <w:gridSpan w:val="2"/>
          </w:tcPr>
          <w:p>
            <w:pPr>
              <w:spacing w:after="0"/>
              <w:rPr>
                <w:sz w:val="20"/>
                <w:szCs w:val="20"/>
                <w:color w:val="auto"/>
              </w:rPr>
            </w:pPr>
            <w:r>
              <w:rPr>
                <w:rFonts w:ascii="Arial" w:cs="Arial" w:eastAsia="Arial" w:hAnsi="Arial"/>
                <w:sz w:val="18"/>
                <w:szCs w:val="18"/>
                <w:color w:val="auto"/>
              </w:rPr>
              <w:t>Cash and/or shares</w:t>
            </w:r>
          </w:p>
        </w:tc>
        <w:tc>
          <w:tcPr>
            <w:tcW w:w="1460" w:type="dxa"/>
            <w:vAlign w:val="bottom"/>
            <w:gridSpan w:val="3"/>
          </w:tcPr>
          <w:p>
            <w:pPr>
              <w:spacing w:after="0"/>
              <w:rPr>
                <w:sz w:val="20"/>
                <w:szCs w:val="20"/>
                <w:color w:val="auto"/>
              </w:rPr>
            </w:pPr>
            <w:r>
              <w:rPr>
                <w:rFonts w:ascii="Arial" w:cs="Arial" w:eastAsia="Arial" w:hAnsi="Arial"/>
                <w:sz w:val="18"/>
                <w:szCs w:val="18"/>
                <w:color w:val="auto"/>
                <w:w w:val="91"/>
              </w:rPr>
              <w:t>Cash and/or shares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2033E Notes</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Cash and/or shares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2033F Notes</w:t>
            </w:r>
          </w:p>
        </w:tc>
        <w:tc>
          <w:tcPr>
            <w:tcW w:w="2300" w:type="dxa"/>
            <w:vAlign w:val="bottom"/>
            <w:gridSpan w:val="2"/>
          </w:tcPr>
          <w:p>
            <w:pPr>
              <w:spacing w:after="0"/>
              <w:rPr>
                <w:sz w:val="20"/>
                <w:szCs w:val="20"/>
                <w:color w:val="auto"/>
              </w:rPr>
            </w:pPr>
            <w:r>
              <w:rPr>
                <w:rFonts w:ascii="Arial" w:cs="Arial" w:eastAsia="Arial" w:hAnsi="Arial"/>
                <w:sz w:val="18"/>
                <w:szCs w:val="18"/>
                <w:color w:val="auto"/>
              </w:rPr>
              <w:t>Cash</w:t>
            </w:r>
          </w:p>
        </w:tc>
        <w:tc>
          <w:tcPr>
            <w:tcW w:w="1460" w:type="dxa"/>
            <w:vAlign w:val="bottom"/>
            <w:gridSpan w:val="3"/>
          </w:tcPr>
          <w:p>
            <w:pPr>
              <w:spacing w:after="0"/>
              <w:rPr>
                <w:sz w:val="20"/>
                <w:szCs w:val="20"/>
                <w:color w:val="auto"/>
              </w:rPr>
            </w:pPr>
            <w:r>
              <w:rPr>
                <w:rFonts w:ascii="Arial" w:cs="Arial" w:eastAsia="Arial" w:hAnsi="Arial"/>
                <w:sz w:val="18"/>
                <w:szCs w:val="18"/>
                <w:color w:val="auto"/>
                <w:w w:val="91"/>
              </w:rPr>
              <w:t>Cash and/or shares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780"/>
              <w:spacing w:after="0"/>
              <w:rPr>
                <w:sz w:val="20"/>
                <w:szCs w:val="20"/>
                <w:color w:val="auto"/>
              </w:rPr>
            </w:pPr>
            <w:r>
              <w:rPr>
                <w:rFonts w:ascii="Arial" w:cs="Arial" w:eastAsia="Arial" w:hAnsi="Arial"/>
                <w:sz w:val="14"/>
                <w:szCs w:val="14"/>
                <w:b w:val="1"/>
                <w:bCs w:val="1"/>
                <w:color w:val="auto"/>
                <w:w w:val="91"/>
              </w:rPr>
              <w:t>Payments Due by Period</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September 1, 2016</w:t>
            </w:r>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Less than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1-3 years</w:t>
            </w:r>
          </w:p>
        </w:tc>
        <w:tc>
          <w:tcPr>
            <w:tcW w:w="260" w:type="dxa"/>
            <w:vAlign w:val="bottom"/>
          </w:tcPr>
          <w:p>
            <w:pPr>
              <w:spacing w:after="0"/>
              <w:rPr>
                <w:sz w:val="10"/>
                <w:szCs w:val="10"/>
                <w:color w:val="auto"/>
              </w:rPr>
            </w:pPr>
          </w:p>
        </w:tc>
        <w:tc>
          <w:tcPr>
            <w:tcW w:w="116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Notes payable</w:t>
            </w:r>
            <w:r>
              <w:rPr>
                <w:rFonts w:ascii="Arial" w:cs="Arial" w:eastAsia="Arial" w:hAnsi="Arial"/>
                <w:sz w:val="23"/>
                <w:szCs w:val="23"/>
                <w:i w:val="1"/>
                <w:iCs w:val="1"/>
                <w:color w:val="auto"/>
                <w:vertAlign w:val="superscript"/>
              </w:rPr>
              <w:t>(1)(2)</w:t>
            </w:r>
          </w:p>
        </w:tc>
        <w:tc>
          <w:tcPr>
            <w:tcW w:w="1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right="496"/>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1,652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line="216"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i w:val="1"/>
                <w:iCs w:val="1"/>
                <w:color w:val="auto"/>
                <w:vertAlign w:val="superscript"/>
              </w:rPr>
              <w:t>(2)</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(3)</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line="21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1,533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w w:val="98"/>
              </w:rPr>
              <w:t>Other long-term liabilities</w:t>
            </w:r>
            <w:r>
              <w:rPr>
                <w:rFonts w:ascii="Arial" w:cs="Arial" w:eastAsia="Arial" w:hAnsi="Arial"/>
                <w:sz w:val="23"/>
                <w:szCs w:val="23"/>
                <w:i w:val="1"/>
                <w:iCs w:val="1"/>
                <w:color w:val="auto"/>
                <w:w w:val="98"/>
                <w:vertAlign w:val="superscript"/>
              </w:rPr>
              <w:t>(5)</w:t>
            </w: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17,084</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3,509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jc w:val="center"/>
              <w:ind w:right="496"/>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2,046</w:t>
            </w: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320" w:hanging="248"/>
        <w:spacing w:after="0" w:line="227" w:lineRule="auto"/>
        <w:tabs>
          <w:tab w:leader="none" w:pos="568"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Amounts include MMJ Creditor Installment Payments, convertible notes, and other notes. Any future redemptions, repurchases, or conversions of debt could impact the amount and timing of our cash payments.</w:t>
      </w:r>
    </w:p>
    <w:p>
      <w:pPr>
        <w:spacing w:after="0" w:line="168" w:lineRule="exact"/>
        <w:rPr>
          <w:rFonts w:ascii="Arial" w:cs="Arial" w:eastAsia="Arial" w:hAnsi="Arial"/>
          <w:sz w:val="23"/>
          <w:szCs w:val="23"/>
          <w:i w:val="1"/>
          <w:iCs w:val="1"/>
          <w:color w:val="auto"/>
          <w:vertAlign w:val="superscript"/>
        </w:rPr>
      </w:pPr>
    </w:p>
    <w:p>
      <w:pPr>
        <w:ind w:left="560" w:hanging="228"/>
        <w:spacing w:after="0"/>
        <w:tabs>
          <w:tab w:leader="none" w:pos="56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Amounts include principal and interest.</w:t>
      </w:r>
    </w:p>
    <w:p>
      <w:pPr>
        <w:spacing w:after="0" w:line="201" w:lineRule="exact"/>
        <w:rPr>
          <w:rFonts w:ascii="Arial" w:cs="Arial" w:eastAsia="Arial" w:hAnsi="Arial"/>
          <w:sz w:val="23"/>
          <w:szCs w:val="23"/>
          <w:i w:val="1"/>
          <w:iCs w:val="1"/>
          <w:color w:val="auto"/>
          <w:vertAlign w:val="superscript"/>
        </w:rPr>
      </w:pPr>
    </w:p>
    <w:p>
      <w:pPr>
        <w:ind w:left="580" w:right="40" w:hanging="248"/>
        <w:spacing w:after="0" w:line="234" w:lineRule="auto"/>
        <w:tabs>
          <w:tab w:leader="none" w:pos="568"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Amounts include contractually obligated minimum lease payments for operating leases having an initial noncancelable term in excess of one year. Additionally, amounts include a portion of the expected costs which meet the criteria of a minimum operating lease payment under our Inotera supply agreement.</w:t>
      </w:r>
    </w:p>
    <w:p>
      <w:pPr>
        <w:spacing w:after="0" w:line="202" w:lineRule="exact"/>
        <w:rPr>
          <w:rFonts w:ascii="Arial" w:cs="Arial" w:eastAsia="Arial" w:hAnsi="Arial"/>
          <w:sz w:val="23"/>
          <w:szCs w:val="23"/>
          <w:i w:val="1"/>
          <w:iCs w:val="1"/>
          <w:color w:val="auto"/>
          <w:vertAlign w:val="superscript"/>
        </w:rPr>
      </w:pPr>
    </w:p>
    <w:p>
      <w:pPr>
        <w:ind w:left="580" w:right="200" w:hanging="248"/>
        <w:spacing w:after="0" w:line="258" w:lineRule="auto"/>
        <w:tabs>
          <w:tab w:leader="none" w:pos="563" w:val="left"/>
        </w:tabs>
        <w:numPr>
          <w:ilvl w:val="0"/>
          <w:numId w:val="8"/>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Purchase obligations include all commitments to purchase goods or services of either a fixed or minimum quantity that meet any of the following criteria: (1) they are noncancelable, (2) we would incur a penalty if the agreement was canceled, or (3) we must make specified minimum payments even if we do not take delivery of the contracted products or services (“take-or-pay”). If the obligation to purchase goods or services is noncancelable, the entire value of the contract was included in the above table. If the obligation is cancelable, but we would incur a penalty if canceled,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189" w:lineRule="exact"/>
        <w:rPr>
          <w:rFonts w:ascii="Arial" w:cs="Arial" w:eastAsia="Arial" w:hAnsi="Arial"/>
          <w:sz w:val="22"/>
          <w:szCs w:val="22"/>
          <w:i w:val="1"/>
          <w:iCs w:val="1"/>
          <w:color w:val="auto"/>
          <w:vertAlign w:val="superscript"/>
        </w:rPr>
      </w:pPr>
    </w:p>
    <w:p>
      <w:pPr>
        <w:ind w:left="580" w:right="180" w:hanging="248"/>
        <w:spacing w:after="0" w:line="254" w:lineRule="auto"/>
        <w:tabs>
          <w:tab w:leader="none" w:pos="563" w:val="left"/>
        </w:tabs>
        <w:numPr>
          <w:ilvl w:val="0"/>
          <w:numId w:val="8"/>
        </w:numPr>
        <w:rPr>
          <w:rFonts w:ascii="Arial" w:cs="Arial" w:eastAsia="Arial" w:hAnsi="Arial"/>
          <w:sz w:val="22"/>
          <w:szCs w:val="22"/>
          <w:i w:val="1"/>
          <w:iCs w:val="1"/>
          <w:color w:val="auto"/>
          <w:vertAlign w:val="superscript"/>
        </w:rPr>
      </w:pPr>
      <w:r>
        <w:rPr>
          <w:rFonts w:ascii="Arial" w:cs="Arial" w:eastAsia="Arial" w:hAnsi="Arial"/>
          <w:sz w:val="17"/>
          <w:szCs w:val="17"/>
          <w:i w:val="1"/>
          <w:iCs w:val="1"/>
          <w:color w:val="auto"/>
        </w:rPr>
        <w:t>Amounts represent future cash payments to satisfy other long-term liabilities recorded on our consolidated balance sheet, including $349 million for the current portion of these long-term liabilities. We are unable to reliably estimate the timing of future certain payments related to uncertain tax positions and deferred tax liabilities; therefore, the amount has been excluded from the preceding table. However, other noncurrent liabilities recorded on our consolidated balance sheet included these uncertain tax positions and deferred tax liabilities.</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expected timing of payment amounts of the obligations discussed above is estimated based on current information. Timing and actual amounts paid may differ depending on the timing of receipt of goods or services, market prices, changes to agreed-upon amounts, or timing of certain events for some obligations. The contractual obligations in the table above include the current portions of the related long-term obligations. All other current liabilities are excluded.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entered into capped calls, which are intended to reduce the effect of potential dilution from our convertible notes. The capped calls provide for our receipt of cash or shares, at our election, from our counterparties if the trading price of our stock is above a specified initial strike price at the expiration dates. The amounts receivable vary based on the trading price of our stock, up to specified cap prices. The dollar value of the cash or shares that we would receive from the capped calls on their expiration dates ranges from $0 if the trading price of our stock is below the initial strike price for all of the capped calls to $719 million if the trading price of our stock is at or above the cap price for all of the capped calls. We paid $103 million in 2012, and $48 million in 2013 to purchase capped calls. The amounts paid were recorded as charges to additional capital. For further details of our capped call arrangements, see “Item 8. Financial Statements and Supplementary Data — Notes to Consolidated Financial Statements — Equity — Micron Shareholders’ Equity — Outstanding Capped Calls.”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154" w:lineRule="exact"/>
        <w:rPr>
          <w:sz w:val="20"/>
          <w:szCs w:val="20"/>
          <w:color w:val="auto"/>
        </w:rPr>
      </w:pPr>
    </w:p>
    <w:p>
      <w:pPr>
        <w:ind w:right="260" w:firstLine="324"/>
        <w:spacing w:after="0" w:line="313" w:lineRule="auto"/>
        <w:rPr>
          <w:sz w:val="20"/>
          <w:szCs w:val="20"/>
          <w:color w:val="auto"/>
        </w:rPr>
      </w:pPr>
      <w:r>
        <w:rPr>
          <w:rFonts w:ascii="Arial" w:cs="Arial" w:eastAsia="Arial" w:hAnsi="Arial"/>
          <w:sz w:val="17"/>
          <w:szCs w:val="17"/>
          <w:b w:val="1"/>
          <w:bCs w:val="1"/>
          <w:i w:val="1"/>
          <w:iCs w:val="1"/>
          <w:color w:val="auto"/>
        </w:rPr>
        <w:t>Business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for acquisitions requires us to estimate the fair value of consideration paid and the individual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which involves a number of judgments, assumptions, and estimates that could materially affect the amount and timing of costs</w:t>
      </w:r>
    </w:p>
    <w:p>
      <w:pPr>
        <w:sectPr>
          <w:pgSz w:w="11900" w:h="16838" w:orient="portrait"/>
          <w:cols w:equalWidth="0" w:num="1">
            <w:col w:w="11420"/>
          </w:cols>
          <w:pgMar w:left="240" w:top="564" w:right="239" w:bottom="0" w:gutter="0" w:footer="0" w:header="0"/>
        </w:sectPr>
      </w:pPr>
    </w:p>
    <w:bookmarkStart w:id="11" w:name="page12"/>
    <w:bookmarkEnd w:id="11"/>
    <w:p>
      <w:pPr>
        <w:spacing w:after="0" w:line="10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recognized. Accounting for acquisitions can also involve significant judgment to determine when control of the acquired entity is transferred. We typically obtain independent third party valuation studies to assist in determining fair values, including assistance in determining future cash flows, appropriate discount rates, and comparable market values. The items involving the most significant assumptions, estimates, and judgments include the following:</w:t>
      </w:r>
    </w:p>
    <w:p>
      <w:pPr>
        <w:spacing w:after="0" w:line="147"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plant, and equipment, including determination of values in a continued-use model;</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tax assets, including projections of future taxable income and tax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including estimated future selling prices, timing of product sales, and completion costs for work in process;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including discount rate and timing of payments;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Intangible assets, including valuation methodology, estimations of future revenue and costs, profit allocation rates attributable to the acquired technology, and discount rates; and</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held equity interest, including discount rate and projections of future cash flows.</w:t>
      </w:r>
    </w:p>
    <w:p>
      <w:pPr>
        <w:spacing w:after="0" w:line="207"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b w:val="1"/>
          <w:bCs w:val="1"/>
          <w:i w:val="1"/>
          <w:iCs w:val="1"/>
          <w:color w:val="auto"/>
        </w:rPr>
        <w:t>Consolidations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interests in entities that are VIEs. Determining whether to consolidate a VIE requires judgment in assessing whether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VIE and if we are the entity’s primary beneficiary.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6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Considerable judgment is necessary to estimate the probability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amount of a loss, if any, from such contingencies. An accrual is made when it is probable that a liability has been incurred or an asset has been impaired and the amount of loss can be reasonably estimated. We accrue a liability and charge operations for the estimated costs of adjudication or settlement of asserted and unasserted claims existing as of the balance sheet date. In accounting for the resolution of contingencies, considerable judgment may be necessary to estimate amounts pertaining to periods prior to the resolution that are charged to operations in the period of resolution, and amounts related to future periods.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test goodwill for impairment in the fourth quarter of our fiscal year, or more frequently if indicators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impairment exist, to determine whether it is more likely than not that the fair value of the reporting unit with goodwill is less than its carrying value. For reporting units in which this assessment concludes that it is more likely than not that the fair value is more than its carrying value, goodwill is considered not impaired and we are not required to perform the two-step goodwill impairment test. Qualitative factors considered in this assessment include industry and market considerations, overall financial performance, and other relevant events and factors affecting the reporting unit. For reporting units in which this assessment concludes that it is more likely than not that the fair value is below the carrying value, then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reporting unit’s tangible and intangible assets and liabilities. If the carrying value of a reporting unit’s goodwill exceeds its implied fair value, then we would record an impairment loss equal to the difference between the carrying value and implied fair value.</w:t>
      </w:r>
    </w:p>
    <w:p>
      <w:pPr>
        <w:spacing w:after="0" w:line="168"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Determining when to test for impairment, the reporting units, the assets and liabilities of the reporting unit, and the fair value of the reporting unit requires judgment and involves the use of significant estimates and assumptions. These estimates and assumptions include revenue growth rates, forecasted manufacturing costs, and other expenses and are developed as part of our routine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calculate a fair value. The discount rate requires determination of appropriate market comparables. We base fair value estimates on assumptions we believe to be reasonable but that are unpredictable and inherently uncertain. Actual future results may differ from those estimates.</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test other identified intangible assets with definite useful lives when events and circumstances indicate the carrying value may not be recoverable by comparing the carrying amount to the sum of undiscounted cash flows expected to be generated by the asset. We test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8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required to estimate our provision for income taxes and amounts ultimately payable or recoverable in numerous tax jurisdictions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These estimates involve judgment and interpretations of regulations and are inherently complex. Resolution of income tax treatments in individual jurisdictions may not be known for many years after completion of any fiscal year. We are also required to evaluate the realizability of our deferred tax assets on an ongoing basis in accordance with U.S. GAAP, which requires the assessment of our performance and other relevant</w:t>
      </w:r>
    </w:p>
    <w:p>
      <w:pPr>
        <w:spacing w:after="0" w:line="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factors. Realization of deferred tax assets is dependent on our ability to generate future taxable income. In recent periods, our results of operations have benefitted from increases in the amount of deferred taxes we expect to realize, primarily from the levels of capital spending and increases in the amount of taxable income we expect to realize in Japan and Taiwan. Our income tax provision or benefit is dependent, in part, on our ability to forecast future taxable income in these and other jurisdictions. Such forecasts are inherently difficult and involve numerous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324"/>
        <w:spacing w:after="0" w:line="303"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Inventories are stated at the lower of average cost or net realizable value. Cost includes depreciation, labor, material, and overhead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product and process technology costs. Determining net realizable value of inventories involves numerous judgments, including projecting future average selling prices, sales volumes, and costs to complete products in work in process inventories. To project average selling prices and sales volumes, we review recent sales volumes, existing customer orders, current contract prices, industry analyses of supply and demand, seasonal factors, general economic</w:t>
      </w:r>
    </w:p>
    <w:p>
      <w:pPr>
        <w:sectPr>
          <w:pgSz w:w="11900" w:h="16944" w:orient="portrait"/>
          <w:cols w:equalWidth="0" w:num="1">
            <w:col w:w="11420"/>
          </w:cols>
          <w:pgMar w:left="240" w:top="125" w:right="239" w:bottom="0" w:gutter="0" w:footer="0" w:header="0"/>
        </w:sectPr>
      </w:pPr>
    </w:p>
    <w:bookmarkStart w:id="12" w:name="page13"/>
    <w:bookmarkEnd w:id="12"/>
    <w:p>
      <w:pPr>
        <w:ind w:right="80"/>
        <w:spacing w:after="0" w:line="293" w:lineRule="auto"/>
        <w:rPr>
          <w:sz w:val="20"/>
          <w:szCs w:val="20"/>
          <w:color w:val="auto"/>
        </w:rPr>
      </w:pPr>
      <w:r>
        <w:rPr>
          <w:rFonts w:ascii="Arial" w:cs="Arial" w:eastAsia="Arial" w:hAnsi="Arial"/>
          <w:sz w:val="16"/>
          <w:szCs w:val="16"/>
          <w:color w:val="auto"/>
        </w:rPr>
        <w:t>trends, and other information. When these analyses reflect estimated net realizable value below our manufacturing costs, we record a charge to cost of goods sold in advance of when the inventory is actually sold.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memory inventory by approximately $234 million as of September 1, 2016. Due to the volatile nature of the semiconductor memory industry, actual selling prices and volumes often vary significantly from projected prices and volumes; as a result, the timing of when product costs are charged to operations can vary significantly.</w:t>
      </w:r>
    </w:p>
    <w:p>
      <w:pPr>
        <w:spacing w:after="0" w:line="16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U.S. GAAP provides for products to be grouped into categories in order to compare costs to net realizable values. The amount of any inventory write-down can vary significantly depending on the determination of inventory categories. In determining the lower of average cost or net realizable value, inventories are primarily categorized as memory (including DRAM, Non-Volatile, and other memory) based on the major characteristics of product type and markets. The major characteristics we consider in determining inventory categories are product type and markets.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carrying value of property, plant, and equipment for impairment when events and circumstances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us, including, but not limited to, future use of the assets for our operations versus sale or disposal of the assets, future selling prices for our products and future production and sales volumes. In addition, judgment is required in determining the groups of assets for which impairment tests are separately performed.</w:t>
      </w:r>
    </w:p>
    <w:p>
      <w:pPr>
        <w:spacing w:after="0" w:line="19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periodically assess the estimated useful lives of our property, plant, and equipment. We revised the estimated useful lives of equipment in our DRAM wafer fabrication facilities from five to seven years in the fourth quarter of 2016. For 2016, the effect of the revision was not material. (See “Item 8. Financial Statements and Supplementary Data — Notes to Consolidated Financial Statements — Significant Accounting Policies.”)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conceptual formulation and design of products and processes are expensed as R&amp;D as</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incurred. Determining when product development is complete requires judgment by us. We deem development of a product complete once the product has been thoroughly reviewed and tested for performance and reliability. Subsequent to product qualification, product costs are included in cost of goods sold.</w:t>
      </w:r>
    </w:p>
    <w:p>
      <w:pPr>
        <w:spacing w:after="0" w:line="13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is estimated at the grant date based on the fair value of the award and is recognized as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the straight-line amortization method over the requisite service period. For performance-based stock awards, the expense recognized is dependent on the probability of the performance measure being achieved. We utilize forecasts of future performance to assess these probabilities and this assessment requires considerable judgment.</w:t>
      </w:r>
    </w:p>
    <w:p>
      <w:pPr>
        <w:spacing w:after="0" w:line="184"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We develop these estimates based on historical data and market information which can change significantly over time. A small change in the estimates used can result in a relatively large change in the estimated valuation. We use the Black-Scholes option valuation model to value employee stock awards. We estimate stock price volatility based on an average of historical volatility and the implied volatility derived from traded options on our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Recently Adopted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Recently Issued Accounting Standards.”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1030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1"/>
        </w:trPr>
        <w:tc>
          <w:tcPr>
            <w:tcW w:w="9960" w:type="dxa"/>
            <w:vAlign w:val="bottom"/>
            <w:gridSpan w:val="10"/>
          </w:tcPr>
          <w:p>
            <w:pPr>
              <w:spacing w:after="0"/>
              <w:rPr>
                <w:sz w:val="20"/>
                <w:szCs w:val="20"/>
                <w:color w:val="auto"/>
              </w:rPr>
            </w:pPr>
            <w:r>
              <w:rPr>
                <w:rFonts w:ascii="Arial" w:cs="Arial" w:eastAsia="Arial" w:hAnsi="Arial"/>
                <w:sz w:val="18"/>
                <w:szCs w:val="18"/>
                <w:color w:val="auto"/>
                <w:w w:val="92"/>
              </w:rPr>
              <w:t>Consolidated Financial Statements as of September 1, 2016 and September 3, 2015 and for the fiscal years ended September 1, 2016,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September 3, 2015, and August 28, 2014</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Consolidated Statements of Operations</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20" w:type="dxa"/>
            <w:vAlign w:val="bottom"/>
            <w:gridSpan w:val="4"/>
          </w:tcPr>
          <w:p>
            <w:pPr>
              <w:ind w:left="160"/>
              <w:spacing w:after="0"/>
              <w:rPr>
                <w:sz w:val="20"/>
                <w:szCs w:val="20"/>
                <w:color w:val="auto"/>
              </w:rPr>
            </w:pPr>
            <w:r>
              <w:rPr>
                <w:rFonts w:ascii="Arial" w:cs="Arial" w:eastAsia="Arial" w:hAnsi="Arial"/>
                <w:sz w:val="18"/>
                <w:szCs w:val="18"/>
                <w:color w:val="auto"/>
              </w:rPr>
              <w:t>Consolidated Statements of Comprehensive Income (Loss)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Consolidated Balance Sheets</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Consolidated Statements of Changes in Equity</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Consolidated Statements of Cash Flows</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20" w:type="dxa"/>
            <w:vAlign w:val="bottom"/>
            <w:gridSpan w:val="4"/>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40" w:type="dxa"/>
            <w:vAlign w:val="bottom"/>
          </w:tcPr>
          <w:p>
            <w:pPr>
              <w:jc w:val="center"/>
              <w:ind w:left="790"/>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40" w:type="dxa"/>
            <w:vAlign w:val="bottom"/>
            <w:gridSpan w:val="3"/>
          </w:tcPr>
          <w:p>
            <w:pPr>
              <w:jc w:val="center"/>
              <w:spacing w:after="0"/>
              <w:rPr>
                <w:sz w:val="20"/>
                <w:szCs w:val="20"/>
                <w:color w:val="auto"/>
              </w:rPr>
            </w:pPr>
            <w:r>
              <w:rPr>
                <w:rFonts w:ascii="Arial" w:cs="Arial" w:eastAsia="Arial" w:hAnsi="Arial"/>
                <w:sz w:val="18"/>
                <w:szCs w:val="18"/>
                <w:b w:val="1"/>
                <w:bCs w:val="1"/>
                <w:color w:val="auto"/>
              </w:rPr>
              <w:t>MICRON TECHNOLOGY, INC.</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00" w:type="dxa"/>
            <w:vAlign w:val="bottom"/>
            <w:gridSpan w:val="6"/>
          </w:tcPr>
          <w:p>
            <w:pPr>
              <w:jc w:val="center"/>
              <w:ind w:left="29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9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(in millions except per share amounts)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w:t>
            </w:r>
          </w:p>
        </w:tc>
        <w:tc>
          <w:tcPr>
            <w:tcW w:w="220" w:type="dxa"/>
            <w:vAlign w:val="bottom"/>
          </w:tcPr>
          <w:p>
            <w:pPr>
              <w:spacing w:after="0"/>
              <w:rPr>
                <w:sz w:val="24"/>
                <w:szCs w:val="24"/>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goods sold</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9,894</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10,977</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1,617</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1,540</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asset impairments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in net income (loss) of equity method investees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Micron</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w:t>
            </w:r>
          </w:p>
        </w:tc>
        <w:tc>
          <w:tcPr>
            <w:tcW w:w="2940" w:type="dxa"/>
            <w:vAlign w:val="bottom"/>
            <w:gridSpan w:val="3"/>
          </w:tcPr>
          <w:p>
            <w:pPr>
              <w:jc w:val="right"/>
              <w:ind w:right="346"/>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-5318125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-5318125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21"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September 3,</w:t>
            </w: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August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liability adjustments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Gain (loss) on derivatives, net</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investments, net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income (loss)</w:t>
            </w: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ind w:left="3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Comprehensive income (loss) attributable to Micron</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60" w:type="dxa"/>
            <w:vAlign w:val="bottom"/>
            <w:gridSpan w:val="6"/>
          </w:tcPr>
          <w:p>
            <w:pPr>
              <w:jc w:val="center"/>
              <w:ind w:left="313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80" w:type="dxa"/>
            <w:vAlign w:val="bottom"/>
          </w:tcPr>
          <w:p>
            <w:pPr>
              <w:jc w:val="center"/>
              <w:ind w:left="103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3"/>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rPr>
              <w:t>MICRON TECHNOLOGY, INC.</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18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(in millions except par value amounts)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September 1,</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September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Cash and equivalents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Receivables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2,068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current assets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1,364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tax assets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3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income</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Current debt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notes</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Micron shareholders’ equity</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6"/>
          </w:tcPr>
          <w:p>
            <w:pPr>
              <w:ind w:left="160"/>
              <w:spacing w:after="0" w:line="201" w:lineRule="exact"/>
              <w:rPr>
                <w:sz w:val="20"/>
                <w:szCs w:val="20"/>
                <w:color w:val="auto"/>
              </w:rPr>
            </w:pPr>
            <w:r>
              <w:rPr>
                <w:rFonts w:ascii="Arial" w:cs="Arial" w:eastAsia="Arial" w:hAnsi="Arial"/>
                <w:sz w:val="18"/>
                <w:szCs w:val="18"/>
                <w:color w:val="auto"/>
                <w:w w:val="92"/>
              </w:rPr>
              <w:t>Common stock, $0.10 par value, 3,000 shares authorized, 1,094 shares issued and outstanding (1,084 as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September 3, 2015)</w:t>
            </w: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capital</w:t>
            </w: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5,299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Treasury stock, 54 shares held (45 as of September 3, 2015)</w:t>
            </w: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6"/>
              </w:rPr>
              <w:t>Accumulated other comprehensive income (loss)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Micron shareholders’ equity</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-6741795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-6741795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60"/>
          </w:cols>
          <w:pgMar w:left="240" w:top="320" w:right="199" w:bottom="0" w:gutter="0" w:footer="0" w:header="0"/>
        </w:sectPr>
      </w:pPr>
    </w:p>
    <w:bookmarkStart w:id="15" w:name="page16"/>
    <w:bookmarkEnd w:id="15"/>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3"/>
                <w:szCs w:val="13"/>
                <w:b w:val="1"/>
                <w:bCs w:val="1"/>
                <w:color w:val="auto"/>
                <w:w w:val="89"/>
              </w:rPr>
              <w:t>Micron Shareholders</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2460" w:type="dxa"/>
            <w:vAlign w:val="bottom"/>
          </w:tcPr>
          <w:p>
            <w:pPr>
              <w:spacing w:after="0"/>
              <w:rPr>
                <w:sz w:val="22"/>
                <w:szCs w:val="22"/>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10"/>
        </w:trPr>
        <w:tc>
          <w:tcPr>
            <w:tcW w:w="2460" w:type="dxa"/>
            <w:vAlign w:val="bottom"/>
          </w:tcPr>
          <w:p>
            <w:pPr>
              <w:spacing w:after="0"/>
              <w:rPr>
                <w:sz w:val="9"/>
                <w:szCs w:val="9"/>
                <w:color w:val="auto"/>
              </w:rPr>
            </w:pPr>
          </w:p>
        </w:tc>
        <w:tc>
          <w:tcPr>
            <w:tcW w:w="1000" w:type="dxa"/>
            <w:vAlign w:val="bottom"/>
            <w:tcBorders>
              <w:top w:val="single" w:sz="8" w:color="auto"/>
            </w:tcBorders>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Earnings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9"/>
                <w:szCs w:val="9"/>
                <w:color w:val="auto"/>
              </w:rPr>
            </w:pPr>
          </w:p>
        </w:tc>
        <w:tc>
          <w:tcPr>
            <w:tcW w:w="92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8"/>
              </w:rPr>
              <w:t>Total Micron</w:t>
            </w:r>
          </w:p>
        </w:tc>
        <w:tc>
          <w:tcPr>
            <w:tcW w:w="80" w:type="dxa"/>
            <w:vAlign w:val="bottom"/>
          </w:tcPr>
          <w:p>
            <w:pPr>
              <w:spacing w:after="0"/>
              <w:rPr>
                <w:sz w:val="9"/>
                <w:szCs w:val="9"/>
                <w:color w:val="auto"/>
              </w:rPr>
            </w:pPr>
          </w:p>
        </w:tc>
        <w:tc>
          <w:tcPr>
            <w:tcW w:w="10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5"/>
        </w:trPr>
        <w:tc>
          <w:tcPr>
            <w:tcW w:w="246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w w:val="94"/>
              </w:rPr>
              <w:t>Additional</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98"/>
              <w:spacing w:after="0" w:line="135" w:lineRule="exact"/>
              <w:rPr>
                <w:sz w:val="20"/>
                <w:szCs w:val="20"/>
                <w:color w:val="auto"/>
              </w:rPr>
            </w:pPr>
            <w:r>
              <w:rPr>
                <w:rFonts w:ascii="Arial" w:cs="Arial" w:eastAsia="Arial" w:hAnsi="Arial"/>
                <w:sz w:val="13"/>
                <w:szCs w:val="13"/>
                <w:b w:val="1"/>
                <w:bCs w:val="1"/>
                <w:color w:val="auto"/>
                <w:w w:val="94"/>
              </w:rPr>
              <w:t>Treasury</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w:t>
            </w:r>
          </w:p>
        </w:tc>
        <w:tc>
          <w:tcPr>
            <w:tcW w:w="8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9"/>
              </w:rPr>
              <w:t>Interests in</w:t>
            </w:r>
          </w:p>
        </w:tc>
        <w:tc>
          <w:tcPr>
            <w:tcW w:w="140" w:type="dxa"/>
            <w:vAlign w:val="bottom"/>
          </w:tcPr>
          <w:p>
            <w:pPr>
              <w:spacing w:after="0"/>
              <w:rPr>
                <w:sz w:val="11"/>
                <w:szCs w:val="11"/>
                <w:color w:val="auto"/>
              </w:rPr>
            </w:pPr>
          </w:p>
        </w:tc>
        <w:tc>
          <w:tcPr>
            <w:tcW w:w="800" w:type="dxa"/>
            <w:vAlign w:val="bottom"/>
            <w:gridSpan w:val="3"/>
          </w:tcPr>
          <w:p>
            <w:pPr>
              <w:jc w:val="right"/>
              <w:ind w:right="38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4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92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78"/>
              <w:spacing w:after="0"/>
              <w:rPr>
                <w:sz w:val="20"/>
                <w:szCs w:val="20"/>
                <w:color w:val="auto"/>
              </w:rPr>
            </w:pPr>
            <w:r>
              <w:rPr>
                <w:rFonts w:ascii="Arial" w:cs="Arial" w:eastAsia="Arial" w:hAnsi="Arial"/>
                <w:sz w:val="13"/>
                <w:szCs w:val="13"/>
                <w:b w:val="1"/>
                <w:bCs w:val="1"/>
                <w:color w:val="auto"/>
              </w:rPr>
              <w:t>Stock</w:t>
            </w:r>
          </w:p>
        </w:tc>
        <w:tc>
          <w:tcPr>
            <w:tcW w:w="960" w:type="dxa"/>
            <w:vAlign w:val="bottom"/>
            <w:gridSpan w:val="3"/>
          </w:tcPr>
          <w:p>
            <w:pPr>
              <w:jc w:val="center"/>
              <w:ind w:right="38"/>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Subsidiaries</w:t>
            </w:r>
          </w:p>
        </w:tc>
        <w:tc>
          <w:tcPr>
            <w:tcW w:w="140" w:type="dxa"/>
            <w:vAlign w:val="bottom"/>
          </w:tcPr>
          <w:p>
            <w:pPr>
              <w:spacing w:after="0"/>
              <w:rPr>
                <w:sz w:val="13"/>
                <w:szCs w:val="13"/>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Equity</w:t>
            </w:r>
          </w:p>
        </w:tc>
      </w:tr>
      <w:tr>
        <w:trPr>
          <w:trHeight w:val="129"/>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29, 2013</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1,044</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9,187</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9,142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864</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3,079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net</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 issued under stock plans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9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262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266</w:t>
            </w: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Contributions from noncontrolling interests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w:t>
            </w: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Acquisitions of noncontrolling interests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(146)</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and retirement of stock</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w:t>
            </w:r>
          </w:p>
        </w:tc>
      </w:tr>
      <w:tr>
        <w:trPr>
          <w:trHeight w:val="121"/>
        </w:trPr>
        <w:tc>
          <w:tcPr>
            <w:tcW w:w="2460" w:type="dxa"/>
            <w:vAlign w:val="bottom"/>
          </w:tcPr>
          <w:p>
            <w:pPr>
              <w:spacing w:after="0" w:line="121" w:lineRule="exact"/>
              <w:rPr>
                <w:sz w:val="20"/>
                <w:szCs w:val="20"/>
                <w:color w:val="auto"/>
              </w:rPr>
            </w:pPr>
            <w:r>
              <w:rPr>
                <w:rFonts w:ascii="Arial" w:cs="Arial" w:eastAsia="Arial" w:hAnsi="Arial"/>
                <w:sz w:val="13"/>
                <w:szCs w:val="13"/>
                <w:color w:val="auto"/>
              </w:rPr>
              <w:t>Settlement of capped calls and share</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460" w:type="dxa"/>
            <w:vAlign w:val="bottom"/>
          </w:tcPr>
          <w:p>
            <w:pPr>
              <w:ind w:left="180"/>
              <w:spacing w:after="0"/>
              <w:rPr>
                <w:sz w:val="20"/>
                <w:szCs w:val="20"/>
                <w:color w:val="auto"/>
              </w:rPr>
            </w:pPr>
            <w:r>
              <w:rPr>
                <w:rFonts w:ascii="Arial" w:cs="Arial" w:eastAsia="Arial" w:hAnsi="Arial"/>
                <w:sz w:val="13"/>
                <w:szCs w:val="13"/>
                <w:color w:val="auto"/>
              </w:rPr>
              <w:t>retirement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Redeemable convertible notes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w:t>
            </w:r>
          </w:p>
        </w:tc>
      </w:tr>
      <w:tr>
        <w:trPr>
          <w:trHeight w:val="121"/>
        </w:trPr>
        <w:tc>
          <w:tcPr>
            <w:tcW w:w="2460" w:type="dxa"/>
            <w:vAlign w:val="bottom"/>
          </w:tcPr>
          <w:p>
            <w:pPr>
              <w:spacing w:after="0" w:line="121" w:lineRule="exact"/>
              <w:rPr>
                <w:sz w:val="20"/>
                <w:szCs w:val="20"/>
                <w:color w:val="auto"/>
              </w:rPr>
            </w:pPr>
            <w:r>
              <w:rPr>
                <w:rFonts w:ascii="Arial" w:cs="Arial" w:eastAsia="Arial" w:hAnsi="Arial"/>
                <w:sz w:val="13"/>
                <w:szCs w:val="13"/>
                <w:color w:val="auto"/>
              </w:rPr>
              <w:t>Exchange, conversion, and repurchase of</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460" w:type="dxa"/>
            <w:vAlign w:val="bottom"/>
          </w:tcPr>
          <w:p>
            <w:pPr>
              <w:ind w:left="180"/>
              <w:spacing w:after="0"/>
              <w:rPr>
                <w:sz w:val="20"/>
                <w:szCs w:val="20"/>
                <w:color w:val="auto"/>
              </w:rPr>
            </w:pPr>
            <w:r>
              <w:rPr>
                <w:rFonts w:ascii="Arial" w:cs="Arial" w:eastAsia="Arial" w:hAnsi="Arial"/>
                <w:sz w:val="13"/>
                <w:szCs w:val="13"/>
                <w:color w:val="auto"/>
              </w:rPr>
              <w:t>convertible notes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(1,691)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(1,691)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(1,691)</w:t>
            </w:r>
          </w:p>
        </w:tc>
      </w:tr>
      <w:tr>
        <w:trPr>
          <w:trHeight w:val="129"/>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August 28, 2014</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1,073</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7,868</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2,729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10,760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802</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11,562</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net</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 issued under stock plans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Contributions from noncontrolling interests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142</w:t>
            </w:r>
          </w:p>
        </w:tc>
        <w:tc>
          <w:tcPr>
            <w:tcW w:w="14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142</w:t>
            </w: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Repurchase and retirement of stock</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(53)</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treasury stock</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(831)</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(831)</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Settlement of capped calls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Redeemable convertible notes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1"/>
        </w:trPr>
        <w:tc>
          <w:tcPr>
            <w:tcW w:w="2460" w:type="dxa"/>
            <w:vAlign w:val="bottom"/>
          </w:tcPr>
          <w:p>
            <w:pPr>
              <w:spacing w:after="0" w:line="121" w:lineRule="exact"/>
              <w:rPr>
                <w:sz w:val="20"/>
                <w:szCs w:val="20"/>
                <w:color w:val="auto"/>
              </w:rPr>
            </w:pPr>
            <w:r>
              <w:rPr>
                <w:rFonts w:ascii="Arial" w:cs="Arial" w:eastAsia="Arial" w:hAnsi="Arial"/>
                <w:sz w:val="13"/>
                <w:szCs w:val="13"/>
                <w:color w:val="auto"/>
              </w:rPr>
              <w:t>Conversion and repurchase of convertible</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460" w:type="dxa"/>
            <w:vAlign w:val="bottom"/>
          </w:tcPr>
          <w:p>
            <w:pPr>
              <w:ind w:left="180"/>
              <w:spacing w:after="0"/>
              <w:rPr>
                <w:sz w:val="20"/>
                <w:szCs w:val="20"/>
                <w:color w:val="auto"/>
              </w:rPr>
            </w:pPr>
            <w:r>
              <w:rPr>
                <w:rFonts w:ascii="Arial" w:cs="Arial" w:eastAsia="Arial" w:hAnsi="Arial"/>
                <w:sz w:val="13"/>
                <w:szCs w:val="13"/>
                <w:color w:val="auto"/>
              </w:rPr>
              <w:t>notes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(691)</w:t>
            </w:r>
          </w:p>
        </w:tc>
      </w:tr>
      <w:tr>
        <w:trPr>
          <w:trHeight w:val="129"/>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September 3, 2015</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1,084</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7,474</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5,588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12,302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937</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13,239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(275)</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(loss), net</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 issued under stock plans</w:t>
            </w: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1"/>
                <w:szCs w:val="1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Contributions from noncontrolling interests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Acquisitions of noncontrolling interests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w:t>
            </w: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(93)</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and retirement of stock</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Repurchase of treasury stock</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(125)</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(125)</w:t>
            </w: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capped calls</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Redeemable convertible notes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1"/>
        </w:trPr>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and repurchase of convertible</w:t>
            </w: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notes</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r>
      <w:tr>
        <w:trPr>
          <w:trHeight w:val="142"/>
        </w:trPr>
        <w:tc>
          <w:tcPr>
            <w:tcW w:w="2460" w:type="dxa"/>
            <w:vAlign w:val="bottom"/>
          </w:tcPr>
          <w:p>
            <w:pPr>
              <w:spacing w:after="0" w:line="143" w:lineRule="exact"/>
              <w:rPr>
                <w:sz w:val="20"/>
                <w:szCs w:val="20"/>
                <w:color w:val="auto"/>
              </w:rPr>
            </w:pPr>
            <w:r>
              <w:rPr>
                <w:rFonts w:ascii="Arial" w:cs="Arial" w:eastAsia="Arial" w:hAnsi="Arial"/>
                <w:sz w:val="13"/>
                <w:szCs w:val="13"/>
                <w:b w:val="1"/>
                <w:bCs w:val="1"/>
                <w:color w:val="auto"/>
              </w:rPr>
              <w:t>Balance at September 1, 2016</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1,094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109</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7,736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(1,029</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12,080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848</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12,928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Depreciation expense and amortization of intangible assets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2,980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2,667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other costs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restructure of debt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(Gain) loss from currency hedges, net</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net income of equity method investees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Gain from Inotera issuance of shares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from disposition of interest in Aptina</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(5,817)</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(4,021)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Payments to settle hedging activities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3,690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settlement of hedging activities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received from disposition of interest in Aptina</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337"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cash provided by (used for) investing activities</w:t>
            </w:r>
          </w:p>
        </w:tc>
        <w:tc>
          <w:tcPr>
            <w:tcW w:w="5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(3,068)</w:t>
            </w:r>
          </w:p>
        </w:tc>
        <w:tc>
          <w:tcPr>
            <w:tcW w:w="4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(6,232)</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under equity plans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to acquire treasury stock</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Effect of changes in currency exchange rates on cash and equivalents</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1,853</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(1,863)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end of period</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Exchange of convertible notes</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are a global leader in advanced semiconductor systems. Our broad portfolio of high-performance memory technologies,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DRAM, NAND Flash, and NOR Flash, is the basis for solid-state drives, modules, multi-chip packages, and other system solutions. Our memory solutions enable the world’s most innovative computing, consumer, enterprise storage, networking, mobile, embedded, and automotive applications. The accompanying consolidated financial statements include the accounts of Micron and our consolidated subsidiaries and have been prepared in accordance with accounting principles generally accepted in the United States of America. Certain reclassifications have been made to prior period amounts to conform to current period presentation.</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the first quarter of 2017, we revised the measure of segment profitability reviewed by our chief operating decision maker and, as a result, certain items are no longer allocated to our business units. Comparative periods have been revised to reflect these changes.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2016 and 2014 each contained 52 weeks and fiscal year 2015 contained 53 weeks. All period references are to our fiscal periods unless otherwise indicated.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Derivative and Hedging Instruments: </w:t>
      </w:r>
      <w:r>
        <w:rPr>
          <w:rFonts w:ascii="Arial" w:cs="Arial" w:eastAsia="Arial" w:hAnsi="Arial"/>
          <w:sz w:val="17"/>
          <w:szCs w:val="17"/>
          <w:color w:val="auto"/>
        </w:rPr>
        <w:t>We use derivative instruments to manage a portion of our exposure to changes in currency exchange rates from</w:t>
      </w:r>
      <w:r>
        <w:rPr>
          <w:rFonts w:ascii="Arial" w:cs="Arial" w:eastAsia="Arial" w:hAnsi="Arial"/>
          <w:sz w:val="17"/>
          <w:szCs w:val="17"/>
          <w:b w:val="1"/>
          <w:bCs w:val="1"/>
          <w:color w:val="auto"/>
        </w:rPr>
        <w:t xml:space="preserve"> </w:t>
      </w:r>
      <w:r>
        <w:rPr>
          <w:rFonts w:ascii="Arial" w:cs="Arial" w:eastAsia="Arial" w:hAnsi="Arial"/>
          <w:sz w:val="17"/>
          <w:szCs w:val="17"/>
          <w:color w:val="auto"/>
        </w:rPr>
        <w:t>our monetary assets and liabilities denominated in currencies other than the U.S. dollar. We have also had convertible note settlement obligations, which were accounted for as derivative instruments as a result of our elections to settle conversions in cash. We do not use derivative instruments for trading or speculative purposes. Derivative instruments are measured at their fair values and recognized as either assets or liabilities. The accounting for changes in the fair value of derivative instruments is based on the intended use of the derivative and the resulting designation. For derivative instruments that are not designated as hedges for accounting purpose, gains or losses from changes in fair values are recognized in other non-operating income (expense). For derivative instruments designated as cash-flow hedges, the effective portion of the gain or loss is included as a component of other comprehensive income (loss) and the ineffective or excluded portion of the gain or loss is included in other non-operating income (expense). Amounts in accumulated other comprehensive income (loss) from these cash flow hedges are reclassified into earnings in the same line items of the consolidated statements of operation and in the same periods in which the underlying transactions affect earnings. Effectiveness is measured by comparing the cumulative change in the fair value of the hedge contract with the cumulative change in the forecasted cash flows of the hedged item. For the effectiveness assessment of our cash-flow hedges, changes in the time value are excluded for forward contracts.</w:t>
      </w:r>
    </w:p>
    <w:p>
      <w:pPr>
        <w:spacing w:after="0" w:line="184"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177"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to us of three months or less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convertible to known amounts of cash. Investments with maturities greater than three months and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ectPr>
          <w:pgSz w:w="11900" w:h="16838" w:orient="portrait"/>
          <w:cols w:equalWidth="0" w:num="1">
            <w:col w:w="11420"/>
          </w:cols>
          <w:pgMar w:left="240" w:top="125" w:right="239" w:bottom="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functional currency for us and all of our consolidated subsidiaries.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average cost or net realizable value. Cost includes depreciation, labor, material, and overhead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and process technology costs. Determining net realizable value of inventories involves numerous judgments, including projecting future average selling prices, sales volumes, and costs to complete products in work in process inventories. When net realizable value is below cost, we record a charge to cost of goods sold to write down inventories to their estimated net realizable value in advance of when the inventories are actually sold. In determining the lower of average cost or net realizable value, inventories are primarily categorized as memory (including DRAM, Non-Volatile, and other memory) based on the major characteristics of product type and markets. We remove amounts from inventory and charge such amounts to cost of goods sold on an average cost basis.</w:t>
      </w:r>
    </w:p>
    <w:p>
      <w:pPr>
        <w:spacing w:after="0" w:line="18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(1) acquire product and process technology, (2) patent technology, and (3) maintain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are capitalized and amortized on a straight-line basis over periods ranging up to 12.5 years. We capitalize a portion of the costs incurred to patent technology based on historical and projected patents issued as a percent of patents we file. Capitalized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84"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We generally provide a limited warranty that our products are in compliance with our specifications existing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stated at cost and depreciated using the straight-line method over estimated useful</w:t>
      </w:r>
      <w:r>
        <w:rPr>
          <w:rFonts w:ascii="Arial" w:cs="Arial" w:eastAsia="Arial" w:hAnsi="Arial"/>
          <w:sz w:val="18"/>
          <w:szCs w:val="18"/>
          <w:b w:val="1"/>
          <w:bCs w:val="1"/>
          <w:color w:val="auto"/>
        </w:rPr>
        <w:t xml:space="preserve"> </w:t>
      </w:r>
      <w:r>
        <w:rPr>
          <w:rFonts w:ascii="Arial" w:cs="Arial" w:eastAsia="Arial" w:hAnsi="Arial"/>
          <w:sz w:val="18"/>
          <w:szCs w:val="18"/>
          <w:color w:val="auto"/>
        </w:rPr>
        <w:t>lives of generally 10 to 30 years for buildings, 5 to 7 years for equipment, and 3 to 5 years for software. Assets held for sale are carried at the lower of cost or estimated fair value and are included in other noncurrent assets. When property, plant, or equipment is retired or otherwise disposed, the net book value is removed and we recognize any gain or loss in our results of operations.</w:t>
      </w:r>
    </w:p>
    <w:p>
      <w:pPr>
        <w:spacing w:after="0" w:line="1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 to the condition of their intended use and location. Capitalized interest becomes part of the cost, and amortized over the useful lives of, the assets.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periodically assess the estimated useful lives of our property, plant, and equipment. In the fourth quarter of 2016, we identified factors such as the lengthening period of time between DRAM product technology node transitions, an increased re-use rate of equipment, and industry trends. As a result, we revised the estimated useful lives of equipment in our DRAM wafer fabrication facilities from five to seven years in the fourth quarter of 2016. For 2016, the effect of the revision was not material.</w:t>
      </w:r>
    </w:p>
    <w:p>
      <w:pPr>
        <w:spacing w:after="0" w:line="1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as incurred. Determining when product development is complete requires judgment. Development of a product is deemed complete once the product has been thoroughly reviewed and has passed tests for performance and reliability. Subsequent to product qualification, product costs are included in cost of goods sold. Product design and other research and development costs for certain technologies are shared with our joint venture partners. Amounts receivable from cost-sharing arrangements are reflected as a reduction of research and development expense.</w:t>
      </w:r>
    </w:p>
    <w:p>
      <w:pPr>
        <w:spacing w:after="0" w:line="168" w:lineRule="exact"/>
        <w:rPr>
          <w:sz w:val="20"/>
          <w:szCs w:val="20"/>
          <w:color w:val="auto"/>
        </w:rPr>
      </w:pPr>
    </w:p>
    <w:p>
      <w:pPr>
        <w:ind w:right="280"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product or license revenue when persuasive evidence that a sales arrangement exists, delivery has occurred,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price is fixed or determinable, and collectibility is reasonably assured. If we are unable to reasonably estimate returns or the price is not fixed or determinable, sales made under agreements allowing rights of return or price protection are deferred until customers have resold the product.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is measured at the grant date, based on the fair value of the award, and recognized as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straight-line attribution method over the requisite service period. We issue new shares upon the exercise of stock options or conversion of share units.</w:t>
      </w:r>
    </w:p>
    <w:p>
      <w:pPr>
        <w:spacing w:after="0" w:line="176"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Treasury stock is carried at cost. When we retire our treasury stock, any excess of the repurchase price paid over par value is allocated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additional capital and retained earnings.</w:t>
      </w:r>
    </w:p>
    <w:p>
      <w:pPr>
        <w:spacing w:after="0" w:line="162"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and related disclosures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VIEs</w:t>
      </w:r>
    </w:p>
    <w:p>
      <w:pPr>
        <w:sectPr>
          <w:pgSz w:w="11900" w:h="16838" w:orient="portrait"/>
          <w:cols w:equalWidth="0" w:num="1">
            <w:col w:w="11420"/>
          </w:cols>
          <w:pgMar w:left="240" w:top="121" w:right="239" w:bottom="0" w:gutter="0" w:footer="0" w:header="0"/>
        </w:sectPr>
      </w:pPr>
    </w:p>
    <w:bookmarkStart w:id="18" w:name="page19"/>
    <w:bookmarkEnd w:id="18"/>
    <w:p>
      <w:pPr>
        <w:spacing w:after="0" w:line="88"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i w:val="1"/>
          <w:iCs w:val="1"/>
          <w:color w:val="auto"/>
        </w:rPr>
        <w:t>Inotera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Inotera is a VIE because of the terms of its supply agreement with us. We have determined that we do not have the power to direct the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Inotera that most significantly impact its economic performance, primarily due to limitations on our governance rights that require the consent of other parties for key operating decisions and due to Inotera’s dependence on Nanya for financing and the ability of Inotera to operate in Taiwan. Therefore, we do not consolidate Inotera and we account for our interest under the equity method. (See “Equity Method Investments — Inotera” note.)</w:t>
      </w:r>
    </w:p>
    <w:p>
      <w:pPr>
        <w:spacing w:after="0" w:line="15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EQUVO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EQUVO HK Limited (“EQUVO”) is a special purpose entity created to facilitate an equipment sale-leaseback financing transaction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and a consortium of financial institutions. Neither we nor the financing entities have an equity interest in EQUVO. EQUVO is a VIE because its equity is not sufficient to permit it to finance its activities without additional support from the financing entities and because the third-party equity holder lacks characteristics of a controlling financial interest. By design, the arrangement with EQUVO is merely a financing vehicle and we do not bear any significant risks from variable interests with EQUVO. Therefore, we have determined that we do not have the power to direct the activities of EQUVO that most significantly impact its economic performance and we do not consolidate EQUVO.</w:t>
      </w:r>
    </w:p>
    <w:p>
      <w:pPr>
        <w:spacing w:after="0" w:line="1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SC Hiroshima Energy Corporation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 Hiroshima Energy Corporation (“SCHE”) is an entity created to construct and operate a cogeneration, electrical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plant to support our wafer manufacturing facility in Hiroshima, Japan. We do not have an equity interest in SCHE. SCHE is a VIE due to the nature of its tolling agreements with us and our option to purchase SCHE’s assets. We do not control the operation and maintenance of the plant, which we have determined are the activities of SCHE that most significantly impact its economic performance. Therefore, we do not consolidate SCHE.</w:t>
      </w:r>
    </w:p>
    <w:p>
      <w:pPr>
        <w:spacing w:after="0" w:line="165"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i w:val="1"/>
          <w:iCs w:val="1"/>
          <w:color w:val="auto"/>
        </w:rPr>
        <w:t>PTI Xi’an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Powertech Technology Inc. Xi’an (“PTI Xi’an”) is a wholly-owned subsidiary of Powertech Technology Inc. (“PTI”) and was created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assembly services to us at our manufacturing site in Xi’an, China. We do not have an equity interest in PTI Xi’an. PTI Xi’an is a VIE because of the terms of its service agreement with us and its dependency on PTI to finance its operations. We have determined that we do not have the power to direct the activities of PTI Xi’an that most significantly impact its economic performance, primarily because we have no governance rights. Therefore, we do not consolidate PTI Xi’an.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IMFT is a VIE because all of its costs are passed to us and its other member, Intel, through product purchase agreements and because IMFT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In addition, IMFT manufactures certain products exclusively for us using our technology. We consolidate IMFT because we have the power to direct the activities of IMFT that most significantly impact its economic performance and because we have the obligation to absorb losses and the right to receive benefits from IMFT that could potentially be significant to it.</w:t>
      </w:r>
    </w:p>
    <w:p>
      <w:pPr>
        <w:spacing w:after="0" w:line="188" w:lineRule="exact"/>
        <w:rPr>
          <w:sz w:val="20"/>
          <w:szCs w:val="20"/>
          <w:color w:val="auto"/>
        </w:rPr>
      </w:pPr>
    </w:p>
    <w:p>
      <w:pPr>
        <w:ind w:right="80" w:firstLine="324"/>
        <w:spacing w:after="0" w:line="289" w:lineRule="auto"/>
        <w:rPr>
          <w:sz w:val="20"/>
          <w:szCs w:val="20"/>
          <w:color w:val="auto"/>
        </w:rPr>
      </w:pPr>
      <w:r>
        <w:rPr>
          <w:rFonts w:ascii="Arial" w:cs="Arial" w:eastAsia="Arial" w:hAnsi="Arial"/>
          <w:sz w:val="17"/>
          <w:szCs w:val="17"/>
          <w:b w:val="1"/>
          <w:bCs w:val="1"/>
          <w:i w:val="1"/>
          <w:iCs w:val="1"/>
          <w:color w:val="auto"/>
        </w:rPr>
        <w:t>MP Mask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5, 2016, we acquired all of the remaining interest of MP Mask from its other member, Photronics. Prior to May 5, 2016,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MP Mask because we had the power to direct the activities of MP Mask that most significantly impacted its economic performance and because we had the obligation to absorb losses and the right to receive benefits from MP Mask that could potentially have been significant to it.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“Equity — Noncontrolling Interests in Subsidiaries”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2015-17 — </w:t>
      </w:r>
      <w:r>
        <w:rPr>
          <w:rFonts w:ascii="Arial" w:cs="Arial" w:eastAsia="Arial" w:hAnsi="Arial"/>
          <w:sz w:val="18"/>
          <w:szCs w:val="18"/>
          <w:i w:val="1"/>
          <w:iCs w:val="1"/>
          <w:color w:val="auto"/>
        </w:rPr>
        <w:t>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which eliminated the requirement to present deferred tax liabilities and assets as current and noncurrent in a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We adopted this ASU as of the beginning of our second quarter of 2016 on a prospective basis and did not retrospectively adjust prior periods. As a result of adopting this standard, we presented our deferred tax assets and liabilities as noncurrent. The adoption of this standard did not have a material impact on our financial statements.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September 2015, the FASB issued ASU 2015-16 —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xml:space="preserve"> which eliminated the requirement to restate prior period financial statements for measurement period adjustments following a business combination. Instead, the cumulative impact of measurement period adjustments, including the impact on prior periods, is required to be recognized in the reporting period in which the adjustment is identified. We adopted this ASU in our second quarter of 2016 on a prospective basis. The adoption of this standard did not have a material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In June 2016, the FASB issued ASU 2016-13 —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expected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We are required to adopt this ASU beginning in our first quarter of 2021; however, we are permitted to adopt this ASU as early as our first quarter of 2020. This ASU is required to be adopted using a modified retrospective approach, with prospective adoption for debt securities for which an other-than-temporary impairment had been recognized before the effective date. We are evaluating the timing and effects of our adoption of this ASU on our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 xml:space="preserve">In March 2016, the FASB issued ASU 2016-09 —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several aspects of the accounting for share-based payment transactions, including income tax consequences, classification of awards as either equity or liabilities, forfeitures, and classification on the statement of cash flows. We expect to adopt this ASU beginning in our first quarter of 2017 and expect to elect to account for forfeitures when they occur. This ASU allows for prospective, retrospective, or modified retrospective adoption, depending on the aspect covered. We do not anticipate the adoption of this ASU to have a material impact to our financial statements.</w:t>
      </w:r>
    </w:p>
    <w:p>
      <w:pPr>
        <w:sectPr>
          <w:pgSz w:w="11900" w:h="16927" w:orient="portrait"/>
          <w:cols w:equalWidth="0" w:num="1">
            <w:col w:w="11420"/>
          </w:cols>
          <w:pgMar w:left="240" w:top="121" w:right="239" w:bottom="0" w:gutter="0" w:footer="0" w:header="0"/>
        </w:sectPr>
      </w:pPr>
    </w:p>
    <w:bookmarkStart w:id="19" w:name="page20"/>
    <w:bookmarkEnd w:id="19"/>
    <w:p>
      <w:pPr>
        <w:ind w:firstLine="324"/>
        <w:spacing w:after="0" w:line="302" w:lineRule="auto"/>
        <w:rPr>
          <w:sz w:val="20"/>
          <w:szCs w:val="20"/>
          <w:color w:val="auto"/>
        </w:rPr>
      </w:pPr>
      <w:r>
        <w:rPr>
          <w:rFonts w:ascii="Arial" w:cs="Arial" w:eastAsia="Arial" w:hAnsi="Arial"/>
          <w:sz w:val="16"/>
          <w:szCs w:val="16"/>
          <w:color w:val="auto"/>
        </w:rPr>
        <w:t xml:space="preserve">In February 2016, the FASB issued ASU 2016-02 — </w:t>
      </w:r>
      <w:r>
        <w:rPr>
          <w:rFonts w:ascii="Arial" w:cs="Arial" w:eastAsia="Arial" w:hAnsi="Arial"/>
          <w:sz w:val="16"/>
          <w:szCs w:val="16"/>
          <w:i w:val="1"/>
          <w:iCs w:val="1"/>
          <w:color w:val="auto"/>
        </w:rPr>
        <w:t>Leases</w:t>
      </w:r>
      <w:r>
        <w:rPr>
          <w:rFonts w:ascii="Arial" w:cs="Arial" w:eastAsia="Arial" w:hAnsi="Arial"/>
          <w:sz w:val="16"/>
          <w:szCs w:val="16"/>
          <w:color w:val="auto"/>
        </w:rPr>
        <w:t>, which amends a number of aspects of lease accounting, including requiring lessees to recognize operating leases with a term greater than one year on their balance sheet as a right-of-use asset and corresponding liability, measured at the present value of the lease payments. This ASU will be effective for us beginning in our first quarter of 2020 and early adoption is permitted. This ASU is required to be adopted using a modified retrospective approach. We are evaluating the timing and effects of our adoption of this ASU on our financial statements.</w:t>
      </w:r>
    </w:p>
    <w:p>
      <w:pPr>
        <w:spacing w:after="0" w:line="15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 xml:space="preserve">In January 2016, the FASB issued ASU 2016-01 —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which provides guidance for the recognition, measurement, presentation, and disclosure of financial assets and liabilities. This ASU will be effective for us beginning in our first quarter of 2019 and requires modified-retrospective adoption. We are evaluating the effects of our adoption of this ASU on our financial statements.</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In April 2015, the FASB issued ASU 2015-05 —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xml:space="preserve">, which provides additional guidance to customers about whether a cloud computing arrangement includes a software license. Under ASU 2015-05, cloud computing arrangements that contain a software license should be accounted for in a manner consistent with the acquisition of other software licenses. If the arrangement does not contain a software license, customers should account for the arrangement as a service contract. ASU 2015-05 also removes the requirement to analogize to ASC 840-10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 determine the asset acquired in a software licensing arrangement. We will prospectively adopt this ASU beginning in our first quarter of 2017 and do not anticipate it to have a material impact to our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In February 2015, the FASB issued ASU 2015-02 —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which amends the consolidation requirements in Accounting Standards Codification 810 — </w:t>
      </w:r>
      <w:r>
        <w:rPr>
          <w:rFonts w:ascii="Arial" w:cs="Arial" w:eastAsia="Arial" w:hAnsi="Arial"/>
          <w:sz w:val="18"/>
          <w:szCs w:val="18"/>
          <w:i w:val="1"/>
          <w:iCs w:val="1"/>
          <w:color w:val="auto"/>
        </w:rPr>
        <w:t>Consolidation</w:t>
      </w:r>
      <w:r>
        <w:rPr>
          <w:rFonts w:ascii="Arial" w:cs="Arial" w:eastAsia="Arial" w:hAnsi="Arial"/>
          <w:sz w:val="18"/>
          <w:szCs w:val="18"/>
          <w:color w:val="auto"/>
        </w:rPr>
        <w:t>. ASU 2015-02 makes targeted amendments to the consolidation guidance for VIEs, which could change consolidation conclusions. We expect to adopt this ASU under a modified-retrospective approach beginning in our first quarter of 2017 and we do not anticipate it to have a material impact to our financial statements.</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In May 2014, the FASB issued ASU 2014-09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nearly all existing revenue recognition guidance under generally accepted accounting principles in the U.S. The core principal of this ASU, as amended, is that an entity should recognize revenue when it transfers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We are required to adopt this ASU beginning in our first quarter of 2019; however, we are permitted to adopt this ASU as early as our first quarter of 2018. This ASU allows for either full-retrospective or modified-retrospective adoption. We expect that, as a result of the adoption of this ASU, the timing of recognizing revenue from sales of products to our distributors will be generally earlier than under the existing revenue recognition guidance. We are evaluating the effects of our adoption of this ASU on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Acquisition of Inotera</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second quarter of 2016, we entered into agreements to acquire the remaining interest in Inotera for 30 New Taiwan dollars per share in cash (equivalent to approximately $0.95 per share, assuming 31.7 New Taiwan dollars per U.S. dollar, the exchange rate as of September 1, 2016). As of September 1, 2016, we held a 33% ownership interest in Inotera, Nanya and certain of its affiliates held a 32% ownership interest, and the remaining ownership interest in Inotera was publicly held. Based on the exchange rate as of September 1, 2016, we estimate the aggregate consideration payable for the 67% of Inotera shares not owned by us would be approximately $4.1 billion.</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March 29, 2016, the transaction was approved by the shareholders of Inotera, including Nanya and certain of Nanya’s affiliates (which approval was provided pursuant to voting and support agreements). Under the voting and support agreements, the parties have further agreed not to transfer any of their Inotera shares so long as the voting and support agreements are in effect. These agreements will terminate automatically upon the termination of the agreement to purchase the Inotera shares. On October 11, 2016, the Inotera board set the date for the closing of the transaction to be December 6, 2016. There can be no assurance that the Inotera transaction will be consummated, which is subject to certain termination rights and various conditions, including but not limited to:</w:t>
      </w:r>
    </w:p>
    <w:p>
      <w:pPr>
        <w:spacing w:after="0" w:line="193"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of necessary regulatory approvals from authorities in Taiwan, which have been received;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and funding of the Term Loan Facility (described below);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we determine otherwise, the consummation and funding of the Private Placement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Financing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October 11, 2016, we and Inotera, as co-borrowers, entered into a single-draw term loan facility (the “Term Loan Facility”), from which proceeds will be used to pay a portion of the acquisition consideration and any related transaction costs and to provide working capital for Inotera. In the second and third quarters of 2016, we entered into agreements with Nanya pursuant to which we have the option to issue a combination of shares of our common stock (the “Micron Shares”) and 2.00% convertible senior notes due 2021 (the “2021 Convertible Notes”) to Nanya, which is subject to regulatory approvals and various other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i w:val="1"/>
          <w:iCs w:val="1"/>
          <w:color w:val="auto"/>
        </w:rPr>
        <w:t>Term Loan Facility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Loan Facility can be made in a single draw on or prior to July 10, 2017, subject to the satisfaction of customary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up to a maximum aggregate borrowing amount of 80 billion New Taiwan dollars in cash (equivalent to $2.5 billion). The loan will bear interest at a variable rate equal to the three-month or six-month TAIBOR, at our or Inotera’s option, plus a margin of 2.05% per annum, payable monthly in arrears. The loan will mature five years from the date it is made and principal is payable in six equal semi-annual installments, commencing thirty months after such loan is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20" w:name="page21"/>
    <w:bookmarkEnd w:id="20"/>
    <w:p>
      <w:pPr>
        <w:spacing w:after="0" w:line="56"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Term Loan Facility will be collateralized by certain assets including a real estate mortgage on Inotera’s main production facility and site, a chattel mortgage over certain equipment of Inotera, all of the stock of our MSTW subsidiary and the approximately 80% of the stock of Inotera held by MSTW following the consummation of the acquisition. Micron will guarantee all of Inotera’s and MSTW’s obligations under the Term Loan Facility.</w:t>
      </w:r>
    </w:p>
    <w:p>
      <w:pPr>
        <w:spacing w:after="0" w:line="14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Term Loan Facility contains affirmative and negative covenants which are customary for financings of this type, including covenants that limit or restrict the ability to create liens in or dispose of collateral securing obligations under the Term Loan Facility, mergers involving MSTW and/or Inotera, loans or guarantees to third parties by Inotera and/or MSTW, and MSTW’s distribution of cash dividends (subject to satisfaction of certain financial conditions). The Term Loan Facility also contains financial covenants as follows, which are tested semi-annually:</w:t>
      </w:r>
    </w:p>
    <w:p>
      <w:pPr>
        <w:spacing w:after="0" w:line="171" w:lineRule="exact"/>
        <w:rPr>
          <w:sz w:val="20"/>
          <w:szCs w:val="20"/>
          <w:color w:val="auto"/>
        </w:rPr>
      </w:pPr>
    </w:p>
    <w:p>
      <w:pPr>
        <w:ind w:left="980" w:right="180" w:hanging="324"/>
        <w:spacing w:after="0" w:line="258"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MSTW must maintain a consolidated ratio of total debt to EBITDA not higher than 5.50x in 2017 and 2018; and not higher than 4.50x through 2019 to 2021.</w:t>
      </w:r>
    </w:p>
    <w:p>
      <w:pPr>
        <w:spacing w:after="0" w:line="1" w:lineRule="exact"/>
        <w:rPr>
          <w:rFonts w:ascii="Arial" w:cs="Arial" w:eastAsia="Arial" w:hAnsi="Arial"/>
          <w:sz w:val="18"/>
          <w:szCs w:val="18"/>
          <w:color w:val="auto"/>
        </w:rPr>
      </w:pPr>
    </w:p>
    <w:p>
      <w:pPr>
        <w:ind w:left="980" w:right="300" w:hanging="324"/>
        <w:spacing w:after="0" w:line="250"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MSTW must maintain consolidated tangible net worth of not less than 4 billion New Taiwan dollars (equivalent to $126 million) in 2017 and 2018; not less than 6.5 billion New Taiwan dollars (equivalent to $205 million) in 2019 and 2020; and not less than 12 billion New Taiwan dollars (equivalent to $378 million) in 2021.</w:t>
      </w:r>
    </w:p>
    <w:p>
      <w:pPr>
        <w:spacing w:after="0" w:line="1" w:lineRule="exact"/>
        <w:rPr>
          <w:rFonts w:ascii="Arial" w:cs="Arial" w:eastAsia="Arial" w:hAnsi="Arial"/>
          <w:sz w:val="18"/>
          <w:szCs w:val="18"/>
          <w:color w:val="auto"/>
        </w:rPr>
      </w:pPr>
    </w:p>
    <w:p>
      <w:pPr>
        <w:ind w:left="980" w:right="400" w:hanging="324"/>
        <w:spacing w:after="0" w:line="250"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consolidated basis, we must maintain a ratio of total debt to EBITDA not higher than 3.50x in 2017; not higher than 3.00x in 2018 and 2019; and not higher than 2.50x in 2020 and 2021.</w:t>
      </w:r>
    </w:p>
    <w:p>
      <w:pPr>
        <w:ind w:left="980" w:right="160" w:hanging="324"/>
        <w:spacing w:after="0" w:line="261"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consolidated basis, we must maintain tangible net worth not less than $9 billion in 2017; not less than $12.5 billion in 2018 and 2019; and not less than $16.5 billion in 2020 and 2021.</w:t>
      </w:r>
    </w:p>
    <w:p>
      <w:pPr>
        <w:spacing w:after="0" w:line="18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If one or more of the required financial ratios is not maintained at the time the ratios are tested, the interest rate will be increased by 0.25% until such time as the required financial ratios are maintained. In addition, if MSTW fails to maintain a required financial ratio for two consecutive semi-annual periods, such failure will constitute an event of default that could result in all obligations owing under the Term Loan Agreement being accelerated to be immediately due and payable. Our failure to maintain a required consolidated financial ratio will only result in an increase to the applicable interest rate and will not constitute an event of default under the Term Loan Facility. The Term Loan Facility also contains customary events of default.</w:t>
      </w:r>
    </w:p>
    <w:p>
      <w:pPr>
        <w:spacing w:after="0" w:line="154" w:lineRule="exact"/>
        <w:rPr>
          <w:sz w:val="20"/>
          <w:szCs w:val="20"/>
          <w:color w:val="auto"/>
        </w:rPr>
      </w:pPr>
    </w:p>
    <w:p>
      <w:pPr>
        <w:ind w:right="220" w:firstLine="324"/>
        <w:spacing w:after="0" w:line="241" w:lineRule="auto"/>
        <w:rPr>
          <w:sz w:val="20"/>
          <w:szCs w:val="20"/>
          <w:color w:val="auto"/>
        </w:rPr>
      </w:pPr>
      <w:r>
        <w:rPr>
          <w:rFonts w:ascii="Arial" w:cs="Arial" w:eastAsia="Arial" w:hAnsi="Arial"/>
          <w:sz w:val="18"/>
          <w:szCs w:val="18"/>
          <w:b w:val="1"/>
          <w:bCs w:val="1"/>
          <w:i w:val="1"/>
          <w:iCs w:val="1"/>
          <w:color w:val="auto"/>
        </w:rPr>
        <w:t>Micron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the option to issue Micron Shares in an amount up to 31.5 billion New Taiwan dollars (equivalent to $991 million, assuming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31.7 New Taiwan dollars per U.S. dollar) (the “Private Placement”), which would be used to fund a portion of the acquisition consideration. The per-share selling price for the Micron Shares would be equal to the greater of the New Taiwan dollar equivalent of (i) the average of the closing sale price of our common stock during the 30 consecutive trading day period ending on and including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prior to the consummation of the Inotera acquisition or (ii) $10.00.</w:t>
      </w:r>
    </w:p>
    <w:p>
      <w:pPr>
        <w:spacing w:after="0" w:line="20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2021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the option to issue 12.6 billion New Taiwan dollars (equivalent to $396 million) in 2021 Convertible Notes in lieu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value of Micron Shares so long as we also issue Micron Shares to Nanya of at least 6.3 billion New Taiwan dollars (equivalent to $198 million) pursuant to the Private Placement.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Transfer and License Agreements with Nanya</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second quarter of 2016, we entered into technology transfer and license agreements pursuant to which Nanya has the option to require us to transfer to Nanya certain technology and deliverables related to the next DRAM process node generation (the “1X Process Node”) after our 20nm process node and the next DRAM process node generation after the 1X Process Node for Nanya’s use. Under the terms of the agreements, Nanya would pay royalties to us for a license to the transferred technology based on revenues from products utilizing the technology, subject to an agreed cap, and we would also receive an equity interest in Nanya upon the achievement of certain milestones. Nanya’s option becomes exercisable upon the closing of the Inotera acquisition transaction.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1, 2016</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September 3, 2015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Cash and</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0"/>
                <w:szCs w:val="10"/>
                <w:color w:val="auto"/>
              </w:rPr>
            </w:pPr>
          </w:p>
        </w:tc>
        <w:tc>
          <w:tcPr>
            <w:tcW w:w="11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Long-term</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Total Fair</w:t>
            </w:r>
          </w:p>
        </w:tc>
        <w:tc>
          <w:tcPr>
            <w:tcW w:w="12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Cash and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Short-term</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Long-term</w:t>
            </w:r>
          </w:p>
        </w:tc>
        <w:tc>
          <w:tcPr>
            <w:tcW w:w="20" w:type="dxa"/>
            <w:vAlign w:val="bottom"/>
          </w:tcPr>
          <w:p>
            <w:pPr>
              <w:spacing w:after="0"/>
              <w:rPr>
                <w:sz w:val="10"/>
                <w:szCs w:val="10"/>
                <w:color w:val="auto"/>
              </w:rPr>
            </w:pPr>
          </w:p>
        </w:tc>
        <w:tc>
          <w:tcPr>
            <w:tcW w:w="8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180" w:type="dxa"/>
            <w:vAlign w:val="bottom"/>
            <w:gridSpan w:val="2"/>
          </w:tcPr>
          <w:p>
            <w:pPr>
              <w:jc w:val="center"/>
              <w:ind w:right="320"/>
              <w:spacing w:after="0" w:line="172" w:lineRule="exact"/>
              <w:rPr>
                <w:sz w:val="20"/>
                <w:szCs w:val="20"/>
                <w:color w:val="auto"/>
              </w:rPr>
            </w:pPr>
            <w:r>
              <w:rPr>
                <w:rFonts w:ascii="Arial" w:cs="Arial" w:eastAsia="Arial" w:hAnsi="Arial"/>
                <w:sz w:val="14"/>
                <w:szCs w:val="14"/>
                <w:b w:val="1"/>
                <w:bCs w:val="1"/>
                <w:color w:val="auto"/>
                <w:w w:val="89"/>
              </w:rPr>
              <w:t>Investments</w:t>
            </w:r>
            <w:r>
              <w:rPr>
                <w:rFonts w:ascii="Arial" w:cs="Arial" w:eastAsia="Arial" w:hAnsi="Arial"/>
                <w:sz w:val="17"/>
                <w:szCs w:val="17"/>
                <w:b w:val="1"/>
                <w:bCs w:val="1"/>
                <w:color w:val="auto"/>
                <w:w w:val="89"/>
                <w:vertAlign w:val="superscript"/>
              </w:rPr>
              <w:t>(1)</w:t>
            </w: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Equivalents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220" w:type="dxa"/>
            <w:vAlign w:val="bottom"/>
            <w:gridSpan w:val="3"/>
          </w:tcPr>
          <w:p>
            <w:pPr>
              <w:jc w:val="center"/>
              <w:ind w:right="200"/>
              <w:spacing w:after="0" w:line="172" w:lineRule="exact"/>
              <w:rPr>
                <w:sz w:val="20"/>
                <w:szCs w:val="20"/>
                <w:color w:val="auto"/>
              </w:rPr>
            </w:pPr>
            <w:r>
              <w:rPr>
                <w:rFonts w:ascii="Arial" w:cs="Arial" w:eastAsia="Arial" w:hAnsi="Arial"/>
                <w:sz w:val="14"/>
                <w:szCs w:val="14"/>
                <w:b w:val="1"/>
                <w:bCs w:val="1"/>
                <w:color w:val="auto"/>
                <w:w w:val="89"/>
              </w:rPr>
              <w:t>Investments</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line="216"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line="216"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Certificates of deposit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Government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180"/>
              <w:spacing w:after="0" w:line="201" w:lineRule="exact"/>
              <w:rPr>
                <w:sz w:val="20"/>
                <w:szCs w:val="20"/>
                <w:color w:val="auto"/>
              </w:rPr>
            </w:pPr>
            <w:r>
              <w:rPr>
                <w:rFonts w:ascii="Arial" w:cs="Arial" w:eastAsia="Arial" w:hAnsi="Arial"/>
                <w:sz w:val="18"/>
                <w:szCs w:val="18"/>
                <w:color w:val="auto"/>
              </w:rPr>
              <w:t>Asset-backed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60" w:hanging="228"/>
        <w:spacing w:after="0"/>
        <w:tabs>
          <w:tab w:leader="none" w:pos="56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1" w:lineRule="exact"/>
        <w:rPr>
          <w:rFonts w:ascii="Arial" w:cs="Arial" w:eastAsia="Arial" w:hAnsi="Arial"/>
          <w:sz w:val="23"/>
          <w:szCs w:val="23"/>
          <w:i w:val="1"/>
          <w:iCs w:val="1"/>
          <w:color w:val="auto"/>
          <w:vertAlign w:val="superscript"/>
        </w:rPr>
      </w:pPr>
    </w:p>
    <w:p>
      <w:pPr>
        <w:ind w:left="560" w:hanging="228"/>
        <w:spacing w:after="0" w:line="194" w:lineRule="auto"/>
        <w:tabs>
          <w:tab w:leader="none" w:pos="56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3"/>
          <w:szCs w:val="23"/>
          <w:i w:val="1"/>
          <w:iCs w:val="1"/>
          <w:color w:val="auto"/>
          <w:vertAlign w:val="superscript"/>
        </w:rPr>
      </w:pPr>
    </w:p>
    <w:p>
      <w:pPr>
        <w:ind w:left="580" w:right="60" w:hanging="248"/>
        <w:spacing w:after="0" w:line="233" w:lineRule="auto"/>
        <w:tabs>
          <w:tab w:leader="none" w:pos="568"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such pricing information as of September 1, 2016.</w:t>
      </w:r>
    </w:p>
    <w:p>
      <w:pPr>
        <w:sectPr>
          <w:pgSz w:w="11900" w:h="16894" w:orient="portrait"/>
          <w:cols w:equalWidth="0" w:num="1">
            <w:col w:w="11420"/>
          </w:cols>
          <w:pgMar w:left="240" w:top="584" w:right="239" w:bottom="0" w:gutter="0" w:footer="0" w:header="0"/>
        </w:sectPr>
      </w:pPr>
    </w:p>
    <w:bookmarkStart w:id="21" w:name="page22"/>
    <w:bookmarkEnd w:id="21"/>
    <w:p>
      <w:pPr>
        <w:ind w:right="420" w:firstLine="324"/>
        <w:spacing w:after="0" w:line="264" w:lineRule="auto"/>
        <w:rPr>
          <w:sz w:val="20"/>
          <w:szCs w:val="20"/>
          <w:color w:val="auto"/>
        </w:rPr>
      </w:pPr>
      <w:r>
        <w:rPr>
          <w:rFonts w:ascii="Arial" w:cs="Arial" w:eastAsia="Arial" w:hAnsi="Arial"/>
          <w:sz w:val="18"/>
          <w:szCs w:val="18"/>
          <w:color w:val="auto"/>
        </w:rPr>
        <w:t>Proceeds from sales of available-for-sale securities for 2016, 2015, and 2014 were $2.31 billion, $1.49 billion, and $355 million, respectively. Gross realized gains and losses from sales of available-for-sale securities were not material for any period presented. As of September 1, 2016, there were no available-for-sale securities that had been in a loss position for longer than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September 1, 2016 and September 3, 2015, we had certificates of deposit classified as restricted cash (included in other noncurrent assets) of $59 million and $45 million, respectively, valued using Level 2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43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340" w:type="dxa"/>
            <w:vAlign w:val="bottom"/>
            <w:vMerge w:val="restart"/>
          </w:tcPr>
          <w:p>
            <w:pPr>
              <w:jc w:val="right"/>
              <w:ind w:right="211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20" w:firstLine="324"/>
        <w:spacing w:after="0" w:line="359" w:lineRule="auto"/>
        <w:rPr>
          <w:sz w:val="20"/>
          <w:szCs w:val="20"/>
          <w:color w:val="auto"/>
        </w:rPr>
      </w:pPr>
      <w:r>
        <w:rPr>
          <w:rFonts w:ascii="Arial" w:cs="Arial" w:eastAsia="Arial" w:hAnsi="Arial"/>
          <w:sz w:val="16"/>
          <w:szCs w:val="16"/>
          <w:color w:val="auto"/>
        </w:rPr>
        <w:t>As of September 1, 2016 and September 3, 2015, other receivables included $53 million and $120 million, respectively, due from Intel for amounts related to product design and process development activities under cost-sharing agreements for NAND Flash and 3D XPoint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memory.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1,761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Retirements</w:t>
            </w:r>
          </w:p>
        </w:tc>
        <w:tc>
          <w:tcPr>
            <w:tcW w:w="32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7"/>
              </w:rPr>
              <w:t>Buildings (includes $271 as of 2015 and $347 as of 2016 for</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0"/>
              </w:rPr>
              <w:t>Equipment</w:t>
            </w:r>
            <w:r>
              <w:rPr>
                <w:rFonts w:ascii="Arial" w:cs="Arial" w:eastAsia="Arial" w:hAnsi="Arial"/>
                <w:sz w:val="23"/>
                <w:szCs w:val="23"/>
                <w:color w:val="auto"/>
                <w:w w:val="90"/>
                <w:vertAlign w:val="superscript"/>
              </w:rPr>
              <w:t>(1)</w:t>
            </w:r>
            <w:r>
              <w:rPr>
                <w:rFonts w:ascii="Arial" w:cs="Arial" w:eastAsia="Arial" w:hAnsi="Arial"/>
                <w:sz w:val="18"/>
                <w:szCs w:val="18"/>
                <w:color w:val="auto"/>
                <w:w w:val="90"/>
              </w:rPr>
              <w:t xml:space="preserve"> (includes $1,192 as of 2015 and $1,374 as of 2016</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capital leases)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21,020</w:t>
            </w:r>
          </w:p>
        </w:tc>
        <w:tc>
          <w:tcPr>
            <w:tcW w:w="2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27,275</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Accumulated depreciation (includes $717 as of 2015 and $492</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2016 for capital leases)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(16,721)</w:t>
            </w:r>
          </w:p>
        </w:tc>
        <w:tc>
          <w:tcPr>
            <w:tcW w:w="2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10,554</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4,148</w:t>
            </w: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660" w:hanging="248"/>
        <w:spacing w:after="0" w:line="227" w:lineRule="auto"/>
        <w:tabs>
          <w:tab w:leader="none" w:pos="568"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$1.47 billion and $928 million, as of September 1, 2016 and September 3, 2015, respectively.</w:t>
      </w:r>
    </w:p>
    <w:p>
      <w:pPr>
        <w:ind w:left="560" w:hanging="228"/>
        <w:spacing w:after="0" w:line="196" w:lineRule="auto"/>
        <w:tabs>
          <w:tab w:leader="none" w:pos="560"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and tool installation costs on assets not placed into service.</w:t>
      </w:r>
    </w:p>
    <w:p>
      <w:pPr>
        <w:spacing w:after="0" w:line="20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Depreciation expense was $2.86 billion, $2.55 billion, and $1.99 billion for 2016, 2015, and 2014, respectively. Other noncurrent assets included land held for development of $58 million as of September 3, 2015</w:t>
      </w:r>
      <w:r>
        <w:rPr>
          <w:rFonts w:ascii="Arial" w:cs="Arial" w:eastAsia="Arial" w:hAnsi="Arial"/>
          <w:sz w:val="18"/>
          <w:szCs w:val="18"/>
          <w:i w:val="1"/>
          <w:iCs w:val="1"/>
          <w:color w:val="auto"/>
        </w:rPr>
        <w:t>.</w:t>
      </w:r>
      <w:r>
        <w:rPr>
          <w:rFonts w:ascii="Arial" w:cs="Arial" w:eastAsia="Arial" w:hAnsi="Arial"/>
          <w:sz w:val="18"/>
          <w:szCs w:val="18"/>
          <w:color w:val="auto"/>
        </w:rPr>
        <w:t xml:space="preserve"> As of September 1, 2016, production equipment, buildings, and land with an aggregate carrying value of $1.97 billion were pledged as collateral under various notes payable. Interest capitalized as part of the cost of property, plant, and equipment was $43 million, $20 million, and $4 million for 2016,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1280"/>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Investment</w:t>
            </w:r>
          </w:p>
        </w:tc>
        <w:tc>
          <w:tcPr>
            <w:tcW w:w="120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Ownership</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57"/>
              <w:spacing w:after="0" w:line="119" w:lineRule="exact"/>
              <w:rPr>
                <w:sz w:val="20"/>
                <w:szCs w:val="20"/>
                <w:color w:val="auto"/>
              </w:rPr>
            </w:pPr>
            <w:r>
              <w:rPr>
                <w:rFonts w:ascii="Arial" w:cs="Arial" w:eastAsia="Arial" w:hAnsi="Arial"/>
                <w:sz w:val="13"/>
                <w:szCs w:val="13"/>
                <w:b w:val="1"/>
                <w:bCs w:val="1"/>
                <w:color w:val="auto"/>
              </w:rPr>
              <w:t>Investment</w:t>
            </w:r>
          </w:p>
        </w:tc>
        <w:tc>
          <w:tcPr>
            <w:tcW w:w="280" w:type="dxa"/>
            <w:vAlign w:val="bottom"/>
          </w:tcPr>
          <w:p>
            <w:pPr>
              <w:spacing w:after="0"/>
              <w:rPr>
                <w:sz w:val="10"/>
                <w:szCs w:val="10"/>
                <w:color w:val="auto"/>
              </w:rPr>
            </w:pPr>
          </w:p>
        </w:tc>
        <w:tc>
          <w:tcPr>
            <w:tcW w:w="136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Ownership</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Balance</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Inotera</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Tera Probe</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Various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Various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437"/>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As of September 1, 2016, substantially all of our maximum exposure to loss from our VIEs that were not consolidated was the $1.31 billion carrying value of our investment in Inotera. We may also incur losses in connection with our rights and obligations to purchase all of Inotera’s wafer production capacity under our supply agreement with Inotera.</w:t>
      </w:r>
    </w:p>
    <w:p>
      <w:pPr>
        <w:sectPr>
          <w:pgSz w:w="11900" w:h="16838" w:orient="portrait"/>
          <w:cols w:equalWidth="0" w:num="1">
            <w:col w:w="11460"/>
          </w:cols>
          <w:pgMar w:left="240" w:top="341" w:right="199" w:bottom="0" w:gutter="0" w:footer="0" w:header="0"/>
        </w:sectPr>
      </w:pPr>
    </w:p>
    <w:bookmarkStart w:id="22" w:name="page23"/>
    <w:bookmarkEnd w:id="22"/>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We recognize our share of earnings or losses from our equity method investees generally on a two-month lag. Included in our share of earnings for 2015 was $49 million related to Inotera’s full release of its valuation allowance against net deferred tax assets related to its net operating loss carryforward and the resulting tax provision in subsequent periods. Equity in net income (loss) of equity method investees, net of tax, included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Inotera</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Tera Probe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summarized financial information in the tables below reflects aggregate amounts for our equity method investees. Financial information is presented for equity method investments as of the respective dates and for the periods through which we recorded our proportionate share of each investee’s results of operations. Summarized results of operations are presented only for the periods subsequent to the acquisition, or through the disposition of, our ownership interests.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350"/>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24"/>
                <w:szCs w:val="2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1,253</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Inotera</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have partnered with Nanya in Inotera, a Taiwan DRAM memory company, since 2009. In the second quarter of 2016, we entered into agreements to acquire the remaining interest in Inotera. (See “Proposed Acquisition of Inotera” note.) In 2014, Inotera issued 400 million common shares in a public offering at a price equal to 31.50 New Taiwan dollars per share, which was in excess of our carrying value per share. As a result of the issuance, our ownership interest decreased from 35% to 33% and we recognized a non-operating gain of $93 million in 2014.</w:t>
      </w:r>
    </w:p>
    <w:p>
      <w:pPr>
        <w:spacing w:after="0" w:line="171"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As of September 1, 2016, the market value of our equity interest in Inotera was $1.80 billion based on the closing trading price of 26.70 New Taiwan dollars per share in an active market. As of September 1, 2016 and September 3, 2015, there were losses of $44 million and gains of $13 million, respectively, in accumulated other comprehensive income (loss) for cumulative translation adjustments from our equity investment in Inotera.</w:t>
      </w:r>
    </w:p>
    <w:p>
      <w:pPr>
        <w:spacing w:after="0" w:line="14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From January 2013 through December 2015, we purchased all of Inotera’s DRAM output under supply agreements at prices reflecting discounts from market prices for our comparable components. Effective beginning on January 1, 2016, the price for DRAM products purchased by us is based on a formula that equally shares margin between Inotera and us. We purchased $1.43 billion, $2.37 billion and $2.68 billion of DRAM products in 2016, 2015, and 2014 respectively. The current supply agreement with Inotera has an initial three-year term, which commenced on January 1, 2016, followed by a three-year wind-down period. Upon termination of the initial three-year term, the share of Inotera’s capacity we would purchase would decline over the wind-down period. In 2016, we manufactured and sold specialized equipment to Inotera and recognized net sales of $55 million and margin of $16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Tera Probe</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2013, we acquired a 40% interest in Tera Probe, which provides semiconductor wafer testing and probe services to us and others. In 2016 and 2015, we recorded impairment charges of $25 million and $10 million, respectively, within equity in net income (loss) of equity method investees to write down the carrying value of our investment in Tera Probe to its fair value based on its trading price (Level 1 fair value measurement). As of September 1, 2016, our proportionate share of Tera Probe’s underlying equity exceeded our investment balance by $40 million, which is expected to be accreted to earnings over a weighted-average period of seven years. We incurred manufacturing costs for services performed by Tera Probe of $70 million, $90 million, and $117 million in 2016,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5"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i w:val="1"/>
          <w:iCs w:val="1"/>
          <w:color w:val="auto"/>
        </w:rPr>
        <w:t>Aptina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held an equity interest in Aptina until the fourth quarter of 2014, at which time we sold our interest and recognized a non-operating gain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$119 million. For 2014, we recognized net sales of $43 million from products sold to and services performed for Aptina, and cost of goods sold of $37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0"/>
                <w:szCs w:val="10"/>
                <w:color w:val="auto"/>
              </w:rPr>
            </w:pPr>
          </w:p>
        </w:tc>
        <w:tc>
          <w:tcPr>
            <w:tcW w:w="1020" w:type="dxa"/>
            <w:vAlign w:val="bottom"/>
          </w:tcPr>
          <w:p>
            <w:pPr>
              <w:jc w:val="center"/>
              <w:ind w:left="271"/>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18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271"/>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Amortizing assets</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Product and process technology</w:t>
            </w:r>
          </w:p>
        </w:tc>
        <w:tc>
          <w:tcPr>
            <w:tcW w:w="1320" w:type="dxa"/>
            <w:vAlign w:val="bottom"/>
            <w:gridSpan w:val="2"/>
          </w:tcPr>
          <w:p>
            <w:pPr>
              <w:jc w:val="right"/>
              <w:ind w:right="871"/>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341"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758</w:t>
            </w:r>
          </w:p>
        </w:tc>
        <w:tc>
          <w:tcPr>
            <w:tcW w:w="5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6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5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Non-amortizing assets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In-process R&amp;D</w:t>
            </w: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866</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line="216"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2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60" w:hanging="228"/>
        <w:spacing w:after="0"/>
        <w:tabs>
          <w:tab w:leader="none" w:pos="560" w:val="left"/>
        </w:tabs>
        <w:numPr>
          <w:ilvl w:val="0"/>
          <w:numId w:val="1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other noncurrent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perform an annual impairment assessment for goodwill and non-amortizing intangible assets in the fourth quarter of our fiscal year.</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2016 and 2015, we capitalized $30 million and $98 million, respectively, for product and process technology with weighted-average useful lives of ten years and seven years, respectively. Amortization expense was $117 million, $117 million, and $110 million for 2016, 2015, and 2014, respectively. The expected annual amortization expense for intangible assets held as of September 1, 2016 is $107 million for 2017, $93 million for 2018, $46 million for 2019, $30 million for 2020, and $25 million for 2021.</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first quarter of 2016, we acquired Tidal Systems, Ltd., a developer of PCIe NAND Flash storage controllers, to enhance our NAND Flash controller technology for $148 million. In connection therewith, we recognized $108 million of in-process R&amp;D; $81 million of goodwill, which was derived from expected cost reductions and other synergies and was assigned to our Storage Business Unit; and $41 million of deferred tax liabilities; which, in aggregate, represented substantially all of the purchase price. The in-process R&amp;D was valued using a replacement cost approach, which included inputs of reproduction cost, including developer’s profit, and opportunity cost. We will begin amortizing the in-process R&amp;D when development is complete, which is estimated to be in 2018, and will amortize it over its then estimated useful life. The goodwill is not deductible for tax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payables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1,649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Related party payables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and other taxes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September 1, 2016 and September 3, 2015, related party payables included $266 million and $327 million, respectively, due to Inotera primarily for the purchase of DRAM products. As of September 1, 2016 and September 3, 2015, related party payables also included $7 million and $11 million, respectively, due to Tera Probe for probe services performed. (See “Equity Method Investments” note.)</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September 1, 2016, customer advances included $108 million, and other noncurrent liabilities also included $107 million, for amounts received from Intel in 2016 under a Trade Non-Volatile Memory supply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Stated</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Effective</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Instrument</w:t>
            </w:r>
          </w:p>
        </w:tc>
        <w:tc>
          <w:tcPr>
            <w:tcW w:w="116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Long-</w:t>
            </w:r>
          </w:p>
        </w:tc>
        <w:tc>
          <w:tcPr>
            <w:tcW w:w="18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0"/>
                <w:szCs w:val="10"/>
                <w:color w:val="auto"/>
              </w:rPr>
            </w:pPr>
          </w:p>
        </w:tc>
        <w:tc>
          <w:tcPr>
            <w:tcW w:w="9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Long-</w:t>
            </w:r>
          </w:p>
        </w:tc>
        <w:tc>
          <w:tcPr>
            <w:tcW w:w="18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1160" w:type="dxa"/>
            <w:vAlign w:val="bottom"/>
            <w:gridSpan w:val="2"/>
          </w:tcPr>
          <w:p>
            <w:pPr>
              <w:jc w:val="right"/>
              <w:ind w:right="500"/>
              <w:spacing w:after="0" w:line="17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100" w:type="dxa"/>
            <w:vAlign w:val="bottom"/>
            <w:gridSpan w:val="2"/>
          </w:tcPr>
          <w:p>
            <w:pPr>
              <w:ind w:left="260"/>
              <w:spacing w:after="0" w:line="17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MMJ creditor installment</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6.25%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line="216"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color w:val="auto"/>
                <w:vertAlign w:val="superscript"/>
              </w:rPr>
              <w:t>(2)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1.258% notes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2022 senior notes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5.875%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6.14%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senior secured term loan B</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6.640%</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7.10%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2023 senior notes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5.250%</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5.43%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senior secured notes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7.69%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2024 senior notes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5.250%</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5.38%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senior notes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5.56%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2026 senior notes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5.625%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5.73%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2032C convertible senior notes</w:t>
            </w:r>
            <w:r>
              <w:rPr>
                <w:rFonts w:ascii="Arial" w:cs="Arial" w:eastAsia="Arial" w:hAnsi="Arial"/>
                <w:sz w:val="23"/>
                <w:szCs w:val="23"/>
                <w:color w:val="auto"/>
                <w:vertAlign w:val="superscript"/>
              </w:rPr>
              <w:t>(3)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5.95%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line="216" w:lineRule="exact"/>
              <w:rPr>
                <w:sz w:val="20"/>
                <w:szCs w:val="20"/>
                <w:color w:val="auto"/>
              </w:rPr>
            </w:pPr>
            <w:r>
              <w:rPr>
                <w:rFonts w:ascii="Arial" w:cs="Arial" w:eastAsia="Arial" w:hAnsi="Arial"/>
                <w:sz w:val="18"/>
                <w:szCs w:val="18"/>
                <w:color w:val="auto"/>
              </w:rPr>
              <w:t>2032D convertible senior notes</w:t>
            </w:r>
            <w:r>
              <w:rPr>
                <w:rFonts w:ascii="Arial" w:cs="Arial" w:eastAsia="Arial" w:hAnsi="Arial"/>
                <w:sz w:val="23"/>
                <w:szCs w:val="23"/>
                <w:color w:val="auto"/>
                <w:vertAlign w:val="superscript"/>
              </w:rPr>
              <w:t>(3)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3.125%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6.33%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2033E convertible senior notes</w:t>
            </w:r>
            <w:r>
              <w:rPr>
                <w:rFonts w:ascii="Arial" w:cs="Arial" w:eastAsia="Arial" w:hAnsi="Arial"/>
                <w:sz w:val="23"/>
                <w:szCs w:val="23"/>
                <w:color w:val="auto"/>
                <w:vertAlign w:val="superscript"/>
              </w:rPr>
              <w:t>(3)</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4.50%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line="216" w:lineRule="exact"/>
              <w:rPr>
                <w:sz w:val="20"/>
                <w:szCs w:val="20"/>
                <w:color w:val="auto"/>
              </w:rPr>
            </w:pPr>
            <w:r>
              <w:rPr>
                <w:rFonts w:ascii="Arial" w:cs="Arial" w:eastAsia="Arial" w:hAnsi="Arial"/>
                <w:sz w:val="18"/>
                <w:szCs w:val="18"/>
                <w:color w:val="auto"/>
              </w:rPr>
              <w:t>2033F convertible senior notes</w:t>
            </w:r>
            <w:r>
              <w:rPr>
                <w:rFonts w:ascii="Arial" w:cs="Arial" w:eastAsia="Arial" w:hAnsi="Arial"/>
                <w:sz w:val="23"/>
                <w:szCs w:val="23"/>
                <w:color w:val="auto"/>
                <w:vertAlign w:val="superscript"/>
              </w:rPr>
              <w:t>(3)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2.125%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4.93%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2043G convertible senior notes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6.76%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Other notes payable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2.485%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w w:val="93"/>
              </w:rPr>
              <w:t>2.65%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97" w:lineRule="exact"/>
        <w:rPr>
          <w:sz w:val="20"/>
          <w:szCs w:val="20"/>
          <w:color w:val="auto"/>
        </w:rPr>
      </w:pPr>
    </w:p>
    <w:p>
      <w:pPr>
        <w:ind w:left="560" w:hanging="228"/>
        <w:spacing w:after="0"/>
        <w:tabs>
          <w:tab w:leader="none" w:pos="560" w:val="left"/>
        </w:tabs>
        <w:numPr>
          <w:ilvl w:val="0"/>
          <w:numId w:val="1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 of September 1, 2016.</w:t>
      </w:r>
    </w:p>
    <w:p>
      <w:pPr>
        <w:spacing w:after="0" w:line="1" w:lineRule="exact"/>
        <w:rPr>
          <w:rFonts w:ascii="Arial" w:cs="Arial" w:eastAsia="Arial" w:hAnsi="Arial"/>
          <w:sz w:val="23"/>
          <w:szCs w:val="23"/>
          <w:i w:val="1"/>
          <w:iCs w:val="1"/>
          <w:color w:val="auto"/>
          <w:vertAlign w:val="superscript"/>
        </w:rPr>
      </w:pPr>
    </w:p>
    <w:p>
      <w:pPr>
        <w:ind w:left="560" w:hanging="228"/>
        <w:spacing w:after="0" w:line="213" w:lineRule="auto"/>
        <w:tabs>
          <w:tab w:leader="none" w:pos="560" w:val="left"/>
        </w:tabs>
        <w:numPr>
          <w:ilvl w:val="0"/>
          <w:numId w:val="1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Weighted-average imputed rate of 3.3% and 3.7% as of September 1, 2016 and September 3, 2015, respectively.</w:t>
      </w:r>
    </w:p>
    <w:p>
      <w:pPr>
        <w:sectPr>
          <w:pgSz w:w="11900" w:h="16838" w:orient="portrait"/>
          <w:cols w:equalWidth="0" w:num="1">
            <w:col w:w="11420"/>
          </w:cols>
          <w:pgMar w:left="240" w:top="125" w:right="239" w:bottom="0" w:gutter="0" w:footer="0" w:header="0"/>
          <w:type w:val="continuous"/>
        </w:sectPr>
      </w:pPr>
    </w:p>
    <w:bookmarkStart w:id="24" w:name="page25"/>
    <w:bookmarkEnd w:id="24"/>
    <w:p>
      <w:pPr>
        <w:ind w:left="580" w:right="40" w:hanging="248"/>
        <w:spacing w:after="0" w:line="275" w:lineRule="auto"/>
        <w:tabs>
          <w:tab w:leader="none" w:pos="564"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Since the closing price of our common stock for at least 20 trading days in the 30 trading day period ended on June 30, 2016 did not exceed 130% of the conversion price per share, these notes were not convertible by the holders during the calendar quarter ended September 30, 2016. The closing price of our common stock exceeded the thresholds for the calendar quarter ended September 30, 2016; therefore, these notes are convertible by the holders through December 31, 2016. The 2033 Notes were classified as current as of 2015 because the terms of these notes require us to pay cash for the principal amount of any converted notes and holders of these notes had the right to convert their notes as of that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Expected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Unamortized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Unamortized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7"/>
              </w:rPr>
              <w:t>(Years)</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5"/>
        </w:trPr>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MMJ creditor installment</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1.258% Notes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2022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Term Loan B</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2023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Secured Notes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2024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2026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2032C Notes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2032D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2033E Notes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2033F Notes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2043G Notes</w:t>
            </w:r>
            <w:r>
              <w:rPr>
                <w:rFonts w:ascii="Arial" w:cs="Arial" w:eastAsia="Arial" w:hAnsi="Arial"/>
                <w:sz w:val="23"/>
                <w:szCs w:val="23"/>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Other notes payable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47" w:gutter="0" w:footer="0" w:header="0"/>
        </w:sect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9"/>
          <w:szCs w:val="9"/>
          <w:i w:val="1"/>
          <w:iCs w:val="1"/>
          <w:color w:val="auto"/>
        </w:rPr>
        <w:t>(1)</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9"/>
          <w:szCs w:val="9"/>
          <w:i w:val="1"/>
          <w:iCs w:val="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680" w:hanging="11"/>
        <w:spacing w:after="0" w:line="258" w:lineRule="auto"/>
        <w:rPr>
          <w:sz w:val="20"/>
          <w:szCs w:val="20"/>
          <w:color w:val="auto"/>
        </w:rPr>
      </w:pPr>
      <w:r>
        <w:rPr>
          <w:rFonts w:ascii="Arial" w:cs="Arial" w:eastAsia="Arial" w:hAnsi="Arial"/>
          <w:sz w:val="18"/>
          <w:szCs w:val="18"/>
          <w:i w:val="1"/>
          <w:iCs w:val="1"/>
          <w:color w:val="auto"/>
        </w:rPr>
        <w:t>Expected remaining term for amortization of the remaining unamortized discount and debt issuance costs as of September 1, 2016. Expected remaining term for capital lease obligations and other notes payable is the weighted-average remaining term.</w:t>
      </w:r>
    </w:p>
    <w:p>
      <w:pPr>
        <w:spacing w:after="0" w:line="1" w:lineRule="exact"/>
        <w:rPr>
          <w:sz w:val="20"/>
          <w:szCs w:val="20"/>
          <w:color w:val="auto"/>
        </w:rPr>
      </w:pPr>
    </w:p>
    <w:p>
      <w:pPr>
        <w:ind w:right="300" w:hanging="16"/>
        <w:spacing w:after="0" w:line="261" w:lineRule="auto"/>
        <w:rPr>
          <w:sz w:val="20"/>
          <w:szCs w:val="20"/>
          <w:color w:val="auto"/>
        </w:rPr>
      </w:pPr>
      <w:r>
        <w:rPr>
          <w:rFonts w:ascii="Arial" w:cs="Arial" w:eastAsia="Arial" w:hAnsi="Arial"/>
          <w:sz w:val="18"/>
          <w:szCs w:val="18"/>
          <w:i w:val="1"/>
          <w:iCs w:val="1"/>
          <w:color w:val="auto"/>
        </w:rPr>
        <w:t>The 2043G Notes have an original principal amount of $820 million that accretes up to $917 million through the expected term in November 2028 and $1.03 billion at maturity in 2043. The discount is based on the principal at maturity.</w:t>
      </w:r>
    </w:p>
    <w:p>
      <w:pPr>
        <w:spacing w:after="0" w:line="184" w:lineRule="exact"/>
        <w:rPr>
          <w:sz w:val="20"/>
          <w:szCs w:val="20"/>
          <w:color w:val="auto"/>
        </w:rPr>
      </w:pPr>
    </w:p>
    <w:p>
      <w:pPr>
        <w:sectPr>
          <w:pgSz w:w="11900" w:h="16838" w:orient="portrait"/>
          <w:cols w:equalWidth="0" w:num="2">
            <w:col w:w="460" w:space="120"/>
            <w:col w:w="10840"/>
          </w:cols>
          <w:pgMar w:left="240" w:top="125" w:right="239" w:bottom="147" w:gutter="0" w:footer="0" w:header="0"/>
          <w:type w:val="continuous"/>
        </w:sectPr>
      </w:pPr>
    </w:p>
    <w:p>
      <w:pPr>
        <w:ind w:right="60" w:firstLine="324"/>
        <w:spacing w:after="0" w:line="269" w:lineRule="auto"/>
        <w:rPr>
          <w:sz w:val="20"/>
          <w:szCs w:val="20"/>
          <w:color w:val="auto"/>
        </w:rPr>
      </w:pPr>
      <w:r>
        <w:rPr>
          <w:rFonts w:ascii="Arial" w:cs="Arial" w:eastAsia="Arial" w:hAnsi="Arial"/>
          <w:sz w:val="17"/>
          <w:szCs w:val="17"/>
          <w:color w:val="auto"/>
        </w:rPr>
        <w:t>The 2022 Term Loan B and 2023 Secured Notes are collateralized by substantially all of the assets of Micron and Micron Semiconductor Products, Inc. (“MSP”), a subsidiary of Micron, subject to certain permitted liens on such assets. Included in our consolidated balance sheet as of September 1, 2016 were $5.37 billion of assets which collateralize these notes. The 2022 Term Loan B and 2023 Secured Notes are structurally subordinated to the indebtedness and other liabilities of all of Micron’s subsidiaries that do not guarantee these debt obligations. As of September 1, 2016, only MSP guarantees these notes. Our convertible and other senior notes are unsecured obligations that rank equally in right of payment with all of our other existing and future unsecured indebtedness, and are effectively subordinated to all of our other existing and future secured indebtedness, to the extent of the value of the assets securing such indebtedness. As of September 1, 2016, Micron had $5.17 billion of unsecured debt (net of unamortized discount and debt issuance costs), including all of its convertible notes and the 2022 Notes, 2023 Notes, 2024 Notes, 2025 Notes, and 2026 Notes, that was structurally subordinated to all liabilities of its subsidiaries, including trade payables. Micron guarantees certain debt obligations of its subsidiaries, but does not guarantee the MMJ creditor installment payments. Micron’s guarantees of its subsidiary debt obligations are unsecured obligations ranking equally in right of payment with all of Micron’s other existing and future unsecured indebtedness.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MMJ Creditor Installment Payments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Under the MMJ Companies’ corporate reorganization proceedings, which set forth the treatment of the MMJ Companies’ pre-petition creditors and their claims, the MMJ Companies were required to pay 200 billion yen, less certain expenses of the reorganization proceedings and other items, to their secured and unsecured creditors in seven annual installment payments (the “MMJ Creditor Installment Payments”). The MMJ Creditor Installment Payments do not provide for interest and as a result of our acquisition of the MMJ Companies in 2013, we recorded the MMJ Creditor Installment Payments at fair value. The fair-value discount is accreted to interest expense over the term of the installment payments.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Under the MMJ Companies’ corporate reorganization proceedings, the secured creditors of MMJ will recover 100% of the amount of their fixed claims in six annual installment payments through December 2018 and the unsecured creditors will recover at least 17.4% of the amount of their fixed claims in seven annual installment payments through December 2019. The secured creditors of MAI were paid in full with a portion of the first installment payment made in October 2013, while the unsecured creditors of MAI will recover 19% of the amount of their claims in seven installment payments through December 2019. The remaining portion of the unsecured claims of the creditors of the MMJ Companies not recovered pursuant to the corporate reorganization proceedings will be discharged, without payment, through December 2019.</w:t>
      </w:r>
    </w:p>
    <w:p>
      <w:pPr>
        <w:sectPr>
          <w:pgSz w:w="11900" w:h="16838" w:orient="portrait"/>
          <w:cols w:equalWidth="0" w:num="1">
            <w:col w:w="11420"/>
          </w:cols>
          <w:pgMar w:left="240" w:top="125" w:right="239" w:bottom="147" w:gutter="0" w:footer="0" w:header="0"/>
          <w:type w:val="continuous"/>
        </w:sectPr>
      </w:pPr>
    </w:p>
    <w:bookmarkStart w:id="25" w:name="page26"/>
    <w:bookmarkEnd w:id="25"/>
    <w:p>
      <w:pPr>
        <w:ind w:right="160" w:firstLine="324"/>
        <w:spacing w:after="0" w:line="277" w:lineRule="auto"/>
        <w:rPr>
          <w:sz w:val="20"/>
          <w:szCs w:val="20"/>
          <w:color w:val="auto"/>
        </w:rPr>
      </w:pPr>
      <w:r>
        <w:rPr>
          <w:rFonts w:ascii="Arial" w:cs="Arial" w:eastAsia="Arial" w:hAnsi="Arial"/>
          <w:sz w:val="18"/>
          <w:szCs w:val="18"/>
          <w:color w:val="auto"/>
        </w:rPr>
        <w:t>The following table presents the remaining amounts of MMJ Creditor Installment Payments (stated in Japanese yen and U.S. dollars) and the amount of unamortized discount as of September 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2018</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19,884</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29,507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32,686</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(12,121)</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0"/>
        </w:trPr>
        <w:tc>
          <w:tcPr>
            <w:tcW w:w="5120" w:type="dxa"/>
            <w:vAlign w:val="bottom"/>
            <w:tcBorders>
              <w:top w:val="single" w:sz="8" w:color="CCEEFF"/>
              <w:bottom w:val="single" w:sz="8" w:color="CCEEFF"/>
            </w:tcBorders>
            <w:shd w:val="clear" w:color="auto" w:fill="CCEEFF"/>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Pursuant to the terms of an Agreement on Support for Reorganization Companies that we entered into in the fourth quarter of 2012 with the trustees of the MMJ Companies’ pending corporate reorganization proceedings, we entered into a series of agreements with the MMJ Companies, including supply agreements, research and development services agreements, and general services agreements, which are intended to generate operating cash flows to meet the requirements of the MMJ Companies’ businesses, including the funding of the MMJ Creditor Installment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2016, we recorded capital lease obligations aggregating $882 million, including $765 million related to equipment sale-leaseback transactions, at a weighted-average effective interest rate of 3.1%, with a weighted-average expected term of five years. In 2015, we recorded capital lease obligations aggregating $324 million, including $291 million related to equipment sale-leaseback transactions, at a weighted-average effective interest rate of 3.2%, with a weighted-average expected term of four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1.258% Notes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2014, we issued $462 million in principal amount of the 1.258% Notes, which mature in January 2019. The 1.258% Notes are collateralized by certain equipment, which had a carrying value of $22 million as of September 1, 2016. The principal amount of the 1.258% Notes is payable in 10 semiannual installments in January and July of each year. The Export-Import Bank of the United States (the “Ex-Im Bank”) guaranteed payment of all regularly scheduled installment payments of principal and interest on the 1.258% Notes, for which we paid $23 million.</w:t>
      </w:r>
    </w:p>
    <w:p>
      <w:pPr>
        <w:spacing w:after="0" w:line="17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1.258% Notes contain covenants which are customary for financings of this type, including negative covenants that limit or restrict our ability to create liens or dispose of the equipment securing the 1.258% Notes. Events of default also include, among others, the occurrence of any event or circumstance that, in the reasonable judgment of Ex-Im Bank, is likely materially and adversely to affect our ability to perform any payment obligation, or any of our other material obligations under the indenture, the 1.258% Notes, or under any other related transaction documents to which Ex-Im Bank is a party.</w:t>
      </w:r>
    </w:p>
    <w:p>
      <w:pPr>
        <w:spacing w:after="0" w:line="154"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b w:val="1"/>
          <w:bCs w:val="1"/>
          <w:i w:val="1"/>
          <w:iCs w:val="1"/>
          <w:color w:val="auto"/>
        </w:rPr>
        <w:t xml:space="preserve">Cash Redemption at Our Option: </w:t>
      </w:r>
      <w:r>
        <w:rPr>
          <w:rFonts w:ascii="Arial" w:cs="Arial" w:eastAsia="Arial" w:hAnsi="Arial"/>
          <w:sz w:val="17"/>
          <w:szCs w:val="17"/>
          <w:color w:val="auto"/>
        </w:rPr>
        <w:t>At any time prior to the maturity date, we may redeem the 1.258% Notes, in whole or in part, at a price equal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amount to be redeemed plus a make-whole premium as described in the indenture, together with accrued and unpaid interest.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r>
      <w:tr>
        <w:trPr>
          <w:trHeight w:val="171"/>
        </w:trPr>
        <w:tc>
          <w:tcPr>
            <w:tcW w:w="3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Issued</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Notes</w:t>
            </w:r>
          </w:p>
        </w:tc>
        <w:tc>
          <w:tcPr>
            <w:tcW w:w="2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 2014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 2022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2023 Notes</w:t>
            </w:r>
          </w:p>
        </w:tc>
        <w:tc>
          <w:tcPr>
            <w:tcW w:w="4280" w:type="dxa"/>
            <w:vAlign w:val="bottom"/>
            <w:gridSpan w:val="2"/>
          </w:tcPr>
          <w:p>
            <w:pPr>
              <w:ind w:left="2920"/>
              <w:spacing w:after="0"/>
              <w:rPr>
                <w:sz w:val="20"/>
                <w:szCs w:val="20"/>
                <w:color w:val="auto"/>
              </w:rPr>
            </w:pPr>
            <w:r>
              <w:rPr>
                <w:rFonts w:ascii="Arial" w:cs="Arial" w:eastAsia="Arial" w:hAnsi="Arial"/>
                <w:sz w:val="18"/>
                <w:szCs w:val="18"/>
                <w:color w:val="auto"/>
              </w:rPr>
              <w:t>Feb 2015</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Aug 2023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2024 Notes</w:t>
            </w:r>
          </w:p>
        </w:tc>
        <w:tc>
          <w:tcPr>
            <w:tcW w:w="428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Apr 2015</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Jan 2024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2025 Notes</w:t>
            </w:r>
          </w:p>
        </w:tc>
        <w:tc>
          <w:tcPr>
            <w:tcW w:w="4280" w:type="dxa"/>
            <w:vAlign w:val="bottom"/>
            <w:gridSpan w:val="2"/>
          </w:tcPr>
          <w:p>
            <w:pPr>
              <w:ind w:left="2920"/>
              <w:spacing w:after="0"/>
              <w:rPr>
                <w:sz w:val="20"/>
                <w:szCs w:val="20"/>
                <w:color w:val="auto"/>
              </w:rPr>
            </w:pPr>
            <w:r>
              <w:rPr>
                <w:rFonts w:ascii="Arial" w:cs="Arial" w:eastAsia="Arial" w:hAnsi="Arial"/>
                <w:sz w:val="18"/>
                <w:szCs w:val="18"/>
                <w:color w:val="auto"/>
              </w:rPr>
              <w:t>Jul 2014</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Feb 2025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2026 Notes</w:t>
            </w:r>
          </w:p>
        </w:tc>
        <w:tc>
          <w:tcPr>
            <w:tcW w:w="428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Apr 2015</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Jan 2026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senior notes above contain covenants that, among other things, limit, in certain circumstances, our ability and/or the ability of our domestic restricted subsidiaries (which are generally subsidiaries in the U.S. in which we own at least 80% of the voting stock) to (1) create or incur certain liens and enter into sale and lease-back transactions, (2) create, assume, incur, or guarantee certain additional secured indebtedness and unsecured indebtedness of our domestic restricted subsidiaries, and (3) consolidate with or merge with or into, or convey, transfer or lease all or substantially all of our assets, to another entity. These covenants are subject to a number of limitations, exceptions, and qualifications.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Cash Redemption at Our Option: </w:t>
      </w:r>
      <w:r>
        <w:rPr>
          <w:rFonts w:ascii="Arial" w:cs="Arial" w:eastAsia="Arial" w:hAnsi="Arial"/>
          <w:sz w:val="17"/>
          <w:szCs w:val="17"/>
          <w:color w:val="auto"/>
        </w:rPr>
        <w:t>We have the option to redeem these notes. The applicable redemption price will be determined as follows:</w:t>
      </w:r>
    </w:p>
    <w:p>
      <w:pPr>
        <w:sectPr>
          <w:pgSz w:w="11900" w:h="16838" w:orient="portrait"/>
          <w:cols w:equalWidth="0" w:num="1">
            <w:col w:w="11420"/>
          </w:cols>
          <w:pgMar w:left="240" w:top="125" w:right="239" w:bottom="0" w:gutter="0" w:footer="0" w:header="0"/>
        </w:sect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Redemption Period Requiring Payment of:</w:t>
            </w:r>
          </w:p>
        </w:tc>
        <w:tc>
          <w:tcPr>
            <w:tcW w:w="0" w:type="dxa"/>
            <w:vAlign w:val="bottom"/>
          </w:tcPr>
          <w:p>
            <w:pPr>
              <w:spacing w:after="0"/>
              <w:rPr>
                <w:sz w:val="1"/>
                <w:szCs w:val="1"/>
                <w:color w:val="auto"/>
              </w:rPr>
            </w:pPr>
          </w:p>
        </w:tc>
      </w:tr>
      <w:tr>
        <w:trPr>
          <w:trHeight w:val="142"/>
        </w:trPr>
        <w:tc>
          <w:tcPr>
            <w:tcW w:w="1520" w:type="dxa"/>
            <w:vAlign w:val="bottom"/>
            <w:vMerge w:val="restart"/>
          </w:tcPr>
          <w:p>
            <w:pPr>
              <w:spacing w:after="0"/>
              <w:rPr>
                <w:sz w:val="20"/>
                <w:szCs w:val="20"/>
                <w:color w:val="auto"/>
              </w:rPr>
            </w:pPr>
            <w:r>
              <w:rPr>
                <w:rFonts w:ascii="Arial" w:cs="Arial" w:eastAsia="Arial" w:hAnsi="Arial"/>
                <w:sz w:val="18"/>
                <w:szCs w:val="18"/>
                <w:color w:val="auto"/>
              </w:rPr>
              <w:t>2022 Notes</w:t>
            </w:r>
          </w:p>
        </w:tc>
        <w:tc>
          <w:tcPr>
            <w:tcW w:w="680" w:type="dxa"/>
            <w:vAlign w:val="bottom"/>
          </w:tcPr>
          <w:p>
            <w:pPr>
              <w:spacing w:after="0"/>
              <w:rPr>
                <w:sz w:val="12"/>
                <w:szCs w:val="12"/>
                <w:color w:val="auto"/>
              </w:rPr>
            </w:pPr>
          </w:p>
        </w:tc>
        <w:tc>
          <w:tcPr>
            <w:tcW w:w="22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b w:val="1"/>
                <w:bCs w:val="1"/>
                <w:color w:val="auto"/>
              </w:rPr>
              <w:t>Make-Whole</w:t>
            </w:r>
            <w:r>
              <w:rPr>
                <w:rFonts w:ascii="Arial" w:cs="Arial" w:eastAsia="Arial" w:hAnsi="Arial"/>
                <w:sz w:val="16"/>
                <w:szCs w:val="16"/>
                <w:b w:val="1"/>
                <w:bCs w:val="1"/>
                <w:color w:val="auto"/>
                <w:vertAlign w:val="superscript"/>
              </w:rPr>
              <w:t>(1)</w:t>
            </w:r>
          </w:p>
        </w:tc>
        <w:tc>
          <w:tcPr>
            <w:tcW w:w="280" w:type="dxa"/>
            <w:vAlign w:val="bottom"/>
          </w:tcPr>
          <w:p>
            <w:pPr>
              <w:spacing w:after="0"/>
              <w:rPr>
                <w:sz w:val="12"/>
                <w:szCs w:val="12"/>
                <w:color w:val="auto"/>
              </w:rPr>
            </w:pPr>
          </w:p>
        </w:tc>
        <w:tc>
          <w:tcPr>
            <w:tcW w:w="2280" w:type="dxa"/>
            <w:vAlign w:val="bottom"/>
            <w:tcBorders>
              <w:bottom w:val="single" w:sz="8" w:color="auto"/>
            </w:tcBorders>
          </w:tcPr>
          <w:p>
            <w:pPr>
              <w:ind w:left="800"/>
              <w:spacing w:after="0" w:line="142" w:lineRule="exact"/>
              <w:rPr>
                <w:sz w:val="20"/>
                <w:szCs w:val="20"/>
                <w:color w:val="auto"/>
              </w:rPr>
            </w:pPr>
            <w:r>
              <w:rPr>
                <w:rFonts w:ascii="Arial" w:cs="Arial" w:eastAsia="Arial" w:hAnsi="Arial"/>
                <w:sz w:val="14"/>
                <w:szCs w:val="14"/>
                <w:b w:val="1"/>
                <w:bCs w:val="1"/>
                <w:color w:val="auto"/>
              </w:rPr>
              <w:t>Premium</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95"/>
        </w:trPr>
        <w:tc>
          <w:tcPr>
            <w:tcW w:w="15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Prior to Feb 15, 2017</w:t>
            </w:r>
          </w:p>
        </w:tc>
        <w:tc>
          <w:tcPr>
            <w:tcW w:w="28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On or after Feb 15, 2017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2023 Notes</w:t>
            </w:r>
          </w:p>
        </w:tc>
        <w:tc>
          <w:tcPr>
            <w:tcW w:w="2960" w:type="dxa"/>
            <w:vAlign w:val="bottom"/>
            <w:gridSpan w:val="2"/>
          </w:tcPr>
          <w:p>
            <w:pPr>
              <w:ind w:left="680"/>
              <w:spacing w:after="0"/>
              <w:rPr>
                <w:sz w:val="20"/>
                <w:szCs w:val="20"/>
                <w:color w:val="auto"/>
              </w:rPr>
            </w:pPr>
            <w:r>
              <w:rPr>
                <w:rFonts w:ascii="Arial" w:cs="Arial" w:eastAsia="Arial" w:hAnsi="Arial"/>
                <w:sz w:val="18"/>
                <w:szCs w:val="18"/>
                <w:color w:val="auto"/>
              </w:rPr>
              <w:t>Prior to Feb 1, 2018</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On or after Feb 1, 2018</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2024 Notes</w:t>
            </w:r>
          </w:p>
        </w:tc>
        <w:tc>
          <w:tcPr>
            <w:tcW w:w="2960" w:type="dxa"/>
            <w:vAlign w:val="bottom"/>
            <w:gridSpan w:val="2"/>
          </w:tcPr>
          <w:p>
            <w:pPr>
              <w:ind w:left="680"/>
              <w:spacing w:after="0"/>
              <w:rPr>
                <w:sz w:val="20"/>
                <w:szCs w:val="20"/>
                <w:color w:val="auto"/>
              </w:rPr>
            </w:pPr>
            <w:r>
              <w:rPr>
                <w:rFonts w:ascii="Arial" w:cs="Arial" w:eastAsia="Arial" w:hAnsi="Arial"/>
                <w:sz w:val="18"/>
                <w:szCs w:val="18"/>
                <w:color w:val="auto"/>
              </w:rPr>
              <w:t>Prior to May 1, 2018</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On or after May 1, 2018</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2025 Notes</w:t>
            </w:r>
          </w:p>
        </w:tc>
        <w:tc>
          <w:tcPr>
            <w:tcW w:w="2960" w:type="dxa"/>
            <w:vAlign w:val="bottom"/>
            <w:gridSpan w:val="2"/>
          </w:tcPr>
          <w:p>
            <w:pPr>
              <w:ind w:left="680"/>
              <w:spacing w:after="0"/>
              <w:rPr>
                <w:sz w:val="20"/>
                <w:szCs w:val="20"/>
                <w:color w:val="auto"/>
              </w:rPr>
            </w:pPr>
            <w:r>
              <w:rPr>
                <w:rFonts w:ascii="Arial" w:cs="Arial" w:eastAsia="Arial" w:hAnsi="Arial"/>
                <w:sz w:val="18"/>
                <w:szCs w:val="18"/>
                <w:color w:val="auto"/>
              </w:rPr>
              <w:t>Prior to Aug 1, 2019</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On or after Aug 1, 2019</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2026 Notes</w:t>
            </w:r>
          </w:p>
        </w:tc>
        <w:tc>
          <w:tcPr>
            <w:tcW w:w="2960" w:type="dxa"/>
            <w:vAlign w:val="bottom"/>
            <w:gridSpan w:val="2"/>
          </w:tcPr>
          <w:p>
            <w:pPr>
              <w:ind w:left="680"/>
              <w:spacing w:after="0"/>
              <w:rPr>
                <w:sz w:val="20"/>
                <w:szCs w:val="20"/>
                <w:color w:val="auto"/>
              </w:rPr>
            </w:pPr>
            <w:r>
              <w:rPr>
                <w:rFonts w:ascii="Arial" w:cs="Arial" w:eastAsia="Arial" w:hAnsi="Arial"/>
                <w:sz w:val="18"/>
                <w:szCs w:val="18"/>
                <w:color w:val="auto"/>
              </w:rPr>
              <w:t>Prior to May 1, 2020</w:t>
            </w: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On or after May 1,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Redemption up to 35% Using Cash Proceeds</w:t>
      </w:r>
    </w:p>
    <w:p>
      <w:pPr>
        <w:jc w:val="center"/>
        <w:ind w:right="160"/>
        <w:spacing w:after="0" w:line="197" w:lineRule="auto"/>
        <w:rPr>
          <w:sz w:val="20"/>
          <w:szCs w:val="20"/>
          <w:color w:val="auto"/>
        </w:rPr>
      </w:pPr>
      <w:r>
        <w:rPr>
          <w:rFonts w:ascii="Arial" w:cs="Arial" w:eastAsia="Arial" w:hAnsi="Arial"/>
          <w:sz w:val="14"/>
          <w:szCs w:val="14"/>
          <w:b w:val="1"/>
          <w:bCs w:val="1"/>
          <w:color w:val="auto"/>
        </w:rPr>
        <w:t>From an Equity Offering</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80" w:type="dxa"/>
            <w:vAlign w:val="bottom"/>
            <w:tcBorders>
              <w:top w:val="single" w:sz="8" w:color="auto"/>
              <w:bottom w:val="single" w:sz="8" w:color="auto"/>
            </w:tcBorders>
          </w:tcPr>
          <w:p>
            <w:pPr>
              <w:ind w:left="980"/>
              <w:spacing w:after="0" w:line="142" w:lineRule="exact"/>
              <w:rPr>
                <w:sz w:val="20"/>
                <w:szCs w:val="20"/>
                <w:color w:val="auto"/>
              </w:rPr>
            </w:pPr>
            <w:r>
              <w:rPr>
                <w:rFonts w:ascii="Arial" w:cs="Arial" w:eastAsia="Arial" w:hAnsi="Arial"/>
                <w:sz w:val="14"/>
                <w:szCs w:val="14"/>
                <w:b w:val="1"/>
                <w:bCs w:val="1"/>
                <w:color w:val="auto"/>
              </w:rPr>
              <w:t>Date</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Specified Price</w:t>
            </w:r>
          </w:p>
        </w:tc>
        <w:tc>
          <w:tcPr>
            <w:tcW w:w="14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Prior to Feb 15, 2017</w:t>
            </w:r>
          </w:p>
        </w:tc>
        <w:tc>
          <w:tcPr>
            <w:tcW w:w="280" w:type="dxa"/>
            <w:vAlign w:val="bottom"/>
          </w:tcPr>
          <w:p>
            <w:pPr>
              <w:spacing w:after="0"/>
              <w:rPr>
                <w:sz w:val="16"/>
                <w:szCs w:val="16"/>
                <w:color w:val="auto"/>
              </w:rPr>
            </w:pPr>
          </w:p>
        </w:tc>
        <w:tc>
          <w:tcPr>
            <w:tcW w:w="15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105.875%</w:t>
            </w:r>
          </w:p>
        </w:tc>
      </w:tr>
      <w:tr>
        <w:trPr>
          <w:trHeight w:val="216"/>
        </w:trPr>
        <w:tc>
          <w:tcPr>
            <w:tcW w:w="2580" w:type="dxa"/>
            <w:vAlign w:val="bottom"/>
            <w:gridSpan w:val="3"/>
          </w:tcPr>
          <w:p>
            <w:pPr>
              <w:spacing w:after="0"/>
              <w:rPr>
                <w:sz w:val="20"/>
                <w:szCs w:val="20"/>
                <w:color w:val="auto"/>
              </w:rPr>
            </w:pPr>
            <w:r>
              <w:rPr>
                <w:rFonts w:ascii="Arial" w:cs="Arial" w:eastAsia="Arial" w:hAnsi="Arial"/>
                <w:sz w:val="18"/>
                <w:szCs w:val="18"/>
                <w:color w:val="auto"/>
              </w:rPr>
              <w:t>Prior to Feb 1, 2018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105.250%</w:t>
            </w:r>
          </w:p>
        </w:tc>
      </w:tr>
      <w:tr>
        <w:trPr>
          <w:trHeight w:val="216"/>
        </w:trPr>
        <w:tc>
          <w:tcPr>
            <w:tcW w:w="2580" w:type="dxa"/>
            <w:vAlign w:val="bottom"/>
            <w:gridSpan w:val="3"/>
          </w:tcPr>
          <w:p>
            <w:pPr>
              <w:spacing w:after="0"/>
              <w:rPr>
                <w:sz w:val="20"/>
                <w:szCs w:val="20"/>
                <w:color w:val="auto"/>
              </w:rPr>
            </w:pPr>
            <w:r>
              <w:rPr>
                <w:rFonts w:ascii="Arial" w:cs="Arial" w:eastAsia="Arial" w:hAnsi="Arial"/>
                <w:sz w:val="18"/>
                <w:szCs w:val="18"/>
                <w:color w:val="auto"/>
              </w:rPr>
              <w:t>Prior to May 1, 2018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105.250%</w:t>
            </w:r>
          </w:p>
        </w:tc>
      </w:tr>
      <w:tr>
        <w:trPr>
          <w:trHeight w:val="216"/>
        </w:trPr>
        <w:tc>
          <w:tcPr>
            <w:tcW w:w="2580" w:type="dxa"/>
            <w:vAlign w:val="bottom"/>
            <w:gridSpan w:val="3"/>
          </w:tcPr>
          <w:p>
            <w:pPr>
              <w:spacing w:after="0"/>
              <w:rPr>
                <w:sz w:val="20"/>
                <w:szCs w:val="20"/>
                <w:color w:val="auto"/>
              </w:rPr>
            </w:pPr>
            <w:r>
              <w:rPr>
                <w:rFonts w:ascii="Arial" w:cs="Arial" w:eastAsia="Arial" w:hAnsi="Arial"/>
                <w:sz w:val="18"/>
                <w:szCs w:val="18"/>
                <w:color w:val="auto"/>
              </w:rPr>
              <w:t>Prior to Aug 1, 2017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105.500%</w:t>
            </w:r>
          </w:p>
        </w:tc>
      </w:tr>
      <w:tr>
        <w:trPr>
          <w:trHeight w:val="230"/>
        </w:trPr>
        <w:tc>
          <w:tcPr>
            <w:tcW w:w="2580" w:type="dxa"/>
            <w:vAlign w:val="bottom"/>
            <w:gridSpan w:val="3"/>
          </w:tcPr>
          <w:p>
            <w:pPr>
              <w:spacing w:after="0"/>
              <w:rPr>
                <w:sz w:val="20"/>
                <w:szCs w:val="20"/>
                <w:color w:val="auto"/>
              </w:rPr>
            </w:pPr>
            <w:r>
              <w:rPr>
                <w:rFonts w:ascii="Arial" w:cs="Arial" w:eastAsia="Arial" w:hAnsi="Arial"/>
                <w:sz w:val="18"/>
                <w:szCs w:val="18"/>
                <w:color w:val="auto"/>
              </w:rPr>
              <w:t>Prior to May 1, 2018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105.625%</w:t>
            </w:r>
          </w:p>
        </w:tc>
      </w:tr>
    </w:tbl>
    <w:p>
      <w:pPr>
        <w:spacing w:after="0" w:line="200" w:lineRule="exact"/>
        <w:rPr>
          <w:sz w:val="20"/>
          <w:szCs w:val="20"/>
          <w:color w:val="auto"/>
        </w:rPr>
      </w:pPr>
    </w:p>
    <w:p>
      <w:pPr>
        <w:sectPr>
          <w:pgSz w:w="11900" w:h="16838" w:orient="portrait"/>
          <w:cols w:equalWidth="0" w:num="2">
            <w:col w:w="7040" w:space="280"/>
            <w:col w:w="4100"/>
          </w:cols>
          <w:pgMar w:left="240" w:top="125" w:right="239" w:bottom="0" w:gutter="0" w:footer="0" w:header="0"/>
          <w:type w:val="continuous"/>
        </w:sectPr>
      </w:pPr>
    </w:p>
    <w:p>
      <w:pPr>
        <w:spacing w:after="0" w:line="231" w:lineRule="exact"/>
        <w:rPr>
          <w:sz w:val="20"/>
          <w:szCs w:val="20"/>
          <w:color w:val="auto"/>
        </w:rPr>
      </w:pPr>
    </w:p>
    <w:p>
      <w:pPr>
        <w:ind w:left="580" w:right="360" w:hanging="248"/>
        <w:spacing w:after="0" w:line="227" w:lineRule="auto"/>
        <w:tabs>
          <w:tab w:leader="none" w:pos="568" w:val="left"/>
        </w:tabs>
        <w:numPr>
          <w:ilvl w:val="0"/>
          <w:numId w:val="1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If we redeem prior to the applicable date, the price is principal plus a make-whole premium equal to the present value of the remaining scheduled interest payments as described in the applicable indenture, together with accrued and unpaid interest.</w:t>
      </w:r>
    </w:p>
    <w:p>
      <w:pPr>
        <w:ind w:left="580" w:right="200" w:hanging="248"/>
        <w:spacing w:after="0" w:line="219" w:lineRule="auto"/>
        <w:tabs>
          <w:tab w:leader="none" w:pos="568" w:val="left"/>
        </w:tabs>
        <w:numPr>
          <w:ilvl w:val="0"/>
          <w:numId w:val="1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If we redeem on or after the applicable date, the price is principal plus a premium which declines over time as specified in the applicable indenture, together with accrued and unpaid interest.</w:t>
      </w:r>
    </w:p>
    <w:p>
      <w:pPr>
        <w:spacing w:after="0" w:line="1" w:lineRule="exact"/>
        <w:rPr>
          <w:rFonts w:ascii="Arial" w:cs="Arial" w:eastAsia="Arial" w:hAnsi="Arial"/>
          <w:sz w:val="23"/>
          <w:szCs w:val="23"/>
          <w:i w:val="1"/>
          <w:iCs w:val="1"/>
          <w:color w:val="auto"/>
          <w:vertAlign w:val="superscript"/>
        </w:rPr>
      </w:pPr>
    </w:p>
    <w:p>
      <w:pPr>
        <w:ind w:left="580" w:right="140" w:hanging="248"/>
        <w:spacing w:after="0" w:line="229" w:lineRule="auto"/>
        <w:tabs>
          <w:tab w:leader="none" w:pos="568" w:val="left"/>
        </w:tabs>
        <w:numPr>
          <w:ilvl w:val="0"/>
          <w:numId w:val="1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If we redeem prior to the applicable date with net cash proceeds of one or more equity offerings, the price is equal to the amount specified above, together with accrued and unpaid interest, subject to a maximum redemption of 35% of the aggregate principal amount of the respective notes being redeemed.</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2022 Senior Secured Term Loan B</w:t>
      </w:r>
    </w:p>
    <w:p>
      <w:pPr>
        <w:spacing w:after="0" w:line="22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On April 26, 2016, we entered into the 2022 Term Loan B and drew an aggregate principal amount of $750 million which is due April 2022. Issuance costs for the 2022 Term Loan B totaled $16 million, which included an original issue discount of 1% of the initial aggregate principal amount.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2022 Term Loan B bears interest, at our election, of either (1) a base rate plus 5.00%, which base rate is defined as the greatest of (a) the prime rate,</w:t>
      </w:r>
    </w:p>
    <w:p>
      <w:pPr>
        <w:spacing w:after="0" w:line="46" w:lineRule="exact"/>
        <w:rPr>
          <w:sz w:val="20"/>
          <w:szCs w:val="20"/>
          <w:color w:val="auto"/>
        </w:rPr>
      </w:pPr>
    </w:p>
    <w:p>
      <w:pPr>
        <w:ind w:right="40" w:firstLine="8"/>
        <w:spacing w:after="0" w:line="270"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funds rate plus 0.50%, or (c) a one-month London Interbank Offered Rate (“LIBOR”) plus 1.0%, or (2) an up to twelve-month LIBOR, subject to certain adjustments, plus 6.00%. We may, from time to time, elect to convert outstanding term loans from one rate to another. Principal payments are due quarterly beginning on September 30, 2016 in an amount equal to 0.25% of the initial aggregate principal amount with the balance due at maturity and may be prepaid without penalty. Interest is payable at least quarterly, but may be monthly if we elect a monthly LIBOR rate. We are also obligated to pay certain customary fees for a credit facility of this size and type. On October 27, 2016, we amended our 2022 Term Loan B to reduce the margins added to the base rate from 5.00% to 2.75% and to the adjusted LIBOR rate from 6.00% to 3.75%.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The 2022 Term Loan B contains covenants that, among other things, limit, in certain circumstances, the ability of Micron and/or its domestic restricted subsidiaries, as defined above, to (1) create or incur certain liens and enter into sale-leaseback financing transactions; (2) in the case of domestic restricted subsidiaries, create, assume, incur, or guarantee additional indebtedness; and (3) in the case of Micron, consolidate or merge with or into, or sell, assign, convey, transfer, lease, or otherwise dispose of all or substantially all of its assets, to another entity. These covenants are subject to a number of limitations, exceptions, and qualifications. The 2022 Term Loan B is guaranteed by MSP and collateralized by substantially all of the assets of MSP.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Senior Secured Notes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April 26, 2016, we issued $1.25 billion in principal amount of 2023 Secured Notes due September 2023. Issuance costs for the 2023 Secured Notes totaled $13 million.</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2023 Secured Notes contain covenants that, among other things, limit, in certain circumstances, the ability of Micron and/or its domestic restricted subsidiaries to (1) create or incur certain liens and enter into sale-leaseback financing transactions; (2) in the case of domestic restricted subsidiaries, create, assume, incur, or guarantee additional indebtedness; and (3) in the case of Micron, consolidate or merge with or into, or sell, assign, convey, transfer, lease, or otherwise dispose of all or substantially all of its assets, to another entity. These covenants are subject to a number of limitations, exceptions, and qualifications. The 2023 Secured Notes are guaranteed by MSP and collateralized by substantially all of the assets of MSP.</w:t>
      </w:r>
    </w:p>
    <w:p>
      <w:pPr>
        <w:spacing w:after="0" w:line="15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b w:val="1"/>
          <w:bCs w:val="1"/>
          <w:i w:val="1"/>
          <w:iCs w:val="1"/>
          <w:color w:val="auto"/>
        </w:rPr>
        <w:t>Cash Redemption at Our Option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April 15, 2019, we may redeem the 2023 Secured Notes at a price equal to the principal amount thereof,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“make-whole” premium as described in the indenture governing the 2023 Secured Notes, together with accrued and unpaid interest. On or after April 15, 2019, we may redeem the 2023 Secured Notes, in whole or in part, at prices above the principal amount that decline over time, as specified in the indenture, together with accrued and unpaid interest. Additionally, prior to April 15, 2019, we may use the net cash proceeds of one or more equity offerings to redeem up to 35% of the aggregate principal amount of the 2023 Secured Notes at a price equal to 107.5% of the principal amount together with accrued and unpaid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Accounting standards for convertible debt instruments that may be fully or partially settled in cash upon conversion require the debt and equity components to be separately accounted for in a manner that reflects a nonconvertible borrowing rate when interest expense is recognized in subsequent periods. The amount initially recorded as debt is based on the fair value of the debt component as a standalone instrument, determined using an interest rate for similar nonconvertible debt issued by entities with credit ratings similar to ours at the time of issuance. The difference between the debt recorded at inception and its principal amount is accreted to principal through interest expense over the estimated life of the note.</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September 1, 2016, the trading price of our common stock was higher than the initial conversion prices of our 2032 Notes and our 2033 Notes. As a result, the conversion values were in excess of principal amounts for such notes. The following table summarizes our convertible notes outstanding as of September 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Conversion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Conversion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Holder Put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Outstanding</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Price Per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in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 Per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Excess of</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840" w:type="dxa"/>
            <w:vAlign w:val="bottom"/>
          </w:tcPr>
          <w:p>
            <w:pPr>
              <w:ind w:left="720"/>
              <w:spacing w:after="0" w:line="172"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7"/>
                <w:szCs w:val="17"/>
                <w:b w:val="1"/>
                <w:bCs w:val="1"/>
                <w:color w:val="auto"/>
                <w:vertAlign w:val="superscript"/>
              </w:rPr>
              <w:t>(1)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Principal</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line="172" w:lineRule="exact"/>
              <w:rPr>
                <w:sz w:val="20"/>
                <w:szCs w:val="20"/>
                <w:color w:val="auto"/>
              </w:rPr>
            </w:pPr>
            <w:r>
              <w:rPr>
                <w:rFonts w:ascii="Arial" w:cs="Arial" w:eastAsia="Arial" w:hAnsi="Arial"/>
                <w:sz w:val="14"/>
                <w:szCs w:val="14"/>
                <w:b w:val="1"/>
                <w:bCs w:val="1"/>
                <w:color w:val="auto"/>
                <w:w w:val="90"/>
              </w:rPr>
              <w:t>Threshold</w:t>
            </w:r>
            <w:r>
              <w:rPr>
                <w:rFonts w:ascii="Arial" w:cs="Arial" w:eastAsia="Arial" w:hAnsi="Arial"/>
                <w:sz w:val="17"/>
                <w:szCs w:val="17"/>
                <w:b w:val="1"/>
                <w:bCs w:val="1"/>
                <w:color w:val="auto"/>
                <w:w w:val="90"/>
                <w:vertAlign w:val="superscript"/>
              </w:rPr>
              <w:t>(2)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280"/>
              <w:spacing w:after="0" w:line="172" w:lineRule="exact"/>
              <w:rPr>
                <w:sz w:val="20"/>
                <w:szCs w:val="20"/>
                <w:color w:val="auto"/>
              </w:rPr>
            </w:pPr>
            <w:r>
              <w:rPr>
                <w:rFonts w:ascii="Arial" w:cs="Arial" w:eastAsia="Arial" w:hAnsi="Arial"/>
                <w:sz w:val="14"/>
                <w:szCs w:val="14"/>
                <w:b w:val="1"/>
                <w:bCs w:val="1"/>
                <w:color w:val="auto"/>
                <w:w w:val="90"/>
              </w:rPr>
              <w:t>Principal</w:t>
            </w:r>
            <w:r>
              <w:rPr>
                <w:rFonts w:ascii="Arial" w:cs="Arial" w:eastAsia="Arial" w:hAnsi="Arial"/>
                <w:sz w:val="17"/>
                <w:szCs w:val="17"/>
                <w:b w:val="1"/>
                <w:bCs w:val="1"/>
                <w:color w:val="auto"/>
                <w:w w:val="90"/>
                <w:vertAlign w:val="superscript"/>
              </w:rPr>
              <w:t>(3)</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2032C Notes</w:t>
            </w: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2032D Notes</w:t>
            </w:r>
          </w:p>
        </w:tc>
        <w:tc>
          <w:tcPr>
            <w:tcW w:w="1840" w:type="dxa"/>
            <w:vAlign w:val="bottom"/>
          </w:tcPr>
          <w:p>
            <w:pPr>
              <w:spacing w:after="0"/>
              <w:rPr>
                <w:sz w:val="20"/>
                <w:szCs w:val="20"/>
                <w:color w:val="auto"/>
              </w:rPr>
            </w:pPr>
            <w:r>
              <w:rPr>
                <w:rFonts w:ascii="Arial" w:cs="Arial" w:eastAsia="Arial" w:hAnsi="Arial"/>
                <w:sz w:val="18"/>
                <w:szCs w:val="18"/>
                <w:color w:val="auto"/>
              </w:rPr>
              <w:t>May 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2033E Notes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February 2018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2033F Notes</w:t>
            </w:r>
          </w:p>
        </w:tc>
        <w:tc>
          <w:tcPr>
            <w:tcW w:w="1840" w:type="dxa"/>
            <w:vAlign w:val="bottom"/>
          </w:tcPr>
          <w:p>
            <w:pPr>
              <w:spacing w:after="0"/>
              <w:rPr>
                <w:sz w:val="20"/>
                <w:szCs w:val="20"/>
                <w:color w:val="auto"/>
              </w:rPr>
            </w:pPr>
            <w:r>
              <w:rPr>
                <w:rFonts w:ascii="Arial" w:cs="Arial" w:eastAsia="Arial" w:hAnsi="Arial"/>
                <w:sz w:val="18"/>
                <w:szCs w:val="18"/>
                <w:color w:val="auto"/>
              </w:rPr>
              <w:t>February 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2043G Notes</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November 2028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20" w:right="880" w:hanging="488"/>
        <w:spacing w:after="0" w:line="227" w:lineRule="auto"/>
        <w:tabs>
          <w:tab w:leader="none" w:pos="820" w:val="left"/>
        </w:tabs>
        <w:numPr>
          <w:ilvl w:val="0"/>
          <w:numId w:val="1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terms of our convertible notes give holders the right to require us to repurchase all or a portion of their notes at a date prior to the contractual maturities of the notes at a price equal to the principal amount thereof plus accrued interest.</w:t>
      </w:r>
    </w:p>
    <w:p>
      <w:pPr>
        <w:ind w:left="820" w:right="180" w:hanging="488"/>
        <w:spacing w:after="0" w:line="261" w:lineRule="auto"/>
        <w:tabs>
          <w:tab w:leader="none" w:pos="820"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Holders have the right to convert all or a portion of their notes at a date prior to the contractual maturity if, during any calendar quarter, the closing price of our common stock for at least 20 trading days in the 30 consecutive trading days ending on the last trading day of the preceding calendar quarter is more than 130% of the conversion price. The closing price of our common stock exceeded the thresholds for the calendar</w:t>
      </w:r>
    </w:p>
    <w:p>
      <w:pPr>
        <w:sectPr>
          <w:pgSz w:w="11900" w:h="16838" w:orient="portrait"/>
          <w:cols w:equalWidth="0" w:num="1">
            <w:col w:w="11420"/>
          </w:cols>
          <w:pgMar w:left="240" w:top="337" w:right="239" w:bottom="0" w:gutter="0" w:footer="0" w:header="0"/>
        </w:sectPr>
      </w:pPr>
    </w:p>
    <w:bookmarkStart w:id="27" w:name="page28"/>
    <w:bookmarkEnd w:id="27"/>
    <w:p>
      <w:pPr>
        <w:ind w:left="820" w:right="1060"/>
        <w:spacing w:after="0" w:line="229" w:lineRule="auto"/>
        <w:rPr>
          <w:sz w:val="20"/>
          <w:szCs w:val="20"/>
          <w:color w:val="auto"/>
        </w:rPr>
      </w:pPr>
      <w:r>
        <w:rPr>
          <w:rFonts w:ascii="Arial" w:cs="Arial" w:eastAsia="Arial" w:hAnsi="Arial"/>
          <w:sz w:val="18"/>
          <w:szCs w:val="18"/>
          <w:i w:val="1"/>
          <w:iCs w:val="1"/>
          <w:color w:val="auto"/>
        </w:rPr>
        <w:t>quarter ended September 30, 2016 for our 2032 Notes and 2033 Notes; therefore, those notes are convertible by the holders through December 31, 2016.</w:t>
      </w:r>
    </w:p>
    <w:p>
      <w:pPr>
        <w:spacing w:after="0" w:line="3"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Based on our closing share price of $16.64 as of September 1, 2016.</w:t>
      </w:r>
    </w:p>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Carrying amounts of the equity components of our convertible notes, which are included in additional capital in the accompanying consolidated balance sheets,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2032C Notes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2032D Notes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2033E Notes (excludes $16 million as of 2015 in mezzanine 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2033F Notes (excludes $33 million as of 2015 in mezzanine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2043G Notes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for our convertible notes, consisting of contractual interest and amortization of discount and issuance costs, aggregated $87 million, $101 million, and $132 million for 2016, 2015, and 2014, respectively. Interest expense by note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9"/>
              </w:rPr>
              <w:t>Contractual Interest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gridSpan w:val="8"/>
          </w:tcPr>
          <w:p>
            <w:pPr>
              <w:ind w:left="280"/>
              <w:spacing w:after="0"/>
              <w:rPr>
                <w:sz w:val="20"/>
                <w:szCs w:val="20"/>
                <w:color w:val="auto"/>
              </w:rPr>
            </w:pPr>
            <w:r>
              <w:rPr>
                <w:rFonts w:ascii="Arial" w:cs="Arial" w:eastAsia="Arial" w:hAnsi="Arial"/>
                <w:sz w:val="14"/>
                <w:szCs w:val="14"/>
                <w:b w:val="1"/>
                <w:bCs w:val="1"/>
                <w:color w:val="auto"/>
              </w:rPr>
              <w:t>Amortization of Discount and Issuance Costs</w:t>
            </w:r>
          </w:p>
        </w:tc>
        <w:tc>
          <w:tcPr>
            <w:tcW w:w="0" w:type="dxa"/>
            <w:vAlign w:val="bottom"/>
          </w:tcPr>
          <w:p>
            <w:pPr>
              <w:spacing w:after="0"/>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2032C Notes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2032D Notes</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2033E Notes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2033F Notes</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2043G Notes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Other notes</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i w:val="1"/>
          <w:iCs w:val="1"/>
          <w:color w:val="auto"/>
        </w:rPr>
        <w:t>2032C and 2032D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2032 Notes were issued in 2012 and are due in May 2032. The initial conversion rate for the 2032C Notes is 103.8907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per $1,000 principal amount, equivalent to an initial conversion price of approximately $9.63 per share of common stock. The initial conversion rate for the 2032D Notes is 100.1803 shares of common stock per $1,000 principal amount, equivalent to an initial conversion price of approximately $9.98 per share of common stock. Interest is payable in May and November of each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i w:val="1"/>
          <w:iCs w:val="1"/>
          <w:u w:val="single" w:color="auto"/>
          <w:color w:val="auto"/>
        </w:rPr>
        <w:t>Conversion Rights</w:t>
      </w:r>
      <w:r>
        <w:rPr>
          <w:rFonts w:ascii="Arial" w:cs="Arial" w:eastAsia="Arial" w:hAnsi="Arial"/>
          <w:sz w:val="17"/>
          <w:szCs w:val="17"/>
          <w:color w:val="auto"/>
        </w:rPr>
        <w:t>: Holders may convert their 2032 Notes under the following circumstances: (1) if the 2032 Notes are called for redemption;</w:t>
      </w:r>
    </w:p>
    <w:p>
      <w:pPr>
        <w:spacing w:after="0" w:line="35" w:lineRule="exact"/>
        <w:rPr>
          <w:sz w:val="20"/>
          <w:szCs w:val="20"/>
          <w:color w:val="auto"/>
        </w:rPr>
      </w:pPr>
    </w:p>
    <w:p>
      <w:pPr>
        <w:ind w:firstLine="8"/>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any calendar quarter if the closing price of our common stock for at least 20 trading days in the 30 consecutive trading days ending on the last trading day of the preceding calendar quarter is more than 130% of the conversion price of the 2032 Notes (approximately $12.52 per share for the 2032C Notes and $12.97 per share for the 2032D Notes); (3) if the trading price of the 2032 Notes is less than 98% of the product of the closing price of our common stock and the conversion rate of the 2032 Notes during the periods specified in the indenture; (4) if specified distributions or corporate events occur, as set forth in the indenture for the 2032 Notes; or (5) at any time after February 1, 2032.</w:t>
      </w:r>
    </w:p>
    <w:p>
      <w:pPr>
        <w:spacing w:after="0" w:line="19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have the option to pay cash, issue shares of common stock, or any combination thereof for the aggregate amount due upon conversion. It is our current intent to settle the principal amount of the 2032 Notes in cash upon any conversion. As a result, only the amounts payable in excess of the principal amounts upon conversion of the 2032 Notes are considered in diluted earnings per share under the treasury stock method.</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u w:val="single" w:color="auto"/>
          <w:color w:val="auto"/>
        </w:rPr>
        <w:t>Cash Redemption at Our Option</w:t>
      </w:r>
      <w:r>
        <w:rPr>
          <w:rFonts w:ascii="Arial" w:cs="Arial" w:eastAsia="Arial" w:hAnsi="Arial"/>
          <w:sz w:val="18"/>
          <w:szCs w:val="18"/>
          <w:color w:val="auto"/>
        </w:rPr>
        <w:t>: We may redeem for cash the 2032C Notes on or after May 1, 2016 and the 2032D Notes on or after May 1, 2017 if</w:t>
      </w:r>
      <w:r>
        <w:rPr>
          <w:rFonts w:ascii="Arial" w:cs="Arial" w:eastAsia="Arial" w:hAnsi="Arial"/>
          <w:sz w:val="18"/>
          <w:szCs w:val="18"/>
          <w:i w:val="1"/>
          <w:iCs w:val="1"/>
          <w:color w:val="auto"/>
        </w:rPr>
        <w:t xml:space="preserve"> </w:t>
      </w:r>
      <w:r>
        <w:rPr>
          <w:rFonts w:ascii="Arial" w:cs="Arial" w:eastAsia="Arial" w:hAnsi="Arial"/>
          <w:sz w:val="18"/>
          <w:szCs w:val="18"/>
          <w:color w:val="auto"/>
        </w:rPr>
        <w:t>the volume weighted average price of our common stock has been at least 130% of the conversion price for at least 20 trading days during any 30 consecutive trading day period. The redemption price will equal the principal amount plus accrued and unpaid interest. If we redeem the 2032C Notes prior to May 4, 2019, or the 2032D Notes prior to May 4, 2021, we will also pay a make-whole premium in cash equal to the present value of all remaining scheduled payments of interest from the redemption date to May 4, 2019 for the 2032C Notes, or to May 4, 2021 for the 2032D Notes, using a discount rate equal to 1.5%.</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u w:val="single" w:color="auto"/>
          <w:color w:val="auto"/>
        </w:rPr>
        <w:t>Cash Repurchase at the Option of the Holder</w:t>
      </w:r>
      <w:r>
        <w:rPr>
          <w:rFonts w:ascii="Arial" w:cs="Arial" w:eastAsia="Arial" w:hAnsi="Arial"/>
          <w:sz w:val="17"/>
          <w:szCs w:val="17"/>
          <w:color w:val="auto"/>
        </w:rPr>
        <w:t>: We may be required by the holders of the 2032 Notes to repurchase for cash all or a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2032C Notes on May 1, 2019 and all or a portion of the 2032D Notes on May 1, 2021 at a price equal to the principal amount plus accrued and unpaid interest. Upon a change in control or a termination of trading, as defined in the indenture, holders of the 2032 Notes may require us to repurchase for cash all or a portion of their 2032 Notes at a price equal to the principal amount plus accrued and unpaid interest.</w:t>
      </w:r>
    </w:p>
    <w:p>
      <w:pPr>
        <w:spacing w:after="0" w:line="167"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b w:val="1"/>
          <w:bCs w:val="1"/>
          <w:i w:val="1"/>
          <w:iCs w:val="1"/>
          <w:color w:val="auto"/>
        </w:rPr>
        <w:t>2033E and 2033F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2033 Notes were issued in 2013 and are due in February 2033. The initial conversion rate for the 2033 Notes is 91.4808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per $1,000 principal amount, equivalent to an initial conversion price of approximately $10.93 per share of common stock. Interest is payable in February and August of each year.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Conversion Rights</w:t>
      </w:r>
      <w:r>
        <w:rPr>
          <w:rFonts w:ascii="Arial" w:cs="Arial" w:eastAsia="Arial" w:hAnsi="Arial"/>
          <w:sz w:val="17"/>
          <w:szCs w:val="17"/>
          <w:color w:val="auto"/>
        </w:rPr>
        <w:t>: Holders may convert their 2033 Notes under the following circumstances: (1) if the 2033 Notes are called for redemption;</w:t>
      </w:r>
    </w:p>
    <w:p>
      <w:pPr>
        <w:spacing w:after="0" w:line="35" w:lineRule="exact"/>
        <w:rPr>
          <w:sz w:val="20"/>
          <w:szCs w:val="20"/>
          <w:color w:val="auto"/>
        </w:rPr>
      </w:pPr>
    </w:p>
    <w:p>
      <w:pPr>
        <w:ind w:right="20" w:firstLine="8"/>
        <w:spacing w:after="0" w:line="253"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any calendar quarter if the closing price of our common stock for at least 20 trading days in the 30 consecutive trading days ending on the last trading day of the preceding calendar quarter is more than 130% of the conversion price of the 2033 Notes (approximately $14.21 per share); (3) if the trading price of the 2033 Notes is less than 98% of the product of the closing price of our common stock and the conversion rate of the 2033 Notes during the periods specified in the indenture; (4) if specified distributions or corporate events occur, as set forth in the indenture for the 2033 Notes; or (5) at any time after November 15, 2032.</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Upon conversion, we will pay cash equal to the lesser of the aggregate principal amount and the conversion value of the notes being converted and cash, shares of common stock or a combination of cash and shares of common stock, at our option, for any remaining conversion obligation. As a result, only the amounts payable in excess of the principal amounts upon conversion of the 2033 Notes are considered in diluted earnings per share under the treasury stock method.</w:t>
      </w:r>
    </w:p>
    <w:p>
      <w:pPr>
        <w:sectPr>
          <w:pgSz w:w="11900" w:h="16838" w:orient="portrait"/>
          <w:cols w:equalWidth="0" w:num="1">
            <w:col w:w="11420"/>
          </w:cols>
          <w:pgMar w:left="240" w:top="125" w:right="239" w:bottom="0" w:gutter="0" w:footer="0" w:header="0"/>
        </w:sectPr>
      </w:pPr>
    </w:p>
    <w:bookmarkStart w:id="28" w:name="page29"/>
    <w:bookmarkEnd w:id="28"/>
    <w:p>
      <w:pPr>
        <w:spacing w:after="0" w:line="8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i w:val="1"/>
          <w:iCs w:val="1"/>
          <w:u w:val="single" w:color="auto"/>
          <w:color w:val="auto"/>
        </w:rPr>
        <w:t>Cash Redemption at Our Option</w:t>
      </w:r>
      <w:r>
        <w:rPr>
          <w:rFonts w:ascii="Arial" w:cs="Arial" w:eastAsia="Arial" w:hAnsi="Arial"/>
          <w:sz w:val="18"/>
          <w:szCs w:val="18"/>
          <w:color w:val="auto"/>
        </w:rPr>
        <w:t>: We may redeem for cash the 2033E Notes on or after February 20, 2018 and the 2033F Notes on 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 2020 at a price equal the principal amount plus accrued and unpaid interest.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u w:val="single" w:color="auto"/>
          <w:color w:val="auto"/>
        </w:rPr>
        <w:t>Cash Repurchase at the Option of the Holder</w:t>
      </w:r>
      <w:r>
        <w:rPr>
          <w:rFonts w:ascii="Arial" w:cs="Arial" w:eastAsia="Arial" w:hAnsi="Arial"/>
          <w:sz w:val="18"/>
          <w:szCs w:val="18"/>
          <w:color w:val="auto"/>
        </w:rPr>
        <w:t>: We may be required by the holders of the 2033 Notes to repurchase for cash all or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2033E Notes on February 15, 2018 and on February 15, 2023 and all or a portion of the 2033F Notes on February 15, 2020 and on February 15, 2023 at a price equal to the principal amount plus accrued and unpaid interest. Upon a change in control or a termination of trading, as defined in the indenture, holders of the 2033 Notes may require us to repurchase for cash all or a portion of their 2033 Notes at a price equal to the principal amount plus accrued and unpaid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2043G Notes: </w:t>
      </w:r>
      <w:r>
        <w:rPr>
          <w:rFonts w:ascii="Arial" w:cs="Arial" w:eastAsia="Arial" w:hAnsi="Arial"/>
          <w:sz w:val="17"/>
          <w:szCs w:val="17"/>
          <w:color w:val="auto"/>
        </w:rPr>
        <w:t>Our 2043G Notes were issued in 2014 and are due in November 2043. Each $1,000 of principal amount at maturity had an original issue</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$800. An amount equal to the difference between the original issue price and the principal amount at maturity will accrete in accordance with a schedule set forth in the indenture. The original principal amount of $820 million accretes up to $1.03 billion at maturity in 2043. The initial conversion rate for the 2043G Notes is 34.2936 shares of common stock per $1,000 principal amount at maturity, equivalent to an initial conversion price of approximately $29.16 per share of common stock. Interest is payable in May and November of each year.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Conversion Rights</w:t>
      </w:r>
      <w:r>
        <w:rPr>
          <w:rFonts w:ascii="Arial" w:cs="Arial" w:eastAsia="Arial" w:hAnsi="Arial"/>
          <w:sz w:val="16"/>
          <w:szCs w:val="16"/>
          <w:color w:val="auto"/>
        </w:rPr>
        <w:t>: Holders may convert their 2043G Notes under the following circumstances: (1) if the 2043G Notes are called for redemption;</w:t>
      </w:r>
    </w:p>
    <w:p>
      <w:pPr>
        <w:spacing w:after="0" w:line="46" w:lineRule="exact"/>
        <w:rPr>
          <w:sz w:val="20"/>
          <w:szCs w:val="20"/>
          <w:color w:val="auto"/>
        </w:rPr>
      </w:pPr>
    </w:p>
    <w:p>
      <w:pPr>
        <w:ind w:right="40" w:firstLine="8"/>
        <w:spacing w:after="0" w:line="253"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any calendar quarter if the closing price of our common stock for at least 20 trading days in the 30 consecutive trading days ending on the last trading day of the preceding calendar quarter is more than 130% of the conversion price of the 2043G Notes (approximately $37.91 per share); (3) if the trading price of the 2043G Notes is less than 98% of the product of the closing price of our common stock and the conversion rate of the 2043G Notes during the periods specified in the indenture; (4) if specified distributions or corporate events occur, as set forth in the indenture; or (5) at any time after August 15, 2043.</w:t>
      </w:r>
    </w:p>
    <w:p>
      <w:pPr>
        <w:spacing w:after="0" w:line="19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the option to pay cash, issue shares of common stock or any combination thereof, for the aggregate amount due upon conversion. It is our current intent to settle in cash the principal amount of the 2043G Notes upon conversion. As a result, the dilutive effect of the 2043G Notes in earnings per share is computed under the treasury stock method.</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u w:val="single" w:color="auto"/>
          <w:color w:val="auto"/>
        </w:rPr>
        <w:t>Cash Redemption at Our Option</w:t>
      </w:r>
      <w:r>
        <w:rPr>
          <w:rFonts w:ascii="Arial" w:cs="Arial" w:eastAsia="Arial" w:hAnsi="Arial"/>
          <w:sz w:val="16"/>
          <w:szCs w:val="16"/>
          <w:color w:val="auto"/>
        </w:rPr>
        <w:t>: Prior to November 20, 2018, we may redeem for cash the 2043G Notes if the volume weighted average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has been at least 130% of the conversion price for at least 20 trading days during any 30 consecutive trading day period. The redemption price will equal the principal amount at maturity plus accrued and unpaid interest. On or after November 20, 2018, we may redeem for cash the 2043G Notes without regard to the closing price of our common stock at a price equal the accreted principal amount plus accrued and unpaid interest. If we redeem the 2043G Notes prior to November 20, 2018, we are required to pay in cash a make-whole premium as specified in the indenture.</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u w:val="single" w:color="auto"/>
          <w:color w:val="auto"/>
        </w:rPr>
        <w:t>Cash Repurchase at the Option of the Holder</w:t>
      </w:r>
      <w:r>
        <w:rPr>
          <w:rFonts w:ascii="Arial" w:cs="Arial" w:eastAsia="Arial" w:hAnsi="Arial"/>
          <w:sz w:val="18"/>
          <w:szCs w:val="18"/>
          <w:color w:val="auto"/>
        </w:rPr>
        <w:t>: Holders of the 2043G Notes may require us to repurchase for cash all or a portion of the 2043G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15, 2028 at a price equal to the accreted principal amount of $917 million plus accrued and unpaid interest. Holders of the 2043G Notes may also require us to repurchase for cash all or a portion of their 2043G Notes at a price equal to the accreted principal amount plus accrued and unpaid interest upon a change in control or a termination of trading, as defined in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Facilities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Revolving Credit Facilities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12, 2015, we entered into a senior five-year revolving credit facility. Under this credit facility, we can draw 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lesser of $750 million or 80% of the net outstanding balance of certain trade receivables, as defined in the facility agreement. Any amounts drawn are collateralized by a security interest in such trade receivables. The credit facility contains customary covenants and conditions, including as a funding condition the absence of any event or circumstance that has a material adverse effect on certain of our operations, assets, prospects, business, or condition, and including negative covenants that limit or restrict our ability to create liens on, or dispose of, the collateral underlying the obligations under this facility. Interest is payable on any outstanding principal balance at a variable rate equal to the LIBOR plus an applicable margin ranging between 1.75% to 2.25%, depending upon the utilized portion of the facility. On April 16, 2015, we drew $75 million under this facility. As of September 1, 2016, $75 million of principal was outstanding under this facility and $488 million was available for us to draw.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 connection with entering into the 2022 Term Loan B, on April 25, 2016, we terminated our revolving credit facility that was entered into on December 2, 2014, and repaid the $50 million outstanding principal amount.</w:t>
      </w:r>
    </w:p>
    <w:p>
      <w:pPr>
        <w:spacing w:after="0" w:line="166"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Other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28, 2015, we entered into a term loan agreement to obtain financing collateralized by certain property, plant, and equipment.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18, 2015, we drew $40 million under this arrangement. On December 1, 2015, we drew the remaining $174 million available under the facility. Amounts drawn are subject to a three-year loan, with equal quarterly principal payments beginning December 2015 and accrue interest at a variable rate equal to the three-month LIBOR plus a margin not to exceed 2.2%. As of September 1, 2016, the outstanding balance was $155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Restructure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7"/>
          <w:szCs w:val="17"/>
          <w:b w:val="1"/>
          <w:bCs w:val="1"/>
          <w:i w:val="1"/>
          <w:iCs w:val="1"/>
          <w:color w:val="auto"/>
        </w:rPr>
        <w:t>2016 Debt Restructure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2016, we repurchased $57 million in aggregate principal amount of our 2033E Notes, which had a carrying value of $54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$94 million in cash. The liability and equity components of the repurchased notes had previously been stated separately within debt and equity in our consolidated balance sheet. As a result, the repurchase decreased the carrying value of debt by $54 million and equity by $38 million.</w:t>
      </w:r>
    </w:p>
    <w:p>
      <w:pPr>
        <w:spacing w:after="0" w:line="158"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i w:val="1"/>
          <w:iCs w:val="1"/>
          <w:color w:val="auto"/>
        </w:rPr>
        <w:t>2015 Debt Restructure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2015, we consummated a number of transactions to restructure our debt, including conversions and settlements, repurchases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convertible notes, issuances of non-convertible notes, and the early repayment of a note. The following table presents the effect of each of the actions in 2015:</w:t>
      </w:r>
    </w:p>
    <w:p>
      <w:pPr>
        <w:spacing w:after="0" w:line="125" w:lineRule="exact"/>
        <w:rPr>
          <w:sz w:val="20"/>
          <w:szCs w:val="20"/>
          <w:color w:val="auto"/>
        </w:rPr>
      </w:pPr>
    </w:p>
    <w:tbl>
      <w:tblPr>
        <w:tblLayout w:type="fixed"/>
        <w:tblInd w:w="4080" w:type="dxa"/>
        <w:tblCellMar>
          <w:top w:w="0" w:type="dxa"/>
          <w:left w:w="0" w:type="dxa"/>
          <w:bottom w:w="0" w:type="dxa"/>
          <w:right w:w="0" w:type="dxa"/>
        </w:tblCellMar>
      </w:tblPr>
      <w:tr>
        <w:trPr>
          <w:trHeight w:val="195"/>
        </w:trPr>
        <w:tc>
          <w:tcPr>
            <w:tcW w:w="1240" w:type="dxa"/>
            <w:vAlign w:val="bottom"/>
          </w:tcPr>
          <w:p>
            <w:pPr>
              <w:jc w:val="center"/>
              <w:ind w:right="368"/>
              <w:spacing w:after="0"/>
              <w:rPr>
                <w:sz w:val="20"/>
                <w:szCs w:val="20"/>
                <w:color w:val="auto"/>
              </w:rPr>
            </w:pPr>
            <w:r>
              <w:rPr>
                <w:rFonts w:ascii="Arial" w:cs="Arial" w:eastAsia="Arial" w:hAnsi="Arial"/>
                <w:sz w:val="14"/>
                <w:szCs w:val="14"/>
                <w:b w:val="1"/>
                <w:bCs w:val="1"/>
                <w:color w:val="auto"/>
                <w:w w:val="91"/>
              </w:rPr>
              <w:t>Increase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in</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w w:val="82"/>
              </w:rPr>
              <w:t>(Loss)</w:t>
            </w:r>
            <w:r>
              <w:rPr>
                <w:rFonts w:ascii="Arial" w:cs="Arial" w:eastAsia="Arial" w:hAnsi="Arial"/>
                <w:sz w:val="17"/>
                <w:szCs w:val="17"/>
                <w:b w:val="1"/>
                <w:bCs w:val="1"/>
                <w:color w:val="auto"/>
                <w:w w:val="82"/>
                <w:vertAlign w:val="superscript"/>
              </w:rPr>
              <w:t>(1)</w:t>
            </w:r>
          </w:p>
        </w:tc>
      </w:tr>
      <w:tr>
        <w:trPr>
          <w:trHeight w:val="149"/>
        </w:trPr>
        <w:tc>
          <w:tcPr>
            <w:tcW w:w="1240" w:type="dxa"/>
            <w:vAlign w:val="bottom"/>
          </w:tcPr>
          <w:p>
            <w:pPr>
              <w:jc w:val="center"/>
              <w:ind w:right="368"/>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60" w:type="dxa"/>
            <w:vAlign w:val="bottom"/>
          </w:tcPr>
          <w:p>
            <w:pPr>
              <w:spacing w:after="0"/>
              <w:rPr>
                <w:sz w:val="12"/>
                <w:szCs w:val="12"/>
                <w:color w:val="auto"/>
              </w:rPr>
            </w:pPr>
          </w:p>
        </w:tc>
      </w:tr>
      <w:tr>
        <w:trPr>
          <w:trHeight w:val="186"/>
        </w:trPr>
        <w:tc>
          <w:tcPr>
            <w:tcW w:w="1240" w:type="dxa"/>
            <w:vAlign w:val="bottom"/>
          </w:tcPr>
          <w:p>
            <w:pPr>
              <w:jc w:val="center"/>
              <w:ind w:right="368"/>
              <w:spacing w:after="0"/>
              <w:rPr>
                <w:sz w:val="20"/>
                <w:szCs w:val="20"/>
                <w:color w:val="auto"/>
              </w:rPr>
            </w:pPr>
            <w:r>
              <w:rPr>
                <w:rFonts w:ascii="Arial" w:cs="Arial" w:eastAsia="Arial" w:hAnsi="Arial"/>
                <w:sz w:val="14"/>
                <w:szCs w:val="14"/>
                <w:b w:val="1"/>
                <w:bCs w:val="1"/>
                <w:color w:val="auto"/>
                <w:w w:val="94"/>
              </w:rPr>
              <w:t>Principal</w:t>
            </w:r>
          </w:p>
        </w:tc>
        <w:tc>
          <w:tcPr>
            <w:tcW w:w="16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ectPr>
          <w:pgSz w:w="11900" w:h="16926" w:orient="portrait"/>
          <w:cols w:equalWidth="0" w:num="1">
            <w:col w:w="11400"/>
          </w:cols>
          <w:pgMar w:left="240" w:top="125" w:right="25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Conversions and settlements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Repurchases</w:t>
            </w:r>
          </w:p>
        </w:tc>
        <w:tc>
          <w:tcPr>
            <w:tcW w:w="5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1,979</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Early repayment</w:t>
            </w:r>
          </w:p>
        </w:tc>
        <w:tc>
          <w:tcPr>
            <w:tcW w:w="5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60" w:hanging="228"/>
        <w:spacing w:after="0"/>
        <w:tabs>
          <w:tab w:leader="none" w:pos="560" w:val="left"/>
        </w:tabs>
        <w:numPr>
          <w:ilvl w:val="0"/>
          <w:numId w:val="2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other non-operating expense.</w:t>
      </w:r>
    </w:p>
    <w:p>
      <w:pPr>
        <w:spacing w:after="0" w:line="201" w:lineRule="exact"/>
        <w:rPr>
          <w:rFonts w:ascii="Arial" w:cs="Arial" w:eastAsia="Arial" w:hAnsi="Arial"/>
          <w:sz w:val="23"/>
          <w:szCs w:val="23"/>
          <w:i w:val="1"/>
          <w:iCs w:val="1"/>
          <w:color w:val="auto"/>
          <w:vertAlign w:val="superscript"/>
        </w:rPr>
      </w:pPr>
    </w:p>
    <w:p>
      <w:pPr>
        <w:ind w:left="980" w:right="180" w:hanging="324"/>
        <w:spacing w:after="0" w:line="253"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Conversions and Settlements</w:t>
      </w:r>
      <w:r>
        <w:rPr>
          <w:rFonts w:ascii="Arial" w:cs="Arial" w:eastAsia="Arial" w:hAnsi="Arial"/>
          <w:sz w:val="18"/>
          <w:szCs w:val="18"/>
          <w:color w:val="auto"/>
        </w:rPr>
        <w:t>: Holders of substantially all of our then remaining 2031B Notes with an aggregate principal amount of $114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converted their notes in August 2014. As a result of our election to settle the conversion amounts entirely in cash, the settlement obligations became derivative debt liabilities, increasing the carrying value of the 2031B Notes by $275 million in 2014 before being settled in 2015 for an aggregate of $389 million in cash. Additionally, holders converted $7 million principal amount of our 2033E Notes and we settled the conversions in cash for $19 million in 2015.</w:t>
      </w:r>
    </w:p>
    <w:p>
      <w:pPr>
        <w:spacing w:after="0" w:line="3" w:lineRule="exact"/>
        <w:rPr>
          <w:rFonts w:ascii="Arial" w:cs="Arial" w:eastAsia="Arial" w:hAnsi="Arial"/>
          <w:sz w:val="18"/>
          <w:szCs w:val="18"/>
          <w:color w:val="auto"/>
        </w:rPr>
      </w:pPr>
    </w:p>
    <w:p>
      <w:pPr>
        <w:ind w:left="940" w:hanging="284"/>
        <w:spacing w:after="0"/>
        <w:tabs>
          <w:tab w:leader="none" w:pos="940" w:val="left"/>
        </w:tabs>
        <w:numPr>
          <w:ilvl w:val="1"/>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Repurchases</w:t>
      </w:r>
      <w:r>
        <w:rPr>
          <w:rFonts w:ascii="Arial" w:cs="Arial" w:eastAsia="Arial" w:hAnsi="Arial"/>
          <w:sz w:val="17"/>
          <w:szCs w:val="17"/>
          <w:color w:val="auto"/>
        </w:rPr>
        <w:t>: Repurchased $368 million in aggregate principal amount of our 2032C Notes, 2032D Notes, 2033E Notes, and 2033F Notes.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Issuance</w:t>
      </w:r>
      <w:r>
        <w:rPr>
          <w:rFonts w:ascii="Arial" w:cs="Arial" w:eastAsia="Arial" w:hAnsi="Arial"/>
          <w:sz w:val="18"/>
          <w:szCs w:val="18"/>
          <w:color w:val="auto"/>
        </w:rPr>
        <w:t>: Issued $2.00 billion in aggregate principal amounts of 2023 Notes, 2024 Notes, and 2026 Notes.</w:t>
      </w:r>
    </w:p>
    <w:p>
      <w:pPr>
        <w:spacing w:after="0" w:line="2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2014 Debt Restructure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2014, we consummated a number of transactions to restructure our debt, including exchanges, conversions and settlements,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repurchases of convertible notes, issuances of non-convertible notes, and early repayments of notes. The following table presents the net effect of each of the actions: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(Decrease)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(Loss)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Exchanges</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Conversions and settlements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Repurchases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Issuances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2,157</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Early repayments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60" w:hanging="228"/>
        <w:spacing w:after="0"/>
        <w:tabs>
          <w:tab w:leader="none" w:pos="560" w:val="left"/>
        </w:tabs>
        <w:numPr>
          <w:ilvl w:val="0"/>
          <w:numId w:val="2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$184 million included in other non-operating expense and $21 million included in interest expense</w:t>
      </w:r>
    </w:p>
    <w:p>
      <w:pPr>
        <w:spacing w:after="0" w:line="201" w:lineRule="exact"/>
        <w:rPr>
          <w:rFonts w:ascii="Arial" w:cs="Arial" w:eastAsia="Arial" w:hAnsi="Arial"/>
          <w:sz w:val="23"/>
          <w:szCs w:val="23"/>
          <w:i w:val="1"/>
          <w:iCs w:val="1"/>
          <w:color w:val="auto"/>
          <w:vertAlign w:val="superscript"/>
        </w:rPr>
      </w:pPr>
    </w:p>
    <w:p>
      <w:pPr>
        <w:ind w:left="980" w:right="600" w:hanging="324"/>
        <w:spacing w:after="0" w:line="258"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Exchanges</w:t>
      </w:r>
      <w:r>
        <w:rPr>
          <w:rFonts w:ascii="Arial" w:cs="Arial" w:eastAsia="Arial" w:hAnsi="Arial"/>
          <w:sz w:val="18"/>
          <w:szCs w:val="18"/>
          <w:color w:val="auto"/>
        </w:rPr>
        <w:t>: Exchanged $440 million in aggregate principal amount of our 2027 Notes, 2031A Notes, and 2031B Notes into $1.03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at maturity of 2043G Notes.</w:t>
      </w:r>
    </w:p>
    <w:p>
      <w:pPr>
        <w:spacing w:after="0" w:line="1" w:lineRule="exact"/>
        <w:rPr>
          <w:rFonts w:ascii="Arial" w:cs="Arial" w:eastAsia="Arial" w:hAnsi="Arial"/>
          <w:sz w:val="18"/>
          <w:szCs w:val="18"/>
          <w:color w:val="auto"/>
        </w:rPr>
      </w:pPr>
    </w:p>
    <w:p>
      <w:pPr>
        <w:ind w:left="980" w:right="180" w:hanging="324"/>
        <w:spacing w:after="0" w:line="250"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Conversions and Settlements</w:t>
      </w:r>
      <w:r>
        <w:rPr>
          <w:rFonts w:ascii="Arial" w:cs="Arial" w:eastAsia="Arial" w:hAnsi="Arial"/>
          <w:sz w:val="18"/>
          <w:szCs w:val="18"/>
          <w:color w:val="auto"/>
        </w:rPr>
        <w:t>: Holders of substantially all of our remaining 2014 Notes, 2027 Notes, and 2031A Notes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$770 million) converted their notes and we settled the conversions in cash for $1.45 billion. Holders of substantially all of our remaining 2031B Notes converted their notes in August 2014. As a result of our election to settle the conversion amounts entirely in cash, the settlement obligations became derivative debt liabilities, increasing the carrying value of the 2031B Notes by $275 million in 2014 before being cash settled in 2015.</w:t>
      </w:r>
    </w:p>
    <w:p>
      <w:pPr>
        <w:spacing w:after="0" w:line="2" w:lineRule="exact"/>
        <w:rPr>
          <w:rFonts w:ascii="Arial" w:cs="Arial" w:eastAsia="Arial" w:hAnsi="Arial"/>
          <w:sz w:val="18"/>
          <w:szCs w:val="18"/>
          <w:color w:val="auto"/>
        </w:rPr>
      </w:pPr>
    </w:p>
    <w:p>
      <w:pPr>
        <w:ind w:left="980" w:right="180" w:hanging="324"/>
        <w:spacing w:after="0" w:line="250"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Repurchases</w:t>
      </w:r>
      <w:r>
        <w:rPr>
          <w:rFonts w:ascii="Arial" w:cs="Arial" w:eastAsia="Arial" w:hAnsi="Arial"/>
          <w:sz w:val="18"/>
          <w:szCs w:val="18"/>
          <w:color w:val="auto"/>
        </w:rPr>
        <w:t>: Repurchased $320 million in aggregate principal amount of our convertible 2031B Notes, 2032C Notes, and 2032D Notes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$857 million in cash.</w:t>
      </w:r>
    </w:p>
    <w:p>
      <w:pPr>
        <w:ind w:left="980" w:right="120" w:hanging="324"/>
        <w:spacing w:after="0" w:line="250"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Issuances</w:t>
      </w:r>
      <w:r>
        <w:rPr>
          <w:rFonts w:ascii="Arial" w:cs="Arial" w:eastAsia="Arial" w:hAnsi="Arial"/>
          <w:sz w:val="18"/>
          <w:szCs w:val="18"/>
          <w:color w:val="auto"/>
        </w:rPr>
        <w:t>: Issued $600 million in principal amount of our 2022 Notes, $1.15 billion in principal amount of our 2025 Notes, and $462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our 1.258% Notes.</w:t>
      </w:r>
    </w:p>
    <w:p>
      <w:pPr>
        <w:ind w:left="940" w:hanging="284"/>
        <w:spacing w:after="0"/>
        <w:tabs>
          <w:tab w:leader="none" w:pos="940"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Early Repayments</w:t>
      </w:r>
      <w:r>
        <w:rPr>
          <w:rFonts w:ascii="Arial" w:cs="Arial" w:eastAsia="Arial" w:hAnsi="Arial"/>
          <w:sz w:val="18"/>
          <w:szCs w:val="18"/>
          <w:color w:val="auto"/>
        </w:rPr>
        <w:t>: Repaid $332 million of notes and capital leases prior to their scheduled maturities.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September 1, 2016, maturities of notes payable (including the MMJ Creditor Installment Payments) and future minimum lease payments under capital lease obligations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Notes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Capital Lease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Payable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Obligations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7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2018</w:t>
            </w:r>
          </w:p>
        </w:tc>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2020</w:t>
            </w:r>
          </w:p>
        </w:tc>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2022 and thereafter</w:t>
            </w:r>
          </w:p>
        </w:tc>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6,663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discounts and interest, respectively</w:t>
            </w:r>
          </w:p>
        </w:tc>
        <w:tc>
          <w:tcPr>
            <w:tcW w:w="3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8,504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40" w:type="dxa"/>
            <w:vAlign w:val="bottom"/>
            <w:vMerge w:val="restart"/>
          </w:tcPr>
          <w:p>
            <w:pPr>
              <w:jc w:val="right"/>
              <w:ind w:right="2410"/>
              <w:spacing w:after="0"/>
              <w:rPr>
                <w:sz w:val="20"/>
                <w:szCs w:val="20"/>
                <w:color w:val="auto"/>
              </w:rPr>
            </w:pPr>
            <w:r>
              <w:rPr>
                <w:rFonts w:ascii="Arial" w:cs="Arial" w:eastAsia="Arial" w:hAnsi="Arial"/>
                <w:sz w:val="18"/>
                <w:szCs w:val="18"/>
                <w:color w:val="auto"/>
              </w:rPr>
              <w:t>30</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6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ectPr>
          <w:pgSz w:w="11900" w:h="16838" w:orient="portrait"/>
          <w:cols w:equalWidth="0" w:num="1">
            <w:col w:w="11460"/>
          </w:cols>
          <w:pgMar w:left="240" w:top="104" w:right="199" w:bottom="104" w:gutter="0" w:footer="0" w:header="0"/>
        </w:sectPr>
      </w:pPr>
    </w:p>
    <w:bookmarkStart w:id="30" w:name="page31"/>
    <w:bookmarkEnd w:id="30"/>
    <w:p>
      <w:pPr>
        <w:ind w:left="340"/>
        <w:spacing w:after="0"/>
        <w:rPr>
          <w:sz w:val="20"/>
          <w:szCs w:val="20"/>
          <w:color w:val="auto"/>
        </w:rPr>
      </w:pPr>
      <w:r>
        <w:rPr>
          <w:rFonts w:ascii="Arial" w:cs="Arial" w:eastAsia="Arial" w:hAnsi="Arial"/>
          <w:sz w:val="16"/>
          <w:szCs w:val="16"/>
          <w:color w:val="auto"/>
        </w:rPr>
        <w:t>As of September 1, 2016, we had commitments of approximately $780 million for the acquisition of property, plant, and equipment. We lease certain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facilities and equipment under operating leases, for which expense was $46 million, $48 million, and $57 million for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Minimum future operating lease commitments (including amounts attributed to the embedded operating lease in our Inotera supply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2022 and thereafter</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0"/>
        </w:trPr>
        <w:tc>
          <w:tcPr>
            <w:tcW w:w="99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applicable balance sheet dates,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their intellectual property rights.</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MSP,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thirteen U.S. patents and seeks damages, attorneys’ fees, and costs.</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On December 15, 2014, Innovative Memory Solutions, Inc. filed a patent infringement action against Micron in the U.S. District Court for the District of Delaware. The complaint alleges that a variety of our NAND Flash products infringe eight U.S. patents and seeks damages, attorneys’ fees, and costs.</w:t>
      </w:r>
    </w:p>
    <w:p>
      <w:pPr>
        <w:spacing w:after="0" w:line="12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On June 24, 2016, the President and Fellows of Harvard University filed a patent infringement action against Micron in the U.S. District Court for the District of Massachusetts. The complaint alleges that a variety of our DRAM products infringe two U.S. patents and seeks damages, injunctive relief, and other unspecified relief.</w:t>
      </w:r>
    </w:p>
    <w:p>
      <w:pPr>
        <w:spacing w:after="0" w:line="18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Among other things, the above lawsuits pertain to certain of our DDR DRAM, DDR2 DRAM, DDR3 DRAM, DDR4 DRAM, SDR SDRAM, PSRAM, RLDRAM, LPDRAM, NAND Flash, and certain other memory products we manufacture, which account for a significant portion of our net sales.</w:t>
      </w:r>
    </w:p>
    <w:p>
      <w:pPr>
        <w:spacing w:after="0" w:line="14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are unable to predict the outcome of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Memories, Inc. (the “Inotera Shares”), which represents approximately 55% of our total shares in Inotera as of September 1, 2016,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100" w:firstLine="8"/>
        <w:spacing w:after="0" w:line="268"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such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it and pay to the Qimonda estate compensation in an amount to be specified for any Inotera Shares sold to third parties; and (2) that Micron B.V. pay the Qimonda estate as compensation an amount to be specified for benefits derived by it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 or financial condition. As of September 1, 2016, the Inotera Shares had a carrying value in equity method investments of $674 million and a market value of $996 million.</w:t>
      </w:r>
    </w:p>
    <w:p>
      <w:pPr>
        <w:sectPr>
          <w:pgSz w:w="11900" w:h="16838" w:orient="portrait"/>
          <w:cols w:equalWidth="0" w:num="1">
            <w:col w:w="11420"/>
          </w:cols>
          <w:pgMar w:left="240" w:top="125"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Notes</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Under the terms of the indentures governing the 2033 Notes, upon conversion, we would be required to pay cash equal to the lesser of (1) the aggregate principal amount or (2) the conversion value of the notes being converted. To the extent the conversion value exceeds the principal amount, we could pay cash, shares of common stock, or a combination thereof, at our option, for the amount of such excess. The 2033 Notes were convertible at the option of the holders as of September 3, 2015 and the aggregate difference between the principal amount and the carrying value of $49 million was classified as redeemable convertible notes in the accompanying consolidated balance sheet. Due to declines in the trading price of our common stock during 2016, the closing price of our common stock did not meet or exceed the thresholds for the calendar quarter ended June 30, 2016; therefore, the 2033 Notes were not convertible by the holders during the calendar quarter ended September 30, 2016. As a result, in 2016, the 2033 Notes were classified as noncurrent debt and the aggregate difference between the principal amount and the carrying value were reclassified from redeemable convertible notes to additional capital.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closing price of our common stock exceeded the thresholds for the calendar quarter ended September 30, 2016; therefore, the 2033 Notes, as well as the 2032 Notes, are convertible by the holders through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360" w:firstLine="324"/>
        <w:spacing w:after="0" w:line="303" w:lineRule="auto"/>
        <w:rPr>
          <w:sz w:val="20"/>
          <w:szCs w:val="20"/>
          <w:color w:val="auto"/>
        </w:rPr>
      </w:pPr>
      <w:r>
        <w:rPr>
          <w:rFonts w:ascii="Arial" w:cs="Arial" w:eastAsia="Arial" w:hAnsi="Arial"/>
          <w:sz w:val="16"/>
          <w:szCs w:val="16"/>
          <w:b w:val="1"/>
          <w:bCs w:val="1"/>
          <w:i w:val="1"/>
          <w:iCs w:val="1"/>
          <w:color w:val="auto"/>
        </w:rPr>
        <w:t>Common Stock Repurchases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has authorized the discretionary repurchase of up to $1.25 billion of our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which may be made in open-market purchases, block trades, privately-negotiated transactions, or derivative transactions. Through 2016, we had repurchased 49 million shares for $956 million (including commissions) through open-market transactions pursuant to such authorization, which were recorded as treasury stock. Further repurchases are subject to market conditions and our ongoing determination of the best use of available cash.</w:t>
      </w:r>
    </w:p>
    <w:p>
      <w:pPr>
        <w:spacing w:after="0" w:line="15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b w:val="1"/>
          <w:bCs w:val="1"/>
          <w:i w:val="1"/>
          <w:iCs w:val="1"/>
          <w:color w:val="auto"/>
        </w:rPr>
        <w:t>Outstanding Capped Calls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capped calls intended to reduce the effect of potential dilution from our convertible notes. The capped 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for our receipt of cash or shares, at our election, from our counterparties if the trading price of our stock is above strike prices on their expiration dates. The amounts receivable vary based on the trading price of our stock, up to the cap prices. As of September 1, 2016, the dollar value of cash or shares that we would receive from capped calls upon their expiration date ranges from $0, if the trading price of our stock is below strike prices for all capped calls, to $719 million, if the trading price of our stock is at or above the cap prices for all capped calls. Settlement of the capped calls prior to the expiration dates may be for an amount less than the maximum value at expiration. We paid $103 million in 2012 to purchase the 2032 Capped Calls and $48 million in 2013 to purchase the 2033 Capped Calls. The amounts paid were recorded as charges to additional capital.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related to outstanding capped calls as of September 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Capped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center"/>
              <w:ind w:left="362"/>
              <w:spacing w:after="0"/>
              <w:rPr>
                <w:sz w:val="20"/>
                <w:szCs w:val="20"/>
                <w:color w:val="auto"/>
              </w:rPr>
            </w:pPr>
            <w:r>
              <w:rPr>
                <w:rFonts w:ascii="Arial" w:cs="Arial" w:eastAsia="Arial" w:hAnsi="Arial"/>
                <w:sz w:val="14"/>
                <w:szCs w:val="14"/>
                <w:b w:val="1"/>
                <w:bCs w:val="1"/>
                <w:color w:val="auto"/>
                <w:w w:val="97"/>
              </w:rPr>
              <w:t>Strike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Cap Price Range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20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Value at Expiration</w:t>
            </w: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line="142" w:lineRule="exact"/>
              <w:rPr>
                <w:sz w:val="20"/>
                <w:szCs w:val="20"/>
                <w:color w:val="auto"/>
              </w:rPr>
            </w:pPr>
            <w:r>
              <w:rPr>
                <w:rFonts w:ascii="Arial" w:cs="Arial" w:eastAsia="Arial" w:hAnsi="Arial"/>
                <w:sz w:val="14"/>
                <w:szCs w:val="14"/>
                <w:b w:val="1"/>
                <w:bCs w:val="1"/>
                <w:color w:val="auto"/>
              </w:rPr>
              <w:t>Calls</w:t>
            </w:r>
          </w:p>
        </w:tc>
        <w:tc>
          <w:tcPr>
            <w:tcW w:w="160" w:type="dxa"/>
            <w:vAlign w:val="bottom"/>
          </w:tcPr>
          <w:p>
            <w:pPr>
              <w:spacing w:after="0"/>
              <w:rPr>
                <w:sz w:val="12"/>
                <w:szCs w:val="12"/>
                <w:color w:val="auto"/>
              </w:rPr>
            </w:pPr>
          </w:p>
        </w:tc>
        <w:tc>
          <w:tcPr>
            <w:tcW w:w="234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Expiration Dates</w:t>
            </w:r>
          </w:p>
        </w:tc>
        <w:tc>
          <w:tcPr>
            <w:tcW w:w="820" w:type="dxa"/>
            <w:vAlign w:val="bottom"/>
          </w:tcPr>
          <w:p>
            <w:pPr>
              <w:jc w:val="center"/>
              <w:ind w:left="342"/>
              <w:spacing w:after="0" w:line="142" w:lineRule="exact"/>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Minimum</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2032C</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Nov 2016</w:t>
            </w: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Nov 2017</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2032D</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93"/>
              </w:rPr>
              <w:t>Nov 2016</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 May 2018</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16.04</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2033E</w:t>
            </w:r>
          </w:p>
        </w:tc>
        <w:tc>
          <w:tcPr>
            <w:tcW w:w="2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Jan 2018 – Feb 2018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2033F</w:t>
            </w:r>
          </w:p>
        </w:tc>
        <w:tc>
          <w:tcPr>
            <w:tcW w:w="2500" w:type="dxa"/>
            <w:vAlign w:val="bottom"/>
            <w:gridSpan w:val="4"/>
          </w:tcPr>
          <w:p>
            <w:pPr>
              <w:ind w:left="160"/>
              <w:spacing w:after="0"/>
              <w:rPr>
                <w:sz w:val="20"/>
                <w:szCs w:val="20"/>
                <w:color w:val="auto"/>
              </w:rPr>
            </w:pPr>
            <w:r>
              <w:rPr>
                <w:rFonts w:ascii="Arial" w:cs="Arial" w:eastAsia="Arial" w:hAnsi="Arial"/>
                <w:sz w:val="18"/>
                <w:szCs w:val="18"/>
                <w:color w:val="auto"/>
              </w:rPr>
              <w:t>Jan 2020 – Feb 2020</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u w:val="single" w:color="auto"/>
          <w:color w:val="auto"/>
        </w:rPr>
        <w:t>Expiration and Unwind of Capped Calls</w:t>
      </w:r>
      <w:r>
        <w:rPr>
          <w:rFonts w:ascii="Arial" w:cs="Arial" w:eastAsia="Arial" w:hAnsi="Arial"/>
          <w:sz w:val="16"/>
          <w:szCs w:val="16"/>
          <w:color w:val="auto"/>
        </w:rPr>
        <w:t>: A portion of our 2032C Capped Calls and 2031 Capped Calls expired in 2016. We elected share settlement and received 2 million shares of our stock, equal to a value of $23 million, based on the trading stock price at the time of expiration. The shares received were recorded as treasury stock. A portion of our 2031 Capped Calls expired in 2015. We elected share settlement and received 3 million shares of our stock, equal to a value of $50 million based on the trading stock price at the time of expiration. In 2014, we and the counterparties agreed to terminate and unwind a portion of our 2031 Capped Calls. We elected share settlement and received 3 million shares of our stock, equal to a value of approximately $86 million based on the trading stock price at the time of the unwind. The shares received in 2014 were retired from treasury stock in 2014.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i w:val="1"/>
          <w:iCs w:val="1"/>
          <w:color w:val="auto"/>
        </w:rPr>
        <w:t>Shareholder Rights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July 20, 2016, our board of directors adopted a Section 382 Rights Agreement (the “Rights Agreement”), under which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of record as of the close of business on August 1, 2016 received one right for each share of common stock outstanding. The Rights Agreement is intended to avoid an ownership change, as defined by Section 382 of the Internal Revenue Code of 1986, as amended, and thereby preserve our current ability to utilize certain net operating loss and credit carryforwards. In general, an ownership change will occur when the percentage of our ownership by one or more 5% shareholders has increased by more than 50% at any time during the prior three years. Pursuant to the Rights Agreement, if a shareholder (or group) acquires beneficial ownership of 4.99% or more of the outstanding shares of our common stock without prior approval of our Board of Directors or without meeting certain customary exceptions, the rights would become exercisable and entitle shareholders (other than the acquiring shareholder or group) to purchase additional shares of our common stock at a significant discount and result in significant dilution in the economic interest and voting power of acquiring shareholder or group. Although the Rights Agreement is intended to reduce the likelihood of an ownership change that could adversely affect us, there is no assurance that the Rights Agreement will prevent all transfers that could result in such an ownership change. The Rights Agreement is subject to shareholder approval at the Company’s Fiscal 2016 Annual Meeting of Shareholders. If not approved by the shareholders, the Rights Agreement will terminate on July 19, 2017.</w:t>
      </w:r>
    </w:p>
    <w:p>
      <w:pPr>
        <w:sectPr>
          <w:pgSz w:w="11900" w:h="16838" w:orient="portrait"/>
          <w:cols w:equalWidth="0" w:num="1">
            <w:col w:w="11420"/>
          </w:cols>
          <w:pgMar w:left="240" w:top="121"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Income (Loss)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accumulated other comprehensive income (loss) by component for the year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(Losses) 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(Losses) 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2"/>
                <w:szCs w:val="12"/>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Adjustments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 2015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Amount reclassified out of accumulated other</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Tax effects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Balance as of September 1, 2016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Noncontrolling Interests in Subsidiaries</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0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4"/>
          </w:tcPr>
          <w:p>
            <w:pPr>
              <w:jc w:val="center"/>
              <w:ind w:right="390"/>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1200" w:type="dxa"/>
            <w:vAlign w:val="bottom"/>
            <w:gridSpan w:val="2"/>
          </w:tcPr>
          <w:p>
            <w:pPr>
              <w:jc w:val="center"/>
              <w:ind w:left="4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9"/>
          </w:tcPr>
          <w:p>
            <w:pPr>
              <w:jc w:val="center"/>
              <w:ind w:right="600"/>
              <w:spacing w:after="0" w:line="119" w:lineRule="exact"/>
              <w:rPr>
                <w:sz w:val="20"/>
                <w:szCs w:val="20"/>
                <w:color w:val="auto"/>
              </w:rPr>
            </w:pPr>
            <w:r>
              <w:rPr>
                <w:rFonts w:ascii="Arial" w:cs="Arial" w:eastAsia="Arial" w:hAnsi="Arial"/>
                <w:sz w:val="13"/>
                <w:szCs w:val="13"/>
                <w:b w:val="1"/>
                <w:bCs w:val="1"/>
                <w:color w:val="auto"/>
              </w:rPr>
              <w:t>Noncontrolling</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10"/>
              <w:spacing w:after="0" w:line="149" w:lineRule="exact"/>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2"/>
                <w:szCs w:val="12"/>
                <w:color w:val="auto"/>
              </w:rPr>
            </w:pPr>
          </w:p>
        </w:tc>
        <w:tc>
          <w:tcPr>
            <w:tcW w:w="1200" w:type="dxa"/>
            <w:vAlign w:val="bottom"/>
            <w:gridSpan w:val="2"/>
          </w:tcPr>
          <w:p>
            <w:pPr>
              <w:jc w:val="center"/>
              <w:ind w:left="40"/>
              <w:spacing w:after="0" w:line="149" w:lineRule="exact"/>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left="399"/>
              <w:spacing w:after="0" w:line="149" w:lineRule="exact"/>
              <w:rPr>
                <w:sz w:val="20"/>
                <w:szCs w:val="20"/>
                <w:color w:val="auto"/>
              </w:rPr>
            </w:pPr>
            <w:r>
              <w:rPr>
                <w:rFonts w:ascii="Arial" w:cs="Arial" w:eastAsia="Arial" w:hAnsi="Arial"/>
                <w:sz w:val="14"/>
                <w:szCs w:val="14"/>
                <w:b w:val="1"/>
                <w:bCs w:val="1"/>
                <w:color w:val="auto"/>
                <w:w w:val="90"/>
              </w:rPr>
              <w:t>Interest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38"/>
              <w:spacing w:after="0"/>
              <w:rPr>
                <w:sz w:val="20"/>
                <w:szCs w:val="20"/>
                <w:color w:val="auto"/>
              </w:rPr>
            </w:pPr>
            <w:r>
              <w:rPr>
                <w:rFonts w:ascii="Arial" w:cs="Arial" w:eastAsia="Arial" w:hAnsi="Arial"/>
                <w:sz w:val="14"/>
                <w:szCs w:val="14"/>
                <w:b w:val="1"/>
                <w:bCs w:val="1"/>
                <w:color w:val="auto"/>
                <w:w w:val="93"/>
              </w:rPr>
              <w:t>Balance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3"/>
              </w:rPr>
              <w:t>Balance</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IMFT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MP Mask</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Various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b w:val="1"/>
          <w:bCs w:val="1"/>
          <w:i w:val="1"/>
          <w:iCs w:val="1"/>
          <w:color w:val="auto"/>
        </w:rPr>
        <w:t>IMFT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IMFT’s inception in 2006, we have owned 51% of IMFT, a joint venture between us and Intel that manufactures NAND Flash and 3D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XPoint memory products exclusively for the members. The members share the output of IMFT generally in proportion to their investment. IMFT is governed by a Board of Managers, for which the number of managers appointed by each member varies based on the members’ respective ownership interests. The IMFT joint venture agreement extends through 2024 and includes certain buy-sell rights. On January 5, 2016, we amended the IMFT joint venture agreement to change the dates of the buy-sell rights. Pursuant to the amendment, commencing in January 2016, Intel can put to us, and commencing in January 2019, we can call from Intel, Intel’s interest in IMFT, in either case, for an amount equal to the noncontrolling interest balance attributable to Intel at such time either member exercises its right. If Intel exercises its put right, we can elect to set the closing date of the transaction to be any time within two years following such election by Intel and can elect to receive financing of the purchase price from Intel for one to two years from the closing date.</w:t>
      </w:r>
    </w:p>
    <w:p>
      <w:pPr>
        <w:spacing w:after="0" w:line="16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IMFT manufactures memory products using designs and technology we develop with Intel. We generally share with Intel the costs of product design and process development activities for NAND Flash and 3D XPoint memory. Our R&amp;D expenses were reduced by reimbursements from Intel of $205 million, $224 million, and $137 million for 2016, 2015, and 2014, respectively.</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sales include Non-Trade Non-Volatile Memory, which primarily consists of products sold to Intel through our IMFT joint venture at long-term negotiated prices approximating cost. Non-Trade Non-Volatile Memory sales were $501 million, $463 million, and $475 million for 2016, 2015, and 2014,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assets and liabilities of IMFT included in our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equivalents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debt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ectPr>
          <w:pgSz w:w="11900" w:h="16838" w:orient="portrait"/>
          <w:cols w:equalWidth="0" w:num="1">
            <w:col w:w="11420"/>
          </w:cols>
          <w:pgMar w:left="240" w:top="341" w:right="239" w:bottom="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Creditors of IMFT have recourse only to IMFT’s assets and do not have recourse to any other of our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IMFT’s distributions to and contributions from its members: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IMFT distributions to Micron</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IMFT distributions to Intel</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Micron contributions to IMFT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Intel contributions to IMFT</w:t>
            </w: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bl>
    <w:p>
      <w:pPr>
        <w:spacing w:after="0" w:line="18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b w:val="1"/>
          <w:bCs w:val="1"/>
          <w:i w:val="1"/>
          <w:iCs w:val="1"/>
          <w:color w:val="auto"/>
        </w:rPr>
        <w:t>MP Mask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2006, we formed a joint venture with Photronics to produce photomasks for leading-edge and advanced next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semiconductors. Through May 5, 2016, we and Photronics each owned approximately 50% of MP Mask. We purchased a substantial majority of the photomasks produced by MP Mask pursuant to a supply arrangement. On May 5, 2016 we acquired Photronics’ interest in MP Mask for $93 million, at which time MP Mask ceased to be a variable interest entity and became a wholly-owned subsidiary.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assets and liabilities of MP Mask included in our September 3, 2015 consolidated balance sheets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Noncurrent assets (primarily property, plant, and equipment)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i w:val="1"/>
          <w:iCs w:val="1"/>
          <w:color w:val="auto"/>
        </w:rPr>
        <w:t>MMT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August 29, 2013, noncontrolling interests in MMT were 11%. In 2014, we purchased additional interests in MMT for an aggregate of $146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of August 28, 2014, noncontrolling interests in MMT were less than 1%. As a result of the purchases of MMT shares in 2014, in aggregate, noncontrolling interests decreased by $180 million and additional capital increased by $34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Restrictions on Net Assets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 a result of the corporate reorganization proceedings of the MMJ Companies initiated in March 2012, and for so long as such proceedings continue, the MMJ Group is subject to certain restrictions on dividends, loans, and advances. In addition, our ability to access IMFT’s cash and other assets through dividends, loans, or advances, including to finance our other operations, is subject to agreement by Intel. As a result, our total restricted net assets (net assets less intercompany balances and noncontrolling interests) as of September 1, 2016 were $3.21 billion for the MMJ Group and $913 million for IMFT, which included cash and equivalents of $896 million for the MMJ Group and $98 million for IMFT.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2016, our retained earnings included undistributed earnings from our equity method investees of $272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Accounting standards establish three levels of inputs that may be used to measure fair value: quoted prices in active markets for identical assets or liabilities (referred to as Level 1),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47"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All of our marketable debt and equity investments (excluding equity method investments) were classified as available-for-sale and carried at fair value. In connection with our repurchases of debt in 2016, 2015, and 2014, we determined the fair value of the debt components of our convertible notes as if they were stand-alone instruments, using interest rates for similar nonconvertible debt issued by entities with credit ratings comparable to ours (Level 2).</w:t>
      </w:r>
    </w:p>
    <w:p>
      <w:pPr>
        <w:spacing w:after="0" w:line="14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Amounts reported as cash and equivalents, receivables, and accounts payable and accrued expenses approximate fair value. The estimated fair value and carrying value of debt instruments (carrying value excludes the equity and mezzanine equity components of our convertible notes)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w w:val="83"/>
              </w:rPr>
              <w:t>2016</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w w:val="83"/>
              </w:rPr>
              <w:t>2015</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jc w:val="center"/>
              <w:ind w:left="384"/>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920" w:type="dxa"/>
            <w:vAlign w:val="bottom"/>
          </w:tcPr>
          <w:p>
            <w:pPr>
              <w:jc w:val="center"/>
              <w:ind w:left="384"/>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900" w:type="dxa"/>
            <w:vAlign w:val="bottom"/>
          </w:tcPr>
          <w:p>
            <w:pPr>
              <w:jc w:val="center"/>
              <w:ind w:left="384"/>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920" w:type="dxa"/>
            <w:vAlign w:val="bottom"/>
          </w:tcPr>
          <w:p>
            <w:pPr>
              <w:jc w:val="center"/>
              <w:ind w:left="384"/>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Notes and MMJ creditor installment payments</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7,257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1,454</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fair values of our convertible notes were determined based on inputs that were observable in the market or that could be derived from, or corroborated with, observable market data, including the trading price of our convertible notes when available, our stock price, and interest rates based on similar debt issued by parties with credit ratings similar to ours (Level 2). The fair value of our other debt instruments was estimated based on discounted cash flows using inputs that were observable in the market or that could be derived from, or corroborated with, observable market data, including the trading price of our notes, when available, and interest rates based on similar debt issued by parties with credit ratings similar to ours (Level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right="560" w:firstLine="324"/>
        <w:spacing w:after="0" w:line="312" w:lineRule="auto"/>
        <w:rPr>
          <w:sz w:val="20"/>
          <w:szCs w:val="20"/>
          <w:color w:val="auto"/>
        </w:rPr>
      </w:pPr>
      <w:r>
        <w:rPr>
          <w:rFonts w:ascii="Arial" w:cs="Arial" w:eastAsia="Arial" w:hAnsi="Arial"/>
          <w:sz w:val="16"/>
          <w:szCs w:val="16"/>
          <w:color w:val="auto"/>
        </w:rPr>
        <w:t>We use derivative instruments to manage a portion of our exposure to changes in currency exchange rates from our monetary assets and liabilities denominated in currencies other than the U.S. dollar. We have also had convertible note settlement obligations which were accounted for as derivative instruments as a result of our elections to settle conversions in cash. We do not use derivative instruments for speculative purpose.</w:t>
      </w:r>
    </w:p>
    <w:p>
      <w:pPr>
        <w:sectPr>
          <w:pgSz w:w="11900" w:h="16838" w:orient="portrait"/>
          <w:cols w:equalWidth="0" w:num="1">
            <w:col w:w="11420"/>
          </w:cols>
          <w:pgMar w:left="240" w:top="125"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Currency Derivatives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hedge our exposures of monetary assets and liabilities to changes in currency exchange rates, we generally utilize a rolling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hedge strategy with currency forward contracts that mature within 35 days. At the end of each reporting period, monetary assets and liabilities denominated in currencies other than the U.S. dollar are remeasured in U.S. dollars and the associated outstanding forward contracts are marked-to-market. Currency forward contracts are valued at fair values based on the middle of bid and ask prices of dealers or exchange quotations (Level 2 fair value measurements). To mitigate the risk of the yen strengthening against the U.S. dollar on the MMJ creditor installment payments due in December 2014 and December 2015, we entered into forward contracts to purchase 20 billion yen on November 28, 2014 and 10 billion yen on November 27, 2015. In the first quarters of 2016 and 2015, we paid $21 million and $33 million, respectively, upon settlement of the forward contracts.</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summarizes our derivative instruments without hedge accounting designation, which consisted of forward contracts to purchase the noted currencies as a hedge of our net position in monetary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Notional</w:t>
            </w: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of</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Amount (in</w:t>
            </w:r>
          </w:p>
        </w:tc>
        <w:tc>
          <w:tcPr>
            <w:tcW w:w="260" w:type="dxa"/>
            <w:vAlign w:val="bottom"/>
          </w:tcPr>
          <w:p>
            <w:pPr>
              <w:spacing w:after="0"/>
              <w:rPr>
                <w:sz w:val="10"/>
                <w:szCs w:val="10"/>
                <w:color w:val="auto"/>
              </w:rPr>
            </w:pPr>
          </w:p>
        </w:tc>
        <w:tc>
          <w:tcPr>
            <w:tcW w:w="138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Current</w:t>
            </w:r>
          </w:p>
        </w:tc>
        <w:tc>
          <w:tcPr>
            <w:tcW w:w="280" w:type="dxa"/>
            <w:vAlign w:val="bottom"/>
          </w:tcPr>
          <w:p>
            <w:pPr>
              <w:spacing w:after="0"/>
              <w:rPr>
                <w:sz w:val="10"/>
                <w:szCs w:val="10"/>
                <w:color w:val="auto"/>
              </w:rPr>
            </w:pPr>
          </w:p>
        </w:tc>
        <w:tc>
          <w:tcPr>
            <w:tcW w:w="1080" w:type="dxa"/>
            <w:vAlign w:val="bottom"/>
          </w:tcPr>
          <w:p>
            <w:pPr>
              <w:jc w:val="right"/>
              <w:ind w:right="353"/>
              <w:spacing w:after="0" w:line="119" w:lineRule="exact"/>
              <w:rPr>
                <w:sz w:val="20"/>
                <w:szCs w:val="20"/>
                <w:color w:val="auto"/>
              </w:rPr>
            </w:pPr>
            <w:r>
              <w:rPr>
                <w:rFonts w:ascii="Arial" w:cs="Arial" w:eastAsia="Arial" w:hAnsi="Arial"/>
                <w:sz w:val="13"/>
                <w:szCs w:val="13"/>
                <w:b w:val="1"/>
                <w:bCs w:val="1"/>
                <w:color w:val="auto"/>
              </w:rPr>
              <w:t>Current</w:t>
            </w:r>
          </w:p>
        </w:tc>
        <w:tc>
          <w:tcPr>
            <w:tcW w:w="100" w:type="dxa"/>
            <w:vAlign w:val="bottom"/>
            <w:gridSpan w:val="2"/>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U.S. Dollars)</w:t>
            </w:r>
          </w:p>
        </w:tc>
        <w:tc>
          <w:tcPr>
            <w:tcW w:w="260" w:type="dxa"/>
            <w:vAlign w:val="bottom"/>
          </w:tcPr>
          <w:p>
            <w:pPr>
              <w:spacing w:after="0"/>
              <w:rPr>
                <w:sz w:val="14"/>
                <w:szCs w:val="14"/>
                <w:color w:val="auto"/>
              </w:rPr>
            </w:pPr>
          </w:p>
        </w:tc>
        <w:tc>
          <w:tcPr>
            <w:tcW w:w="1380" w:type="dxa"/>
            <w:vAlign w:val="bottom"/>
            <w:gridSpan w:val="2"/>
          </w:tcPr>
          <w:p>
            <w:pPr>
              <w:ind w:left="180"/>
              <w:spacing w:after="0" w:line="172" w:lineRule="exact"/>
              <w:rPr>
                <w:sz w:val="20"/>
                <w:szCs w:val="20"/>
                <w:color w:val="auto"/>
              </w:rPr>
            </w:pPr>
            <w:r>
              <w:rPr>
                <w:rFonts w:ascii="Arial" w:cs="Arial" w:eastAsia="Arial" w:hAnsi="Arial"/>
                <w:sz w:val="14"/>
                <w:szCs w:val="14"/>
                <w:b w:val="1"/>
                <w:bCs w:val="1"/>
                <w:color w:val="auto"/>
              </w:rPr>
              <w:t>Assets</w:t>
            </w:r>
            <w:r>
              <w:rPr>
                <w:rFonts w:ascii="Arial" w:cs="Arial" w:eastAsia="Arial" w:hAnsi="Arial"/>
                <w:sz w:val="17"/>
                <w:szCs w:val="17"/>
                <w:b w:val="1"/>
                <w:bCs w:val="1"/>
                <w:color w:val="auto"/>
                <w:vertAlign w:val="superscript"/>
              </w:rPr>
              <w:t>(1)</w:t>
            </w:r>
          </w:p>
        </w:tc>
        <w:tc>
          <w:tcPr>
            <w:tcW w:w="280" w:type="dxa"/>
            <w:vAlign w:val="bottom"/>
          </w:tcPr>
          <w:p>
            <w:pPr>
              <w:spacing w:after="0"/>
              <w:rPr>
                <w:sz w:val="14"/>
                <w:szCs w:val="14"/>
                <w:color w:val="auto"/>
              </w:rPr>
            </w:pPr>
          </w:p>
        </w:tc>
        <w:tc>
          <w:tcPr>
            <w:tcW w:w="1180" w:type="dxa"/>
            <w:vAlign w:val="bottom"/>
            <w:gridSpan w:val="3"/>
          </w:tcPr>
          <w:p>
            <w:pPr>
              <w:jc w:val="right"/>
              <w:ind w:right="420"/>
              <w:spacing w:after="0" w:line="172" w:lineRule="exact"/>
              <w:rPr>
                <w:sz w:val="20"/>
                <w:szCs w:val="20"/>
                <w:color w:val="auto"/>
              </w:rPr>
            </w:pPr>
            <w:r>
              <w:rPr>
                <w:rFonts w:ascii="Arial" w:cs="Arial" w:eastAsia="Arial" w:hAnsi="Arial"/>
                <w:sz w:val="14"/>
                <w:szCs w:val="14"/>
                <w:b w:val="1"/>
                <w:bCs w:val="1"/>
                <w:color w:val="auto"/>
                <w:w w:val="94"/>
              </w:rPr>
              <w:t>Liabilities</w:t>
            </w:r>
            <w:r>
              <w:rPr>
                <w:rFonts w:ascii="Arial" w:cs="Arial" w:eastAsia="Arial" w:hAnsi="Arial"/>
                <w:sz w:val="17"/>
                <w:szCs w:val="17"/>
                <w:b w:val="1"/>
                <w:bCs w:val="1"/>
                <w:color w:val="auto"/>
                <w:w w:val="94"/>
                <w:vertAlign w:val="superscript"/>
              </w:rPr>
              <w:t>(2)</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September 1, 2016</w:t>
            </w: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Yen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1,668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Singapore dollar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Euro</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50"/>
        </w:trPr>
        <w:tc>
          <w:tcPr>
            <w:tcW w:w="66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gridSpan w:val="2"/>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September 3, 2015</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Yen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928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Singapore dollar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Euro</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60" w:hanging="228"/>
        <w:spacing w:after="0"/>
        <w:tabs>
          <w:tab w:leader="none" w:pos="56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w:t>
      </w:r>
    </w:p>
    <w:p>
      <w:pPr>
        <w:spacing w:after="0" w:line="1" w:lineRule="exact"/>
        <w:rPr>
          <w:rFonts w:ascii="Arial" w:cs="Arial" w:eastAsia="Arial" w:hAnsi="Arial"/>
          <w:sz w:val="23"/>
          <w:szCs w:val="23"/>
          <w:i w:val="1"/>
          <w:iCs w:val="1"/>
          <w:color w:val="auto"/>
          <w:vertAlign w:val="superscript"/>
        </w:rPr>
      </w:pPr>
    </w:p>
    <w:p>
      <w:pPr>
        <w:ind w:left="560" w:hanging="228"/>
        <w:spacing w:after="0" w:line="194" w:lineRule="auto"/>
        <w:tabs>
          <w:tab w:leader="none" w:pos="56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w:t>
      </w:r>
    </w:p>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Realized and unrealized gains and losses on derivative instruments without hedge accounting designation as well as the change in the underlying monetary assets and liabilities due to changes in currency exchange rates are included in other non-operating income (expense), net. Net gains (losses) for derivative instruments without hedge accounting designation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w w:val="72"/>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Convertible notes settlement obligations</w:t>
            </w:r>
          </w:p>
        </w:tc>
        <w:tc>
          <w:tcPr>
            <w:tcW w:w="9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w w:val="99"/>
              </w:rPr>
              <w:t>(59)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Cash Flow Hedge Accounting Designation</w:t>
      </w:r>
    </w:p>
    <w:p>
      <w:pPr>
        <w:spacing w:after="0" w:line="229"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b w:val="1"/>
          <w:bCs w:val="1"/>
          <w:i w:val="1"/>
          <w:iCs w:val="1"/>
          <w:color w:val="auto"/>
        </w:rPr>
        <w:t xml:space="preserve">Currency Derivatives: </w:t>
      </w:r>
      <w:r>
        <w:rPr>
          <w:rFonts w:ascii="Arial" w:cs="Arial" w:eastAsia="Arial" w:hAnsi="Arial"/>
          <w:sz w:val="16"/>
          <w:szCs w:val="16"/>
          <w:color w:val="auto"/>
        </w:rPr>
        <w:t>We utilize currency forward contracts that generally mature within 12 months to hedge our exposure to changes in cash flows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changes in currency exchange rates for certain capital expenditures. Currency forward contracts are measured at fair value based on market-based observable inputs including currency exchange spot and forward rates, interest rates, and credit-risk spreads (Level 2 fair value measurements).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derivative instruments designated as cash flow hedges, the effective portion of the realized and unrealized gain or loss on the derivatives is included as a component of accumulated other comprehensive income (loss). Amounts in accumulated other comprehensive income (loss) are reclassified into earnings in the same line items of the consolidated statements of operations and in the same periods in which the underlying transactions affect earnings. The ineffective or excluded portion of the realized and unrealized gain or loss is included in other non-operating income (expense), net. Total notional amounts and gross fair values for derivative instruments with cash flow hedge accounting designation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00" w:type="dxa"/>
            <w:vAlign w:val="bottom"/>
          </w:tcPr>
          <w:p>
            <w:pPr>
              <w:jc w:val="center"/>
              <w:ind w:left="207"/>
              <w:spacing w:after="0"/>
              <w:rPr>
                <w:sz w:val="20"/>
                <w:szCs w:val="20"/>
                <w:color w:val="auto"/>
              </w:rPr>
            </w:pPr>
            <w:r>
              <w:rPr>
                <w:rFonts w:ascii="Arial" w:cs="Arial" w:eastAsia="Arial" w:hAnsi="Arial"/>
                <w:sz w:val="14"/>
                <w:szCs w:val="14"/>
                <w:b w:val="1"/>
                <w:bCs w:val="1"/>
                <w:color w:val="auto"/>
                <w:w w:val="96"/>
              </w:rPr>
              <w:t>Notional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of</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100" w:type="dxa"/>
            <w:vAlign w:val="bottom"/>
          </w:tcPr>
          <w:p>
            <w:pPr>
              <w:jc w:val="center"/>
              <w:ind w:left="207"/>
              <w:spacing w:after="0" w:line="119" w:lineRule="exact"/>
              <w:rPr>
                <w:sz w:val="20"/>
                <w:szCs w:val="20"/>
                <w:color w:val="auto"/>
              </w:rPr>
            </w:pPr>
            <w:r>
              <w:rPr>
                <w:rFonts w:ascii="Arial" w:cs="Arial" w:eastAsia="Arial" w:hAnsi="Arial"/>
                <w:sz w:val="13"/>
                <w:szCs w:val="13"/>
                <w:b w:val="1"/>
                <w:bCs w:val="1"/>
                <w:color w:val="auto"/>
              </w:rPr>
              <w:t>Amount (in</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27"/>
              <w:spacing w:after="0" w:line="119" w:lineRule="exact"/>
              <w:rPr>
                <w:sz w:val="20"/>
                <w:szCs w:val="20"/>
                <w:color w:val="auto"/>
              </w:rPr>
            </w:pPr>
            <w:r>
              <w:rPr>
                <w:rFonts w:ascii="Arial" w:cs="Arial" w:eastAsia="Arial" w:hAnsi="Arial"/>
                <w:sz w:val="13"/>
                <w:szCs w:val="13"/>
                <w:b w:val="1"/>
                <w:bCs w:val="1"/>
                <w:color w:val="auto"/>
              </w:rPr>
              <w:t>Current</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right"/>
              <w:ind w:right="355"/>
              <w:spacing w:after="0" w:line="119" w:lineRule="exact"/>
              <w:rPr>
                <w:sz w:val="20"/>
                <w:szCs w:val="20"/>
                <w:color w:val="auto"/>
              </w:rPr>
            </w:pPr>
            <w:r>
              <w:rPr>
                <w:rFonts w:ascii="Arial" w:cs="Arial" w:eastAsia="Arial" w:hAnsi="Arial"/>
                <w:sz w:val="13"/>
                <w:szCs w:val="13"/>
                <w:b w:val="1"/>
                <w:bCs w:val="1"/>
                <w:color w:val="auto"/>
              </w:rPr>
              <w:t>Current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00" w:type="dxa"/>
            <w:vAlign w:val="bottom"/>
          </w:tcPr>
          <w:p>
            <w:pPr>
              <w:jc w:val="center"/>
              <w:ind w:left="207"/>
              <w:spacing w:after="0"/>
              <w:rPr>
                <w:sz w:val="20"/>
                <w:szCs w:val="20"/>
                <w:color w:val="auto"/>
              </w:rPr>
            </w:pPr>
            <w:r>
              <w:rPr>
                <w:rFonts w:ascii="Arial" w:cs="Arial" w:eastAsia="Arial" w:hAnsi="Arial"/>
                <w:sz w:val="14"/>
                <w:szCs w:val="14"/>
                <w:b w:val="1"/>
                <w:bCs w:val="1"/>
                <w:color w:val="auto"/>
                <w:w w:val="93"/>
              </w:rPr>
              <w:t>U.S. Dollars)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27"/>
              <w:spacing w:after="0" w:line="172" w:lineRule="exact"/>
              <w:rPr>
                <w:sz w:val="20"/>
                <w:szCs w:val="20"/>
                <w:color w:val="auto"/>
              </w:rPr>
            </w:pPr>
            <w:r>
              <w:rPr>
                <w:rFonts w:ascii="Arial" w:cs="Arial" w:eastAsia="Arial" w:hAnsi="Arial"/>
                <w:sz w:val="14"/>
                <w:szCs w:val="14"/>
                <w:b w:val="1"/>
                <w:bCs w:val="1"/>
                <w:color w:val="auto"/>
              </w:rPr>
              <w:t>Assets</w:t>
            </w:r>
            <w:r>
              <w:rPr>
                <w:rFonts w:ascii="Arial" w:cs="Arial" w:eastAsia="Arial" w:hAnsi="Arial"/>
                <w:sz w:val="17"/>
                <w:szCs w:val="17"/>
                <w:b w:val="1"/>
                <w:bCs w:val="1"/>
                <w:color w:val="auto"/>
                <w:vertAlign w:val="superscript"/>
              </w:rPr>
              <w:t>(1)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420"/>
              <w:spacing w:after="0" w:line="172" w:lineRule="exact"/>
              <w:rPr>
                <w:sz w:val="20"/>
                <w:szCs w:val="20"/>
                <w:color w:val="auto"/>
              </w:rPr>
            </w:pPr>
            <w:r>
              <w:rPr>
                <w:rFonts w:ascii="Arial" w:cs="Arial" w:eastAsia="Arial" w:hAnsi="Arial"/>
                <w:sz w:val="14"/>
                <w:szCs w:val="14"/>
                <w:b w:val="1"/>
                <w:bCs w:val="1"/>
                <w:color w:val="auto"/>
                <w:w w:val="94"/>
              </w:rPr>
              <w:t>Liabilities</w:t>
            </w:r>
            <w:r>
              <w:rPr>
                <w:rFonts w:ascii="Arial" w:cs="Arial" w:eastAsia="Arial" w:hAnsi="Arial"/>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September 1, 2016</w:t>
            </w: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Yen</w:t>
            </w: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107</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Pr>
          <w:p>
            <w:pPr>
              <w:spacing w:after="0"/>
              <w:rPr>
                <w:sz w:val="21"/>
                <w:szCs w:val="21"/>
                <w:color w:val="auto"/>
              </w:rPr>
            </w:pP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172</w:t>
            </w:r>
          </w:p>
        </w:tc>
        <w:tc>
          <w:tcPr>
            <w:tcW w:w="300" w:type="dxa"/>
            <w:vAlign w:val="bottom"/>
            <w:vMerge w:val="continue"/>
          </w:tcPr>
          <w:p>
            <w:pPr>
              <w:spacing w:after="0"/>
              <w:rPr>
                <w:sz w:val="21"/>
                <w:szCs w:val="21"/>
                <w:color w:val="auto"/>
              </w:rPr>
            </w:pP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0"/>
        </w:trPr>
        <w:tc>
          <w:tcPr>
            <w:tcW w:w="66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September 3, 2015</w:t>
            </w:r>
          </w:p>
        </w:tc>
        <w:tc>
          <w:tcPr>
            <w:tcW w:w="1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Yen</w:t>
            </w: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100" w:type="dxa"/>
            <w:vAlign w:val="bottom"/>
            <w:tcBorders>
              <w:top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 other.</w:t>
      </w:r>
    </w:p>
    <w:p>
      <w:pPr>
        <w:spacing w:after="0" w:line="1" w:lineRule="exact"/>
        <w:rPr>
          <w:rFonts w:ascii="Arial" w:cs="Arial" w:eastAsia="Arial" w:hAnsi="Arial"/>
          <w:sz w:val="23"/>
          <w:szCs w:val="23"/>
          <w:i w:val="1"/>
          <w:iCs w:val="1"/>
          <w:color w:val="auto"/>
          <w:vertAlign w:val="superscript"/>
        </w:rPr>
      </w:pPr>
    </w:p>
    <w:p>
      <w:pPr>
        <w:ind w:left="320" w:hanging="312"/>
        <w:spacing w:after="0" w:line="194" w:lineRule="auto"/>
        <w:tabs>
          <w:tab w:leader="none" w:pos="320" w:val="left"/>
        </w:tabs>
        <w:numPr>
          <w:ilvl w:val="0"/>
          <w:numId w:val="2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 other.</w:t>
      </w:r>
    </w:p>
    <w:p>
      <w:pPr>
        <w:sectPr>
          <w:pgSz w:w="11900" w:h="16838" w:orient="portrait"/>
          <w:cols w:equalWidth="0" w:num="1">
            <w:col w:w="11420"/>
          </w:cols>
          <w:pgMar w:left="240" w:top="125" w:right="239" w:bottom="0" w:gutter="0" w:footer="0" w:header="0"/>
        </w:sectPr>
      </w:pPr>
    </w:p>
    <w:bookmarkStart w:id="35" w:name="page36"/>
    <w:bookmarkEnd w:id="35"/>
    <w:p>
      <w:pPr>
        <w:ind w:firstLine="324"/>
        <w:spacing w:after="0" w:line="297" w:lineRule="auto"/>
        <w:rPr>
          <w:sz w:val="20"/>
          <w:szCs w:val="20"/>
          <w:color w:val="auto"/>
        </w:rPr>
      </w:pPr>
      <w:r>
        <w:rPr>
          <w:rFonts w:ascii="Arial" w:cs="Arial" w:eastAsia="Arial" w:hAnsi="Arial"/>
          <w:sz w:val="16"/>
          <w:szCs w:val="16"/>
          <w:color w:val="auto"/>
        </w:rPr>
        <w:t>For 2016, 2015, and 2014, we recognized $10 million of gains and $10 million and $4 million of losses, respectively, in accumulated other comprehensive income (loss) from the effective portion of cash flow hedges. The ineffective and excluded portions of cash flow hedges recognized in other non-operating income (expense) were not material in 2016, 2015, and 2014. For 2016, 2015, and 2014, we reclassified gains of $3 million, $6 million, and $4 million, respectively, from accumulated other comprehensive income (loss) to earnings. As of September 1, 2016, the amount of net gains from cash flow hedges included in accumulated other comprehensive income (loss) expected to be reclassified into earnings in the next 12 months was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Counterparty Credit Risk and Master Netting Arrangements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September 1, 2016 and September 3, 2015, amounts netted under our master netting arrangements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2016, 90 million shares were available for future awards under our equity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Our stock options are generally exercisable in increments of either one-fourth or one-third per year beginning one year from the date of grant. Stock options issued after February 2014 expire eight years from the date of grant. Options issued prior to February 2014 expire six years from the date of grant.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for 2016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 2015</w:t>
            </w: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15.56</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Canceled or expired</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20.59</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1, 2016</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16.37</w:t>
            </w:r>
          </w:p>
        </w:tc>
        <w:tc>
          <w:tcPr>
            <w:tcW w:w="1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September 1, 2016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12.67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Expected to vest after September 1, 2016</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intrinsic value was $52 million, $229 million, and $421 million for options exercised during 2016, 2015, and 2014,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granted and assumptions used in the Black-Scholes option valuation model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Weighted-average grant-date fair value per share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Weighted-average expected volatility</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Stock price volatility was based on an average of historical volatility and the implied volatility derived from traded options on our stock.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and Restricted Stock Units (“Restricted Stock Awards”)</w:t>
      </w:r>
    </w:p>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As of September 1, 2016, there were 18 million shares of Restricted Stock Awards outstanding, of which 2 million were performance-based or market-based Restricted Stock Awards. For service-based Restricted Stock Awards, restrictions generally lapse in one-fourth increments during each year of employment after the grant date. Vesting for performance-based awards is contingent upon meeting a specified return on assets (“ROA”), as defined, over a three-year performance period and vesting for market-based Restricted Stock Awards is contingent upon achieving total shareholder return (“TSR”) relative to the companies included in the S&amp;P 500 over a three-year performance period. At the end of the performance period, the number of actual shares to be awarded varies between 0% and 200% of target amounts, depending upon the achievement level of the specified ROA or TSR. Restricted Stock Awards activity for 2016 is summarized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Weighted-</w:t>
      </w:r>
    </w:p>
    <w:p>
      <w:pPr>
        <w:jc w:val="center"/>
        <w:ind w:left="9860"/>
        <w:spacing w:after="0" w:line="226" w:lineRule="auto"/>
        <w:rPr>
          <w:sz w:val="20"/>
          <w:szCs w:val="20"/>
          <w:color w:val="auto"/>
        </w:rPr>
      </w:pPr>
      <w:r>
        <w:rPr>
          <w:rFonts w:ascii="Arial" w:cs="Arial" w:eastAsia="Arial" w:hAnsi="Arial"/>
          <w:sz w:val="14"/>
          <w:szCs w:val="14"/>
          <w:b w:val="1"/>
          <w:bCs w:val="1"/>
          <w:color w:val="auto"/>
        </w:rPr>
        <w:t>Average Grant</w:t>
      </w:r>
    </w:p>
    <w:p>
      <w:pPr>
        <w:jc w:val="center"/>
        <w:ind w:left="9860"/>
        <w:spacing w:after="0" w:line="222" w:lineRule="auto"/>
        <w:rPr>
          <w:sz w:val="20"/>
          <w:szCs w:val="20"/>
          <w:color w:val="auto"/>
        </w:rPr>
      </w:pPr>
      <w:r>
        <w:rPr>
          <w:rFonts w:ascii="Arial" w:cs="Arial" w:eastAsia="Arial" w:hAnsi="Arial"/>
          <w:sz w:val="14"/>
          <w:szCs w:val="14"/>
          <w:b w:val="1"/>
          <w:bCs w:val="1"/>
          <w:color w:val="auto"/>
        </w:rPr>
        <w:t>Date Fair</w:t>
      </w:r>
    </w:p>
    <w:p>
      <w:pPr>
        <w:ind w:left="8660"/>
        <w:spacing w:after="0"/>
        <w:tabs>
          <w:tab w:leader="none" w:pos="1032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3"/>
          <w:szCs w:val="13"/>
          <w:b w:val="1"/>
          <w:bCs w:val="1"/>
          <w:color w:val="auto"/>
        </w:rPr>
        <w:t>Value Per</w:t>
      </w:r>
    </w:p>
    <w:p>
      <w:pPr>
        <w:ind w:left="8780"/>
        <w:spacing w:after="0" w:line="233" w:lineRule="auto"/>
        <w:tabs>
          <w:tab w:leader="none" w:pos="104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1" w:lineRule="exact"/>
        <w:rPr>
          <w:sz w:val="20"/>
          <w:szCs w:val="20"/>
          <w:color w:val="auto"/>
        </w:rPr>
      </w:pPr>
    </w:p>
    <w:p>
      <w:pPr>
        <w:spacing w:after="0"/>
        <w:tabs>
          <w:tab w:leader="none" w:pos="9480" w:val="left"/>
          <w:tab w:leader="none" w:pos="9940" w:val="left"/>
          <w:tab w:leader="none" w:pos="10880" w:val="left"/>
        </w:tabs>
        <w:rPr>
          <w:sz w:val="20"/>
          <w:szCs w:val="20"/>
          <w:color w:val="auto"/>
        </w:rPr>
      </w:pPr>
      <w:r>
        <w:rPr>
          <w:rFonts w:ascii="Arial" w:cs="Arial" w:eastAsia="Arial" w:hAnsi="Arial"/>
          <w:sz w:val="18"/>
          <w:szCs w:val="18"/>
          <w:color w:val="auto"/>
        </w:rPr>
        <w:t>Outstanding as of September 3, 2015</w:t>
      </w:r>
      <w:r>
        <w:rPr>
          <w:sz w:val="20"/>
          <w:szCs w:val="20"/>
          <w:color w:val="auto"/>
        </w:rPr>
        <w:tab/>
      </w:r>
      <w:r>
        <w:rPr>
          <w:rFonts w:ascii="Arial" w:cs="Arial" w:eastAsia="Arial" w:hAnsi="Arial"/>
          <w:sz w:val="18"/>
          <w:szCs w:val="18"/>
          <w:color w:val="auto"/>
        </w:rPr>
        <w:t>14</w:t>
        <w:tab/>
        <w:t>$</w:t>
      </w:r>
      <w:r>
        <w:rPr>
          <w:sz w:val="20"/>
          <w:szCs w:val="20"/>
          <w:color w:val="auto"/>
        </w:rPr>
        <w:tab/>
      </w:r>
      <w:r>
        <w:rPr>
          <w:rFonts w:ascii="Arial" w:cs="Arial" w:eastAsia="Arial" w:hAnsi="Arial"/>
          <w:sz w:val="16"/>
          <w:szCs w:val="16"/>
          <w:color w:val="auto"/>
        </w:rPr>
        <w:t>23.88</w:t>
      </w:r>
    </w:p>
    <w:p>
      <w:pPr>
        <w:sectPr>
          <w:pgSz w:w="11900" w:h="16838" w:orient="portrait"/>
          <w:cols w:equalWidth="0" w:num="1">
            <w:col w:w="11420"/>
          </w:cols>
          <w:pgMar w:left="240" w:top="125" w:right="239" w:bottom="0" w:gutter="0" w:footer="0" w:header="0"/>
          <w:type w:val="continuous"/>
        </w:sectPr>
      </w:pPr>
    </w:p>
    <w:bookmarkStart w:id="36" w:name="page37"/>
    <w:bookmarkEnd w:id="3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4"/>
          </w:tcPr>
          <w:p>
            <w:pPr>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Restrictions lapsed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Canceled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as of September 1, 2016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to vest after September 1, 2016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365"/>
        </w:trPr>
        <w:tc>
          <w:tcPr>
            <w:tcW w:w="664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Restricted stock award shares granted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Weighted-average grant-date fair value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15.40</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Aggregate vesting-date fair value of shares vested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9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Stock-based Compensation Expense</w:t>
            </w:r>
          </w:p>
        </w:tc>
        <w:tc>
          <w:tcPr>
            <w:tcW w:w="38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40" w:type="dxa"/>
            <w:vAlign w:val="bottom"/>
            <w:gridSpan w:val="4"/>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Restricted stock awards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Stock-based compensation expense of $18 million and $9 million was capitalized and remained in inventory as of September 1, 2016 and September 3, 2015, respectively. As of September 1, 2016, $345 million of total unrecognized compensation costs for unvested awards, net of estimated forfeitures, was expected to be recognized through the fourth quarter of 2020, resulting in a weighted-average period of 1.2 years. Stock-based compensation expense in the above presentation does not reflect any significant income tax benefits, which is consistent with our treatment of income or loss from our U.S.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employee retirement plans at our U.S. and international sites. Details of the more significant plans are discussed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Savings Plan for U.S. Employees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401(k) retirement plans under which U.S. employees may contribute up to 75% of their eligible pay (subject to IRS annual contribution limits) to various savings alternatives, none of which include direct investment in our stock. We match in cash eligible contributions from employees up to 5% of the employee’s annual eligible earnings. Contribution expense for the 401(k) plans was $54 million, $55 million, and $44 million in 2016, 2015, and 2014,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We have pension plans in various countries. The pension plans are only available to local employees and are generally government mandated. As of September 1, 2016, the projected benefit obligations of our plans was $167 million and plan assets were $131 million. As of September 3, 2015, the projected benefit obligations of our plans was $132 million and plan assets were $105 million. Pension expense was not material for 2016, 2015, or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Asset Impairments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Restructuring Plan</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40</w:t>
            </w: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the fourth quarter of 2016, we initiated a restructure plan in response to the current business environment and the need to accelerate focus on our key priorities (the “2016 Restructuring Plan”). The 2016 Restructuring Plan includes the elimination of certain projects and programs, the permanent closure of a number of open headcount requisitions, workforce reductions in certain areas of the business, and other non-headcount related spending reductions. In connection with the plan, we expect to incur charges of $80 million, substantially all in cash expenditures, of which $58 million was incurred in 2016, with the remainder in the early part of 2017. As of September 1, 2016, we had accrued liabilities of $24 million related to the 2016 Restructuring Plan, substantially all of which is expected to be paid in the first quarter of 2017.</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2014, other included charges associated with workforce optimization activities and with our efforts to wind down our 200mm operations primarily in Agrate, Italy and Kiryat Gat,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property, plant, and equipment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Rambus settlement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43" w:orient="portrait"/>
          <w:cols w:equalWidth="0" w:num="1">
            <w:col w:w="11420"/>
          </w:cols>
          <w:pgMar w:left="240" w:top="125" w:right="239" w:bottom="0" w:gutter="0" w:footer="0" w:header="0"/>
        </w:sectPr>
      </w:pPr>
    </w:p>
    <w:bookmarkStart w:id="37" w:name="page38"/>
    <w:bookmarkEnd w:id="37"/>
    <w:p>
      <w:pPr>
        <w:ind w:left="6640"/>
        <w:spacing w:after="0"/>
        <w:tabs>
          <w:tab w:leader="none" w:pos="7840" w:val="left"/>
          <w:tab w:leader="none" w:pos="8300" w:val="left"/>
          <w:tab w:leader="none" w:pos="9420" w:val="left"/>
          <w:tab w:leader="none" w:pos="9940" w:val="left"/>
          <w:tab w:leader="none" w:pos="11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tab/>
        <w:t>$</w:t>
      </w:r>
      <w:r>
        <w:rPr>
          <w:sz w:val="20"/>
          <w:szCs w:val="20"/>
          <w:color w:val="auto"/>
        </w:rPr>
        <w:tab/>
      </w:r>
      <w:r>
        <w:rPr>
          <w:rFonts w:ascii="Arial" w:cs="Arial" w:eastAsia="Arial" w:hAnsi="Arial"/>
          <w:sz w:val="18"/>
          <w:szCs w:val="18"/>
          <w:color w:val="auto"/>
        </w:rPr>
        <w:t>(45)</w:t>
        <w:tab/>
        <w:t>$</w:t>
      </w:r>
      <w:r>
        <w:rPr>
          <w:sz w:val="20"/>
          <w:szCs w:val="20"/>
          <w:color w:val="auto"/>
        </w:rPr>
        <w:tab/>
      </w: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29673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2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December 2013, we settled all pending litigation between us and Rambus, Inc., including all antitrust and patent matters. We also entered into a seven-year term patent cross-license agreement with Rambus, Inc. that allows us to avoid costs of patent-related litigation during the term. The primary benefits we received from these arrangements were (1) the settlement and termination of all existing litigation, (2) the avoidance of future litigation expenses, and (3) the avoidance of future management and customer disruptions. As a result, other operating expense for 2014 included a $233 million charge to accrue a liability, which reflected the discounted value of amounts due under this arrangement.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Gain (loss) from changes in currency exchange rates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Loss on restructure of debt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disposition of interest in Aptina</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Gain from issuance of Inotera shares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In 2016, we recognized other non-operating expense of $30 million to write off indemnification receivables upon the resolution of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Income (loss) before income taxes, net income (loss) attributable to noncontrolling</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(provision) benefit computed using the U.S. federal statutory rate reconciled to income tax (provision) benefit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(provision) benefit at statutory rate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Change in unrecognized tax benefits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investment transactions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0" w:type="dxa"/>
            <w:vAlign w:val="bottom"/>
            <w:vMerge w:val="restart"/>
          </w:tcPr>
          <w:p>
            <w:pPr>
              <w:jc w:val="right"/>
              <w:ind w:right="45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operate in tax jurisdictions, including Singapore and Taiwan, where our earnings are indefinitely reinvested and are taxed at lower effective tax rates than the U.S. statutory rate. We operate in a number of locations outside the U.S., including Singapore and, to a lesser extent, Taiwan, where we have tax incentive arrangements that are conditional, in part, upon meeting certain business operations and employment thresholds. The benefit of tax incentive arrangements, which expire in whole or in part at various dates through 2030, were not material to our tax provision for 2016. These arrangements reduced our tax provision for 2015 and 2014 by $338 million (benefitting our diluted earnings per share by $0.29) and $286 million ($0.24 per diluted share), respectively.</w:t>
      </w:r>
    </w:p>
    <w:p>
      <w:pPr>
        <w:spacing w:after="0" w:line="19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p>
      <w:pPr>
        <w:sectPr>
          <w:pgSz w:w="11900" w:h="16838" w:orient="portrait"/>
          <w:cols w:equalWidth="0" w:num="1">
            <w:col w:w="11460"/>
          </w:cols>
          <w:pgMar w:left="240" w:top="125" w:right="199" w:bottom="0" w:gutter="0" w:footer="0" w:header="0"/>
        </w:sectPr>
      </w:pPr>
    </w:p>
    <w:p>
      <w:pPr>
        <w:spacing w:after="0" w:line="162" w:lineRule="exact"/>
        <w:rPr>
          <w:sz w:val="20"/>
          <w:szCs w:val="20"/>
          <w:color w:val="auto"/>
        </w:rPr>
      </w:pPr>
    </w:p>
    <w:p>
      <w:pPr>
        <w:spacing w:after="0"/>
        <w:tabs>
          <w:tab w:leader="none" w:pos="8820" w:val="left"/>
          <w:tab w:leader="none" w:pos="1048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61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Net operating loss and tax credit carryforwards</w:t>
            </w: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3,014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salaries, wages, and benefits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10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tax assets, net of valuation allowance</w:t>
            </w:r>
          </w:p>
        </w:tc>
        <w:tc>
          <w:tcPr>
            <w:tcW w:w="10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Unremitted earnings on certain subsidiaries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Product and process technology</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tax liabilities</w:t>
            </w:r>
          </w:p>
        </w:tc>
        <w:tc>
          <w:tcPr>
            <w:tcW w:w="10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Reported as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deferred tax assets (included in other current assets)</w:t>
            </w:r>
          </w:p>
        </w:tc>
        <w:tc>
          <w:tcPr>
            <w:tcW w:w="1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deferred tax liabilities (included in accounts payable and accrued expenses)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1, 2016, we had a full valuation allowance of $1.16 billion against U.S. net deferred tax assets, primarily related to net operating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carryforwards. The valuation allowance is based on our assessment of the deferred tax assets that are more likely than not to be realized. As of September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we had partial valuation allowances of $765 million for Japan and $177 million for our other foreign subsidiaries against net deferred tax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related to net operating loss carryforwards. As of September 1, 2016, we had $4.28 billion of net operating loss carryforwards in Japan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 billion is subject to a valuation allowance. Our valuation allowance increased $56 million in 2016 primarily due to changes in foreign currencies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utilization of U.S. and foreign net operating losses as well as adjustments based on management’s assessment of the amount of foreign net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that are more likely than not to be realized. Management continues to evaluate future projected financial performance to determine whether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is sufficient evidence to support a reduction in or reversal of the valuation allowances. The amount of the deferred tax asset considered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realizable could be adjusted if significant positive evidence increases. Income taxes on U.S. operations for 2016 and 2015 were substantially offset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September 1, 2016, our federal, state, and foreign net operating loss carryforward amounts and expiration periods as reported to tax authorities,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Year of Expiration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Federal</w:t>
            </w:r>
          </w:p>
        </w:tc>
        <w:tc>
          <w:tcPr>
            <w:tcW w:w="26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State</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Japan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2017 - 2021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2022 - 2026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2027 - 2031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2032 - 2036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1,575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Indefinite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1, 2016, our federal and state tax credit carryforward amounts and expiration periods as reported to tax authorities,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Year of Tax Credit Expiration</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Federal</w:t>
            </w:r>
          </w:p>
        </w:tc>
        <w:tc>
          <w:tcPr>
            <w:tcW w:w="960" w:type="dxa"/>
            <w:vAlign w:val="bottom"/>
          </w:tcPr>
          <w:p>
            <w:pPr>
              <w:jc w:val="right"/>
              <w:ind w:right="46"/>
              <w:spacing w:after="0"/>
              <w:rPr>
                <w:sz w:val="20"/>
                <w:szCs w:val="20"/>
                <w:color w:val="auto"/>
              </w:rPr>
            </w:pPr>
            <w:r>
              <w:rPr>
                <w:rFonts w:ascii="Arial" w:cs="Arial" w:eastAsia="Arial" w:hAnsi="Arial"/>
                <w:sz w:val="14"/>
                <w:szCs w:val="14"/>
                <w:b w:val="1"/>
                <w:bCs w:val="1"/>
                <w:color w:val="auto"/>
              </w:rPr>
              <w:t>State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2017 - 2021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2022 - 2026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2027 - 2031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2032 - 2036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have not recognized deferred tax assets of $325 million for excess tax benefits that arose directly from tax deductions related to equity compensation greater than amounts recognized for financial reporting. These excess stock compensation benefits will be credited to additional capital if realized. We use the “with and without” method, as described in ASC 740, for purposes of determining when excess tax benefits have been realized.</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liabilities. Remaining undistributed earnings of $6.74 billion as of September 1, 2016 have been indefinitely reinvested; therefore, no provision has been made for taxes due on approximately $7.82 billion of the excess of the financial reporting amount over the tax basis of investments in foreign subsidiaries that are indefinitely reinvested. Generally, this amount becomes taxable upon a repatriation of assets from the subsidiary or a sale or liquidation of the subsidiary. Determination of the amount of unrecognized deferred tax liabilities related to investments in these foreign subsidiaries is not practicable.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the beginning and ending amount of unrecognized tax benefits:</w:t>
      </w:r>
    </w:p>
    <w:p>
      <w:pPr>
        <w:sectPr>
          <w:pgSz w:w="11900" w:h="16838" w:orient="portrait"/>
          <w:cols w:equalWidth="0" w:num="1">
            <w:col w:w="11420"/>
          </w:cols>
          <w:pgMar w:left="240" w:top="140"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Beginning unrecognized tax benefits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Increases related to tax positions taken during current year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tax positions from prior years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7"/>
              </w:rPr>
              <w:t>Foreign currency translation increases (decreases) to tax positions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tax positions from prior years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Ending unrecognized tax benefits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Included in the unrecognized tax benefits balance as of September 1, 2016, September 3, 2015, and August 28, 2014 were $2 million, $53 million, and $66 million, respectively, of unrecognized income tax benefits, which if recognized, would affect our effective tax rate. The decrease in unrecognized tax benefits in 2016 primarily related to the favorable resolution of certain prior year tax matters. We recognize interest and penalties related to income tax matters within income tax expense. As of September 3, 2015 and August 28, 2014, the amount accrued for interest and penalties related to uncertain tax positions was $16 million and $19 million, respectively, and were not material as of September 1, 2016. The resolution of tax audits or lapses of statute of limitations could also reduce our unrecognized tax benefits. Although the timing of final resolution is uncertain, the estimated potential reduction in our unrecognized tax benefits in the next 12 months would not be material.</w:t>
      </w:r>
    </w:p>
    <w:p>
      <w:pPr>
        <w:spacing w:after="0" w:line="178"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and our subsidiaries file income tax returns with the U.S. federal government, various U.S. states, and various foreign jurisdictions throughout the world. Our U.S. federal and state tax returns remain open to examination for 2012 through 2016. In addition, tax returns open to examination in Singapore, Japan, and Taiwan range from the years 2011 to 2016. We believe that adequate amounts of taxes and related interest and penalties have been provided for, and any adjustments as a result of examinations are not expected to materially adversely affect our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 available to Micron shareholders — Basic</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Dilutive effect related to equity method investment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Micron shareholders — Diluted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Dilutive effect of equity plans and convertible notes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that could dilute basic earnings per share in the future that were not included in the computation of diluted earnings per share because to do so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plans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Compute and Networking Business Unit (“CNBU”)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compute, networking, graphics, and cloud server markets.</w:t>
      </w:r>
    </w:p>
    <w:p>
      <w:pPr>
        <w:spacing w:after="0" w:line="237" w:lineRule="exact"/>
        <w:rPr>
          <w:sz w:val="20"/>
          <w:szCs w:val="20"/>
          <w:color w:val="auto"/>
        </w:rPr>
      </w:pPr>
    </w:p>
    <w:p>
      <w:pPr>
        <w:ind w:left="340" w:right="160" w:hanging="323"/>
        <w:spacing w:after="0" w:line="282"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enterprise, client, cloud, and removable storage markets. SBU also includes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to Intel through our IMFT joint venture.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tablet, and other mobile-device markets.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Business Unit (“EBU”)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automotive, industrial, connected home, and consumer electronics markets.</w:t>
      </w:r>
    </w:p>
    <w:p>
      <w:pPr>
        <w:spacing w:after="0" w:line="24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expenses (income) are generally allocated to segments based on their respective percentage of cost of goods sold or forecasted wafer production. In the first quarter of 2017, we revised the measure of segment profitability reviewed by our chief operating decision maker and, as a result, certain items are no longer allocated to our business units. All periods have been revised to reflect these changes. Items not allocated are identified below.</w:t>
      </w:r>
    </w:p>
    <w:p>
      <w:pPr>
        <w:spacing w:after="0" w:line="171" w:lineRule="exact"/>
        <w:rPr>
          <w:sz w:val="20"/>
          <w:szCs w:val="20"/>
          <w:color w:val="auto"/>
        </w:rPr>
      </w:pPr>
    </w:p>
    <w:p>
      <w:pPr>
        <w:ind w:right="980" w:firstLine="324"/>
        <w:spacing w:after="0" w:line="277" w:lineRule="auto"/>
        <w:rPr>
          <w:sz w:val="20"/>
          <w:szCs w:val="20"/>
          <w:color w:val="auto"/>
        </w:rPr>
      </w:pPr>
      <w:r>
        <w:rPr>
          <w:rFonts w:ascii="Arial" w:cs="Arial" w:eastAsia="Arial" w:hAnsi="Arial"/>
          <w:sz w:val="18"/>
          <w:szCs w:val="18"/>
          <w:color w:val="auto"/>
        </w:rPr>
        <w:t>We do not identify or report internally our assets or capital expenditures by segment, nor do we allocate gains and losses from equity method investments, interest, other non-operating income or expense items, or taxes to segments.</w:t>
      </w:r>
    </w:p>
    <w:p>
      <w:pPr>
        <w:sectPr>
          <w:pgSz w:w="11900" w:h="16838" w:orient="portrait"/>
          <w:cols w:equalWidth="0" w:num="1">
            <w:col w:w="11460"/>
          </w:cols>
          <w:pgMar w:left="240" w:top="333"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4,529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SBU</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MBU</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2,569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3,692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EBU</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SBU</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MBU</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EBU</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Flow-through of inventory step-up</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Restructure and asset impairments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Rambus settlement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w w:val="93"/>
              </w:rPr>
              <w:t>Depreciation and amortization expense included in operating income was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40" w:type="dxa"/>
            <w:vAlign w:val="bottom"/>
            <w:gridSpan w:val="2"/>
          </w:tcPr>
          <w:p>
            <w:pPr>
              <w:ind w:left="562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gridSpan w:val="3"/>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CNBU</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SBU</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MBU</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EBU</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Product Sales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DRAM</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Non-Volatile Memory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Non-Trade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Trade Non-Volatile Memory includes NAND Flash and 3D XPoint memory. Non-Trade Non-Volatile Memory primarily consists of Non-Volatile Memory products manufactured and sold to Intel through IMFT at long-term negotiated prices approximating cost. Sales of MCP products, which combine both NAND Flash and DRAM components, are reported within Trade Non-Volatile Memory. Sales of NOR Flash products are included in Other.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Concentrations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Markets with concentrations of net sales were approximately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Compute and graphics</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Mobile</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SSDs and other storage</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Automotive, industrial, medical, and other embedded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ind w:right="660" w:firstLine="324"/>
        <w:spacing w:after="0" w:line="264" w:lineRule="auto"/>
        <w:rPr>
          <w:sz w:val="20"/>
          <w:szCs w:val="20"/>
          <w:color w:val="auto"/>
        </w:rPr>
      </w:pPr>
      <w:r>
        <w:rPr>
          <w:rFonts w:ascii="Arial" w:cs="Arial" w:eastAsia="Arial" w:hAnsi="Arial"/>
          <w:sz w:val="18"/>
          <w:szCs w:val="18"/>
          <w:color w:val="auto"/>
        </w:rPr>
        <w:t>Customer concentrations included net sales to Intel, including Non-Trade Non-Volatile Memory through IMFT, of 14% for 2016 and net sales to Kingston of 11% and 10% for 2015 and 2014, respectively. Substantially all of our sales to Intel were included in our SBU and CNBU segments, and substantially all of our sales to Kingston were included in our CNBU and SBU segments.</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In some cases, materials or production equipment are provided by a single supplier.</w:t>
      </w:r>
    </w:p>
    <w:p>
      <w:pPr>
        <w:sectPr>
          <w:pgSz w:w="11900" w:h="16838" w:orient="portrait"/>
          <w:cols w:equalWidth="0" w:num="1">
            <w:col w:w="11460"/>
          </w:cols>
          <w:pgMar w:left="240" w:top="118" w:right="199" w:bottom="0" w:gutter="0" w:footer="0" w:header="0"/>
        </w:sectPr>
      </w:pP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60"/>
          </w:cols>
          <w:pgMar w:left="240" w:top="118" w:right="199" w:bottom="0" w:gutter="0" w:footer="0" w:header="0"/>
          <w:type w:val="continuous"/>
        </w:sectPr>
      </w:pPr>
    </w:p>
    <w:bookmarkStart w:id="41" w:name="page42"/>
    <w:bookmarkEnd w:id="41"/>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20" w:firstLine="324"/>
        <w:spacing w:after="0" w:line="269"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money market accounts, certificates of deposit, fixed-rate debt securities, trade receivables,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as a substantial portion of our customers are affiliated with the computing industry. We perform ongoing credit evaluations of customers worldwide and generally do not require collateral from our customers. Historically, we have not experienced material losses on receivables. A concentration of risk may also exist with respect to derivatives as the number of counterparties to our currency hedges is limited and the notional amounts are relatively large. We seek to mitigate such risk by limiting our counterparties to major financial institutions and through entering into master netting arrangements. Capped calls expose us to credit risk to the extent the counterparties may be unable to meet the terms of the agreements. We seek to mitigate such risk by limiting our counterparties to major financial institutions and by spreading the risk across several major financial institutions. In addition, the potential risk of loss with any one counterparty resulting from this type of credit risk is monitored on an ongoing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Geographic net sales based on customer ship-to location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w:t>
            </w: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Asia Pacific (excluding China, Taiwan, and Japan)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Taiwan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340"/>
              <w:spacing w:after="0"/>
              <w:rPr>
                <w:sz w:val="20"/>
                <w:szCs w:val="20"/>
                <w:color w:val="auto"/>
              </w:rPr>
            </w:pPr>
            <w:r>
              <w:rPr>
                <w:rFonts w:ascii="Arial" w:cs="Arial" w:eastAsia="Arial" w:hAnsi="Arial"/>
                <w:sz w:val="18"/>
                <w:szCs w:val="18"/>
                <w:color w:val="auto"/>
                <w:w w:val="91"/>
              </w:rPr>
              <w:t>Net property, plant, and equipment by geographic area was as follows:</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Taiwan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2,081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20" w:type="dxa"/>
            <w:vAlign w:val="bottom"/>
            <w:vMerge w:val="restart"/>
          </w:tcPr>
          <w:p>
            <w:pPr>
              <w:jc w:val="right"/>
              <w:ind w:right="45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Original Issuance of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Inotera</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Through December 6, 2016, we held a 33% ownership interest in Inotera, now known as Micron Technology Taiwan, Inc. (“MTTW”), Nanya and certain of its affiliates held a 32% ownership interest, and the remaining ownership interest was publicly held. On December 6, 2016, we acquired the 67% remaining interest in Inotera not owned by us (the “Inotera Acquisition”) and began consolidating Inotera’s operating results. The cash paid for the Inotera Acquisition was funded, in part, with proceeds from the 2021 MSTW Term Loan and the sale of the Micron Shares (as defined below) to Nanya. Inotera manufactures DRAM products at its 300mm wafer fabrication facility in Taoyuan City, Taiwan, and previously sold such products exclusively to us through supply agreements. SG&amp;A expenses for the first six months of 2017 and for full fiscal 2016 included transaction costs of $13 million and $3 million, respectively, incurred in connection with the Inotera Acquisition.</w:t>
      </w:r>
    </w:p>
    <w:p>
      <w:pPr>
        <w:spacing w:after="0" w:line="18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connection with the Inotera Acquisition, we revalued our previously-held 33% equity interest to its fair value. In determining the fair value, we used various valuation techniques, including the share price of Inotera prior to the announcement of the Inotera Acquisition and discounted cash flow projections using inputs including discount rate and terminal growth rate (Level 3). As a result, we recognized a non-operating gain of $71 million in the second quarter of 2017.</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connection with the Inotera Acquisition, we sold 58 million shares of our common stock to Nanya (the “Micron Shares”) and received cash proceeds of $986 million. Because the sale of the Micron Shares to Nanya was contemporaneous with, and contingent upon, the closing the Inotera Acquisition, the issuance of the Micron Shares was treated in purchase accounting as a non-cash exchange for a portion of the shares of Inotera held by Nanya. The Micron Shares were issued in a transaction exempt from the registration requirements of the Securities Act of 1933, as amended, and subject to certain restrictions on transfers. To reflect the lack of transferability, the fair value of the Micron Shares (based on the trading price of our common stock on the acquisition date) was reduced by a discount of $81 million, based on the implied volatility derived from traded options on our stock and on the duration of the lack of transferability (Level 2).</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provisionally estimated the fair value of the Inotera assets acquired and liabilities assumed as of the December 6, 2016 acquisition date. The allocation of purchase price to assets acquired and liabilities assumed of Inotera could change as additional information becomes available. The consideration and provisional valuation of assets acquired and liabilities assumed, are as follows:</w:t>
      </w:r>
    </w:p>
    <w:p>
      <w:pPr>
        <w:sectPr>
          <w:pgSz w:w="11900" w:h="16877" w:orient="portrait"/>
          <w:cols w:equalWidth="0" w:num="1">
            <w:col w:w="11460"/>
          </w:cols>
          <w:pgMar w:left="240" w:top="733"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Cash paid for Inotera Acquisition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cash received from selling Micron Shares</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Net cash paid for Inotera Acquisition</w:t>
            </w: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our previously-held equity interest in Inotera</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Fair value of Micron Shares exchanged for Inotera shares</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Payments attributed to intercompany balances with Inotera</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 and liabilities assumed</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Cash and equivalents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Debt</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Inotera Acquisition enhances our flexibility to drive new technology, optimize the deployment of capital, and adapt our product offerings to changes in market conditions. As a result of these synergies, we allocated goodwill of $829 million, $198 million, and $97 million to CNBU, MBU, and EBU, respectively. Goodwill resulting from the Inotera Acquisition is not deductible for Taiwan corporate income tax purposes; however, it is deductible for Taiwan surtax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Financial Information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as if the Inotera Acquisition had occurred on September 4, 2015. The pro forma financial information includes the accounting effects of the business combination, including adjustments for depreciation of property, plant, and equipment, interest expense, elimination of intercompany activities, and revaluation of inventories. The unaudited pro forma financial information below is not necessarily indicative of either future results of operations or results that might have been achieved had the Inotera Acquisition occurred on September 4,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August 31,</w:t>
            </w:r>
          </w:p>
        </w:tc>
        <w:tc>
          <w:tcPr>
            <w:tcW w:w="260" w:type="dxa"/>
            <w:vAlign w:val="bottom"/>
          </w:tcPr>
          <w:p>
            <w:pPr>
              <w:spacing w:after="0"/>
              <w:rPr>
                <w:sz w:val="10"/>
                <w:szCs w:val="10"/>
                <w:color w:val="auto"/>
              </w:rPr>
            </w:pPr>
          </w:p>
        </w:tc>
        <w:tc>
          <w:tcPr>
            <w:tcW w:w="112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September 1,</w:t>
            </w:r>
          </w:p>
        </w:tc>
        <w:tc>
          <w:tcPr>
            <w:tcW w:w="100" w:type="dxa"/>
            <w:vAlign w:val="bottom"/>
          </w:tcPr>
          <w:p>
            <w:pPr>
              <w:spacing w:after="0"/>
              <w:rPr>
                <w:sz w:val="10"/>
                <w:szCs w:val="10"/>
                <w:color w:val="auto"/>
              </w:rPr>
            </w:pPr>
          </w:p>
        </w:tc>
      </w:tr>
      <w:tr>
        <w:trPr>
          <w:trHeight w:val="171"/>
        </w:trPr>
        <w:tc>
          <w:tcPr>
            <w:tcW w:w="8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5,172</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5,171</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r>
    </w:tbl>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unaudited pro forma financial information for 2017 includes our results for the year ended August 31, 2017 (which includes the results of Inotera since our acquisition of Inotera on December 6, 2016), the results of Inotera for the three months ended November 30, 2016, and the adjustments described above. The pro forma information for 2016 includes our results for the year ended September 1, 2016, the results of Inotera for the twelve months ended August 31, 2016, and the adjustments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Restructure</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On April 11, 2017, we repurchased $631 million of principal amount of our 2025 Notes (carrying value of $625 million) and $321 million of principal amount of our 2026 Notes (carrying value of $318 million) for an aggregate of $1.00 billion in cash. In connection with the transactions, we recognized a non-operating loss of $60 million in the third quarter of 2017.</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August 11, 2017, we redeemed $600 million of principal amount of our 2022 Notes (carrying value of $592 million) for an aggregate of $626 million in cash and recognized a non-operating loss of $34 million in the fourth quarter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MSAC Senior Secured Term Loan</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November 2016, we entered into a five-year variable-rate facility agreement to obtain up to $800 million of financing, collateralized by certain production equipment. On March 6, 2017 and December 2, 2016, we drew $175 million and $450 million, respectively, under the 2021 MSAC Term Loan. On June 5, 2017, subsequent to the end of our third quarter of 2017, we drew the remaining $175 million under this facility. Interest is payable quarterly at a per annum rate equal to three-month LIBOR plus 2.4%. Principal is payable in 16 equal quarterly installments beginning in March 2018. The 2021 MSAC Term Loan contains covenants which are customary for financings of this type, including negative covenants that limit or restrict our ability to create liens or dispose of the equipment securing the facility agreement. The 2021 MSAC Term Loan also contains a covenant that the ratio of the outstanding loan to the fair value of the equipment collateralizing the loan not exceed 0.8. If such ratio is exceeded, we are required to grant a security interest in additional equipment and/or prepay the 2021 MSAC Term Loan in an amount sufficient to reduce such ratio to 0.8 or less. The 2021 MSAC Term Loan also contains</w:t>
      </w:r>
    </w:p>
    <w:p>
      <w:pPr>
        <w:sectPr>
          <w:pgSz w:w="11900" w:h="16838" w:orient="portrait"/>
          <w:cols w:equalWidth="0" w:num="1">
            <w:col w:w="11420"/>
          </w:cols>
          <w:pgMar w:left="240" w:top="356" w:right="239" w:bottom="0" w:gutter="0" w:footer="0" w:header="0"/>
        </w:sectPr>
      </w:pPr>
    </w:p>
    <w:bookmarkStart w:id="43" w:name="page44"/>
    <w:bookmarkEnd w:id="43"/>
    <w:p>
      <w:pPr>
        <w:ind w:right="720"/>
        <w:spacing w:after="0" w:line="277" w:lineRule="auto"/>
        <w:rPr>
          <w:sz w:val="20"/>
          <w:szCs w:val="20"/>
          <w:color w:val="auto"/>
        </w:rPr>
      </w:pPr>
      <w:r>
        <w:rPr>
          <w:rFonts w:ascii="Arial" w:cs="Arial" w:eastAsia="Arial" w:hAnsi="Arial"/>
          <w:sz w:val="18"/>
          <w:szCs w:val="18"/>
          <w:color w:val="auto"/>
        </w:rPr>
        <w:t>customary events of default which could result in the acceleration of all amounts to be immediately due and payable. The 2021 MSAC Term Loan is guaranteed by Micron.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MSTW Senior Secured Term Loan</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connection with the Inotera Acquisition, on December 6, 2016, we drew 80 billion New Taiwan dollars under a collateralized, five-year term loan that bears interest at a variable per annum rate equal to the three-month or six-month TAIBOR, at our option, plus a margin of 2.05%. Principal under the 2021 MSTW Term Loan is payable in six equal semi-annual installments, commencing in June 2019, through December 2021. The 2021 MSTW Term Loan is collateralized by certain assets, including a real estate mortgage on MTTW’s main production facility and site, a chattel mortgage over certain equipment of MTTW, all of the stock of our MSTW subsidiary, and the 82% of stock of MTTW owned by MSTW. The 2021 MSTW Term Loan is guaranteed by Micron.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2021 MSTW Term Loan contains affirmative and negative covenants, including covenants that limit or restrict our ability to create liens in or dispose of collateral securing obligations under the 2021 MSTW Term Loan, mergers involving MSTW and/or MTTW, loans or guarantees to third parties by MTTW and/or MSTW, and MSTW’s and/or MTTW’s distribution of cash dividends. The 2021 MSTW Term Loan also contains financial covenants, which are tested semi-annually, as follows:</w:t>
      </w:r>
    </w:p>
    <w:p>
      <w:pPr>
        <w:spacing w:after="0" w:line="187" w:lineRule="exact"/>
        <w:rPr>
          <w:sz w:val="20"/>
          <w:szCs w:val="20"/>
          <w:color w:val="auto"/>
        </w:rPr>
      </w:pPr>
    </w:p>
    <w:p>
      <w:pPr>
        <w:ind w:left="980" w:right="3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MSTW must maintain a consolidated ratio of total liabilities to adjusted EBITDA not higher than 5.5x in 2017 and 2018, and not higher than 4.5x in 2019 through 2021;</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MSTW must maintain adjusted consolidated tangible net worth of not less than 4.0 billion New Taiwan dollars in 2017 and 2018, not less than 6.5 billion New Taiwan dollars in 2019 and 2020, and not less than 12.0 billion New Taiwan dollars in 2021;</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consolidated basis, Micron must maintain a ratio of total liabilities to adjusted EBITDA not higher than 3.5x in 2017, not higher than 3.0x in 2018 and 2019, and not higher than 2.5x in 2020 and 2021; and</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consolidated basis, Micron must maintain adjusted tangible net worth not less than $9.0 billion in 2017, not less than $12.5 billion in 2018 and 2019, and not less than $16.5 billion in 2020 and 2021.</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If MSTW fails to maintain a required financial covenant, the interest rate will be increased by 0.25% until such time as the required financial ratios are maintained. If MSTW’s failure continues for two consecutive semi-annual periods, such failure will constitute an event of default that could result in all obligations owed under the 2021 MSTW Term Loan being accelerated to be immediately due and payable. Micron’s failure to maintain a required financial covenant will only result in a 0.25% increase to the interest rate but will not constitute an event of default. The 2021 MSTW Term Loan also contains customary events of default.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3,217</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2,934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579</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(0.16)</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(0.21)</w:t>
            </w:r>
          </w:p>
        </w:tc>
        <w:tc>
          <w:tcPr>
            <w:tcW w:w="104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(0.16)</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(0.09)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 in the fourth quarter of 2016 included charges of $58 million related to the 2016 Restructuring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3,600</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4,166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970</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1,202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1,405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935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Micron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0.44</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108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0.42</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Results of operations in the fourth, third, and first quarters of 2015 included losses of $1 million, $18 million, and $30 million, respectively, for losses on restructure of debt.</w:t>
      </w:r>
    </w:p>
    <w:p>
      <w:pPr>
        <w:sectPr>
          <w:pgSz w:w="11900" w:h="16838" w:orient="portrait"/>
          <w:cols w:equalWidth="0" w:num="1">
            <w:col w:w="11420"/>
          </w:cols>
          <w:pgMar w:left="240" w:top="125" w:right="239" w:bottom="82"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Micron Technology, Inc.</w:t>
      </w:r>
    </w:p>
    <w:p>
      <w:pPr>
        <w:spacing w:after="0" w:line="211" w:lineRule="exact"/>
        <w:rPr>
          <w:sz w:val="20"/>
          <w:szCs w:val="20"/>
          <w:color w:val="auto"/>
        </w:rPr>
      </w:pPr>
    </w:p>
    <w:p>
      <w:pPr>
        <w:ind w:left="60"/>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8 present fairly, in all material respects, the financial position of Micron Technology, Inc. and its subsidiaries at September 1, 2016 and September 3, 2015, and the results of their operations and their cash flows for each of the three years in the period ended September 1, 2016 in conformity with accounting principles generally accepted in the United States of America. In addition, in our opinion, the financial statement schedules listed in the index appearing under Item 15(a)(2) present fairly, in all material respects, the information set forth therein when read in conjunction with the related consolidated financial statements. Also in our opinion, the Company maintained, in all material respects, effective internal control over financial reporting as of September 1, 2016,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(not presented herein) appearing under Item 9A of the Company’s Annual Report on Form 10-K for the year ended September 1, 2016.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ind w:left="60"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October 28, 2016, except with respect to our opinion on the consolidated financial statements insofar as it relates to the effects of the change in measure of segment profitability discussed in the Segment Information note, as to which the date is October 10,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10300"/>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260" w:hanging="766"/>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 included as Exhibit 99.2</w:t>
      </w:r>
    </w:p>
    <w:p>
      <w:pPr>
        <w:spacing w:after="0" w:line="23" w:lineRule="exact"/>
        <w:rPr>
          <w:rFonts w:ascii="Arial" w:cs="Arial" w:eastAsia="Arial" w:hAnsi="Arial"/>
          <w:sz w:val="18"/>
          <w:szCs w:val="18"/>
          <w:color w:val="auto"/>
        </w:rPr>
      </w:pPr>
    </w:p>
    <w:p>
      <w:pPr>
        <w:ind w:left="1260" w:hanging="766"/>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3,625</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3,329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Equity in net loss of equity method investees</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Micron</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 (loss) attributable to Micron</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(in millions except par value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equivalents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Notes and accounts receivable from subsidiaries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notes receivable from and prepaid expenses to subsidiaries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21,131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19,303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Short-term debt and accounts payable to subsidiaries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7,313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Redeemable convertible notes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Micron shareholders’ equity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$0.10 par value, 3,000 shares authorized, 1,094 shares issued and outstanding (1,084 as of</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 2015)</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Other equity</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11,971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w:t>
            </w:r>
          </w:p>
        </w:tc>
        <w:tc>
          <w:tcPr>
            <w:tcW w:w="22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(Payments) proceeds on loans to subsidiaries, net</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acquisitions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Payments to settle hedging activities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contributions to subsidiaries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sales of available-for-sale securities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settlement of hedging activities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distributions from subsidiaries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received from disposition of interest in Aptina</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equipment sale-leaseback transactions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stock under equity plans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to acquire treasury stock</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Payments of licensing obligations</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Effect of changes in currency exchange rates on cash and equivalents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7"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Micron, a Delaware corporation, was incorporated in 1978. Micron is the parent company of its consolidated subsidiaries and, together with its consolidated subsidiaries, is a global leader in advanced semiconductor systems.</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These condensed financial statements have been prepared on a parent-only basis. Under this parent-only presentation, Micron’s investments in its consolidated subsidiaries are presented under the equity method of accounting. In accordance with Rule 12-04 of Regulation S-X, these parent-only financial statements do not include all of the information and footnotes required by Generally Accepted Accounting Principles (GAAP) in the United States for annual financial statements. Because these parent-only financial statements and notes do not include all of the information and footnotes required by GAAP in the U.S. for annual financial statements, these parent-only financial statements and other information included should be read in conjunction with Micron’s audited Consolidated Financial Statements contained within Part II, Item 8 of this Annual Report on Form 10-K for the year ended September 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Stated</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Effective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Instrument</w:t>
            </w:r>
            <w:r>
              <w:rPr>
                <w:rFonts w:ascii="Arial" w:cs="Arial" w:eastAsia="Arial" w:hAnsi="Arial"/>
                <w:sz w:val="17"/>
                <w:szCs w:val="17"/>
                <w:b w:val="1"/>
                <w:bCs w:val="1"/>
                <w:color w:val="auto"/>
                <w:vertAlign w:val="superscript"/>
              </w:rPr>
              <w:t>(1)</w:t>
            </w:r>
          </w:p>
        </w:tc>
        <w:tc>
          <w:tcPr>
            <w:tcW w:w="10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Long-</w:t>
            </w:r>
          </w:p>
        </w:tc>
        <w:tc>
          <w:tcPr>
            <w:tcW w:w="14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Long-</w:t>
            </w:r>
          </w:p>
        </w:tc>
        <w:tc>
          <w:tcPr>
            <w:tcW w:w="1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1040" w:type="dxa"/>
            <w:vAlign w:val="bottom"/>
            <w:gridSpan w:val="2"/>
          </w:tcPr>
          <w:p>
            <w:pPr>
              <w:jc w:val="right"/>
              <w:ind w:right="440"/>
              <w:spacing w:after="0" w:line="17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(2)</w:t>
            </w:r>
          </w:p>
        </w:tc>
        <w:tc>
          <w:tcPr>
            <w:tcW w:w="1300" w:type="dxa"/>
            <w:vAlign w:val="bottom"/>
            <w:gridSpan w:val="3"/>
          </w:tcPr>
          <w:p>
            <w:pPr>
              <w:ind w:left="260"/>
              <w:spacing w:after="0" w:line="17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(2)</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color w:val="auto"/>
                <w:vertAlign w:val="superscript"/>
              </w:rPr>
              <w:t>(3)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N/A</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2022 senior notes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5.875%</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senior secured term loan B</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2023 senior notes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5.250%</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senior secured notes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2024 senior notes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5.250%</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senior notes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2026 senior notes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5.625%</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2032C convertible senior notes</w:t>
            </w:r>
            <w:r>
              <w:rPr>
                <w:rFonts w:ascii="Arial" w:cs="Arial" w:eastAsia="Arial" w:hAnsi="Arial"/>
                <w:sz w:val="23"/>
                <w:szCs w:val="23"/>
                <w:color w:val="auto"/>
                <w:vertAlign w:val="superscript"/>
              </w:rPr>
              <w:t>(4)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2032D convertible senior notes</w:t>
            </w:r>
            <w:r>
              <w:rPr>
                <w:rFonts w:ascii="Arial" w:cs="Arial" w:eastAsia="Arial" w:hAnsi="Arial"/>
                <w:sz w:val="23"/>
                <w:szCs w:val="23"/>
                <w:color w:val="auto"/>
                <w:vertAlign w:val="superscript"/>
              </w:rPr>
              <w:t>(4)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3.125%</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2033E convertible senior notes</w:t>
            </w:r>
            <w:r>
              <w:rPr>
                <w:rFonts w:ascii="Arial" w:cs="Arial" w:eastAsia="Arial" w:hAnsi="Arial"/>
                <w:sz w:val="23"/>
                <w:szCs w:val="23"/>
                <w:color w:val="auto"/>
                <w:vertAlign w:val="superscript"/>
              </w:rPr>
              <w:t>(4)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line="216" w:lineRule="exact"/>
              <w:rPr>
                <w:sz w:val="20"/>
                <w:szCs w:val="20"/>
                <w:color w:val="auto"/>
              </w:rPr>
            </w:pPr>
            <w:r>
              <w:rPr>
                <w:rFonts w:ascii="Arial" w:cs="Arial" w:eastAsia="Arial" w:hAnsi="Arial"/>
                <w:sz w:val="18"/>
                <w:szCs w:val="18"/>
                <w:color w:val="auto"/>
              </w:rPr>
              <w:t>2033F convertible senior notes</w:t>
            </w:r>
            <w:r>
              <w:rPr>
                <w:rFonts w:ascii="Arial" w:cs="Arial" w:eastAsia="Arial" w:hAnsi="Arial"/>
                <w:sz w:val="23"/>
                <w:szCs w:val="23"/>
                <w:color w:val="auto"/>
                <w:vertAlign w:val="superscript"/>
              </w:rPr>
              <w:t>(4)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2.125%</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2043G convertible senior notes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400" w:hanging="248"/>
        <w:spacing w:after="0" w:line="227" w:lineRule="auto"/>
        <w:tabs>
          <w:tab w:leader="none" w:pos="568"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Micron has either the obligation or the option to pay cash for the principal amount due upon conversion for all of its convertible notes. Micron’s current intent is to settle in cash the principal amount of all of its convertible notes upon conversion.</w:t>
      </w:r>
    </w:p>
    <w:p>
      <w:pPr>
        <w:ind w:left="560" w:hanging="228"/>
        <w:spacing w:after="0" w:line="196" w:lineRule="auto"/>
        <w:tabs>
          <w:tab w:leader="none" w:pos="56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 of September 1, 2016.</w:t>
      </w:r>
    </w:p>
    <w:p>
      <w:pPr>
        <w:spacing w:after="0" w:line="1" w:lineRule="exact"/>
        <w:rPr>
          <w:rFonts w:ascii="Arial" w:cs="Arial" w:eastAsia="Arial" w:hAnsi="Arial"/>
          <w:sz w:val="23"/>
          <w:szCs w:val="23"/>
          <w:i w:val="1"/>
          <w:iCs w:val="1"/>
          <w:color w:val="auto"/>
          <w:vertAlign w:val="superscript"/>
        </w:rPr>
      </w:pPr>
    </w:p>
    <w:p>
      <w:pPr>
        <w:ind w:left="560" w:hanging="228"/>
        <w:spacing w:after="0" w:line="194" w:lineRule="auto"/>
        <w:tabs>
          <w:tab w:leader="none" w:pos="56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Weighted-average imputed rate of 3.4% and 4.5% as of September 1, 2016 and September 3, 2015, respectively.</w:t>
      </w:r>
    </w:p>
    <w:p>
      <w:pPr>
        <w:spacing w:after="0" w:line="2" w:lineRule="exact"/>
        <w:rPr>
          <w:rFonts w:ascii="Arial" w:cs="Arial" w:eastAsia="Arial" w:hAnsi="Arial"/>
          <w:sz w:val="23"/>
          <w:szCs w:val="23"/>
          <w:i w:val="1"/>
          <w:iCs w:val="1"/>
          <w:color w:val="auto"/>
          <w:vertAlign w:val="superscript"/>
        </w:rPr>
      </w:pPr>
    </w:p>
    <w:p>
      <w:pPr>
        <w:ind w:left="580" w:right="80" w:hanging="248"/>
        <w:spacing w:after="0" w:line="270" w:lineRule="auto"/>
        <w:tabs>
          <w:tab w:leader="none" w:pos="568" w:val="left"/>
        </w:tabs>
        <w:numPr>
          <w:ilvl w:val="0"/>
          <w:numId w:val="31"/>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Since the closing price of Micron’s common stock for at least 20 trading days in the 30 trading day period ended on June 30, 2016 did not exceed 130% of the conversion price per share, these notes were not convertible by the holders during the calendar quarter ended September 30, 2016. The closing price of our common stock exceeded the thresholds for the calendar quarter ended September 30, 2016; therefore, these notes are convertible by the holders through December 31, 2016. The 2033 Notes were classified as current as of 2015 because the terms of these notes require us to pay cash for the principal amount of any converted notes and holders of these notes had the right to convert their notes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2022 Term Loan B and 2023 Secured Notes are collateralized by substantially all of the assets of Micron and Micron Semiconductor Products, Inc. (“MSP”), a subsidiary of Micron, subject to certain exceptions and permitted liens on such assets on an equal and ratable basis, subject to certain limitations. Included in Micron’s balance sheet as of September 1, 2016 were $5.37 billion of assets which collateralize these notes. The 2022 Term Loan B Notes and 2023 Senior Secured Notes are structurally subordinated to the indebtedness and other liabilities of all of Micron’s subsidiaries that do not guarantee these notes. As of September 1, 2016, only MSP guarantees these debt obligations. Micron’s convertible and other senior notes are unsecured obligations that rank equally in right of payment with all of Micron’s other existing and future unsecured indebtedness, and are effectively subordinated to all of Micron’s other existing and future secured indebtedness, to the extent of the value of the assets securing such indebtedness. The convertible notes and the 2022 Notes, 2023 Notes, 2024 Notes, 2025 Notes, and 2026 Notes of Micron are structurally subordinated to all liabilities of its subsidiaries, including trade payables. Micron guarantees certain debt obligations of its subsidiaries but does not guarantee the MMJ creditor installment payments. In addition, upon the consummation of the Inotera acquisition, Micron will guarantee all of Inotera’s and MSTW’s obligations under the Term Loan Facility. As of September 1, 2016, Micron had guaranteed $1.08 billion of debt obligations of its subsidiaries. Micron’s guarantees of its subsidiary debt obligations are unsecured obligations ranking equally in right of payment with all of its other existing and future unsecured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Lease Obligations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Micron has various capital lease obligations due in periodic installments with a weighted-average remaining term of four years as of September 1, 2016. As of September 1, 2016 and September 3, 2015, Micron had production equipment with carrying values of $226 million and $140 million, respectively, under capital 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 Senior Secured Notes, and Other Senior Notes</w:t>
      </w:r>
    </w:p>
    <w:p>
      <w:pPr>
        <w:sectPr>
          <w:pgSz w:w="11900" w:h="16838" w:orient="portrait"/>
          <w:cols w:equalWidth="0" w:num="1">
            <w:col w:w="11420"/>
          </w:cols>
          <w:pgMar w:left="240" w:top="580" w:right="239" w:bottom="0" w:gutter="0" w:footer="0" w:header="0"/>
        </w:sectPr>
      </w:pPr>
    </w:p>
    <w:bookmarkStart w:id="48" w:name="page49"/>
    <w:bookmarkEnd w:id="48"/>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further information, see “Part II — Item 8. Financial Statements and Supplementary Data — Notes to Consolidated Financial Statements — Debt.”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Facilities</w:t>
      </w:r>
    </w:p>
    <w:p>
      <w:pPr>
        <w:spacing w:after="0" w:line="229"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connection with entering into the 2022 Term Loan B on April 25, 2016, Micron terminated its revolving credit facility and repaid the $50 million outstanding principal amount. For further information, see “Part II — Item 8. Financial Statements and Supplementary Data — Notes to Consolidated Financial Statements — Debt — Other Facilities —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Maturities of Notes Payable and Future Minimum Lease Payments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2016, maturities of notes payable and future minimum lease payments under capital lease obligations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Notes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Capital Lease</w:t>
            </w:r>
          </w:p>
        </w:tc>
      </w:tr>
      <w:tr>
        <w:trPr>
          <w:trHeight w:val="171"/>
        </w:trPr>
        <w:tc>
          <w:tcPr>
            <w:tcW w:w="5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Payable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Obligations</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2018</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2022 and thereafter</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6,628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discounts and interest, respectively</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0"/>
        </w:trPr>
        <w:tc>
          <w:tcPr>
            <w:tcW w:w="5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7,147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Micron has provided various financial guarantees issued in the normal course of business on behalf of its subsidiaries. These contracts include debt guarantees and guarantees of certain banking facilities. Micron enters into these arrangements to facilitate commercial transactions with third parties by enhancing the value of the transaction to the third party. Micron has entered into agreements covering certain activities of its subsidiaries, and occasionally Micron may be required to perform under such agreements on behalf of its subsidiaries.</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Micron has guaranteed the obligations of Micron Semiconductor Asia Pte. Ltd. (“MSA”) and Micron Semiconductor (Xi’an) Co. Ltd. (“MXA”), each wholly-owned subsidiaries of Micron, in connection with a service agreement with Powertech Technology Inc. Xi’an (“PTI Xi’an”) to provide assembly services to us at our manufacturing site in Xi’an, China. Micron would be required to pay the financial obligations of MSA and/or MXA in the event MSA and/or MXA fail to pay PTI Xi’an for services performed under the assembly services agreement. Micron’s guarantee of MSA and of MXA extends through March 2022, the term of the assembly service agreement, but may be further extended through March 2024 if any party extends the assembly services agreement. The maximum potential amount of future payments Micron may be required to pay under this guarantee is indeterminable because the pricing and volume under the assembly services agreement are variable.</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of September 1, 2016, the maximum potential amount of future payments Micron could have been required to make under its debt guarantees was approximately $1.08 billion. Substantially all of this amount relates to guarantees for debt of wholly-owned entities whereby Micron would be obligated to perform under the guarantee if a subsidiary were to default on the terms of their debt arrangements. In the event of performance under the guarantee, Micron would be permitted to seek reimbursement from the subsidiary company(ies) through liquidation of the assets which were collateral under various debt instruments. At the time these contracts were entered into, the collateralized assets approximated the value of the outstanding guarantees. The majority of these guarantees expire at various times between March 2017 and June 2020. Micron guarantees a subsidiary credit facility that provides for up to $750 million of financing. As of September 1, 2016, $75 million of principal amount was outstanding under this facility.</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Micron guarantees certain banking facilities for its wholly-owned consolidated entities. Substantially all of these guarantees relate to bank overdraft protections. The maximum potential amount of future payments Micron could be required to make under these guarantees varies based on the extent of potential overdrafts. Micron’s business processes substantially mitigate the risk of wholly-owned subsidiaries overdrafting their bank accounts. The majority of these guarantees have no contractual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Micron and its subsidiaries’ products or manufacturing processes infringe their intellectual property rights. Micron has accrued a liability and charged operations for the estimated costs of adjudication or settlement of various asserted and unasserted claims existing as of the balance sheet date. Micron is currently a party to various litigation regarding patent, commercial, and other matters. Micron is a party to the matters listed in the “Contingencies” note in the consolidated financial statements. For further information, see “Part II — Item 8. Financial Statements and Supplementary Data — Notes to Consolidated Financial Statements —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Notes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For further information, see “Part II — Item 8. Financial Statements and Supplementary Data — Notes to Consolidated Financial Statements — Redeemable Convertible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Substantially all of Micron’s activities relate to manufacturing services performed for its subsidiaries and to royalties received for use of product and process technology. Micron’s net sales to consolidated subsidiaries were $5.38 billion, $5.42 billion, and $5.64 billion for 2016, 2015, and 2014,</w:t>
      </w:r>
    </w:p>
    <w:p>
      <w:pPr>
        <w:sectPr>
          <w:pgSz w:w="11900" w:h="16908" w:orient="portrait"/>
          <w:cols w:equalWidth="0" w:num="1">
            <w:col w:w="11420"/>
          </w:cols>
          <w:pgMar w:left="240" w:top="341" w:right="239" w:bottom="0" w:gutter="0" w:footer="0" w:header="0"/>
        </w:sectPr>
      </w:pPr>
    </w:p>
    <w:bookmarkStart w:id="49" w:name="page50"/>
    <w:bookmarkEnd w:id="49"/>
    <w:p>
      <w:pPr>
        <w:ind w:right="700"/>
        <w:spacing w:after="0" w:line="277" w:lineRule="auto"/>
        <w:rPr>
          <w:sz w:val="20"/>
          <w:szCs w:val="20"/>
          <w:color w:val="auto"/>
        </w:rPr>
      </w:pPr>
      <w:r>
        <w:rPr>
          <w:rFonts w:ascii="Arial" w:cs="Arial" w:eastAsia="Arial" w:hAnsi="Arial"/>
          <w:sz w:val="18"/>
          <w:szCs w:val="18"/>
          <w:color w:val="auto"/>
        </w:rPr>
        <w:t>respectively. Gross margins on manufacturing activities are commensurate with market rates for such services. Transactions between Micron and its consolidated subsidiaries are eliminated in consolidation.</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Micron engages in various transactions with its equity method investees and eliminates the profits or losses on those transactions to the extent of its ownership interest until such time as the profits or losses are realized. Micron held an equity interest in Aptina through August 15, 2014. Net sales for 2014 included $43 million from products sold to and services performed for Aptina. Micron held an equity interest in Aptina until the fourth quarter of 2014, at which time it sold its interest and recognized a non-operating gain of $119 million. For further information regarding transactions between Micron and its equity method investees, see “Part II — Item 8. Financial Statements and Supplementary Data — Notes to Consolidated Financial Statements — Equity Method Investments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Charged</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and Charges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Income Tax</w:t>
            </w: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to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Acquisitions</w:t>
            </w: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Accounts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Deferred Tax Asset Valuation Allowance</w:t>
            </w:r>
          </w:p>
        </w:tc>
        <w:tc>
          <w:tcPr>
            <w:tcW w:w="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Year ended September 1, 2016</w:t>
            </w:r>
          </w:p>
        </w:tc>
        <w:tc>
          <w:tcPr>
            <w:tcW w:w="7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2,051</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109</w:t>
            </w:r>
          </w:p>
        </w:tc>
        <w:tc>
          <w:tcPr>
            <w:tcW w:w="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September 3, 2015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Year ended August 28, 2014</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3,155</w:t>
            </w: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0" w:name="page51"/>
    <w:bookmarkEnd w:id="50"/>
    <w:p>
      <w:pPr>
        <w:ind w:left="9280"/>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40640</wp:posOffset>
            </wp:positionV>
            <wp:extent cx="7117715" cy="8310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7715" cy="8310245"/>
                    </a:xfrm>
                    <a:prstGeom prst="rect">
                      <a:avLst/>
                    </a:prstGeom>
                    <a:noFill/>
                  </pic:spPr>
                </pic:pic>
              </a:graphicData>
            </a:graphic>
          </wp:anchor>
        </w:drawing>
      </w:r>
    </w:p>
    <w:sectPr>
      <w:pgSz w:w="11900" w:h="16838" w:orient="portrait"/>
      <w:cols w:equalWidth="0" w:num="1">
        <w:col w:w="10220"/>
      </w:cols>
      <w:pgMar w:left="14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2"/>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decimal"/>
      <w:start w:val="1"/>
    </w:lvl>
    <w:lvl w:ilvl="1">
      <w:lvlJc w:val="left"/>
      <w:lvlText w:val="·"/>
      <w:numFmt w:val="bullet"/>
      <w:start w:val="1"/>
    </w:lvl>
  </w:abstractNum>
  <w:abstractNum w:abstractNumId="24">
    <w:nsid w:val="2CA88611"/>
    <w:multiLevelType w:val="hybridMultilevel"/>
    <w:lvl w:ilvl="0">
      <w:lvlJc w:val="left"/>
      <w:lvlText w:val="(%1)"/>
      <w:numFmt w:val="decimal"/>
      <w:start w:val="1"/>
    </w:lvl>
    <w:lvl w:ilvl="1">
      <w:lvlJc w:val="left"/>
      <w:lvlText w:val="·"/>
      <w:numFmt w:val="bullet"/>
      <w:start w:val="1"/>
    </w:lvl>
  </w:abstractNum>
  <w:abstractNum w:abstractNumId="25">
    <w:nsid w:val="836C40E"/>
    <w:multiLevelType w:val="hybridMultilevel"/>
    <w:lvl w:ilvl="0">
      <w:lvlJc w:val="left"/>
      <w:lvlText w:val="(%1)"/>
      <w:numFmt w:val="decimal"/>
      <w:start w:val="2"/>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lowerLetter"/>
      <w:start w:val="1"/>
    </w:lvl>
    <w:lvl w:ilvl="1">
      <w:lvlJc w:val="left"/>
      <w:lvlText w:val="%2."/>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2019-12-29T04:19:27Z</dcterms:created>
  <dcterms:modified xsi:type="dcterms:W3CDTF">2019-12-29T04:19:27Z</dcterms:modified>
</cp:coreProperties>
</file>