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BHATIA MANISH H</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8000 S. FEDERAL WAY</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10/16/2020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79"/>
        <w:spacing w:after="0"/>
        <w:rPr>
          <w:sz w:val="20"/>
          <w:szCs w:val="20"/>
          <w:color w:val="auto"/>
        </w:rPr>
      </w:pPr>
      <w:r>
        <w:rPr>
          <w:rFonts w:ascii="Arial" w:cs="Arial" w:eastAsia="Arial" w:hAnsi="Arial"/>
          <w:sz w:val="16"/>
          <w:szCs w:val="16"/>
          <w:color w:val="0000FF"/>
        </w:rPr>
        <w:t>EVP, Global Operations</w:t>
      </w:r>
    </w:p>
    <w:p>
      <w:pPr>
        <w:spacing w:after="0" w:line="380" w:lineRule="exact"/>
        <w:rPr>
          <w:sz w:val="24"/>
          <w:szCs w:val="24"/>
          <w:color w:val="auto"/>
        </w:rPr>
      </w:pPr>
    </w:p>
    <w:p>
      <w:pPr>
        <w:sectPr>
          <w:pgSz w:w="11900" w:h="16838" w:orient="portrait"/>
          <w:cols w:equalWidth="0" w:num="3">
            <w:col w:w="3180" w:space="720"/>
            <w:col w:w="3200" w:space="641"/>
            <w:col w:w="3339"/>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400" w:type="dxa"/>
            <w:vAlign w:val="bottom"/>
            <w:gridSpan w:val="6"/>
          </w:tcPr>
          <w:p>
            <w:pPr>
              <w:ind w:left="140"/>
              <w:spacing w:after="0" w:line="146" w:lineRule="exact"/>
              <w:rPr>
                <w:sz w:val="20"/>
                <w:szCs w:val="20"/>
                <w:color w:val="auto"/>
              </w:rPr>
            </w:pPr>
            <w:r>
              <w:rPr>
                <w:rFonts w:ascii="Arial" w:cs="Arial" w:eastAsia="Arial" w:hAnsi="Arial"/>
                <w:sz w:val="13"/>
                <w:szCs w:val="13"/>
                <w:color w:val="auto"/>
                <w:w w:val="97"/>
              </w:rPr>
              <w:t>4. If Amendment, Date of Original Filed (Month/Day/Year)</w:t>
            </w:r>
          </w:p>
        </w:tc>
        <w:tc>
          <w:tcPr>
            <w:tcW w:w="200" w:type="dxa"/>
            <w:vAlign w:val="bottom"/>
          </w:tcPr>
          <w:p>
            <w:pPr>
              <w:spacing w:after="0"/>
              <w:rPr>
                <w:sz w:val="14"/>
                <w:szCs w:val="14"/>
                <w:color w:val="auto"/>
              </w:rPr>
            </w:pPr>
          </w:p>
        </w:tc>
        <w:tc>
          <w:tcPr>
            <w:tcW w:w="3720" w:type="dxa"/>
            <w:vAlign w:val="bottom"/>
            <w:gridSpan w:val="10"/>
          </w:tcPr>
          <w:p>
            <w:pPr>
              <w:ind w:left="3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ind w:left="3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20" w:type="dxa"/>
            <w:vAlign w:val="bottom"/>
            <w:gridSpan w:val="10"/>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6"/>
                <w:szCs w:val="16"/>
                <w:color w:val="0000FF"/>
              </w:rPr>
              <w:t>BOISE</w:t>
            </w:r>
          </w:p>
        </w:tc>
        <w:tc>
          <w:tcPr>
            <w:tcW w:w="760" w:type="dxa"/>
            <w:vAlign w:val="bottom"/>
            <w:vMerge w:val="restart"/>
          </w:tcPr>
          <w:p>
            <w:pPr>
              <w:ind w:left="540"/>
              <w:spacing w:after="0"/>
              <w:rPr>
                <w:sz w:val="20"/>
                <w:szCs w:val="20"/>
                <w:color w:val="auto"/>
              </w:rPr>
            </w:pPr>
            <w:r>
              <w:rPr>
                <w:rFonts w:ascii="Arial" w:cs="Arial" w:eastAsia="Arial" w:hAnsi="Arial"/>
                <w:sz w:val="16"/>
                <w:szCs w:val="16"/>
                <w:color w:val="0000FF"/>
              </w:rPr>
              <w:t>ID</w:t>
            </w:r>
          </w:p>
        </w:tc>
        <w:tc>
          <w:tcPr>
            <w:tcW w:w="100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Arial" w:cs="Arial" w:eastAsia="Arial" w:hAnsi="Arial"/>
                <w:sz w:val="16"/>
                <w:szCs w:val="16"/>
                <w:color w:val="0000FF"/>
              </w:rPr>
              <w:t>83716</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3"/>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3"/>
          </w:tcPr>
          <w:p>
            <w:pPr>
              <w:jc w:val="center"/>
              <w:ind w:left="55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32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6"/>
                <w:szCs w:val="16"/>
                <w:color w:val="0000FF"/>
                <w:w w:val="94"/>
              </w:rPr>
              <w:t>10/16/2020</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108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6"/>
                <w:szCs w:val="16"/>
                <w:color w:val="0000FF"/>
              </w:rPr>
              <w:t>57,759</w:t>
            </w:r>
            <w:r>
              <w:rPr>
                <w:rFonts w:ascii="Arial" w:cs="Arial" w:eastAsia="Arial" w:hAnsi="Arial"/>
                <w:sz w:val="21"/>
                <w:szCs w:val="21"/>
                <w:color w:val="008000"/>
                <w:vertAlign w:val="superscript"/>
              </w:rPr>
              <w:t>(1)</w:t>
            </w:r>
          </w:p>
        </w:tc>
        <w:tc>
          <w:tcPr>
            <w:tcW w:w="2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27"/>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262,156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6"/>
                <w:szCs w:val="16"/>
                <w:color w:val="0000FF"/>
                <w:w w:val="94"/>
              </w:rPr>
              <w:t>10/16/2020</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08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6"/>
                <w:szCs w:val="16"/>
                <w:color w:val="0000FF"/>
              </w:rPr>
              <w:t>21,281</w:t>
            </w:r>
            <w:r>
              <w:rPr>
                <w:rFonts w:ascii="Arial" w:cs="Arial" w:eastAsia="Arial" w:hAnsi="Arial"/>
                <w:sz w:val="21"/>
                <w:szCs w:val="21"/>
                <w:color w:val="008000"/>
                <w:vertAlign w:val="superscript"/>
              </w:rPr>
              <w:t>(2)</w:t>
            </w:r>
          </w:p>
        </w:tc>
        <w:tc>
          <w:tcPr>
            <w:tcW w:w="2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7"/>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51.94</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240,875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6"/>
                <w:szCs w:val="16"/>
                <w:color w:val="0000FF"/>
                <w:w w:val="94"/>
              </w:rPr>
              <w:t>10/16/2020</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08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6"/>
                <w:szCs w:val="16"/>
                <w:color w:val="0000FF"/>
              </w:rPr>
              <w:t>29,618</w:t>
            </w:r>
            <w:r>
              <w:rPr>
                <w:rFonts w:ascii="Arial" w:cs="Arial" w:eastAsia="Arial" w:hAnsi="Arial"/>
                <w:sz w:val="21"/>
                <w:szCs w:val="21"/>
                <w:color w:val="008000"/>
                <w:vertAlign w:val="superscript"/>
              </w:rPr>
              <w:t>(3)</w:t>
            </w:r>
          </w:p>
        </w:tc>
        <w:tc>
          <w:tcPr>
            <w:tcW w:w="2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27"/>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270,493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6"/>
                <w:szCs w:val="16"/>
                <w:color w:val="0000FF"/>
                <w:w w:val="94"/>
              </w:rPr>
              <w:t>10/16/2020</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08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6"/>
                <w:szCs w:val="16"/>
                <w:color w:val="0000FF"/>
              </w:rPr>
              <w:t>34,356</w:t>
            </w:r>
            <w:r>
              <w:rPr>
                <w:rFonts w:ascii="Arial" w:cs="Arial" w:eastAsia="Arial" w:hAnsi="Arial"/>
                <w:sz w:val="21"/>
                <w:szCs w:val="21"/>
                <w:color w:val="008000"/>
                <w:vertAlign w:val="superscript"/>
              </w:rPr>
              <w:t>(4)</w:t>
            </w:r>
          </w:p>
        </w:tc>
        <w:tc>
          <w:tcPr>
            <w:tcW w:w="2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27"/>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304,849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50"/>
              <w:spacing w:after="0"/>
              <w:rPr>
                <w:sz w:val="20"/>
                <w:szCs w:val="20"/>
                <w:color w:val="auto"/>
              </w:rPr>
            </w:pPr>
            <w:r>
              <w:rPr>
                <w:rFonts w:ascii="Arial" w:cs="Arial" w:eastAsia="Arial" w:hAnsi="Arial"/>
                <w:sz w:val="16"/>
                <w:szCs w:val="16"/>
                <w:color w:val="0000FF"/>
                <w:w w:val="94"/>
              </w:rPr>
              <w:t>10/16/2020</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080" w:type="dxa"/>
            <w:vAlign w:val="bottom"/>
            <w:tcBorders>
              <w:bottom w:val="single" w:sz="8" w:color="2C2C2C"/>
            </w:tcBorders>
            <w:gridSpan w:val="2"/>
          </w:tcPr>
          <w:p>
            <w:pPr>
              <w:jc w:val="right"/>
              <w:ind w:right="259"/>
              <w:spacing w:after="0"/>
              <w:rPr>
                <w:sz w:val="20"/>
                <w:szCs w:val="20"/>
                <w:color w:val="auto"/>
              </w:rPr>
            </w:pPr>
            <w:r>
              <w:rPr>
                <w:rFonts w:ascii="Arial" w:cs="Arial" w:eastAsia="Arial" w:hAnsi="Arial"/>
                <w:sz w:val="16"/>
                <w:szCs w:val="16"/>
                <w:color w:val="0000FF"/>
              </w:rPr>
              <w:t>25,377</w:t>
            </w:r>
            <w:r>
              <w:rPr>
                <w:rFonts w:ascii="Arial" w:cs="Arial" w:eastAsia="Arial" w:hAnsi="Arial"/>
                <w:sz w:val="21"/>
                <w:szCs w:val="21"/>
                <w:color w:val="008000"/>
                <w:vertAlign w:val="superscript"/>
              </w:rPr>
              <w:t>(5)</w:t>
            </w:r>
          </w:p>
        </w:tc>
        <w:tc>
          <w:tcPr>
            <w:tcW w:w="200" w:type="dxa"/>
            <w:vAlign w:val="bottom"/>
            <w:tcBorders>
              <w:bottom w:val="single" w:sz="8" w:color="2C2C2C"/>
            </w:tcBorders>
          </w:tcPr>
          <w:p>
            <w:pPr>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7"/>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51.94</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279,472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162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Disposed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(6)</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24,402</w:t>
            </w:r>
            <w:r>
              <w:rPr>
                <w:rFonts w:ascii="Arial" w:cs="Arial" w:eastAsia="Arial" w:hAnsi="Arial"/>
                <w:sz w:val="21"/>
                <w:szCs w:val="21"/>
                <w:color w:val="008000"/>
                <w:w w:val="84"/>
                <w:vertAlign w:val="superscript"/>
              </w:rPr>
              <w:t>(6)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right"/>
              <w:ind w:right="261"/>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10/16/2020</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3"/>
                <w:szCs w:val="13"/>
                <w:color w:val="0000FF"/>
              </w:rPr>
              <w:t>A</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24,402</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24,402</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w w:val="79"/>
              </w:rPr>
              <w:t>Stock</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(7)</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28,879</w:t>
            </w:r>
            <w:r>
              <w:rPr>
                <w:rFonts w:ascii="Arial" w:cs="Arial" w:eastAsia="Arial" w:hAnsi="Arial"/>
                <w:sz w:val="21"/>
                <w:szCs w:val="21"/>
                <w:color w:val="008000"/>
                <w:w w:val="84"/>
                <w:vertAlign w:val="superscript"/>
              </w:rPr>
              <w:t>(7)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right"/>
              <w:ind w:right="261"/>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10/16/2020</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3"/>
                <w:szCs w:val="13"/>
                <w:color w:val="0000FF"/>
              </w:rPr>
              <w:t>A</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28,879</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28,879</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w w:val="79"/>
              </w:rPr>
              <w:t>Stock</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(8)</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29,618</w:t>
            </w:r>
            <w:r>
              <w:rPr>
                <w:rFonts w:ascii="Arial" w:cs="Arial" w:eastAsia="Arial" w:hAnsi="Arial"/>
                <w:sz w:val="21"/>
                <w:szCs w:val="21"/>
                <w:color w:val="008000"/>
                <w:w w:val="84"/>
                <w:vertAlign w:val="superscript"/>
              </w:rPr>
              <w:t>(3)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right"/>
              <w:ind w:right="261"/>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10/16/2020</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24,616</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w w:val="79"/>
              </w:rPr>
              <w:t>Stock</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w w:val="88"/>
              </w:rPr>
              <w:t>(9)</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34,356</w:t>
            </w:r>
            <w:r>
              <w:rPr>
                <w:rFonts w:ascii="Arial" w:cs="Arial" w:eastAsia="Arial" w:hAnsi="Arial"/>
                <w:sz w:val="21"/>
                <w:szCs w:val="21"/>
                <w:color w:val="008000"/>
                <w:w w:val="84"/>
                <w:vertAlign w:val="superscript"/>
              </w:rPr>
              <w:t>(4)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right"/>
              <w:ind w:right="261"/>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10/16/2020</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17,468</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24,607</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w w:val="79"/>
              </w:rPr>
              <w:t>Stock</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91"/>
              </w:rPr>
              <w:t>(10)</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6"/>
              </w:rPr>
              <w:t>1,004</w:t>
            </w:r>
            <w:r>
              <w:rPr>
                <w:rFonts w:ascii="Arial" w:cs="Arial" w:eastAsia="Arial" w:hAnsi="Arial"/>
                <w:sz w:val="21"/>
                <w:szCs w:val="21"/>
                <w:color w:val="008000"/>
                <w:w w:val="86"/>
                <w:vertAlign w:val="superscript"/>
              </w:rPr>
              <w:t>(12)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right"/>
              <w:ind w:right="261"/>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10/16/2020</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00"/>
              <w:spacing w:after="0" w:line="123" w:lineRule="exact"/>
              <w:rPr>
                <w:sz w:val="20"/>
                <w:szCs w:val="20"/>
                <w:color w:val="auto"/>
              </w:rPr>
            </w:pPr>
            <w:r>
              <w:rPr>
                <w:rFonts w:ascii="Arial" w:cs="Arial" w:eastAsia="Arial" w:hAnsi="Arial"/>
                <w:sz w:val="13"/>
                <w:szCs w:val="13"/>
                <w:color w:val="0000FF"/>
              </w:rPr>
              <w:t>F</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92"/>
              </w:rPr>
              <w:t>1,004</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25,901</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w w:val="79"/>
              </w:rPr>
              <w:t>Stock</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w w:val="91"/>
              </w:rPr>
              <w:t>(11)</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line="303" w:lineRule="exact"/>
              <w:rPr>
                <w:sz w:val="20"/>
                <w:szCs w:val="20"/>
                <w:color w:val="auto"/>
              </w:rPr>
            </w:pPr>
            <w:r>
              <w:rPr>
                <w:rFonts w:ascii="Arial" w:cs="Arial" w:eastAsia="Arial" w:hAnsi="Arial"/>
                <w:sz w:val="32"/>
                <w:szCs w:val="32"/>
                <w:color w:val="0000FF"/>
                <w:w w:val="78"/>
                <w:vertAlign w:val="subscript"/>
              </w:rPr>
              <w:t>94</w:t>
            </w:r>
            <w:r>
              <w:rPr>
                <w:rFonts w:ascii="Arial" w:cs="Arial" w:eastAsia="Arial" w:hAnsi="Arial"/>
                <w:sz w:val="11"/>
                <w:szCs w:val="11"/>
                <w:color w:val="008000"/>
                <w:w w:val="78"/>
              </w:rPr>
              <w:t>(12)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jc w:val="right"/>
              <w:ind w:right="261"/>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10/16/2020</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00"/>
              <w:spacing w:after="0" w:line="123" w:lineRule="exact"/>
              <w:rPr>
                <w:sz w:val="20"/>
                <w:szCs w:val="20"/>
                <w:color w:val="auto"/>
              </w:rPr>
            </w:pPr>
            <w:r>
              <w:rPr>
                <w:rFonts w:ascii="Arial" w:cs="Arial" w:eastAsia="Arial" w:hAnsi="Arial"/>
                <w:sz w:val="13"/>
                <w:szCs w:val="13"/>
                <w:color w:val="0000FF"/>
              </w:rPr>
              <w:t>F</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96"/>
              </w:rPr>
              <w:t>94</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21,332</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w w:val="79"/>
              </w:rPr>
              <w:t>Stock</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-5396230</wp:posOffset>
            </wp:positionV>
            <wp:extent cx="7035165" cy="5436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543687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Awards vest in 33 1/3% increments annually on the anniversary of the grant.</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obligations in connection with the vesting of restricted stock awarded under the Issuer's 2004 Equity Incentive Plan.</w:t>
      </w:r>
    </w:p>
    <w:p>
      <w:pPr>
        <w:spacing w:after="0" w:line="40" w:lineRule="exact"/>
        <w:rPr>
          <w:rFonts w:ascii="Arial" w:cs="Arial" w:eastAsia="Arial" w:hAnsi="Arial"/>
          <w:sz w:val="13"/>
          <w:szCs w:val="13"/>
          <w:color w:val="008000"/>
        </w:rPr>
      </w:pPr>
    </w:p>
    <w:p>
      <w:pPr>
        <w:ind w:left="40" w:right="1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Compensation Committee certified achievement of the pre-established performance goals at a level resulting in a vest of 105% of target shares. As reported at grant, the performance-based restricted stock unit could result in a payout of 0% to 200% based on actual achievement of the goals.</w:t>
      </w:r>
    </w:p>
    <w:p>
      <w:pPr>
        <w:spacing w:after="0" w:line="28" w:lineRule="exact"/>
        <w:rPr>
          <w:rFonts w:ascii="Arial" w:cs="Arial" w:eastAsia="Arial" w:hAnsi="Arial"/>
          <w:sz w:val="13"/>
          <w:szCs w:val="13"/>
          <w:color w:val="008000"/>
        </w:rPr>
      </w:pPr>
    </w:p>
    <w:p>
      <w:pPr>
        <w:ind w:left="40" w:right="1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Withholding of shares of common stock to satisfy tax withholding obligations in connection with the vesting of performance restricted stock units awarded under the Issuer's 2004 Equity Incentive Plan.</w:t>
      </w:r>
    </w:p>
    <w:p>
      <w:pPr>
        <w:spacing w:after="0" w:line="51" w:lineRule="exact"/>
        <w:rPr>
          <w:rFonts w:ascii="Arial" w:cs="Arial" w:eastAsia="Arial" w:hAnsi="Arial"/>
          <w:sz w:val="12"/>
          <w:szCs w:val="12"/>
          <w:color w:val="008000"/>
        </w:rPr>
      </w:pPr>
    </w:p>
    <w:p>
      <w:pPr>
        <w:ind w:left="40" w:right="16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30" w:lineRule="exact"/>
        <w:rPr>
          <w:rFonts w:ascii="Arial" w:cs="Arial" w:eastAsia="Arial" w:hAnsi="Arial"/>
          <w:sz w:val="13"/>
          <w:szCs w:val="13"/>
          <w:color w:val="008000"/>
        </w:rPr>
      </w:pPr>
    </w:p>
    <w:p>
      <w:pPr>
        <w:ind w:left="40" w:right="24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30" w:lineRule="exact"/>
        <w:rPr>
          <w:rFonts w:ascii="Arial" w:cs="Arial" w:eastAsia="Arial" w:hAnsi="Arial"/>
          <w:sz w:val="13"/>
          <w:szCs w:val="13"/>
          <w:color w:val="008000"/>
        </w:rPr>
      </w:pPr>
    </w:p>
    <w:p>
      <w:pPr>
        <w:ind w:left="40" w:right="30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performance-based restricted stock unit represents the right to receive, following vesting, between 0% and 200% of one share of common stock based upon the achievement of pre-established performance metrics related to DRAM, NAND and PE Ratio over a 3-year performance period beginning August 31, 2017 and ending on September 3, 2020, and certification of such performance by the Compensation Committee following the conclusion of the performance period.</w:t>
      </w:r>
    </w:p>
    <w:p>
      <w:pPr>
        <w:spacing w:after="0" w:line="30" w:lineRule="exact"/>
        <w:rPr>
          <w:rFonts w:ascii="Arial" w:cs="Arial" w:eastAsia="Arial" w:hAnsi="Arial"/>
          <w:sz w:val="13"/>
          <w:szCs w:val="13"/>
          <w:color w:val="008000"/>
        </w:rPr>
      </w:pPr>
    </w:p>
    <w:p>
      <w:pPr>
        <w:ind w:left="40" w:right="26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30" w:lineRule="exact"/>
        <w:rPr>
          <w:rFonts w:ascii="Arial" w:cs="Arial" w:eastAsia="Arial" w:hAnsi="Arial"/>
          <w:sz w:val="13"/>
          <w:szCs w:val="13"/>
          <w:color w:val="008000"/>
        </w:rPr>
      </w:pPr>
    </w:p>
    <w:p>
      <w:pPr>
        <w:ind w:left="220" w:hanging="181"/>
        <w:spacing w:after="0"/>
        <w:tabs>
          <w:tab w:leader="none" w:pos="2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performance-based restricted stock unit represents the right to receive, following vesting, between 0% and 200% of one share of common stock based upon the achievement of pre-established performance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 w:right="380"/>
        <w:spacing w:after="0" w:line="241" w:lineRule="auto"/>
        <w:rPr>
          <w:sz w:val="20"/>
          <w:szCs w:val="20"/>
          <w:color w:val="auto"/>
        </w:rPr>
      </w:pPr>
      <w:r>
        <w:rPr>
          <w:rFonts w:ascii="Arial" w:cs="Arial" w:eastAsia="Arial" w:hAnsi="Arial"/>
          <w:sz w:val="13"/>
          <w:szCs w:val="13"/>
          <w:color w:val="008000"/>
        </w:rPr>
        <w:t>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9" w:lineRule="exact"/>
        <w:rPr>
          <w:sz w:val="20"/>
          <w:szCs w:val="20"/>
          <w:color w:val="auto"/>
        </w:rPr>
      </w:pPr>
    </w:p>
    <w:p>
      <w:pPr>
        <w:ind w:left="1" w:hanging="1"/>
        <w:spacing w:after="0" w:line="234" w:lineRule="auto"/>
        <w:tabs>
          <w:tab w:leader="none" w:pos="186"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August 30, 2018 and ending on September 2, 2021, and certification of such performance by the Compensation Committee following the conclusion of the performance period.</w:t>
      </w:r>
    </w:p>
    <w:p>
      <w:pPr>
        <w:spacing w:after="0" w:line="30" w:lineRule="exact"/>
        <w:rPr>
          <w:rFonts w:ascii="Arial" w:cs="Arial" w:eastAsia="Arial" w:hAnsi="Arial"/>
          <w:sz w:val="13"/>
          <w:szCs w:val="13"/>
          <w:color w:val="008000"/>
        </w:rPr>
      </w:pPr>
    </w:p>
    <w:p>
      <w:pPr>
        <w:ind w:left="1" w:right="180" w:hanging="1"/>
        <w:spacing w:after="0" w:line="241" w:lineRule="auto"/>
        <w:tabs>
          <w:tab w:leader="none" w:pos="19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43"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Arial" w:cs="Arial" w:eastAsia="Arial" w:hAnsi="Arial"/>
                <w:sz w:val="16"/>
                <w:szCs w:val="16"/>
                <w:color w:val="0000FF"/>
                <w:w w:val="94"/>
              </w:rPr>
              <w:t>Greg Osborn, Attorney-in-fact</w:t>
            </w:r>
          </w:p>
        </w:tc>
        <w:tc>
          <w:tcPr>
            <w:tcW w:w="1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6"/>
                <w:szCs w:val="16"/>
                <w:color w:val="0000FF"/>
                <w:w w:val="89"/>
              </w:rPr>
              <w:t>10/20/2020</w:t>
            </w:r>
          </w:p>
        </w:tc>
      </w:tr>
      <w:tr>
        <w:trPr>
          <w:trHeight w:val="20"/>
        </w:trPr>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80" w:hanging="1"/>
        <w:spacing w:after="0" w:line="326"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1"/>
          </w:cols>
          <w:pgMar w:left="499" w:top="131" w:right="519" w:bottom="1440" w:gutter="0" w:footer="0" w:header="0"/>
        </w:sectPr>
      </w:pPr>
    </w:p>
    <w:bookmarkStart w:id="2" w:name="page3"/>
    <w:bookmarkEnd w:id="2"/>
    <w:p>
      <w:pPr>
        <w:ind w:left="91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290195</wp:posOffset>
            </wp:positionH>
            <wp:positionV relativeFrom="page">
              <wp:posOffset>88900</wp:posOffset>
            </wp:positionV>
            <wp:extent cx="6991350" cy="26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1350" cy="26670"/>
                    </a:xfrm>
                    <a:prstGeom prst="rect">
                      <a:avLst/>
                    </a:prstGeom>
                    <a:noFill/>
                  </pic:spPr>
                </pic:pic>
              </a:graphicData>
            </a:graphic>
          </wp:anchor>
        </w:drawing>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150495</wp:posOffset>
            </wp:positionV>
            <wp:extent cx="6991350" cy="5808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1350" cy="5808345"/>
                    </a:xfrm>
                    <a:prstGeom prst="rect">
                      <a:avLst/>
                    </a:prstGeom>
                    <a:noFill/>
                  </pic:spPr>
                </pic:pic>
              </a:graphicData>
            </a:graphic>
          </wp:anchor>
        </w:drawing>
      </w:r>
    </w:p>
    <w:sectPr>
      <w:pgSz w:w="11900" w:h="16838" w:orient="portrait"/>
      <w:cols w:equalWidth="0" w:num="1">
        <w:col w:w="10000"/>
      </w:cols>
      <w:pgMar w:left="1440" w:top="3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949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2020-10-20T20:42:09Z</dcterms:created>
  <dcterms:modified xsi:type="dcterms:W3CDTF">2020-10-20T20:42:09Z</dcterms:modified>
</cp:coreProperties>
</file>