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 240.13d-1(b), (c)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(d) and Amendments Thereto Filed Pursuant to § 240.13d-2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$.10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595112103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7, 2010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ind w:left="1120" w:hanging="59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1120" w:hanging="59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3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668655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000" w:hanging="6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Intel Corporation</w:t>
      </w:r>
    </w:p>
    <w:p>
      <w:pPr>
        <w:spacing w:after="0" w:line="237" w:lineRule="exact"/>
        <w:rPr>
          <w:rFonts w:ascii="Arial" w:cs="Arial" w:eastAsia="Arial" w:hAnsi="Arial"/>
          <w:sz w:val="18"/>
          <w:szCs w:val="18"/>
          <w:color w:val="auto"/>
        </w:rPr>
      </w:pPr>
    </w:p>
    <w:p>
      <w:pPr>
        <w:ind w:left="1000" w:hanging="6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580" w:hanging="586"/>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2" w:lineRule="exact"/>
        <w:rPr>
          <w:rFonts w:ascii="Arial" w:cs="Arial" w:eastAsia="Arial" w:hAnsi="Arial"/>
          <w:sz w:val="18"/>
          <w:szCs w:val="18"/>
          <w:color w:val="auto"/>
        </w:rPr>
      </w:pPr>
    </w:p>
    <w:p>
      <w:pPr>
        <w:ind w:left="1580" w:hanging="586"/>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51" w:lineRule="exact"/>
        <w:rPr>
          <w:rFonts w:ascii="Arial" w:cs="Arial" w:eastAsia="Arial" w:hAnsi="Arial"/>
          <w:sz w:val="18"/>
          <w:szCs w:val="18"/>
          <w:color w:val="auto"/>
        </w:rPr>
      </w:pPr>
    </w:p>
    <w:p>
      <w:pPr>
        <w:ind w:left="1000" w:hanging="6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00" w:hanging="6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-1297305</wp:posOffset>
            </wp:positionV>
            <wp:extent cx="66205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-868045</wp:posOffset>
            </wp:positionV>
            <wp:extent cx="6243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3320" cy="1714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-713740</wp:posOffset>
            </wp:positionV>
            <wp:extent cx="6243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332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-422275</wp:posOffset>
            </wp:positionV>
            <wp:extent cx="66205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5715</wp:posOffset>
            </wp:positionV>
            <wp:extent cx="66205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17145"/>
                    </a:xfrm>
                    <a:prstGeom prst="rect">
                      <a:avLst/>
                    </a:prstGeom>
                    <a:noFill/>
                  </pic:spPr>
                </pic:pic>
              </a:graphicData>
            </a:graphic>
          </wp:anchor>
        </w:drawing>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20" w:type="dxa"/>
            <w:vAlign w:val="bottom"/>
          </w:tcPr>
          <w:p>
            <w:pPr>
              <w:jc w:val="right"/>
              <w:ind w:right="750"/>
              <w:spacing w:after="0"/>
              <w:rPr>
                <w:sz w:val="20"/>
                <w:szCs w:val="20"/>
                <w:color w:val="auto"/>
              </w:rPr>
            </w:pPr>
            <w:r>
              <w:rPr>
                <w:rFonts w:ascii="Arial" w:cs="Arial" w:eastAsia="Arial" w:hAnsi="Arial"/>
                <w:sz w:val="18"/>
                <w:szCs w:val="18"/>
                <w:color w:val="auto"/>
              </w:rPr>
              <w:t>5.</w:t>
            </w:r>
          </w:p>
        </w:tc>
        <w:tc>
          <w:tcPr>
            <w:tcW w:w="934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29"/>
        </w:trPr>
        <w:tc>
          <w:tcPr>
            <w:tcW w:w="9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20" w:type="dxa"/>
            <w:vAlign w:val="bottom"/>
            <w:vMerge w:val="restart"/>
          </w:tcPr>
          <w:p>
            <w:pPr>
              <w:jc w:val="right"/>
              <w:ind w:right="750"/>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84"/>
              </w:rPr>
              <w:t>Shares</w:t>
            </w:r>
          </w:p>
        </w:tc>
        <w:tc>
          <w:tcPr>
            <w:tcW w:w="1020" w:type="dxa"/>
            <w:vAlign w:val="bottom"/>
            <w:vMerge w:val="continue"/>
          </w:tcPr>
          <w:p>
            <w:pPr>
              <w:spacing w:after="0"/>
              <w:rPr>
                <w:sz w:val="16"/>
                <w:szCs w:val="16"/>
                <w:color w:val="auto"/>
              </w:rPr>
            </w:pPr>
          </w:p>
        </w:tc>
        <w:tc>
          <w:tcPr>
            <w:tcW w:w="9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4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1020" w:type="dxa"/>
            <w:vAlign w:val="bottom"/>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64,209,583</w:t>
            </w:r>
          </w:p>
        </w:tc>
        <w:tc>
          <w:tcPr>
            <w:tcW w:w="0" w:type="dxa"/>
            <w:vAlign w:val="bottom"/>
          </w:tcPr>
          <w:p>
            <w:pPr>
              <w:spacing w:after="0"/>
              <w:rPr>
                <w:sz w:val="1"/>
                <w:szCs w:val="1"/>
                <w:color w:val="auto"/>
              </w:rPr>
            </w:pPr>
          </w:p>
        </w:tc>
      </w:tr>
      <w:tr>
        <w:trPr>
          <w:trHeight w:val="202"/>
        </w:trPr>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1"/>
              </w:rPr>
              <w:t>Owned by</w:t>
            </w:r>
          </w:p>
        </w:tc>
        <w:tc>
          <w:tcPr>
            <w:tcW w:w="10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87"/>
              </w:rPr>
              <w:t>Each</w:t>
            </w:r>
          </w:p>
        </w:tc>
        <w:tc>
          <w:tcPr>
            <w:tcW w:w="102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9340" w:type="dxa"/>
            <w:vAlign w:val="bottom"/>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7"/>
        </w:trPr>
        <w:tc>
          <w:tcPr>
            <w:tcW w:w="94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1020" w:type="dxa"/>
            <w:vAlign w:val="bottom"/>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line="203" w:lineRule="exact"/>
              <w:rPr>
                <w:sz w:val="20"/>
                <w:szCs w:val="20"/>
                <w:color w:val="auto"/>
              </w:rPr>
            </w:pPr>
            <w:r>
              <w:rPr>
                <w:rFonts w:ascii="Arial" w:cs="Arial" w:eastAsia="Arial" w:hAnsi="Arial"/>
                <w:sz w:val="18"/>
                <w:szCs w:val="18"/>
                <w:color w:val="auto"/>
                <w:w w:val="89"/>
              </w:rPr>
              <w:t>Person With</w:t>
            </w:r>
          </w:p>
        </w:tc>
        <w:tc>
          <w:tcPr>
            <w:tcW w:w="10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80" w:right="7380" w:hanging="978"/>
        <w:spacing w:after="0" w:line="275" w:lineRule="auto"/>
        <w:tabs>
          <w:tab w:leader="none" w:pos="20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64,209,583</w:t>
      </w:r>
    </w:p>
    <w:p>
      <w:pPr>
        <w:spacing w:after="0" w:line="199" w:lineRule="exact"/>
        <w:rPr>
          <w:rFonts w:ascii="Arial" w:cs="Arial" w:eastAsia="Arial" w:hAnsi="Arial"/>
          <w:sz w:val="18"/>
          <w:szCs w:val="18"/>
          <w:color w:val="auto"/>
        </w:rPr>
      </w:pPr>
    </w:p>
    <w:p>
      <w:pPr>
        <w:ind w:left="1000" w:right="5620" w:hanging="627"/>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64,214,451</w:t>
      </w:r>
    </w:p>
    <w:p>
      <w:pPr>
        <w:spacing w:after="0" w:line="197" w:lineRule="exact"/>
        <w:rPr>
          <w:rFonts w:ascii="Arial" w:cs="Arial" w:eastAsia="Arial" w:hAnsi="Arial"/>
          <w:sz w:val="18"/>
          <w:szCs w:val="18"/>
          <w:color w:val="auto"/>
        </w:rPr>
      </w:pPr>
    </w:p>
    <w:p>
      <w:pPr>
        <w:ind w:left="1000" w:hanging="6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o</w:t>
      </w:r>
    </w:p>
    <w:p>
      <w:pPr>
        <w:spacing w:after="0" w:line="252" w:lineRule="exact"/>
        <w:rPr>
          <w:rFonts w:ascii="Arial" w:cs="Arial" w:eastAsia="Arial" w:hAnsi="Arial"/>
          <w:sz w:val="18"/>
          <w:szCs w:val="18"/>
          <w:color w:val="auto"/>
        </w:rPr>
      </w:pPr>
    </w:p>
    <w:p>
      <w:pPr>
        <w:ind w:left="1000" w:right="6640" w:hanging="627"/>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w:t>
      </w:r>
    </w:p>
    <w:p>
      <w:pPr>
        <w:spacing w:after="0" w:line="197" w:lineRule="exact"/>
        <w:rPr>
          <w:rFonts w:ascii="Arial" w:cs="Arial" w:eastAsia="Arial" w:hAnsi="Arial"/>
          <w:sz w:val="18"/>
          <w:szCs w:val="18"/>
          <w:color w:val="auto"/>
        </w:rPr>
      </w:pPr>
    </w:p>
    <w:p>
      <w:pPr>
        <w:ind w:left="1000" w:hanging="6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6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-1871345</wp:posOffset>
            </wp:positionV>
            <wp:extent cx="59347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347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-1442085</wp:posOffset>
            </wp:positionV>
            <wp:extent cx="66205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-1150620</wp:posOffset>
            </wp:positionV>
            <wp:extent cx="66205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-721995</wp:posOffset>
            </wp:positionV>
            <wp:extent cx="66205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-293370</wp:posOffset>
            </wp:positionV>
            <wp:extent cx="66205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051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1042035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480" w:right="7980" w:hanging="486"/>
        <w:spacing w:after="0" w:line="287"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Micron Technology, Inc.</w:t>
      </w:r>
    </w:p>
    <w:p>
      <w:pPr>
        <w:ind w:left="1480" w:right="6100" w:hanging="486"/>
        <w:spacing w:after="0" w:line="261"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8000 S. Federal Way</w:t>
      </w:r>
    </w:p>
    <w:p>
      <w:pPr>
        <w:ind w:left="1480"/>
        <w:spacing w:after="0"/>
        <w:rPr>
          <w:rFonts w:ascii="Arial" w:cs="Arial" w:eastAsia="Arial" w:hAnsi="Arial"/>
          <w:sz w:val="18"/>
          <w:szCs w:val="18"/>
          <w:color w:val="auto"/>
        </w:rPr>
      </w:pPr>
      <w:r>
        <w:rPr>
          <w:rFonts w:ascii="Arial" w:cs="Arial" w:eastAsia="Arial" w:hAnsi="Arial"/>
          <w:sz w:val="18"/>
          <w:szCs w:val="18"/>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-422275</wp:posOffset>
            </wp:positionV>
            <wp:extent cx="63119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1900" cy="1714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5715</wp:posOffset>
            </wp:positionV>
            <wp:extent cx="63119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190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480" w:right="7980" w:hanging="486"/>
        <w:spacing w:after="0" w:line="287"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Intel Corporation</w:t>
      </w:r>
    </w:p>
    <w:p>
      <w:pPr>
        <w:ind w:left="1480" w:right="5220" w:hanging="486"/>
        <w:spacing w:after="0" w:line="261"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or, if none, Residence: </w:t>
      </w:r>
      <w:r>
        <w:rPr>
          <w:rFonts w:ascii="Arial" w:cs="Arial" w:eastAsia="Arial" w:hAnsi="Arial"/>
          <w:sz w:val="18"/>
          <w:szCs w:val="18"/>
          <w:color w:val="auto"/>
        </w:rPr>
        <w:t>2200 Mission College Boulevard</w:t>
      </w:r>
    </w:p>
    <w:p>
      <w:pPr>
        <w:ind w:left="1480"/>
        <w:spacing w:after="0"/>
        <w:rPr>
          <w:rFonts w:ascii="Arial" w:cs="Arial" w:eastAsia="Arial" w:hAnsi="Arial"/>
          <w:sz w:val="18"/>
          <w:szCs w:val="18"/>
          <w:color w:val="auto"/>
        </w:rPr>
      </w:pPr>
      <w:r>
        <w:rPr>
          <w:rFonts w:ascii="Arial" w:cs="Arial" w:eastAsia="Arial" w:hAnsi="Arial"/>
          <w:sz w:val="18"/>
          <w:szCs w:val="18"/>
          <w:color w:val="auto"/>
        </w:rPr>
        <w:t>Santa Clara, California 95054-1549</w:t>
      </w:r>
    </w:p>
    <w:p>
      <w:pPr>
        <w:spacing w:after="0" w:line="17" w:lineRule="exact"/>
        <w:rPr>
          <w:rFonts w:ascii="Arial" w:cs="Arial" w:eastAsia="Arial" w:hAnsi="Arial"/>
          <w:sz w:val="18"/>
          <w:szCs w:val="18"/>
          <w:color w:val="auto"/>
        </w:rPr>
      </w:pPr>
    </w:p>
    <w:p>
      <w:pPr>
        <w:ind w:left="1480" w:right="8820" w:hanging="486"/>
        <w:spacing w:after="0" w:line="299"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w:t>
      </w:r>
    </w:p>
    <w:p>
      <w:pPr>
        <w:ind w:left="1480" w:hanging="48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Common Stock, par value $.10 per share</w:t>
      </w:r>
    </w:p>
    <w:p>
      <w:pPr>
        <w:spacing w:after="0" w:line="17" w:lineRule="exact"/>
        <w:rPr>
          <w:rFonts w:ascii="Arial" w:cs="Arial" w:eastAsia="Arial" w:hAnsi="Arial"/>
          <w:sz w:val="18"/>
          <w:szCs w:val="18"/>
          <w:color w:val="auto"/>
        </w:rPr>
      </w:pPr>
    </w:p>
    <w:p>
      <w:pPr>
        <w:ind w:left="1480" w:right="8480" w:hanging="486"/>
        <w:spacing w:after="0" w:line="313"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-1340485</wp:posOffset>
            </wp:positionV>
            <wp:extent cx="63119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1900" cy="1714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-911860</wp:posOffset>
            </wp:positionV>
            <wp:extent cx="63119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1900" cy="1714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-620395</wp:posOffset>
            </wp:positionV>
            <wp:extent cx="63119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1900" cy="1714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-328930</wp:posOffset>
            </wp:positionV>
            <wp:extent cx="63119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1900" cy="1714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-36830</wp:posOffset>
            </wp:positionV>
            <wp:extent cx="63119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1900" cy="17145"/>
                    </a:xfrm>
                    <a:prstGeom prst="rect">
                      <a:avLst/>
                    </a:prstGeom>
                    <a:noFill/>
                  </pic:spPr>
                </pic:pic>
              </a:graphicData>
            </a:graphic>
          </wp:anchor>
        </w:drawing>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 240.13d-1(b), or 240.13d-2(b) or (c), check whether the person filing is a: </w:t>
      </w:r>
      <w:r>
        <w:rPr>
          <w:rFonts w:ascii="Arial" w:cs="Arial" w:eastAsia="Arial" w:hAnsi="Arial"/>
          <w:sz w:val="16"/>
          <w:szCs w:val="16"/>
          <w:color w:val="auto"/>
        </w:rPr>
        <w:t>[Not applicable]</w:t>
      </w:r>
    </w:p>
    <w:p>
      <w:pPr>
        <w:spacing w:after="0" w:line="27" w:lineRule="exact"/>
        <w:rPr>
          <w:sz w:val="20"/>
          <w:szCs w:val="20"/>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000" w:hanging="1006"/>
        <w:spacing w:after="0" w:line="250" w:lineRule="auto"/>
        <w:tabs>
          <w:tab w:leader="none" w:pos="1473"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9" w:lineRule="exact"/>
        <w:rPr>
          <w:rFonts w:ascii="Arial" w:cs="Arial" w:eastAsia="Arial" w:hAnsi="Arial"/>
          <w:sz w:val="18"/>
          <w:szCs w:val="18"/>
          <w:color w:val="auto"/>
        </w:rPr>
      </w:pPr>
    </w:p>
    <w:p>
      <w:pPr>
        <w:ind w:left="1480" w:hanging="48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56" w:right="41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1620" w:right="7580" w:hanging="348"/>
        <w:spacing w:after="0" w:line="25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64,214,451</w:t>
      </w:r>
    </w:p>
    <w:p>
      <w:pPr>
        <w:spacing w:after="0" w:line="1" w:lineRule="exact"/>
        <w:rPr>
          <w:rFonts w:ascii="Arial" w:cs="Arial" w:eastAsia="Arial" w:hAnsi="Arial"/>
          <w:sz w:val="18"/>
          <w:szCs w:val="18"/>
          <w:color w:val="auto"/>
        </w:rPr>
      </w:pPr>
    </w:p>
    <w:p>
      <w:pPr>
        <w:ind w:left="1620" w:hanging="353"/>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21" w:lineRule="exact"/>
        <w:rPr>
          <w:rFonts w:ascii="Arial" w:cs="Arial" w:eastAsia="Arial" w:hAnsi="Arial"/>
          <w:sz w:val="18"/>
          <w:szCs w:val="18"/>
          <w:color w:val="auto"/>
        </w:rPr>
      </w:pPr>
    </w:p>
    <w:p>
      <w:pPr>
        <w:ind w:left="1620" w:hanging="348"/>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-430530</wp:posOffset>
            </wp:positionV>
            <wp:extent cx="62261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-139065</wp:posOffset>
            </wp:positionV>
            <wp:extent cx="62261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6175" cy="171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14605</wp:posOffset>
            </wp:positionV>
            <wp:extent cx="62261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line="16" w:lineRule="exact"/>
        <w:rPr>
          <w:sz w:val="20"/>
          <w:szCs w:val="20"/>
          <w:color w:val="auto"/>
        </w:rPr>
      </w:pPr>
    </w:p>
    <w:p>
      <w:pPr>
        <w:ind w:left="2240" w:right="6220" w:hanging="399"/>
        <w:spacing w:after="0" w:line="266"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-6985</wp:posOffset>
            </wp:positionV>
            <wp:extent cx="5831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1840" cy="17145"/>
                    </a:xfrm>
                    <a:prstGeom prst="rect">
                      <a:avLst/>
                    </a:prstGeom>
                    <a:noFill/>
                  </pic:spPr>
                </pic:pic>
              </a:graphicData>
            </a:graphic>
          </wp:anchor>
        </w:drawing>
      </w:r>
    </w:p>
    <w:p>
      <w:pPr>
        <w:ind w:left="2240" w:right="6040" w:hanging="424"/>
        <w:spacing w:after="0" w:line="266"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64,209,583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-6985</wp:posOffset>
            </wp:positionV>
            <wp:extent cx="5831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17145"/>
                    </a:xfrm>
                    <a:prstGeom prst="rect">
                      <a:avLst/>
                    </a:prstGeom>
                    <a:noFill/>
                  </pic:spPr>
                </pic:pic>
              </a:graphicData>
            </a:graphic>
          </wp:anchor>
        </w:drawing>
      </w:r>
    </w:p>
    <w:p>
      <w:pPr>
        <w:ind w:left="2240" w:right="5300" w:hanging="449"/>
        <w:spacing w:after="0" w:line="266"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4,868</w:t>
      </w:r>
    </w:p>
    <w:p>
      <w:pPr>
        <w:ind w:left="2240" w:right="5120" w:hanging="444"/>
        <w:spacing w:after="0" w:line="266"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64,209,583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-298450</wp:posOffset>
            </wp:positionV>
            <wp:extent cx="5831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1714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-6985</wp:posOffset>
            </wp:positionV>
            <wp:extent cx="5831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17145"/>
                    </a:xfrm>
                    <a:prstGeom prst="rect">
                      <a:avLst/>
                    </a:prstGeom>
                    <a:noFill/>
                  </pic:spPr>
                </pic:pic>
              </a:graphicData>
            </a:graphic>
          </wp:anchor>
        </w:drawing>
      </w:r>
    </w:p>
    <w:p>
      <w:pPr>
        <w:ind w:left="1620" w:right="260"/>
        <w:spacing w:after="0" w:line="264" w:lineRule="auto"/>
        <w:rPr>
          <w:sz w:val="20"/>
          <w:szCs w:val="20"/>
          <w:color w:val="auto"/>
        </w:rPr>
      </w:pPr>
      <w:r>
        <w:rPr>
          <w:rFonts w:ascii="Arial" w:cs="Arial" w:eastAsia="Arial" w:hAnsi="Arial"/>
          <w:sz w:val="18"/>
          <w:szCs w:val="18"/>
          <w:color w:val="auto"/>
        </w:rPr>
        <w:t>By reason of the provisions of Rule 13d-3 under the Securities Exchange Act, Intel Corporation is deemed to own beneficially the shares of the Issuer that are owned by Intel Technology Asia Pte Ltd, a wholly-owned subsidiary of Intel Corporation. Intel Technology Asia Pte Ltd owns 64,209,583 shares of the Issuer.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Based upon information provided by the Issuer as of May 7, 2010, reflecting 993,819,110 shares outstanding.</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120" w:hanging="1120"/>
        <w:spacing w:after="0" w:line="261"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3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56" w:right="3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2010</w:t>
      </w: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INTEL CORPORATION</w:t>
      </w:r>
    </w:p>
    <w:p>
      <w:pPr>
        <w:spacing w:after="0" w:line="239" w:lineRule="exact"/>
        <w:rPr>
          <w:sz w:val="20"/>
          <w:szCs w:val="20"/>
          <w:color w:val="auto"/>
        </w:rPr>
      </w:pPr>
    </w:p>
    <w:tbl>
      <w:tblPr>
        <w:tblLayout w:type="fixed"/>
        <w:tblInd w:w="584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/s/ Cary I. Klafter</w:t>
            </w:r>
          </w:p>
        </w:tc>
        <w:tc>
          <w:tcPr>
            <w:tcW w:w="120" w:type="dxa"/>
            <w:vAlign w:val="bottom"/>
          </w:tcPr>
          <w:p>
            <w:pPr>
              <w:spacing w:after="0"/>
              <w:rPr>
                <w:sz w:val="17"/>
                <w:szCs w:val="17"/>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Cary I. Klafter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Corporate Secretary</w:t>
            </w: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 CORPORATION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hereby constitutes and appoints Cary Klafter, Fernando Delmendo, Irving Gomez, Marty M. Linne, Kate Merrill, Suzan A. Miller, Robert P. Pacileo, Teresa L. Remillard, Tiffany Doon Silva, Doug Stewart, Ruby A. Zefo, Tamiko Hutchinson, Gary Kershaw, Diane R. Labrador, Douglas M. Lusk, James W. McCall, Stuart Odell, and Robert Yenko, and with full power of substitution, the undersigned’s true and lawful attorney-in-fact with full power to execute and file with the Securities and Exchange Commission and any stock exchange or similar authority, any report required to be filed pursuant to Section 13 of the Securities Exchange Act of 1934, (as amended, the “Act”), with respect to securities which may be deemed to be beneficially owned by the Company under the Act, giving and g ranting unto said attorney-in-fact the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Power of Attorney shall remain in full force and effect until either revoked in writing by the undersigned or until such time as the person to whom power of attorney has been hereby granted ceases to be an employee of Intel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December, 2009.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Stacy J. Smith____________________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Stacy J.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
    <w:nsid w:val="79E2A9E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2019-12-10T05:23:59Z</dcterms:created>
  <dcterms:modified xsi:type="dcterms:W3CDTF">2019-12-10T05:23:59Z</dcterms:modified>
</cp:coreProperties>
</file>