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January 19, 2007</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51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3"/>
              </w:rPr>
              <w:t>Delaware</w:t>
            </w:r>
          </w:p>
        </w:tc>
        <w:tc>
          <w:tcPr>
            <w:tcW w:w="392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75-1618004</w:t>
            </w:r>
          </w:p>
        </w:tc>
      </w:tr>
      <w:tr>
        <w:trPr>
          <w:trHeight w:val="230"/>
        </w:trPr>
        <w:tc>
          <w:tcPr>
            <w:tcW w:w="5120" w:type="dxa"/>
            <w:vAlign w:val="bottom"/>
          </w:tcPr>
          <w:p>
            <w:pPr>
              <w:jc w:val="center"/>
              <w:ind w:right="1210"/>
              <w:spacing w:after="0"/>
              <w:rPr>
                <w:sz w:val="20"/>
                <w:szCs w:val="20"/>
                <w:color w:val="auto"/>
              </w:rPr>
            </w:pPr>
            <w:r>
              <w:rPr>
                <w:rFonts w:ascii="Arial" w:cs="Arial" w:eastAsia="Arial" w:hAnsi="Arial"/>
                <w:sz w:val="18"/>
                <w:szCs w:val="18"/>
                <w:color w:val="auto"/>
                <w:w w:val="93"/>
              </w:rPr>
              <w:t>(State or other jurisdiction of incorporation)</w:t>
            </w:r>
          </w:p>
        </w:tc>
        <w:tc>
          <w:tcPr>
            <w:tcW w:w="3920" w:type="dxa"/>
            <w:vAlign w:val="bottom"/>
          </w:tcPr>
          <w:p>
            <w:pPr>
              <w:jc w:val="center"/>
              <w:ind w:left="12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1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8000 South Federal Way, P.O. Box 6, Boise, Idaho</w:t>
            </w:r>
          </w:p>
        </w:tc>
        <w:tc>
          <w:tcPr>
            <w:tcW w:w="392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83707-0006</w:t>
            </w:r>
          </w:p>
        </w:tc>
      </w:tr>
      <w:tr>
        <w:trPr>
          <w:trHeight w:val="230"/>
        </w:trPr>
        <w:tc>
          <w:tcPr>
            <w:tcW w:w="5120" w:type="dxa"/>
            <w:vAlign w:val="bottom"/>
          </w:tcPr>
          <w:p>
            <w:pPr>
              <w:jc w:val="center"/>
              <w:ind w:right="1210"/>
              <w:spacing w:after="0"/>
              <w:rPr>
                <w:sz w:val="20"/>
                <w:szCs w:val="20"/>
                <w:color w:val="auto"/>
              </w:rPr>
            </w:pPr>
            <w:r>
              <w:rPr>
                <w:rFonts w:ascii="Arial" w:cs="Arial" w:eastAsia="Arial" w:hAnsi="Arial"/>
                <w:sz w:val="18"/>
                <w:szCs w:val="18"/>
                <w:color w:val="auto"/>
                <w:w w:val="92"/>
              </w:rPr>
              <w:t>(Address of principal executive offices)</w:t>
            </w:r>
          </w:p>
        </w:tc>
        <w:tc>
          <w:tcPr>
            <w:tcW w:w="392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 2004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 G. Stover, Jr.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V.P. of Finance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Proposed</w:t>
            </w:r>
          </w:p>
        </w:tc>
        <w:tc>
          <w:tcPr>
            <w:tcW w:w="260" w:type="dxa"/>
            <w:vAlign w:val="bottom"/>
          </w:tcPr>
          <w:p>
            <w:pPr>
              <w:spacing w:after="0"/>
              <w:rPr>
                <w:sz w:val="14"/>
                <w:szCs w:val="14"/>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Proposed</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maximum</w:t>
            </w: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Title of securities to be</w:t>
            </w:r>
          </w:p>
        </w:tc>
        <w:tc>
          <w:tcPr>
            <w:tcW w:w="22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Amount to be</w:t>
            </w:r>
          </w:p>
        </w:tc>
        <w:tc>
          <w:tcPr>
            <w:tcW w:w="26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maximum</w:t>
            </w:r>
          </w:p>
        </w:tc>
        <w:tc>
          <w:tcPr>
            <w:tcW w:w="26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aggregate</w:t>
            </w:r>
          </w:p>
        </w:tc>
        <w:tc>
          <w:tcPr>
            <w:tcW w:w="300" w:type="dxa"/>
            <w:vAlign w:val="bottom"/>
          </w:tcPr>
          <w:p>
            <w:pPr>
              <w:spacing w:after="0"/>
              <w:rPr>
                <w:sz w:val="12"/>
                <w:szCs w:val="12"/>
                <w:color w:val="auto"/>
              </w:rPr>
            </w:pPr>
          </w:p>
        </w:tc>
        <w:tc>
          <w:tcPr>
            <w:tcW w:w="164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42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26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offering</w:t>
            </w:r>
          </w:p>
        </w:tc>
        <w:tc>
          <w:tcPr>
            <w:tcW w:w="3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260" w:type="dxa"/>
            <w:vAlign w:val="bottom"/>
          </w:tcPr>
          <w:p>
            <w:pPr>
              <w:spacing w:after="0"/>
              <w:rPr>
                <w:sz w:val="14"/>
                <w:szCs w:val="14"/>
                <w:color w:val="auto"/>
              </w:rPr>
            </w:pPr>
          </w:p>
        </w:tc>
        <w:tc>
          <w:tcPr>
            <w:tcW w:w="20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registered (1)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2"/>
              </w:rPr>
              <w:t>per share (2)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1"/>
              </w:rPr>
              <w:t>price (2)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411"/>
        </w:trPr>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Stock $.10 par value per share, to</w:t>
            </w: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be issued pursuant to the Micron</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Technology, Inc. 2004 Equity Incentive</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Plan</w:t>
            </w:r>
          </w:p>
        </w:tc>
        <w:tc>
          <w:tcPr>
            <w:tcW w:w="2280" w:type="dxa"/>
            <w:vAlign w:val="bottom"/>
            <w:gridSpan w:val="2"/>
          </w:tcPr>
          <w:p>
            <w:pPr>
              <w:jc w:val="right"/>
              <w:ind w:right="260"/>
              <w:spacing w:after="0"/>
              <w:rPr>
                <w:sz w:val="20"/>
                <w:szCs w:val="20"/>
                <w:color w:val="auto"/>
              </w:rPr>
            </w:pPr>
            <w:r>
              <w:rPr>
                <w:rFonts w:ascii="Arial" w:cs="Arial" w:eastAsia="Arial" w:hAnsi="Arial"/>
                <w:sz w:val="18"/>
                <w:szCs w:val="18"/>
                <w:color w:val="auto"/>
              </w:rPr>
              <w:t>30,000,000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13.41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402,300,000</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43,046.10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both"/>
        <w:ind w:left="340" w:right="24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65" w:lineRule="exact"/>
        <w:rPr>
          <w:rFonts w:ascii="Arial" w:cs="Arial" w:eastAsia="Arial" w:hAnsi="Arial"/>
          <w:sz w:val="17"/>
          <w:szCs w:val="17"/>
          <w:color w:val="auto"/>
        </w:rPr>
      </w:pPr>
    </w:p>
    <w:p>
      <w:pPr>
        <w:ind w:left="340" w:right="22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solely for the purpose of calculating the registration fee on the basis of $13.41 per share, which is the average of the high and low price of the Company’s Common Stock as reported on the New York Stock Exchange on January 18,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431165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contents of Registration Statement No. 333-120620 have been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383"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to the extent set forth herein, the contents of Registration Statement No. 333-120620 have been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documents filed by the Company with the Securities and Exchange Commission are incorporated by reference in this Registration Statement:</w:t>
      </w:r>
    </w:p>
    <w:p>
      <w:pPr>
        <w:spacing w:after="0" w:line="170" w:lineRule="exact"/>
        <w:rPr>
          <w:sz w:val="20"/>
          <w:szCs w:val="20"/>
          <w:color w:val="auto"/>
        </w:rPr>
      </w:pPr>
    </w:p>
    <w:p>
      <w:pPr>
        <w:ind w:right="540" w:firstLine="656"/>
        <w:spacing w:after="0" w:line="277" w:lineRule="auto"/>
        <w:tabs>
          <w:tab w:leader="none" w:pos="10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for the year ended August 31, 2006, filed pursuant to Section 13(a) of the Securities Exchange Act of 1934, as amended (the “Exchange Act”) (File No. 1-10658).</w:t>
      </w:r>
    </w:p>
    <w:p>
      <w:pPr>
        <w:spacing w:after="0" w:line="170" w:lineRule="exact"/>
        <w:rPr>
          <w:rFonts w:ascii="Arial" w:cs="Arial" w:eastAsia="Arial" w:hAnsi="Arial"/>
          <w:sz w:val="18"/>
          <w:szCs w:val="18"/>
          <w:color w:val="auto"/>
        </w:rPr>
      </w:pPr>
    </w:p>
    <w:p>
      <w:pPr>
        <w:ind w:right="480" w:firstLine="656"/>
        <w:spacing w:after="0" w:line="277" w:lineRule="auto"/>
        <w:tabs>
          <w:tab w:leader="none" w:pos="10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quarterly period ended November 30, 2006, filed pursuant to Section 13(a) of the Exchange Act.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September 15, 2006.</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September 29, 2006.</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December 7, 2006.</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January 10, 2007.</w:t>
      </w:r>
    </w:p>
    <w:p>
      <w:pPr>
        <w:spacing w:after="0" w:line="225" w:lineRule="exact"/>
        <w:rPr>
          <w:rFonts w:ascii="Arial" w:cs="Arial" w:eastAsia="Arial" w:hAnsi="Arial"/>
          <w:sz w:val="18"/>
          <w:szCs w:val="18"/>
          <w:color w:val="auto"/>
        </w:rPr>
      </w:pPr>
    </w:p>
    <w:p>
      <w:pPr>
        <w:ind w:firstLine="656"/>
        <w:spacing w:after="0" w:line="264" w:lineRule="auto"/>
        <w:tabs>
          <w:tab w:leader="none" w:pos="10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-3175</wp:posOffset>
            </wp:positionV>
            <wp:extent cx="454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9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4680" w:type="dxa"/>
            <w:vAlign w:val="bottom"/>
          </w:tcPr>
          <w:p>
            <w:pPr>
              <w:ind w:left="320"/>
              <w:spacing w:after="0"/>
              <w:rPr>
                <w:sz w:val="20"/>
                <w:szCs w:val="20"/>
                <w:color w:val="auto"/>
              </w:rPr>
            </w:pPr>
            <w:r>
              <w:rPr>
                <w:rFonts w:ascii="Arial" w:cs="Arial" w:eastAsia="Arial" w:hAnsi="Arial"/>
                <w:sz w:val="18"/>
                <w:szCs w:val="18"/>
                <w:color w:val="auto"/>
              </w:rPr>
              <w:t>Opinion of Counsel.</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4680" w:type="dxa"/>
            <w:vAlign w:val="bottom"/>
          </w:tcPr>
          <w:p>
            <w:pPr>
              <w:ind w:left="320"/>
              <w:spacing w:after="0"/>
              <w:rPr>
                <w:sz w:val="20"/>
                <w:szCs w:val="20"/>
                <w:color w:val="auto"/>
              </w:rPr>
            </w:pPr>
            <w:r>
              <w:rPr>
                <w:rFonts w:ascii="Arial" w:cs="Arial" w:eastAsia="Arial" w:hAnsi="Arial"/>
                <w:sz w:val="18"/>
                <w:szCs w:val="18"/>
                <w:color w:val="auto"/>
                <w:w w:val="90"/>
              </w:rPr>
              <w:t>Consent of Independent Registered Public Accounting Firm.</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4680" w:type="dxa"/>
            <w:vAlign w:val="bottom"/>
          </w:tcPr>
          <w:p>
            <w:pPr>
              <w:ind w:left="320"/>
              <w:spacing w:after="0"/>
              <w:rPr>
                <w:sz w:val="20"/>
                <w:szCs w:val="20"/>
                <w:color w:val="auto"/>
              </w:rPr>
            </w:pPr>
            <w:r>
              <w:rPr>
                <w:rFonts w:ascii="Arial" w:cs="Arial" w:eastAsia="Arial" w:hAnsi="Arial"/>
                <w:sz w:val="18"/>
                <w:szCs w:val="18"/>
                <w:color w:val="auto"/>
              </w:rPr>
              <w:t>Consent of Counsel (contained in Exhibit 5.1).</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4680" w:type="dxa"/>
            <w:vAlign w:val="bottom"/>
          </w:tcPr>
          <w:p>
            <w:pPr>
              <w:ind w:left="32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19th day of January, 2007.</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 G. Stover, Jr.</w:t>
      </w:r>
    </w:p>
    <w:p>
      <w:pPr>
        <w:spacing w:after="0" w:line="23" w:lineRule="exact"/>
        <w:rPr>
          <w:sz w:val="20"/>
          <w:szCs w:val="20"/>
          <w:color w:val="auto"/>
        </w:rPr>
      </w:pPr>
    </w:p>
    <w:p>
      <w:pPr>
        <w:ind w:left="55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ectPr>
          <w:pgSz w:w="11900" w:h="16838" w:orient="portrait"/>
          <w:cols w:equalWidth="0" w:num="1">
            <w:col w:w="11420"/>
          </w:cols>
          <w:pgMar w:left="240" w:top="337" w:right="239" w:bottom="117" w:gutter="0" w:footer="0" w:header="0"/>
        </w:sectPr>
      </w:pPr>
    </w:p>
    <w:bookmarkStart w:id="2" w:name="page3"/>
    <w:bookmarkEnd w:id="2"/>
    <w:p>
      <w:pPr>
        <w:ind w:right="100"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Steven R. Appleton and W.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440"/>
          </w:cols>
          <w:pgMar w:left="240" w:top="125" w:right="21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Steven R. Appleton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 G. Stover,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Teruaki Aoki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Teruaki Aoki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James W. Bagley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W.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Mercedes Johnson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Mercedes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Lawrence N. Mondry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Lawrence N. Mondry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Gordon C.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Gordon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Robert E. Switz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E. Switz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Title</w:t>
            </w:r>
          </w:p>
        </w:tc>
        <w:tc>
          <w:tcPr>
            <w:tcW w:w="54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1"/>
        </w:trPr>
        <w:tc>
          <w:tcPr>
            <w:tcW w:w="4700" w:type="dxa"/>
            <w:vAlign w:val="bottom"/>
            <w:gridSpan w:val="2"/>
          </w:tcPr>
          <w:p>
            <w:pPr>
              <w:spacing w:after="0"/>
              <w:rPr>
                <w:sz w:val="20"/>
                <w:szCs w:val="20"/>
                <w:color w:val="auto"/>
              </w:rPr>
            </w:pPr>
            <w:r>
              <w:rPr>
                <w:rFonts w:ascii="Arial" w:cs="Arial" w:eastAsia="Arial" w:hAnsi="Arial"/>
                <w:sz w:val="18"/>
                <w:szCs w:val="18"/>
                <w:color w:val="auto"/>
              </w:rPr>
              <w:t>Chairman of the Board, Chief Executive Officer</w:t>
            </w:r>
          </w:p>
        </w:tc>
        <w:tc>
          <w:tcPr>
            <w:tcW w:w="1900" w:type="dxa"/>
            <w:vAlign w:val="bottom"/>
          </w:tcPr>
          <w:p>
            <w:pPr>
              <w:spacing w:after="0"/>
              <w:rPr>
                <w:sz w:val="24"/>
                <w:szCs w:val="24"/>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and President (Principal Executive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January 19, 2007</w:t>
            </w:r>
          </w:p>
        </w:tc>
      </w:tr>
      <w:tr>
        <w:trPr>
          <w:trHeight w:val="431"/>
        </w:trPr>
        <w:tc>
          <w:tcPr>
            <w:tcW w:w="4700" w:type="dxa"/>
            <w:vAlign w:val="bottom"/>
            <w:gridSpan w:val="2"/>
          </w:tcPr>
          <w:p>
            <w:pPr>
              <w:spacing w:after="0"/>
              <w:rPr>
                <w:sz w:val="20"/>
                <w:szCs w:val="20"/>
                <w:color w:val="auto"/>
              </w:rPr>
            </w:pPr>
            <w:r>
              <w:rPr>
                <w:rFonts w:ascii="Arial" w:cs="Arial" w:eastAsia="Arial" w:hAnsi="Arial"/>
                <w:sz w:val="18"/>
                <w:szCs w:val="18"/>
                <w:color w:val="auto"/>
              </w:rPr>
              <w:t>Vice President of Finance and Chief Financial</w:t>
            </w:r>
          </w:p>
        </w:tc>
        <w:tc>
          <w:tcPr>
            <w:tcW w:w="1900" w:type="dxa"/>
            <w:vAlign w:val="bottom"/>
          </w:tcPr>
          <w:p>
            <w:pPr>
              <w:spacing w:after="0"/>
              <w:rPr>
                <w:sz w:val="24"/>
                <w:szCs w:val="24"/>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Officer (Principal Financial and Accounting</w:t>
            </w:r>
          </w:p>
        </w:tc>
        <w:tc>
          <w:tcPr>
            <w:tcW w:w="1900" w:type="dxa"/>
            <w:vAlign w:val="bottom"/>
          </w:tcPr>
          <w:p>
            <w:pPr>
              <w:spacing w:after="0"/>
              <w:rPr>
                <w:sz w:val="19"/>
                <w:szCs w:val="19"/>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January 19, 2007</w:t>
            </w:r>
          </w:p>
        </w:tc>
      </w:tr>
      <w:tr>
        <w:trPr>
          <w:trHeight w:val="648"/>
        </w:trPr>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January 19, 2007</w:t>
            </w:r>
          </w:p>
        </w:tc>
      </w:tr>
      <w:tr>
        <w:trPr>
          <w:trHeight w:val="662"/>
        </w:trPr>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January 19, 2007</w:t>
            </w:r>
          </w:p>
        </w:tc>
      </w:tr>
      <w:tr>
        <w:trPr>
          <w:trHeight w:val="662"/>
        </w:trPr>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January 19, 2007</w:t>
            </w:r>
          </w:p>
        </w:tc>
      </w:tr>
      <w:tr>
        <w:trPr>
          <w:trHeight w:val="662"/>
        </w:trPr>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January 19, 2007</w:t>
            </w:r>
          </w:p>
        </w:tc>
      </w:tr>
      <w:tr>
        <w:trPr>
          <w:trHeight w:val="662"/>
        </w:trPr>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January 19, 2007</w:t>
            </w:r>
          </w:p>
        </w:tc>
      </w:tr>
      <w:tr>
        <w:trPr>
          <w:trHeight w:val="662"/>
        </w:trPr>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January 19, 2007</w:t>
            </w:r>
          </w:p>
        </w:tc>
      </w:tr>
      <w:tr>
        <w:trPr>
          <w:trHeight w:val="446"/>
        </w:trPr>
        <w:tc>
          <w:tcPr>
            <w:tcW w:w="4700" w:type="dxa"/>
            <w:vAlign w:val="bottom"/>
            <w:gridSpan w:val="2"/>
          </w:tcPr>
          <w:p>
            <w:pPr>
              <w:ind w:left="760"/>
              <w:spacing w:after="0"/>
              <w:rPr>
                <w:sz w:val="20"/>
                <w:szCs w:val="20"/>
                <w:color w:val="auto"/>
              </w:rPr>
            </w:pPr>
            <w:r>
              <w:rPr>
                <w:rFonts w:ascii="Arial" w:cs="Arial" w:eastAsia="Arial" w:hAnsi="Arial"/>
                <w:sz w:val="18"/>
                <w:szCs w:val="18"/>
                <w:color w:val="auto"/>
              </w:rPr>
              <w:t>II-4</w:t>
            </w:r>
          </w:p>
        </w:tc>
        <w:tc>
          <w:tcPr>
            <w:tcW w:w="1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66675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620"/>
          </w:cols>
          <w:pgMar w:left="240" w:top="125" w:right="21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5.1</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rPr>
              <w:t>Opinion of Counsel.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23.2</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rPr>
              <w:t>Consent of Counsel (contained in Exhibit 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24.1</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rPr>
              <w:t>Power of Attorney (included on signature 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19,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83707-0006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examined the Registration Statement on Form S-8 to be filed by you with the Securities and Exchange Commission on or about January 19, 2007, (the “Registration Statement”) in connection with the registration under the Securities Act of 1933, as amended, of 30,000,000 shares of your Common Stock, $0.10 par value (the “Shares”) reserved for issuance under the Micron Technology, Inc. 2004 Equity Incentive Plan (the “Plan”). As your legal counsel, we have examined the proceedings taken and are familiar with the proceedings proposed to be taken by you in connection with the sale and issuance of the Shares under the Plan.</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3412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Micron Technology, Inc. of our report dated November 6, 2006, relating to the financial statements, financial statement schedule, management’s assessment of the effectiveness of internal control over financial reporting and the effectiveness of internal control over financial reporting, which appears in Micron Technology, Inc.’s Annual Report on Form 10-K for the year ended August 31,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2019-12-11T19:27:47Z</dcterms:created>
  <dcterms:modified xsi:type="dcterms:W3CDTF">2019-12-11T19:27:47Z</dcterms:modified>
</cp:coreProperties>
</file>