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41"/>
        </w:trPr>
        <w:tc>
          <w:tcPr>
            <w:tcW w:w="8420" w:type="dxa"/>
            <w:vAlign w:val="bottom"/>
            <w:vMerge w:val="restart"/>
          </w:tcPr>
          <w:p>
            <w:pPr>
              <w:jc w:val="center"/>
              <w:ind w:left="2181"/>
              <w:spacing w:after="0"/>
              <w:rPr>
                <w:sz w:val="20"/>
                <w:szCs w:val="20"/>
                <w:color w:val="auto"/>
              </w:rPr>
            </w:pPr>
            <w:r>
              <w:rPr>
                <w:rFonts w:ascii="Times New Roman" w:cs="Times New Roman" w:eastAsia="Times New Roman" w:hAnsi="Times New Roman"/>
                <w:sz w:val="22"/>
                <w:szCs w:val="22"/>
                <w:b w:val="1"/>
                <w:bCs w:val="1"/>
                <w:color w:val="auto"/>
                <w:w w:val="96"/>
              </w:rPr>
              <w:t>UNITED STATES</w:t>
            </w:r>
          </w:p>
        </w:tc>
        <w:tc>
          <w:tcPr>
            <w:tcW w:w="292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8420" w:type="dxa"/>
            <w:vAlign w:val="bottom"/>
            <w:vMerge w:val="continue"/>
          </w:tcPr>
          <w:p>
            <w:pPr>
              <w:spacing w:after="0"/>
              <w:rPr>
                <w:sz w:val="16"/>
                <w:szCs w:val="16"/>
                <w:color w:val="auto"/>
              </w:rPr>
            </w:pPr>
          </w:p>
        </w:tc>
        <w:tc>
          <w:tcPr>
            <w:tcW w:w="2920" w:type="dxa"/>
            <w:vAlign w:val="bottom"/>
            <w:tcBorders>
              <w:left w:val="single" w:sz="8" w:color="auto"/>
              <w:right w:val="single" w:sz="8" w:color="auto"/>
            </w:tcBorders>
            <w:gridSpan w:val="2"/>
          </w:tcPr>
          <w:p>
            <w:pPr>
              <w:ind w:left="760"/>
              <w:spacing w:after="0" w:line="192" w:lineRule="exact"/>
              <w:rPr>
                <w:sz w:val="20"/>
                <w:szCs w:val="20"/>
                <w:color w:val="auto"/>
              </w:rPr>
            </w:pPr>
            <w:r>
              <w:rPr>
                <w:rFonts w:ascii="Times New Roman" w:cs="Times New Roman" w:eastAsia="Times New Roman" w:hAnsi="Times New Roman"/>
                <w:sz w:val="18"/>
                <w:szCs w:val="18"/>
                <w:color w:val="auto"/>
              </w:rPr>
              <w:t>OMB APPROVAL</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8420" w:type="dxa"/>
            <w:vAlign w:val="bottom"/>
            <w:vMerge w:val="restart"/>
          </w:tcPr>
          <w:p>
            <w:pPr>
              <w:jc w:val="center"/>
              <w:ind w:left="2181"/>
              <w:spacing w:after="0"/>
              <w:rPr>
                <w:sz w:val="20"/>
                <w:szCs w:val="20"/>
                <w:color w:val="auto"/>
              </w:rPr>
            </w:pPr>
            <w:r>
              <w:rPr>
                <w:rFonts w:ascii="Times New Roman" w:cs="Times New Roman" w:eastAsia="Times New Roman" w:hAnsi="Times New Roman"/>
                <w:sz w:val="22"/>
                <w:szCs w:val="22"/>
                <w:b w:val="1"/>
                <w:bCs w:val="1"/>
                <w:color w:val="auto"/>
                <w:w w:val="98"/>
              </w:rPr>
              <w:t>SECURITIES AND EXCHANGE COMMISSION</w:t>
            </w:r>
          </w:p>
        </w:tc>
        <w:tc>
          <w:tcPr>
            <w:tcW w:w="1340" w:type="dxa"/>
            <w:vAlign w:val="bottom"/>
            <w:tcBorders>
              <w:left w:val="single" w:sz="8" w:color="auto"/>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8420" w:type="dxa"/>
            <w:vAlign w:val="bottom"/>
            <w:vMerge w:val="continue"/>
          </w:tcPr>
          <w:p>
            <w:pPr>
              <w:spacing w:after="0"/>
              <w:rPr>
                <w:sz w:val="17"/>
                <w:szCs w:val="17"/>
                <w:color w:val="auto"/>
              </w:rPr>
            </w:pPr>
          </w:p>
        </w:tc>
        <w:tc>
          <w:tcPr>
            <w:tcW w:w="1340" w:type="dxa"/>
            <w:vAlign w:val="bottom"/>
            <w:tcBorders>
              <w:left w:val="single" w:sz="8" w:color="auto"/>
            </w:tcBorders>
          </w:tcPr>
          <w:p>
            <w:pPr>
              <w:ind w:left="20"/>
              <w:spacing w:after="0" w:line="201" w:lineRule="exact"/>
              <w:rPr>
                <w:sz w:val="20"/>
                <w:szCs w:val="20"/>
                <w:color w:val="auto"/>
              </w:rPr>
            </w:pPr>
            <w:r>
              <w:rPr>
                <w:rFonts w:ascii="Times New Roman" w:cs="Times New Roman" w:eastAsia="Times New Roman" w:hAnsi="Times New Roman"/>
                <w:sz w:val="18"/>
                <w:szCs w:val="18"/>
                <w:color w:val="auto"/>
              </w:rPr>
              <w:t>OMB Number:</w:t>
            </w:r>
          </w:p>
        </w:tc>
        <w:tc>
          <w:tcPr>
            <w:tcW w:w="1580" w:type="dxa"/>
            <w:vAlign w:val="bottom"/>
            <w:tcBorders>
              <w:right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3235-0145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420" w:type="dxa"/>
            <w:vAlign w:val="bottom"/>
          </w:tcPr>
          <w:p>
            <w:pPr>
              <w:jc w:val="center"/>
              <w:ind w:left="2181"/>
              <w:spacing w:after="0"/>
              <w:rPr>
                <w:sz w:val="20"/>
                <w:szCs w:val="20"/>
                <w:color w:val="auto"/>
              </w:rPr>
            </w:pPr>
            <w:r>
              <w:rPr>
                <w:rFonts w:ascii="Times New Roman" w:cs="Times New Roman" w:eastAsia="Times New Roman" w:hAnsi="Times New Roman"/>
                <w:sz w:val="18"/>
                <w:szCs w:val="18"/>
                <w:b w:val="1"/>
                <w:bCs w:val="1"/>
                <w:color w:val="auto"/>
                <w:w w:val="99"/>
              </w:rPr>
              <w:t>Washington, D.C. 20549</w:t>
            </w:r>
          </w:p>
        </w:tc>
        <w:tc>
          <w:tcPr>
            <w:tcW w:w="13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Expires:</w:t>
            </w:r>
          </w:p>
        </w:tc>
        <w:tc>
          <w:tcPr>
            <w:tcW w:w="15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February 28, 2009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20" w:type="dxa"/>
            <w:vAlign w:val="bottom"/>
          </w:tcPr>
          <w:p>
            <w:pPr>
              <w:spacing w:after="0"/>
              <w:rPr>
                <w:sz w:val="18"/>
                <w:szCs w:val="18"/>
                <w:color w:val="auto"/>
              </w:rPr>
            </w:pPr>
          </w:p>
        </w:tc>
        <w:tc>
          <w:tcPr>
            <w:tcW w:w="2920" w:type="dxa"/>
            <w:vAlign w:val="bottom"/>
            <w:tcBorders>
              <w:left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Estimated average burden hours per</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420" w:type="dxa"/>
            <w:vAlign w:val="bottom"/>
          </w:tcPr>
          <w:p>
            <w:pPr>
              <w:spacing w:after="0"/>
              <w:rPr>
                <w:sz w:val="20"/>
                <w:szCs w:val="20"/>
                <w:color w:val="auto"/>
              </w:rPr>
            </w:pPr>
          </w:p>
        </w:tc>
        <w:tc>
          <w:tcPr>
            <w:tcW w:w="292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response. . . . . . . .10.4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5"/>
        </w:trPr>
        <w:tc>
          <w:tcPr>
            <w:tcW w:w="8420" w:type="dxa"/>
            <w:vAlign w:val="bottom"/>
          </w:tcPr>
          <w:p>
            <w:pPr>
              <w:jc w:val="center"/>
              <w:ind w:left="2901"/>
              <w:spacing w:after="0"/>
              <w:rPr>
                <w:sz w:val="20"/>
                <w:szCs w:val="20"/>
                <w:color w:val="auto"/>
              </w:rPr>
            </w:pPr>
            <w:r>
              <w:rPr>
                <w:rFonts w:ascii="Times New Roman" w:cs="Times New Roman" w:eastAsia="Times New Roman" w:hAnsi="Times New Roman"/>
                <w:sz w:val="22"/>
                <w:szCs w:val="22"/>
                <w:b w:val="1"/>
                <w:bCs w:val="1"/>
                <w:color w:val="auto"/>
                <w:w w:val="97"/>
              </w:rPr>
              <w:t>SCHEDULE 13G</w:t>
            </w: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8420" w:type="dxa"/>
            <w:vAlign w:val="bottom"/>
          </w:tcPr>
          <w:p>
            <w:pPr>
              <w:jc w:val="center"/>
              <w:ind w:left="2921"/>
              <w:spacing w:after="0"/>
              <w:rPr>
                <w:sz w:val="20"/>
                <w:szCs w:val="20"/>
                <w:color w:val="auto"/>
              </w:rPr>
            </w:pPr>
            <w:r>
              <w:rPr>
                <w:rFonts w:ascii="Times New Roman" w:cs="Times New Roman" w:eastAsia="Times New Roman" w:hAnsi="Times New Roman"/>
                <w:sz w:val="18"/>
                <w:szCs w:val="18"/>
                <w:b w:val="1"/>
                <w:bCs w:val="1"/>
                <w:color w:val="auto"/>
                <w:w w:val="99"/>
              </w:rPr>
              <w:t>Under the Securities Exchange Act of 1934</w:t>
            </w: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420" w:type="dxa"/>
            <w:vAlign w:val="bottom"/>
          </w:tcPr>
          <w:p>
            <w:pPr>
              <w:jc w:val="center"/>
              <w:ind w:left="2901"/>
              <w:spacing w:after="0"/>
              <w:rPr>
                <w:sz w:val="20"/>
                <w:szCs w:val="20"/>
                <w:color w:val="auto"/>
              </w:rPr>
            </w:pPr>
            <w:r>
              <w:rPr>
                <w:rFonts w:ascii="Times New Roman" w:cs="Times New Roman" w:eastAsia="Times New Roman" w:hAnsi="Times New Roman"/>
                <w:sz w:val="18"/>
                <w:szCs w:val="18"/>
                <w:b w:val="1"/>
                <w:bCs w:val="1"/>
                <w:color w:val="auto"/>
              </w:rPr>
              <w:t>(Amendment No.   )*</w:t>
            </w:r>
          </w:p>
        </w:tc>
        <w:tc>
          <w:tcPr>
            <w:tcW w:w="1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8420" w:type="dxa"/>
            <w:vAlign w:val="bottom"/>
            <w:tcBorders>
              <w:bottom w:val="single" w:sz="8" w:color="auto"/>
            </w:tcBorders>
          </w:tcPr>
          <w:p>
            <w:pPr>
              <w:jc w:val="center"/>
              <w:ind w:left="2901"/>
              <w:spacing w:after="0"/>
              <w:rPr>
                <w:sz w:val="20"/>
                <w:szCs w:val="20"/>
                <w:color w:val="auto"/>
              </w:rPr>
            </w:pPr>
            <w:r>
              <w:rPr>
                <w:rFonts w:ascii="Times New Roman" w:cs="Times New Roman" w:eastAsia="Times New Roman" w:hAnsi="Times New Roman"/>
                <w:sz w:val="32"/>
                <w:szCs w:val="32"/>
                <w:b w:val="1"/>
                <w:bCs w:val="1"/>
                <w:color w:val="auto"/>
                <w:w w:val="99"/>
              </w:rPr>
              <w:t>Micron Technology, Inc.</w:t>
            </w:r>
          </w:p>
        </w:tc>
        <w:tc>
          <w:tcPr>
            <w:tcW w:w="13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420" w:type="dxa"/>
            <w:vAlign w:val="bottom"/>
          </w:tcPr>
          <w:p>
            <w:pPr>
              <w:jc w:val="center"/>
              <w:ind w:left="2901"/>
              <w:spacing w:after="0"/>
              <w:rPr>
                <w:sz w:val="20"/>
                <w:szCs w:val="20"/>
                <w:color w:val="auto"/>
              </w:rPr>
            </w:pPr>
            <w:r>
              <w:rPr>
                <w:rFonts w:ascii="Times New Roman" w:cs="Times New Roman" w:eastAsia="Times New Roman" w:hAnsi="Times New Roman"/>
                <w:sz w:val="18"/>
                <w:szCs w:val="18"/>
                <w:color w:val="auto"/>
                <w:w w:val="99"/>
              </w:rPr>
              <w:t>(Name of Issuer)</w:t>
            </w:r>
          </w:p>
        </w:tc>
        <w:tc>
          <w:tcPr>
            <w:tcW w:w="13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8420" w:type="dxa"/>
            <w:vAlign w:val="bottom"/>
          </w:tcPr>
          <w:p>
            <w:pPr>
              <w:jc w:val="center"/>
              <w:ind w:left="2901"/>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8420" w:type="dxa"/>
            <w:vAlign w:val="bottom"/>
          </w:tcPr>
          <w:p>
            <w:pPr>
              <w:jc w:val="center"/>
              <w:ind w:left="2921"/>
              <w:spacing w:after="0"/>
              <w:rPr>
                <w:sz w:val="20"/>
                <w:szCs w:val="20"/>
                <w:color w:val="auto"/>
              </w:rPr>
            </w:pPr>
            <w:r>
              <w:rPr>
                <w:rFonts w:ascii="Times New Roman" w:cs="Times New Roman" w:eastAsia="Times New Roman" w:hAnsi="Times New Roman"/>
                <w:sz w:val="18"/>
                <w:szCs w:val="18"/>
                <w:color w:val="auto"/>
                <w:w w:val="99"/>
              </w:rPr>
              <w:t>(Title of Class of Securities)</w:t>
            </w:r>
          </w:p>
        </w:tc>
        <w:tc>
          <w:tcPr>
            <w:tcW w:w="13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8420" w:type="dxa"/>
            <w:vAlign w:val="bottom"/>
          </w:tcPr>
          <w:p>
            <w:pPr>
              <w:jc w:val="center"/>
              <w:ind w:left="2921"/>
              <w:spacing w:after="0"/>
              <w:rPr>
                <w:sz w:val="20"/>
                <w:szCs w:val="20"/>
                <w:color w:val="auto"/>
              </w:rPr>
            </w:pPr>
            <w:r>
              <w:rPr>
                <w:rFonts w:ascii="Times New Roman" w:cs="Times New Roman" w:eastAsia="Times New Roman" w:hAnsi="Times New Roman"/>
                <w:sz w:val="18"/>
                <w:szCs w:val="18"/>
                <w:b w:val="1"/>
                <w:bCs w:val="1"/>
                <w:color w:val="auto"/>
                <w:w w:val="98"/>
              </w:rPr>
              <w:t>595112103</w:t>
            </w: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8420" w:type="dxa"/>
            <w:vAlign w:val="bottom"/>
          </w:tcPr>
          <w:p>
            <w:pPr>
              <w:jc w:val="center"/>
              <w:ind w:left="2901"/>
              <w:spacing w:after="0"/>
              <w:rPr>
                <w:sz w:val="20"/>
                <w:szCs w:val="20"/>
                <w:color w:val="auto"/>
              </w:rPr>
            </w:pPr>
            <w:r>
              <w:rPr>
                <w:rFonts w:ascii="Times New Roman" w:cs="Times New Roman" w:eastAsia="Times New Roman" w:hAnsi="Times New Roman"/>
                <w:sz w:val="18"/>
                <w:szCs w:val="18"/>
                <w:color w:val="auto"/>
                <w:w w:val="99"/>
              </w:rPr>
              <w:t>(CUSIP Number)</w:t>
            </w:r>
          </w:p>
        </w:tc>
        <w:tc>
          <w:tcPr>
            <w:tcW w:w="13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8420" w:type="dxa"/>
            <w:vAlign w:val="bottom"/>
            <w:tcBorders>
              <w:bottom w:val="single" w:sz="8" w:color="auto"/>
            </w:tcBorders>
          </w:tcPr>
          <w:p>
            <w:pPr>
              <w:jc w:val="center"/>
              <w:ind w:left="2921"/>
              <w:spacing w:after="0"/>
              <w:rPr>
                <w:sz w:val="20"/>
                <w:szCs w:val="20"/>
                <w:color w:val="auto"/>
              </w:rPr>
            </w:pPr>
            <w:r>
              <w:rPr>
                <w:rFonts w:ascii="Times New Roman" w:cs="Times New Roman" w:eastAsia="Times New Roman" w:hAnsi="Times New Roman"/>
                <w:sz w:val="18"/>
                <w:szCs w:val="18"/>
                <w:b w:val="1"/>
                <w:bCs w:val="1"/>
                <w:color w:val="auto"/>
              </w:rPr>
              <w:t>January 31, 2016</w:t>
            </w:r>
          </w:p>
        </w:tc>
        <w:tc>
          <w:tcPr>
            <w:tcW w:w="13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420" w:type="dxa"/>
            <w:vAlign w:val="bottom"/>
          </w:tcPr>
          <w:p>
            <w:pPr>
              <w:jc w:val="center"/>
              <w:ind w:left="2901"/>
              <w:spacing w:after="0"/>
              <w:rPr>
                <w:sz w:val="20"/>
                <w:szCs w:val="20"/>
                <w:color w:val="auto"/>
              </w:rPr>
            </w:pPr>
            <w:r>
              <w:rPr>
                <w:rFonts w:ascii="Times New Roman" w:cs="Times New Roman" w:eastAsia="Times New Roman" w:hAnsi="Times New Roman"/>
                <w:sz w:val="18"/>
                <w:szCs w:val="18"/>
                <w:color w:val="auto"/>
                <w:w w:val="99"/>
              </w:rPr>
              <w:t>(Date of Event Which Requires Filing of this Statement)</w:t>
            </w:r>
          </w:p>
        </w:tc>
        <w:tc>
          <w:tcPr>
            <w:tcW w:w="1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13d-1(b)</w:t>
      </w:r>
    </w:p>
    <w:p>
      <w:pPr>
        <w:spacing w:after="0" w:line="117"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Rule 13d-1(c)</w:t>
      </w:r>
    </w:p>
    <w:p>
      <w:pPr>
        <w:spacing w:after="0" w:line="117"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oRule 13d-1(d)</w:t>
      </w:r>
    </w:p>
    <w:p>
      <w:pPr>
        <w:spacing w:after="0" w:line="279"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58" w:lineRule="exact"/>
        <w:rPr>
          <w:sz w:val="24"/>
          <w:szCs w:val="24"/>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Persons who respond to the collection of information contained in this form are not required to respond unless the form displays a currently valid OMB control number.</w:t>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 1745 (3-06)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CUSIP No. 595112103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hanging="620"/>
        <w:spacing w:after="0"/>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1060" w:right="61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PRIMECAP Management Company 95-3868081</w:t>
      </w:r>
    </w:p>
    <w:p>
      <w:pPr>
        <w:spacing w:after="0" w:line="395" w:lineRule="exact"/>
        <w:rPr>
          <w:rFonts w:ascii="Times New Roman" w:cs="Times New Roman" w:eastAsia="Times New Roman" w:hAnsi="Times New Roman"/>
          <w:sz w:val="18"/>
          <w:szCs w:val="18"/>
          <w:color w:val="auto"/>
        </w:rPr>
      </w:pPr>
    </w:p>
    <w:p>
      <w:pPr>
        <w:ind w:left="1060" w:hanging="620"/>
        <w:spacing w:after="0"/>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17" w:lineRule="exact"/>
        <w:rPr>
          <w:rFonts w:ascii="Times New Roman" w:cs="Times New Roman" w:eastAsia="Times New Roman" w:hAnsi="Times New Roman"/>
          <w:sz w:val="18"/>
          <w:szCs w:val="18"/>
          <w:color w:val="auto"/>
        </w:rPr>
      </w:pPr>
    </w:p>
    <w:p>
      <w:pPr>
        <w:ind w:left="2220" w:hanging="1159"/>
        <w:spacing w:after="0"/>
        <w:tabs>
          <w:tab w:leader="none" w:pos="22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130" w:lineRule="exact"/>
        <w:rPr>
          <w:rFonts w:ascii="Times New Roman" w:cs="Times New Roman" w:eastAsia="Times New Roman" w:hAnsi="Times New Roman"/>
          <w:sz w:val="18"/>
          <w:szCs w:val="18"/>
          <w:color w:val="auto"/>
        </w:rPr>
      </w:pPr>
    </w:p>
    <w:p>
      <w:pPr>
        <w:ind w:left="2220" w:hanging="1159"/>
        <w:spacing w:after="0"/>
        <w:tabs>
          <w:tab w:leader="none" w:pos="22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060" w:hanging="620"/>
        <w:spacing w:after="0"/>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060" w:hanging="620"/>
        <w:spacing w:after="0"/>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7" w:lineRule="exact"/>
        <w:rPr>
          <w:rFonts w:ascii="Times New Roman" w:cs="Times New Roman" w:eastAsia="Times New Roman" w:hAnsi="Times New Roman"/>
          <w:sz w:val="18"/>
          <w:szCs w:val="18"/>
          <w:color w:val="auto"/>
        </w:rPr>
      </w:pPr>
    </w:p>
    <w:p>
      <w:pPr>
        <w:ind w:left="10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225 South Lake Ave., #400, Pasadena, CA 91101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40005</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-508000</wp:posOffset>
            </wp:positionV>
            <wp:extent cx="6612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-919480</wp:posOffset>
            </wp:positionV>
            <wp:extent cx="58743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-1134110</wp:posOffset>
            </wp:positionV>
            <wp:extent cx="58743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-1751330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13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5.</w:t>
            </w:r>
          </w:p>
        </w:tc>
        <w:tc>
          <w:tcPr>
            <w:tcW w:w="8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136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13,285,633</w:t>
            </w:r>
          </w:p>
        </w:tc>
        <w:tc>
          <w:tcPr>
            <w:tcW w:w="0" w:type="dxa"/>
            <w:vAlign w:val="bottom"/>
          </w:tcPr>
          <w:p>
            <w:pPr>
              <w:spacing w:after="0"/>
              <w:rPr>
                <w:sz w:val="1"/>
                <w:szCs w:val="1"/>
                <w:color w:val="auto"/>
              </w:rPr>
            </w:pPr>
          </w:p>
        </w:tc>
      </w:tr>
      <w:tr>
        <w:trPr>
          <w:trHeight w:val="72"/>
        </w:trPr>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1360" w:type="dxa"/>
            <w:vAlign w:val="bottom"/>
          </w:tcPr>
          <w:p>
            <w:pPr>
              <w:spacing w:after="0"/>
              <w:rPr>
                <w:sz w:val="6"/>
                <w:szCs w:val="6"/>
                <w:color w:val="auto"/>
              </w:rPr>
            </w:pPr>
          </w:p>
        </w:tc>
        <w:tc>
          <w:tcPr>
            <w:tcW w:w="87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8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136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13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6.</w:t>
            </w:r>
          </w:p>
        </w:tc>
        <w:tc>
          <w:tcPr>
            <w:tcW w:w="8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136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72"/>
        </w:trPr>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1360" w:type="dxa"/>
            <w:vAlign w:val="bottom"/>
          </w:tcPr>
          <w:p>
            <w:pPr>
              <w:spacing w:after="0"/>
              <w:rPr>
                <w:sz w:val="6"/>
                <w:szCs w:val="6"/>
                <w:color w:val="auto"/>
              </w:rPr>
            </w:pPr>
          </w:p>
        </w:tc>
        <w:tc>
          <w:tcPr>
            <w:tcW w:w="87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280" w:type="dxa"/>
            <w:vAlign w:val="bottom"/>
            <w:vMerge w:val="continue"/>
          </w:tcPr>
          <w:p>
            <w:pPr>
              <w:spacing w:after="0"/>
              <w:rPr>
                <w:sz w:val="12"/>
                <w:szCs w:val="12"/>
                <w:color w:val="auto"/>
              </w:rPr>
            </w:pPr>
          </w:p>
        </w:tc>
        <w:tc>
          <w:tcPr>
            <w:tcW w:w="136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22" w:right="239" w:bottom="0" w:gutter="0" w:footer="0" w:header="0"/>
        </w:sectPr>
      </w:pPr>
    </w:p>
    <w:bookmarkStart w:id="1" w:name="page2"/>
    <w:bookmarkEnd w:id="1"/>
    <w:p>
      <w:pPr>
        <w:ind w:left="2700" w:right="6800" w:hanging="1091"/>
        <w:spacing w:after="0" w:line="282" w:lineRule="auto"/>
        <w:tabs>
          <w:tab w:leader="none" w:pos="27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55,658,616</w:t>
      </w:r>
    </w:p>
    <w:p>
      <w:pPr>
        <w:spacing w:after="0" w:line="377" w:lineRule="exact"/>
        <w:rPr>
          <w:rFonts w:ascii="Times New Roman" w:cs="Times New Roman" w:eastAsia="Times New Roman" w:hAnsi="Times New Roman"/>
          <w:sz w:val="18"/>
          <w:szCs w:val="18"/>
          <w:color w:val="auto"/>
        </w:rPr>
      </w:pPr>
    </w:p>
    <w:p>
      <w:pPr>
        <w:ind w:left="2700" w:right="6620" w:hanging="1091"/>
        <w:spacing w:after="0" w:line="282" w:lineRule="auto"/>
        <w:tabs>
          <w:tab w:leader="none" w:pos="27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spacing w:after="0" w:line="377" w:lineRule="exact"/>
        <w:rPr>
          <w:rFonts w:ascii="Times New Roman" w:cs="Times New Roman" w:eastAsia="Times New Roman" w:hAnsi="Times New Roman"/>
          <w:sz w:val="18"/>
          <w:szCs w:val="18"/>
          <w:color w:val="auto"/>
        </w:rPr>
      </w:pPr>
    </w:p>
    <w:p>
      <w:pPr>
        <w:ind w:left="1000" w:right="5400" w:hanging="620"/>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55,658,616</w:t>
      </w:r>
    </w:p>
    <w:p>
      <w:pPr>
        <w:spacing w:after="0" w:line="377" w:lineRule="exact"/>
        <w:rPr>
          <w:rFonts w:ascii="Times New Roman" w:cs="Times New Roman" w:eastAsia="Times New Roman" w:hAnsi="Times New Roman"/>
          <w:sz w:val="18"/>
          <w:szCs w:val="18"/>
          <w:color w:val="auto"/>
        </w:rPr>
      </w:pPr>
    </w:p>
    <w:p>
      <w:pPr>
        <w:ind w:left="1000" w:hanging="620"/>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 o</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000" w:right="6400" w:hanging="620"/>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5.36%</w:t>
      </w:r>
    </w:p>
    <w:p>
      <w:pPr>
        <w:spacing w:after="0" w:line="377" w:lineRule="exact"/>
        <w:rPr>
          <w:rFonts w:ascii="Times New Roman" w:cs="Times New Roman" w:eastAsia="Times New Roman" w:hAnsi="Times New Roman"/>
          <w:sz w:val="18"/>
          <w:szCs w:val="18"/>
          <w:color w:val="auto"/>
        </w:rPr>
      </w:pPr>
    </w:p>
    <w:p>
      <w:pPr>
        <w:ind w:left="1000" w:hanging="620"/>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-1468755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-2017395</wp:posOffset>
            </wp:positionV>
            <wp:extent cx="55314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-2566035</wp:posOffset>
            </wp:positionV>
            <wp:extent cx="55314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83820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121" w:lineRule="exact"/>
        <w:rPr>
          <w:sz w:val="20"/>
          <w:szCs w:val="20"/>
          <w:color w:val="auto"/>
        </w:rPr>
      </w:pPr>
    </w:p>
    <w:p>
      <w:pPr>
        <w:ind w:left="1440" w:hanging="493"/>
        <w:spacing w:after="0"/>
        <w:tabs>
          <w:tab w:leader="none" w:pos="1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7" w:lineRule="exact"/>
        <w:rPr>
          <w:rFonts w:ascii="Times New Roman" w:cs="Times New Roman" w:eastAsia="Times New Roman" w:hAnsi="Times New Roman"/>
          <w:sz w:val="18"/>
          <w:szCs w:val="18"/>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Micron Technology, Inc.</w:t>
      </w:r>
    </w:p>
    <w:p>
      <w:pPr>
        <w:spacing w:after="0" w:line="112" w:lineRule="exact"/>
        <w:rPr>
          <w:rFonts w:ascii="Times New Roman" w:cs="Times New Roman" w:eastAsia="Times New Roman" w:hAnsi="Times New Roman"/>
          <w:sz w:val="18"/>
          <w:szCs w:val="18"/>
          <w:color w:val="auto"/>
        </w:rPr>
      </w:pPr>
    </w:p>
    <w:p>
      <w:pPr>
        <w:ind w:left="1440" w:right="6340" w:hanging="493"/>
        <w:spacing w:after="0" w:line="282" w:lineRule="auto"/>
        <w:tabs>
          <w:tab w:leader="none" w:pos="1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 8000 S. Federal Way, Boise, ID 83716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11430</wp:posOffset>
            </wp:positionV>
            <wp:extent cx="63290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-339725</wp:posOffset>
            </wp:positionV>
            <wp:extent cx="63290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121" w:lineRule="exact"/>
        <w:rPr>
          <w:sz w:val="20"/>
          <w:szCs w:val="20"/>
          <w:color w:val="auto"/>
        </w:rPr>
      </w:pPr>
    </w:p>
    <w:p>
      <w:pPr>
        <w:ind w:left="1440" w:hanging="493"/>
        <w:spacing w:after="0"/>
        <w:tabs>
          <w:tab w:leader="none" w:pos="1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7" w:lineRule="exact"/>
        <w:rPr>
          <w:rFonts w:ascii="Times New Roman" w:cs="Times New Roman" w:eastAsia="Times New Roman" w:hAnsi="Times New Roman"/>
          <w:sz w:val="18"/>
          <w:szCs w:val="18"/>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PRIMECAP Management Company</w:t>
      </w:r>
    </w:p>
    <w:p>
      <w:pPr>
        <w:spacing w:after="0" w:line="112" w:lineRule="exact"/>
        <w:rPr>
          <w:rFonts w:ascii="Times New Roman" w:cs="Times New Roman" w:eastAsia="Times New Roman" w:hAnsi="Times New Roman"/>
          <w:sz w:val="18"/>
          <w:szCs w:val="18"/>
          <w:color w:val="auto"/>
        </w:rPr>
      </w:pPr>
    </w:p>
    <w:p>
      <w:pPr>
        <w:ind w:left="1440" w:right="5480" w:hanging="493"/>
        <w:spacing w:after="0" w:line="313" w:lineRule="auto"/>
        <w:tabs>
          <w:tab w:leader="none" w:pos="14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Address of Principal Business Office or, if none, Residence 225 South Lake Ave., #400, Pasadena, CA 91101</w:t>
      </w:r>
    </w:p>
    <w:p>
      <w:pPr>
        <w:spacing w:after="0" w:line="43" w:lineRule="exact"/>
        <w:rPr>
          <w:rFonts w:ascii="Times New Roman" w:cs="Times New Roman" w:eastAsia="Times New Roman" w:hAnsi="Times New Roman"/>
          <w:sz w:val="17"/>
          <w:szCs w:val="17"/>
          <w:color w:val="auto"/>
        </w:rPr>
      </w:pPr>
    </w:p>
    <w:p>
      <w:pPr>
        <w:ind w:left="1440" w:right="8940" w:hanging="493"/>
        <w:spacing w:after="0" w:line="313" w:lineRule="auto"/>
        <w:tabs>
          <w:tab w:leader="none" w:pos="14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U.S.A.</w:t>
      </w:r>
    </w:p>
    <w:p>
      <w:pPr>
        <w:spacing w:after="0" w:line="43" w:lineRule="exact"/>
        <w:rPr>
          <w:rFonts w:ascii="Times New Roman" w:cs="Times New Roman" w:eastAsia="Times New Roman" w:hAnsi="Times New Roman"/>
          <w:sz w:val="17"/>
          <w:szCs w:val="17"/>
          <w:color w:val="auto"/>
        </w:rPr>
      </w:pPr>
    </w:p>
    <w:p>
      <w:pPr>
        <w:ind w:left="1440" w:right="7840" w:hanging="493"/>
        <w:spacing w:after="0" w:line="282" w:lineRule="auto"/>
        <w:tabs>
          <w:tab w:leader="none" w:pos="1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 Common</w:t>
      </w:r>
    </w:p>
    <w:p>
      <w:pPr>
        <w:spacing w:after="0" w:line="67" w:lineRule="exact"/>
        <w:rPr>
          <w:rFonts w:ascii="Times New Roman" w:cs="Times New Roman" w:eastAsia="Times New Roman" w:hAnsi="Times New Roman"/>
          <w:sz w:val="18"/>
          <w:szCs w:val="18"/>
          <w:color w:val="auto"/>
        </w:rPr>
      </w:pPr>
    </w:p>
    <w:p>
      <w:pPr>
        <w:ind w:left="1440" w:right="8600" w:hanging="493"/>
        <w:spacing w:after="0" w:line="282" w:lineRule="auto"/>
        <w:tabs>
          <w:tab w:leader="none" w:pos="1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 595112103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11430</wp:posOffset>
            </wp:positionV>
            <wp:extent cx="63290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-339725</wp:posOffset>
            </wp:positionV>
            <wp:extent cx="63290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-690880</wp:posOffset>
            </wp:positionV>
            <wp:extent cx="63290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-1042670</wp:posOffset>
            </wp:positionV>
            <wp:extent cx="63290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-1394460</wp:posOffset>
            </wp:positionV>
            <wp:extent cx="6329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5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§§240.13d-1(b) or 240.13d-2(b) or (c), check whether the person filing is a:</w:t>
      </w:r>
    </w:p>
    <w:p>
      <w:pPr>
        <w:spacing w:after="0" w:line="175" w:lineRule="exact"/>
        <w:rPr>
          <w:sz w:val="20"/>
          <w:szCs w:val="20"/>
          <w:color w:val="auto"/>
        </w:rPr>
      </w:pPr>
    </w:p>
    <w:p>
      <w:pPr>
        <w:ind w:left="1440" w:hanging="493"/>
        <w:spacing w:after="0"/>
        <w:tabs>
          <w:tab w:leader="none" w:pos="1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1440" w:hanging="493"/>
        <w:spacing w:after="0"/>
        <w:tabs>
          <w:tab w:leader="none" w:pos="1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1440" w:hanging="493"/>
        <w:spacing w:after="0"/>
        <w:tabs>
          <w:tab w:leader="none" w:pos="1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1440" w:hanging="493"/>
        <w:spacing w:after="0"/>
        <w:tabs>
          <w:tab w:leader="none" w:pos="1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1440" w:hanging="493"/>
        <w:spacing w:after="0"/>
        <w:tabs>
          <w:tab w:leader="none" w:pos="1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xAn investment adviser in accordance with §240.13d-1(b)(1)(ii)(E);</w:t>
      </w:r>
    </w:p>
    <w:p>
      <w:pPr>
        <w:spacing w:after="0" w:line="225" w:lineRule="exact"/>
        <w:rPr>
          <w:rFonts w:ascii="Times New Roman" w:cs="Times New Roman" w:eastAsia="Times New Roman" w:hAnsi="Times New Roman"/>
          <w:sz w:val="18"/>
          <w:szCs w:val="18"/>
          <w:color w:val="auto"/>
        </w:rPr>
      </w:pPr>
    </w:p>
    <w:p>
      <w:pPr>
        <w:ind w:left="1440" w:hanging="493"/>
        <w:spacing w:after="0"/>
        <w:tabs>
          <w:tab w:leader="none" w:pos="1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An employee benefit plan or endowment fund in accordance with §240.13d-1(b)(1)(ii)(F);</w:t>
      </w:r>
    </w:p>
    <w:p>
      <w:pPr>
        <w:spacing w:after="0" w:line="225" w:lineRule="exact"/>
        <w:rPr>
          <w:rFonts w:ascii="Times New Roman" w:cs="Times New Roman" w:eastAsia="Times New Roman" w:hAnsi="Times New Roman"/>
          <w:sz w:val="18"/>
          <w:szCs w:val="18"/>
          <w:color w:val="auto"/>
        </w:rPr>
      </w:pPr>
    </w:p>
    <w:p>
      <w:pPr>
        <w:ind w:left="1440" w:hanging="493"/>
        <w:spacing w:after="0"/>
        <w:tabs>
          <w:tab w:leader="none" w:pos="1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 parent holding company or control person in accordance with § 240.13d-1(b)(1)(ii)(G);</w:t>
      </w:r>
    </w:p>
    <w:p>
      <w:pPr>
        <w:spacing w:after="0" w:line="225" w:lineRule="exact"/>
        <w:rPr>
          <w:rFonts w:ascii="Times New Roman" w:cs="Times New Roman" w:eastAsia="Times New Roman" w:hAnsi="Times New Roman"/>
          <w:sz w:val="18"/>
          <w:szCs w:val="18"/>
          <w:color w:val="auto"/>
        </w:rPr>
      </w:pPr>
    </w:p>
    <w:p>
      <w:pPr>
        <w:ind w:left="1440" w:hanging="493"/>
        <w:spacing w:after="0"/>
        <w:tabs>
          <w:tab w:leader="none" w:pos="1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A savings association as defined in Section 3(b) of the Federal Deposit Insurance Act (12 U.S.C. 1813);</w:t>
      </w:r>
    </w:p>
    <w:p>
      <w:pPr>
        <w:spacing w:after="0" w:line="225" w:lineRule="exact"/>
        <w:rPr>
          <w:rFonts w:ascii="Times New Roman" w:cs="Times New Roman" w:eastAsia="Times New Roman" w:hAnsi="Times New Roman"/>
          <w:sz w:val="18"/>
          <w:szCs w:val="18"/>
          <w:color w:val="auto"/>
        </w:rPr>
      </w:pPr>
    </w:p>
    <w:p>
      <w:pPr>
        <w:ind w:left="1960" w:hanging="1013"/>
        <w:spacing w:after="0" w:line="282" w:lineRule="auto"/>
        <w:tabs>
          <w:tab w:leader="none" w:pos="144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 church plan that is excluded from the definition of an investment company under section 3(c)(14) of the Investment Company Act of 1940 (15 U.S.C. 80a-3);</w:t>
      </w:r>
    </w:p>
    <w:p>
      <w:pPr>
        <w:spacing w:after="0" w:line="161" w:lineRule="exact"/>
        <w:rPr>
          <w:rFonts w:ascii="Times New Roman" w:cs="Times New Roman" w:eastAsia="Times New Roman" w:hAnsi="Times New Roman"/>
          <w:sz w:val="18"/>
          <w:szCs w:val="18"/>
          <w:color w:val="auto"/>
        </w:rPr>
      </w:pPr>
    </w:p>
    <w:p>
      <w:pPr>
        <w:ind w:left="1440" w:hanging="493"/>
        <w:spacing w:after="0"/>
        <w:tabs>
          <w:tab w:leader="none" w:pos="1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oGroup, in accordance with §240.13d-1(b)(1)(ii)(J).</w:t>
      </w:r>
    </w:p>
    <w:p>
      <w:pPr>
        <w:sectPr>
          <w:pgSz w:w="11900" w:h="16838" w:orient="portrait"/>
          <w:cols w:equalWidth="0" w:num="1">
            <w:col w:w="11200"/>
          </w:cols>
          <w:pgMar w:left="300" w:top="175" w:right="399" w:bottom="0" w:gutter="0" w:footer="0" w:header="0"/>
        </w:sectPr>
      </w:pPr>
    </w:p>
    <w:p>
      <w:pPr>
        <w:spacing w:after="0" w:line="3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83820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00"/>
          </w:cols>
          <w:pgMar w:left="300" w:top="175" w:right="399" w:bottom="0" w:gutter="0" w:footer="0" w:header="0"/>
          <w:type w:val="continuous"/>
        </w:sectPr>
      </w:pPr>
    </w:p>
    <w:bookmarkStart w:id="2" w:name="page3"/>
    <w:bookmarkEnd w:id="2"/>
    <w:p>
      <w:pPr>
        <w:spacing w:after="0" w:line="3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171" w:lineRule="exact"/>
        <w:rPr>
          <w:sz w:val="20"/>
          <w:szCs w:val="20"/>
          <w:color w:val="auto"/>
        </w:rPr>
      </w:pPr>
    </w:p>
    <w:p>
      <w:pPr>
        <w:ind w:left="1600" w:right="7620" w:hanging="394"/>
        <w:spacing w:after="0" w:line="344" w:lineRule="auto"/>
        <w:tabs>
          <w:tab w:leader="none" w:pos="16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55,658,616.</w:t>
      </w:r>
    </w:p>
    <w:p>
      <w:pPr>
        <w:spacing w:after="0" w:line="122" w:lineRule="exact"/>
        <w:rPr>
          <w:rFonts w:ascii="Times New Roman" w:cs="Times New Roman" w:eastAsia="Times New Roman" w:hAnsi="Times New Roman"/>
          <w:sz w:val="18"/>
          <w:szCs w:val="18"/>
          <w:color w:val="auto"/>
        </w:rPr>
      </w:pPr>
    </w:p>
    <w:p>
      <w:pPr>
        <w:ind w:left="1600" w:hanging="400"/>
        <w:spacing w:after="0"/>
        <w:tabs>
          <w:tab w:leader="none" w:pos="16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63" w:lineRule="exact"/>
        <w:rPr>
          <w:rFonts w:ascii="Times New Roman" w:cs="Times New Roman" w:eastAsia="Times New Roman" w:hAnsi="Times New Roman"/>
          <w:sz w:val="18"/>
          <w:szCs w:val="18"/>
          <w:color w:val="auto"/>
        </w:rPr>
      </w:pPr>
    </w:p>
    <w:p>
      <w:pPr>
        <w:ind w:left="1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5.36%.</w:t>
      </w:r>
    </w:p>
    <w:p>
      <w:pPr>
        <w:spacing w:after="0" w:line="238" w:lineRule="exact"/>
        <w:rPr>
          <w:rFonts w:ascii="Times New Roman" w:cs="Times New Roman" w:eastAsia="Times New Roman" w:hAnsi="Times New Roman"/>
          <w:sz w:val="18"/>
          <w:szCs w:val="18"/>
          <w:color w:val="auto"/>
        </w:rPr>
      </w:pPr>
    </w:p>
    <w:p>
      <w:pPr>
        <w:ind w:left="1600" w:hanging="394"/>
        <w:spacing w:after="0"/>
        <w:tabs>
          <w:tab w:leader="none" w:pos="16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979170</wp:posOffset>
            </wp:positionH>
            <wp:positionV relativeFrom="paragraph">
              <wp:posOffset>257810</wp:posOffset>
            </wp:positionV>
            <wp:extent cx="62344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-196215</wp:posOffset>
            </wp:positionV>
            <wp:extent cx="62344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-650875</wp:posOffset>
            </wp:positionV>
            <wp:extent cx="62344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20" w:right="6260" w:hanging="453"/>
        <w:spacing w:after="0" w:line="344" w:lineRule="auto"/>
        <w:tabs>
          <w:tab w:leader="none" w:pos="22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13,285,633.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12065</wp:posOffset>
            </wp:positionV>
            <wp:extent cx="58400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2" w:lineRule="exact"/>
        <w:rPr>
          <w:sz w:val="20"/>
          <w:szCs w:val="20"/>
          <w:color w:val="auto"/>
        </w:rPr>
      </w:pPr>
    </w:p>
    <w:p>
      <w:pPr>
        <w:ind w:left="2220" w:right="6080" w:hanging="478"/>
        <w:spacing w:after="0" w:line="344" w:lineRule="auto"/>
        <w:tabs>
          <w:tab w:leader="none" w:pos="22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12065</wp:posOffset>
            </wp:positionV>
            <wp:extent cx="58400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2" w:lineRule="exact"/>
        <w:rPr>
          <w:sz w:val="20"/>
          <w:szCs w:val="20"/>
          <w:color w:val="auto"/>
        </w:rPr>
      </w:pPr>
    </w:p>
    <w:p>
      <w:pPr>
        <w:ind w:left="2220" w:right="5340" w:hanging="503"/>
        <w:spacing w:after="0" w:line="344" w:lineRule="auto"/>
        <w:tabs>
          <w:tab w:leader="none" w:pos="22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55,658,616.</w:t>
      </w:r>
    </w:p>
    <w:p>
      <w:pPr>
        <w:spacing w:after="0" w:line="122" w:lineRule="exact"/>
        <w:rPr>
          <w:rFonts w:ascii="Times New Roman" w:cs="Times New Roman" w:eastAsia="Times New Roman" w:hAnsi="Times New Roman"/>
          <w:sz w:val="18"/>
          <w:szCs w:val="18"/>
          <w:color w:val="auto"/>
        </w:rPr>
      </w:pPr>
    </w:p>
    <w:p>
      <w:pPr>
        <w:ind w:left="2220" w:right="5160" w:hanging="498"/>
        <w:spacing w:after="0" w:line="344" w:lineRule="auto"/>
        <w:tabs>
          <w:tab w:leader="none" w:pos="22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12065</wp:posOffset>
            </wp:positionV>
            <wp:extent cx="58400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-441960</wp:posOffset>
            </wp:positionV>
            <wp:extent cx="58400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35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i w:val="1"/>
          <w:iCs w:val="1"/>
          <w:color w:val="auto"/>
        </w:rPr>
        <w:t xml:space="preserve">Instruction. </w:t>
      </w:r>
      <w:r>
        <w:rPr>
          <w:rFonts w:ascii="Times New Roman" w:cs="Times New Roman" w:eastAsia="Times New Roman" w:hAnsi="Times New Roman"/>
          <w:sz w:val="18"/>
          <w:szCs w:val="18"/>
          <w:color w:val="auto"/>
        </w:rPr>
        <w:t>For computations regarding securities which represent a right to acquire an underlying security</w:t>
      </w:r>
      <w:r>
        <w:rPr>
          <w:rFonts w:ascii="Times New Roman" w:cs="Times New Roman" w:eastAsia="Times New Roman" w:hAnsi="Times New Roman"/>
          <w:sz w:val="18"/>
          <w:szCs w:val="18"/>
          <w:i w:val="1"/>
          <w:iCs w:val="1"/>
          <w:color w:val="auto"/>
        </w:rPr>
        <w:t xml:space="preserve"> see </w:t>
      </w:r>
      <w:r>
        <w:rPr>
          <w:rFonts w:ascii="Times New Roman" w:cs="Times New Roman" w:eastAsia="Times New Roman" w:hAnsi="Times New Roman"/>
          <w:sz w:val="18"/>
          <w:szCs w:val="18"/>
          <w:color w:val="auto"/>
        </w:rPr>
        <w:t>§240.13d-3(d)(1).</w:t>
      </w:r>
    </w:p>
    <w:p>
      <w:pPr>
        <w:spacing w:after="0" w:line="200" w:lineRule="exact"/>
        <w:rPr>
          <w:sz w:val="20"/>
          <w:szCs w:val="20"/>
          <w:color w:val="auto"/>
        </w:rPr>
      </w:pPr>
    </w:p>
    <w:p>
      <w:pPr>
        <w:spacing w:after="0" w:line="23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Instruction: </w:t>
      </w:r>
      <w:r>
        <w:rPr>
          <w:rFonts w:ascii="Times New Roman" w:cs="Times New Roman" w:eastAsia="Times New Roman" w:hAnsi="Times New Roman"/>
          <w:sz w:val="18"/>
          <w:szCs w:val="18"/>
          <w:color w:val="auto"/>
        </w:rPr>
        <w:t>Dissolution of a group requires a response to this item.</w:t>
      </w:r>
    </w:p>
    <w:p>
      <w:pPr>
        <w:spacing w:after="0" w:line="200" w:lineRule="exact"/>
        <w:rPr>
          <w:sz w:val="20"/>
          <w:szCs w:val="20"/>
          <w:color w:val="auto"/>
        </w:rPr>
      </w:pPr>
    </w:p>
    <w:p>
      <w:pPr>
        <w:spacing w:after="0" w:line="23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Ownership of More than Five Percent on Behalf of Another Person.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392"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388"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121"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388"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83820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following certification shall be included if the statement is filed pursuant to §240.13d-1(b):</w:t>
      </w:r>
    </w:p>
    <w:p>
      <w:pPr>
        <w:spacing w:after="0" w:line="225" w:lineRule="exact"/>
        <w:rPr>
          <w:sz w:val="20"/>
          <w:szCs w:val="20"/>
          <w:color w:val="auto"/>
        </w:rPr>
      </w:pPr>
    </w:p>
    <w:p>
      <w:pPr>
        <w:jc w:val="both"/>
        <w:ind w:left="660" w:right="140"/>
        <w:spacing w:after="0" w:line="28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69" w:orient="portrait"/>
          <w:cols w:equalWidth="0" w:num="1">
            <w:col w:w="11280"/>
          </w:cols>
          <w:pgMar w:left="300" w:top="630" w:right="319" w:bottom="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color w:val="auto"/>
        </w:rPr>
        <w:t>(b)  The following certification shall be included if the statement is filed pursuant to §240.13d-1(c):</w:t>
      </w:r>
    </w:p>
    <w:p>
      <w:pPr>
        <w:spacing w:after="0" w:line="225" w:lineRule="exact"/>
        <w:rPr>
          <w:sz w:val="20"/>
          <w:szCs w:val="20"/>
          <w:color w:val="auto"/>
        </w:rPr>
      </w:pPr>
    </w:p>
    <w:p>
      <w:pPr>
        <w:ind w:left="720" w:right="20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February 3, 2016</w:t>
      </w:r>
    </w:p>
    <w:p>
      <w:pPr>
        <w:spacing w:after="0" w:line="2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/s/ Karen Chen</w:t>
      </w:r>
    </w:p>
    <w:p>
      <w:pPr>
        <w:spacing w:after="0" w:line="2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Karen Chen, CCO</w:t>
      </w:r>
    </w:p>
    <w:p>
      <w:pPr>
        <w:spacing w:after="0" w:line="2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2" w:lineRule="exact"/>
        <w:rPr>
          <w:sz w:val="20"/>
          <w:szCs w:val="20"/>
          <w:color w:val="auto"/>
        </w:rPr>
      </w:pPr>
    </w:p>
    <w:p>
      <w:pPr>
        <w:ind w:right="2140"/>
        <w:spacing w:after="0" w:line="284" w:lineRule="auto"/>
        <w:rPr>
          <w:sz w:val="20"/>
          <w:szCs w:val="20"/>
          <w:color w:val="auto"/>
        </w:rPr>
      </w:pP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w:t>
      </w:r>
      <w:r>
        <w:rPr>
          <w:rFonts w:ascii="Times New Roman" w:cs="Times New Roman" w:eastAsia="Times New Roman" w:hAnsi="Times New Roman"/>
          <w:sz w:val="18"/>
          <w:szCs w:val="18"/>
          <w:i w:val="1"/>
          <w:iCs w:val="1"/>
          <w:color w:val="auto"/>
        </w:rPr>
        <w:t xml:space="preserve"> See </w:t>
      </w:r>
      <w:r>
        <w:rPr>
          <w:rFonts w:ascii="Times New Roman" w:cs="Times New Roman" w:eastAsia="Times New Roman" w:hAnsi="Times New Roman"/>
          <w:sz w:val="18"/>
          <w:szCs w:val="18"/>
          <w:color w:val="auto"/>
        </w:rPr>
        <w:t>§240.13d-7 for other parties for whom copies are to be sent.</w:t>
      </w:r>
    </w:p>
    <w:p>
      <w:pPr>
        <w:spacing w:after="0" w:line="1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ATTENTION: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54875"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875" cy="154305"/>
                    </a:xfrm>
                    <a:prstGeom prst="rect">
                      <a:avLst/>
                    </a:prstGeom>
                    <a:noFill/>
                  </pic:spPr>
                </pic:pic>
              </a:graphicData>
            </a:graphic>
          </wp:anchor>
        </w:drawing>
      </w: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337"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1."/>
      <w:numFmt w:val="decimal"/>
      <w:start w:val="1"/>
    </w:lvl>
    <w:lvl w:ilvl="1">
      <w:lvlJc w:val="left"/>
      <w:lvlText w:val="(%2)"/>
      <w:numFmt w:val="lowerLetter"/>
      <w:start w:val="1"/>
    </w:lvl>
  </w:abstractNum>
  <w:abstractNum w:abstractNumId="2">
    <w:nsid w:val="41B71EFB"/>
    <w:multiLevelType w:val="hybridMultilevel"/>
    <w:lvl w:ilvl="0">
      <w:lvlJc w:val="left"/>
      <w:lvlText w:val="%1"/>
      <w:numFmt w:val="decimal"/>
      <w:start w:val="1"/>
    </w:lvl>
    <w:lvl w:ilvl="1">
      <w:lvlJc w:val="left"/>
      <w:lvlText w:val="%2."/>
      <w:numFmt w:val="decimal"/>
      <w:start w:val="7"/>
    </w:lvl>
  </w:abstractNum>
  <w:abstractNum w:abstractNumId="3">
    <w:nsid w:val="79E2A9E3"/>
    <w:multiLevelType w:val="hybridMultilevel"/>
    <w:lvl w:ilvl="0">
      <w:lvlJc w:val="left"/>
      <w:lvlText w:val="%1."/>
      <w:numFmt w:val="decimal"/>
      <w:start w:val="9"/>
    </w:lvl>
    <w:lvl w:ilvl="1">
      <w:lvlJc w:val="left"/>
      <w:lvlText w:val="%2"/>
      <w:numFmt w:val="decimal"/>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Roman"/>
      <w:start w:val="1"/>
    </w:lvl>
  </w:abstractNum>
  <w:abstractNum w:abstractNumId="9">
    <w:nsid w:val="216231B"/>
    <w:multiLevelType w:val="hybridMultilevel"/>
    <w:lvl w:ilvl="0">
      <w:lvlJc w:val="left"/>
      <w:lvlText w:val="(%1)"/>
      <w:numFmt w:val="lowerRoman"/>
      <w:start w:val="2"/>
    </w:lvl>
  </w:abstractNum>
  <w:abstractNum w:abstractNumId="10">
    <w:nsid w:val="1F16E9E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2019-12-05T16:44:53Z</dcterms:created>
  <dcterms:modified xsi:type="dcterms:W3CDTF">2019-12-05T16:44:53Z</dcterms:modified>
</cp:coreProperties>
</file>