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19,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December 19, 2017, we announced the financial results for our first quarter of fiscal year 2018 ended November 30, 2017. The full text of the press release issued in connection with the announcement is attached as Exhibit 99.1 to this Current Report on Form 8-K.</w:t>
      </w:r>
    </w:p>
    <w:p>
      <w:pPr>
        <w:spacing w:after="0" w:line="170"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33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600" w:firstLine="324"/>
        <w:spacing w:after="0" w:line="312" w:lineRule="auto"/>
        <w:rPr>
          <w:sz w:val="20"/>
          <w:szCs w:val="20"/>
          <w:color w:val="auto"/>
        </w:rPr>
      </w:pPr>
      <w:r>
        <w:rPr>
          <w:rFonts w:ascii="Arial" w:cs="Arial" w:eastAsia="Arial" w:hAnsi="Arial"/>
          <w:sz w:val="16"/>
          <w:szCs w:val="16"/>
          <w:color w:val="auto"/>
        </w:rPr>
        <w:t>The information in Item 7.01 of this Current Report on Form 8-K shall not be deemed "filed" for purposes of Section 18 of the Exchange Act or otherwise subject to the liabilities of that section. In addition, this information shall not be incorporated by reference into any filing or other document pursuant to the Securities Act, or the Exchange Act, except as shall be expressly set forth by specific reference in such filing or document.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furnishing certain information regarding our business on Exhibit 99.2 to this report.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6"/>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on December 19, 2017</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5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Disclosure regarding business of Micron Technology, Inc.</w:t>
              </w:r>
            </w:hyperlink>
          </w:p>
        </w:tc>
        <w:tc>
          <w:tcPr>
            <w:tcW w:w="5600" w:type="dxa"/>
            <w:vAlign w:val="bottom"/>
          </w:tcPr>
          <w:p>
            <w:pPr>
              <w:spacing w:after="0"/>
              <w:rPr>
                <w:sz w:val="21"/>
                <w:szCs w:val="2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December 19, 2017</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26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6"/>
              </w:rPr>
              <w:t>Contacts:Shanye Hudson</w:t>
            </w:r>
          </w:p>
        </w:tc>
        <w:tc>
          <w:tcPr>
            <w:tcW w:w="2260" w:type="dxa"/>
            <w:vAlign w:val="bottom"/>
          </w:tcPr>
          <w:p>
            <w:pPr>
              <w:spacing w:after="0"/>
              <w:rPr>
                <w:sz w:val="20"/>
                <w:szCs w:val="20"/>
                <w:color w:val="auto"/>
              </w:rPr>
            </w:pPr>
            <w:r>
              <w:rPr>
                <w:rFonts w:ascii="Arial" w:cs="Arial" w:eastAsia="Arial" w:hAnsi="Arial"/>
                <w:sz w:val="22"/>
                <w:szCs w:val="22"/>
                <w:color w:val="auto"/>
              </w:rPr>
              <w:t>Marc Musgrove</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9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7"/>
              </w:rPr>
              <w:t>shudson@micron.com</w:t>
            </w:r>
          </w:p>
        </w:tc>
        <w:tc>
          <w:tcPr>
            <w:tcW w:w="380" w:type="dxa"/>
            <w:vAlign w:val="bottom"/>
          </w:tcPr>
          <w:p>
            <w:pPr>
              <w:spacing w:after="0"/>
              <w:rPr>
                <w:sz w:val="21"/>
                <w:szCs w:val="21"/>
                <w:color w:val="auto"/>
              </w:rPr>
            </w:pPr>
          </w:p>
        </w:tc>
        <w:tc>
          <w:tcPr>
            <w:tcW w:w="22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mmusgrove@micron.com</w:t>
            </w:r>
          </w:p>
        </w:tc>
      </w:tr>
      <w:tr>
        <w:trPr>
          <w:trHeight w:val="328"/>
        </w:trPr>
        <w:tc>
          <w:tcPr>
            <w:tcW w:w="3200" w:type="dxa"/>
            <w:vAlign w:val="bottom"/>
            <w:gridSpan w:val="2"/>
          </w:tcPr>
          <w:p>
            <w:pPr>
              <w:ind w:left="1260"/>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(208) 363-2405</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Robust revenue and profitability growth supported by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focused execution on strategic priorities</w:t>
      </w:r>
    </w:p>
    <w:p>
      <w:pPr>
        <w:spacing w:after="0" w:line="236" w:lineRule="exact"/>
        <w:rPr>
          <w:sz w:val="20"/>
          <w:szCs w:val="20"/>
          <w:color w:val="auto"/>
        </w:rPr>
      </w:pPr>
    </w:p>
    <w:p>
      <w:pPr>
        <w:ind w:right="12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December 19, 2017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fiscal 2018, which ended November 30, 2017.</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Q1 2018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$6.80 billion, 71 percent higher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$2.68 billion, or $2.19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$2.99 billion, or $2.45 per diluted share</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$3.64 billion, 220 percent higher compared with the same period last year</w:t>
      </w:r>
    </w:p>
    <w:p>
      <w:pPr>
        <w:spacing w:after="0" w:line="242" w:lineRule="exact"/>
        <w:rPr>
          <w:sz w:val="20"/>
          <w:szCs w:val="20"/>
          <w:color w:val="auto"/>
        </w:rPr>
      </w:pPr>
    </w:p>
    <w:p>
      <w:pPr>
        <w:ind w:right="320" w:firstLine="324"/>
        <w:spacing w:after="0" w:line="343" w:lineRule="auto"/>
        <w:rPr>
          <w:sz w:val="20"/>
          <w:szCs w:val="20"/>
          <w:color w:val="auto"/>
        </w:rPr>
      </w:pPr>
      <w:r>
        <w:rPr>
          <w:rFonts w:ascii="Arial" w:cs="Arial" w:eastAsia="Arial" w:hAnsi="Arial"/>
          <w:sz w:val="19"/>
          <w:szCs w:val="19"/>
          <w:color w:val="auto"/>
        </w:rPr>
        <w:t>"Micron's strong results were driven by double-digit sequential revenue growth in mobile, server and SSD applications, with expanded gross margins and improved profitability," said Micron President and CEO Sanjay Mehrotra.</w:t>
      </w:r>
    </w:p>
    <w:p>
      <w:pPr>
        <w:spacing w:after="0" w:line="145" w:lineRule="exact"/>
        <w:rPr>
          <w:sz w:val="20"/>
          <w:szCs w:val="20"/>
          <w:color w:val="auto"/>
        </w:rPr>
      </w:pPr>
    </w:p>
    <w:p>
      <w:pPr>
        <w:ind w:right="120" w:firstLine="324"/>
        <w:spacing w:after="0" w:line="343" w:lineRule="auto"/>
        <w:rPr>
          <w:sz w:val="20"/>
          <w:szCs w:val="20"/>
          <w:color w:val="auto"/>
        </w:rPr>
      </w:pPr>
      <w:r>
        <w:rPr>
          <w:rFonts w:ascii="Arial" w:cs="Arial" w:eastAsia="Arial" w:hAnsi="Arial"/>
          <w:sz w:val="19"/>
          <w:szCs w:val="19"/>
          <w:color w:val="auto"/>
        </w:rPr>
        <w:t>"We are making solid progress on our strategic priorities to drive cost competitiveness, deploy high value solutions and strengthen our balance sheet. We believe these actions will position Micron to benefit from the broad demand trends ahead of us."</w:t>
      </w:r>
    </w:p>
    <w:p>
      <w:pPr>
        <w:spacing w:after="0" w:line="288"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350" w:type="dxa"/>
        <w:tblCellMar>
          <w:top w:w="0" w:type="dxa"/>
          <w:left w:w="0" w:type="dxa"/>
          <w:bottom w:w="0" w:type="dxa"/>
          <w:right w:w="0" w:type="dxa"/>
        </w:tblCellMar>
      </w:tblPr>
      <w:tr>
        <w:trPr>
          <w:trHeight w:val="281"/>
        </w:trPr>
        <w:tc>
          <w:tcPr>
            <w:tcW w:w="30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w w:val="97"/>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FQ1-18</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FQ4-17</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FQ1-17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FQ1-18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FQ4-17</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FQ1-17</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3,970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3,970</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3,747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3,112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1,011</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3,147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1,032</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55.1%</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3"/>
              </w:rPr>
              <w:t>50.7%</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25.5%</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i w:val="1"/>
                <w:iCs w:val="1"/>
                <w:color w:val="auto"/>
              </w:rPr>
              <w:t>55.4%</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0"/>
              </w:rPr>
              <w:t>51.3%</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26.0%</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359</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438</w:t>
            </w:r>
          </w:p>
        </w:tc>
      </w:tr>
      <w:tr>
        <w:trPr>
          <w:trHeight w:val="302"/>
        </w:trPr>
        <w:tc>
          <w:tcPr>
            <w:tcW w:w="30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45.5%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3"/>
              </w:rPr>
              <w:t>40.8%</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9.0%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46.4%</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41.5%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11.0%</w:t>
            </w:r>
          </w:p>
        </w:tc>
      </w:tr>
      <w:tr>
        <w:trPr>
          <w:trHeight w:val="237"/>
        </w:trPr>
        <w:tc>
          <w:tcPr>
            <w:tcW w:w="30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2,678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2,368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2,386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335</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0.16</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0.32</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440" w:firstLine="324"/>
        <w:spacing w:after="0" w:line="253" w:lineRule="auto"/>
        <w:rPr>
          <w:sz w:val="20"/>
          <w:szCs w:val="20"/>
          <w:color w:val="auto"/>
        </w:rPr>
      </w:pPr>
      <w:r>
        <w:rPr>
          <w:rFonts w:ascii="Arial" w:cs="Arial" w:eastAsia="Arial" w:hAnsi="Arial"/>
          <w:sz w:val="22"/>
          <w:szCs w:val="22"/>
          <w:color w:val="auto"/>
        </w:rPr>
        <w:t>Revenues for the first quarter of 2018 were 11 percent higher compared to the fourth quarter of 2017, reflecting increased demand for our mobile, server, and SSD products. Our overall consolidated gross margin of 55.1 percent for the first quarter of 2018 was higher compared to 50.7 percent for the fourth</w:t>
      </w:r>
    </w:p>
    <w:p>
      <w:pPr>
        <w:sectPr>
          <w:pgSz w:w="11900" w:h="16838" w:orient="portrait"/>
          <w:cols w:equalWidth="0" w:num="1">
            <w:col w:w="11420"/>
          </w:cols>
          <w:pgMar w:left="240" w:top="585" w:right="239" w:bottom="1440" w:gutter="0" w:footer="0" w:header="0"/>
        </w:sectPr>
      </w:pPr>
    </w:p>
    <w:bookmarkStart w:id="4" w:name="page5"/>
    <w:bookmarkEnd w:id="4"/>
    <w:p>
      <w:pPr>
        <w:ind w:right="300"/>
        <w:spacing w:after="0" w:line="263" w:lineRule="auto"/>
        <w:rPr>
          <w:sz w:val="20"/>
          <w:szCs w:val="20"/>
          <w:color w:val="auto"/>
        </w:rPr>
      </w:pPr>
      <w:r>
        <w:rPr>
          <w:rFonts w:ascii="Arial" w:cs="Arial" w:eastAsia="Arial" w:hAnsi="Arial"/>
          <w:sz w:val="22"/>
          <w:szCs w:val="22"/>
          <w:color w:val="auto"/>
        </w:rPr>
        <w:t>quarter of 2017 and reflects margin expansion for both DRAM and Trade NAND products supported by ongoing strength in the pricing environment and a favorable product mix.</w:t>
      </w:r>
    </w:p>
    <w:p>
      <w:pPr>
        <w:spacing w:after="0" w:line="215"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Investments in capital expenditures, net of amounts funded by partners, were $1.92 billion for the first quarter of 2018. During the quarter, we raised $1.36 billion from an equity offering and repurchased or converted $2.36 billion principal amount of our debt, lowering our total face value debt to $9.34 billion exiting the quarter. We ended the first quarter with cash, marketable investments, and restricted cash of $6.61 billion.</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9"/>
          <w:szCs w:val="19"/>
          <w:color w:val="auto"/>
        </w:rPr>
        <w:t xml:space="preserve">We will host a conference call on Tuesday, December 19, 2017 at 2:30 p.m. MT to discuss our financial results.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A webcast replay will be available on our website until December 19,</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 xml:space="preserve">2018. A taped audio replay of the conference call will also be available at 1-404-537-3406 or 1-855-859-2056 (conference number: 2696628) beginning at 5:30 p.m. MT, Tuesday, December 19, 2017 and continuing through Tuesday, December 26, 2017. For Investor Relations and other company updates, follow @MicronTech on Twitter at </w:t>
      </w:r>
      <w:r>
        <w:rPr>
          <w:rFonts w:ascii="Arial" w:cs="Arial" w:eastAsia="Arial" w:hAnsi="Arial"/>
          <w:sz w:val="21"/>
          <w:szCs w:val="21"/>
          <w:u w:val="single" w:color="auto"/>
          <w:color w:val="006EBF"/>
        </w:rPr>
        <w:t>twitter.com/MicronTech</w:t>
      </w:r>
      <w:r>
        <w:rPr>
          <w:rFonts w:ascii="Arial" w:cs="Arial" w:eastAsia="Arial" w:hAnsi="Arial"/>
          <w:sz w:val="21"/>
          <w:szCs w:val="21"/>
          <w:color w:val="auto"/>
        </w:rPr>
        <w:t>.</w:t>
      </w:r>
    </w:p>
    <w:p>
      <w:pPr>
        <w:spacing w:after="0" w:line="218" w:lineRule="exact"/>
        <w:rPr>
          <w:sz w:val="20"/>
          <w:szCs w:val="20"/>
          <w:color w:val="auto"/>
        </w:rPr>
      </w:pPr>
    </w:p>
    <w:p>
      <w:pPr>
        <w:ind w:right="60" w:firstLine="324"/>
        <w:spacing w:after="0" w:line="294"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190" w:lineRule="exact"/>
        <w:rPr>
          <w:sz w:val="20"/>
          <w:szCs w:val="20"/>
          <w:color w:val="auto"/>
        </w:rPr>
      </w:pPr>
    </w:p>
    <w:p>
      <w:pPr>
        <w:ind w:right="14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2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40" w:firstLine="332"/>
        <w:spacing w:after="0" w:line="263"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For a reconciliation of GAAP to non-GAAP results, see the accompanying financial tables and footnotes.</w:t>
      </w:r>
    </w:p>
    <w:p>
      <w:pPr>
        <w:sectPr>
          <w:pgSz w:w="11900" w:h="16838" w:orient="portrait"/>
          <w:cols w:equalWidth="0" w:num="1">
            <w:col w:w="11360"/>
          </w:cols>
          <w:pgMar w:left="240" w:top="59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b w:val="1"/>
                <w:bCs w:val="1"/>
                <w:color w:val="auto"/>
              </w:rPr>
              <w:t>1st Qtr.</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4th Qtr.</w:t>
            </w:r>
          </w:p>
        </w:tc>
        <w:tc>
          <w:tcPr>
            <w:tcW w:w="18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1st Qtr.</w:t>
            </w:r>
          </w:p>
        </w:tc>
      </w:tr>
      <w:tr>
        <w:trPr>
          <w:trHeight w:val="252"/>
        </w:trPr>
        <w:tc>
          <w:tcPr>
            <w:tcW w:w="6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30,</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1,</w:t>
            </w:r>
          </w:p>
        </w:tc>
      </w:tr>
      <w:tr>
        <w:trPr>
          <w:trHeight w:val="234"/>
        </w:trPr>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2,959</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97"/>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1,040</w:t>
            </w: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6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9,872</w:t>
            </w: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18,621</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19,470</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Quarter Ended</w:t>
            </w:r>
          </w:p>
        </w:tc>
      </w:tr>
      <w:tr>
        <w:trPr>
          <w:trHeight w:val="252"/>
        </w:trPr>
        <w:tc>
          <w:tcPr>
            <w:tcW w:w="8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30,</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1,</w:t>
            </w:r>
          </w:p>
        </w:tc>
      </w:t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cash provided by (used for) investing activities </w:t>
            </w:r>
            <w:r>
              <w:rPr>
                <w:rFonts w:ascii="Arial" w:cs="Arial" w:eastAsia="Arial" w:hAnsi="Arial"/>
                <w:sz w:val="25"/>
                <w:szCs w:val="25"/>
                <w:color w:val="auto"/>
                <w:vertAlign w:val="superscript"/>
              </w:rPr>
              <w:t>(a)</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97"/>
        </w:trPr>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 xml:space="preserve">December 1, 2016 amount adjusted for the retrospective adoption of ASU 2016-18 – </w:t>
      </w:r>
      <w:r>
        <w:rPr>
          <w:rFonts w:ascii="Arial" w:cs="Arial" w:eastAsia="Arial" w:hAnsi="Arial"/>
          <w:sz w:val="15"/>
          <w:szCs w:val="15"/>
          <w:i w:val="1"/>
          <w:iCs w:val="1"/>
          <w:color w:val="auto"/>
        </w:rPr>
        <w:t>Restricted Cash.</w:t>
      </w:r>
    </w:p>
    <w:p>
      <w:pPr>
        <w:sectPr>
          <w:pgSz w:w="11900" w:h="16838" w:orient="portrait"/>
          <w:cols w:equalWidth="0" w:num="1">
            <w:col w:w="11420"/>
          </w:cols>
          <w:pgMar w:left="240" w:top="585" w:right="239" w:bottom="1440" w:gutter="0" w:footer="0" w:header="0"/>
        </w:sectPr>
      </w:pPr>
    </w:p>
    <w:bookmarkStart w:id="7" w:name="page8"/>
    <w:bookmarkEnd w:id="7"/>
    <w:p>
      <w:pPr>
        <w:ind w:left="340" w:right="8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2018, we redeemed our 2023 Secured Notes and 2023 Notes with an aggregate principal amount of $2.25 billion for cash of $2.42 billion and recognized non-operating losses of $190 million. In the fourth quarter of 2017, we redeemed our 2022 Notes with a principal amount of $600 million and recognized a non-operating loss of $34 million.</w:t>
      </w:r>
    </w:p>
    <w:p>
      <w:pPr>
        <w:spacing w:after="0" w:line="181" w:lineRule="exact"/>
        <w:rPr>
          <w:rFonts w:ascii="Arial" w:cs="Arial" w:eastAsia="Arial" w:hAnsi="Arial"/>
          <w:sz w:val="18"/>
          <w:szCs w:val="18"/>
          <w:color w:val="auto"/>
        </w:rPr>
      </w:pPr>
    </w:p>
    <w:p>
      <w:pPr>
        <w:jc w:val="both"/>
        <w:ind w:left="340" w:right="10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income taxes reflect operations in tax jurisdictions, including Singapore and Taiwan, where our earnings are indefinitely reinvested and the tax rates are significantly lower than the U.S. statutory rate; operations outside the United States, including Singapore, where we have tax incentive arrangements that further decrease our effective tax rates; and a valuation allowance against substantially all of our net deferred tax assets in the United States. Income tax (provision) benefit consisted of the following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1st Qtr.</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4th Qtr.</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1st Qtr.</w:t>
            </w:r>
          </w:p>
        </w:tc>
      </w:tr>
      <w:tr>
        <w:trPr>
          <w:trHeight w:val="252"/>
        </w:trPr>
        <w:tc>
          <w:tcPr>
            <w:tcW w:w="6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November 30,</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December 1,</w:t>
            </w:r>
          </w:p>
        </w:tc>
      </w:tr>
      <w:tr>
        <w:trPr>
          <w:trHeight w:val="234"/>
        </w:trPr>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Utilization of and other changes in net deferred tax assets of MMJ, MMT, and MTTW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tax (provision) benefit, primarily other non-U.S.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20"/>
        <w:spacing w:after="0" w:line="264" w:lineRule="auto"/>
        <w:rPr>
          <w:sz w:val="20"/>
          <w:szCs w:val="20"/>
          <w:color w:val="auto"/>
        </w:rPr>
      </w:pPr>
      <w:r>
        <w:rPr>
          <w:rFonts w:ascii="Arial" w:cs="Arial" w:eastAsia="Arial" w:hAnsi="Arial"/>
          <w:sz w:val="18"/>
          <w:szCs w:val="18"/>
          <w:color w:val="auto"/>
        </w:rPr>
        <w:t>We have a full valuation allowance for our net deferred tax asset associated with our U.S. operations. The amount of the deferred tax asset considered realizable could be adjusted if significant positive evidence increases. Income taxes on U.S. operations in the first quarters of 2018 and 2017 were substantially offset by changes in the valuation allowance.</w:t>
      </w:r>
    </w:p>
    <w:p>
      <w:pPr>
        <w:spacing w:after="0" w:line="181" w:lineRule="exact"/>
        <w:rPr>
          <w:sz w:val="20"/>
          <w:szCs w:val="20"/>
          <w:color w:val="auto"/>
        </w:rPr>
      </w:pPr>
    </w:p>
    <w:p>
      <w:pPr>
        <w:ind w:left="340" w:right="6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2017, we issued 34 million shares of our common stock for $41.00 per share in a public offering, for proceeds of $1.36 billion, net of underwriting fees and other offering costs.</w:t>
      </w:r>
    </w:p>
    <w:p>
      <w:pPr>
        <w:sectPr>
          <w:pgSz w:w="11900" w:h="16838" w:orient="portrait"/>
          <w:cols w:equalWidth="0" w:num="1">
            <w:col w:w="11420"/>
          </w:cols>
          <w:pgMar w:left="240" w:top="800"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1st Qtr.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4th Qtr.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1st Qtr.</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1"/>
              </w:rPr>
              <w:t>November 30, 2017</w:t>
            </w:r>
          </w:p>
        </w:tc>
        <w:tc>
          <w:tcPr>
            <w:tcW w:w="160" w:type="dxa"/>
            <w:vAlign w:val="bottom"/>
          </w:tcPr>
          <w:p>
            <w:pPr>
              <w:spacing w:after="0"/>
              <w:rPr>
                <w:sz w:val="23"/>
                <w:szCs w:val="23"/>
                <w:color w:val="auto"/>
              </w:rPr>
            </w:pPr>
          </w:p>
        </w:tc>
        <w:tc>
          <w:tcPr>
            <w:tcW w:w="2260" w:type="dxa"/>
            <w:vAlign w:val="bottom"/>
            <w:gridSpan w:val="6"/>
          </w:tcPr>
          <w:p>
            <w:pPr>
              <w:ind w:left="440"/>
              <w:spacing w:after="0"/>
              <w:rPr>
                <w:sz w:val="20"/>
                <w:szCs w:val="20"/>
                <w:color w:val="auto"/>
              </w:rPr>
            </w:pPr>
            <w:r>
              <w:rPr>
                <w:rFonts w:ascii="Arial" w:cs="Arial" w:eastAsia="Arial" w:hAnsi="Arial"/>
                <w:sz w:val="16"/>
                <w:szCs w:val="16"/>
                <w:b w:val="1"/>
                <w:bCs w:val="1"/>
                <w:color w:val="auto"/>
              </w:rPr>
              <w:t>August 31, 2017</w:t>
            </w:r>
          </w:p>
        </w:tc>
        <w:tc>
          <w:tcPr>
            <w:tcW w:w="140" w:type="dxa"/>
            <w:vAlign w:val="bottom"/>
          </w:tcPr>
          <w:p>
            <w:pPr>
              <w:spacing w:after="0"/>
              <w:rPr>
                <w:sz w:val="23"/>
                <w:szCs w:val="23"/>
                <w:color w:val="auto"/>
              </w:rPr>
            </w:pPr>
          </w:p>
        </w:tc>
        <w:tc>
          <w:tcPr>
            <w:tcW w:w="21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1"/>
              </w:rPr>
              <w:t>December 1, 2016</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80" w:type="dxa"/>
            <w:vAlign w:val="bottom"/>
          </w:tcPr>
          <w:p>
            <w:pPr>
              <w:jc w:val="center"/>
              <w:ind w:right="59"/>
              <w:spacing w:after="0"/>
              <w:rPr>
                <w:sz w:val="20"/>
                <w:szCs w:val="20"/>
                <w:color w:val="auto"/>
              </w:rPr>
            </w:pPr>
            <w:r>
              <w:rPr>
                <w:rFonts w:ascii="Arial" w:cs="Arial" w:eastAsia="Arial" w:hAnsi="Arial"/>
                <w:sz w:val="16"/>
                <w:szCs w:val="16"/>
                <w:b w:val="1"/>
                <w:bCs w:val="1"/>
                <w:color w:val="auto"/>
              </w:rPr>
              <w:t>Adj</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b w:val="1"/>
                <w:bCs w:val="1"/>
                <w:color w:val="auto"/>
              </w:rPr>
              <w:t>Adj</w:t>
            </w: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GAAP</w:t>
            </w:r>
          </w:p>
        </w:tc>
        <w:tc>
          <w:tcPr>
            <w:tcW w:w="14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60" w:type="dxa"/>
            <w:vAlign w:val="bottom"/>
          </w:tcPr>
          <w:p>
            <w:pPr>
              <w:jc w:val="center"/>
              <w:ind w:right="39"/>
              <w:spacing w:after="0"/>
              <w:rPr>
                <w:sz w:val="20"/>
                <w:szCs w:val="20"/>
                <w:color w:val="auto"/>
              </w:rPr>
            </w:pPr>
            <w:r>
              <w:rPr>
                <w:rFonts w:ascii="Arial" w:cs="Arial" w:eastAsia="Arial" w:hAnsi="Arial"/>
                <w:sz w:val="16"/>
                <w:szCs w:val="16"/>
                <w:b w:val="1"/>
                <w:bCs w:val="1"/>
                <w:color w:val="auto"/>
              </w:rPr>
              <w:t>Adj</w:t>
            </w: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3,056</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3,026</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2,959</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37"/>
        </w:trPr>
        <w:tc>
          <w:tcPr>
            <w:tcW w:w="214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i w:val="1"/>
                <w:iCs w:val="1"/>
                <w:color w:val="auto"/>
              </w:rPr>
              <w:t>55.1%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i w:val="1"/>
                <w:iCs w:val="1"/>
                <w:color w:val="auto"/>
              </w:rPr>
              <w:t>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i w:val="1"/>
                <w:iCs w:val="1"/>
                <w:color w:val="auto"/>
              </w:rPr>
              <w:t>50.7%</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i w:val="1"/>
                <w:iCs w:val="1"/>
                <w:color w:val="auto"/>
              </w:rPr>
              <w:t>51.3%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25.5%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i w:val="1"/>
                <w:iCs w:val="1"/>
                <w:color w:val="auto"/>
              </w:rPr>
              <w:t>26.0%</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7"/>
        </w:trPr>
        <w:tc>
          <w:tcPr>
            <w:tcW w:w="214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3,097</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3,157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2,502</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i w:val="1"/>
                <w:iCs w:val="1"/>
                <w:color w:val="auto"/>
              </w:rPr>
              <w:t>45.5%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40.8%</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9.0%</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11.0%</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Interest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2,792</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2,321</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Arial" w:cs="Arial" w:eastAsia="Arial" w:hAnsi="Arial"/>
                <w:sz w:val="16"/>
                <w:szCs w:val="16"/>
                <w:color w:val="auto"/>
              </w:rPr>
              <w:t>Equity in net income (loss) of</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6"/>
                <w:szCs w:val="16"/>
                <w:color w:val="auto"/>
              </w:rPr>
              <w:t>equity method investees</w:t>
            </w:r>
          </w:p>
        </w:tc>
        <w:tc>
          <w:tcPr>
            <w:tcW w:w="1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2,678</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316</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2,369</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140" w:type="dxa"/>
            <w:vAlign w:val="bottom"/>
          </w:tcPr>
          <w:p>
            <w:pPr>
              <w:ind w:left="160"/>
              <w:spacing w:after="0"/>
              <w:rPr>
                <w:sz w:val="20"/>
                <w:szCs w:val="20"/>
                <w:color w:val="auto"/>
              </w:rPr>
            </w:pPr>
            <w:r>
              <w:rPr>
                <w:rFonts w:ascii="Arial" w:cs="Arial" w:eastAsia="Arial" w:hAnsi="Arial"/>
                <w:sz w:val="16"/>
                <w:szCs w:val="16"/>
                <w:color w:val="auto"/>
              </w:rPr>
              <w:t>Net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2,678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316</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2,368</w:t>
            </w:r>
          </w:p>
        </w:tc>
        <w:tc>
          <w:tcPr>
            <w:tcW w:w="16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180</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155</w:t>
            </w:r>
          </w:p>
        </w:tc>
        <w:tc>
          <w:tcPr>
            <w:tcW w:w="20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59"/>
        </w:trPr>
        <w:tc>
          <w:tcPr>
            <w:tcW w:w="2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Micron</w:t>
            </w: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6"/>
                <w:szCs w:val="16"/>
                <w:color w:val="auto"/>
              </w:rPr>
              <w:t>Shares used in calculations</w:t>
            </w:r>
          </w:p>
        </w:tc>
        <w:tc>
          <w:tcPr>
            <w:tcW w:w="1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1,091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0.26</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2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80"/>
          </w:cols>
          <w:pgMar w:left="1320" w:top="580" w:right="1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1st Qtr.</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4th Qtr.</w:t>
            </w:r>
          </w:p>
        </w:tc>
        <w:tc>
          <w:tcPr>
            <w:tcW w:w="30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1st Qtr.</w:t>
            </w:r>
          </w:p>
        </w:tc>
        <w:tc>
          <w:tcPr>
            <w:tcW w:w="0" w:type="dxa"/>
            <w:vAlign w:val="bottom"/>
          </w:tcPr>
          <w:p>
            <w:pPr>
              <w:spacing w:after="0"/>
              <w:rPr>
                <w:sz w:val="1"/>
                <w:szCs w:val="1"/>
                <w:color w:val="auto"/>
              </w:rPr>
            </w:pPr>
          </w:p>
        </w:tc>
      </w:tr>
      <w:tr>
        <w:trPr>
          <w:trHeight w:val="252"/>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November 30,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August 31, 2017</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1, 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debt repurchases and conversions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(Gain) loss from changes in currency exchange rates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w w:val="96"/>
              </w:rPr>
              <w:t>Estimated tax effects of above and non-cash changes in net deferred income taxes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Equity in net income (loss) of equity method investments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Impairment of equity method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tables above reconcile GAAP to non-GAAP results,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w:t>
      </w:r>
    </w:p>
    <w:p>
      <w:pPr>
        <w:sectPr>
          <w:pgSz w:w="11900" w:h="16838" w:orient="portrait"/>
          <w:cols w:equalWidth="0" w:num="1">
            <w:col w:w="11420"/>
          </w:cols>
          <w:pgMar w:left="240" w:top="580" w:right="239" w:bottom="1440" w:gutter="0" w:footer="0" w:header="0"/>
        </w:sectPr>
      </w:pPr>
    </w:p>
    <w:bookmarkStart w:id="10" w:name="page11"/>
    <w:bookmarkEnd w:id="10"/>
    <w:p>
      <w:pPr>
        <w:ind w:right="320"/>
        <w:spacing w:after="0" w:line="264" w:lineRule="auto"/>
        <w:rPr>
          <w:sz w:val="20"/>
          <w:szCs w:val="20"/>
          <w:color w:val="auto"/>
        </w:rPr>
      </w:pPr>
      <w:r>
        <w:rPr>
          <w:rFonts w:ascii="Arial" w:cs="Arial" w:eastAsia="Arial" w:hAnsi="Arial"/>
          <w:sz w:val="18"/>
          <w:szCs w:val="18"/>
          <w:color w:val="auto"/>
        </w:rPr>
        <w:t>performance of our business, enabling enhanced comparison of our operating results between periods and with peer companies. The presentation of these adjusted amounts vary from numbers presented in accordance with U.S. GAAP and therefore may not be comparable to amounts reported by other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installment debt;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tax effects of above and non-cash changes in net deferred 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of equity method investments.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p>
      <w:pPr>
        <w:sectPr>
          <w:pgSz w:w="11900" w:h="16838" w:orient="portrait"/>
          <w:cols w:equalWidth="0" w:num="1">
            <w:col w:w="11360"/>
          </w:cols>
          <w:pgMar w:left="240" w:top="584" w:right="299" w:bottom="1440" w:gutter="0" w:footer="0" w:header="0"/>
        </w:sectPr>
      </w:pPr>
    </w:p>
    <w:bookmarkStart w:id="11" w:name="page12"/>
    <w:bookmarkEnd w:id="11"/>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33020</wp:posOffset>
            </wp:positionV>
            <wp:extent cx="5848985" cy="3293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sectPr>
      <w:pgSz w:w="11900" w:h="16838" w:orient="portrait"/>
      <w:cols w:equalWidth="0" w:num="1">
        <w:col w:w="10220"/>
      </w:cols>
      <w:pgMar w:left="14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2019-12-29T02:18:48Z</dcterms:created>
  <dcterms:modified xsi:type="dcterms:W3CDTF">2019-12-29T02:18:48Z</dcterms:modified>
</cp:coreProperties>
</file>