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288290</wp:posOffset>
            </wp:positionH>
            <wp:positionV relativeFrom="page">
              <wp:posOffset>586105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603250</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3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42"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16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May 22, 2020</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3074670</wp:posOffset>
            </wp:positionH>
            <wp:positionV relativeFrom="paragraph">
              <wp:posOffset>4445</wp:posOffset>
            </wp:positionV>
            <wp:extent cx="1034415" cy="28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4415" cy="28003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58"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71" w:lineRule="exact"/>
        <w:rPr>
          <w:sz w:val="24"/>
          <w:szCs w:val="24"/>
          <w:color w:val="auto"/>
        </w:rPr>
      </w:pPr>
    </w:p>
    <w:tbl>
      <w:tblPr>
        <w:tblLayout w:type="fixed"/>
        <w:tblInd w:w="8" w:type="dxa"/>
        <w:tblCellMar>
          <w:top w:w="0" w:type="dxa"/>
          <w:left w:w="0" w:type="dxa"/>
          <w:bottom w:w="0" w:type="dxa"/>
          <w:right w:w="0" w:type="dxa"/>
        </w:tblCellMar>
      </w:tblPr>
      <w:tr>
        <w:trPr>
          <w:trHeight w:val="163"/>
        </w:trPr>
        <w:tc>
          <w:tcPr>
            <w:tcW w:w="410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8"/>
              </w:rPr>
              <w:t>Delaware</w:t>
            </w:r>
          </w:p>
        </w:tc>
        <w:tc>
          <w:tcPr>
            <w:tcW w:w="328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b w:val="1"/>
                <w:bCs w:val="1"/>
                <w:color w:val="auto"/>
              </w:rPr>
              <w:t>1-10658</w:t>
            </w:r>
          </w:p>
        </w:tc>
        <w:tc>
          <w:tcPr>
            <w:tcW w:w="3920" w:type="dxa"/>
            <w:vAlign w:val="bottom"/>
            <w:tcBorders>
              <w:bottom w:val="single" w:sz="8" w:color="auto"/>
            </w:tcBorders>
          </w:tcPr>
          <w:p>
            <w:pPr>
              <w:jc w:val="right"/>
              <w:ind w:right="1660"/>
              <w:spacing w:after="0"/>
              <w:rPr>
                <w:sz w:val="20"/>
                <w:szCs w:val="20"/>
                <w:color w:val="auto"/>
              </w:rPr>
            </w:pPr>
            <w:r>
              <w:rPr>
                <w:rFonts w:ascii="Arial" w:cs="Arial" w:eastAsia="Arial" w:hAnsi="Arial"/>
                <w:sz w:val="12"/>
                <w:szCs w:val="12"/>
                <w:b w:val="1"/>
                <w:bCs w:val="1"/>
                <w:color w:val="auto"/>
              </w:rPr>
              <w:t>75-1618004</w:t>
            </w:r>
          </w:p>
        </w:tc>
      </w:tr>
      <w:tr>
        <w:trPr>
          <w:trHeight w:val="155"/>
        </w:trPr>
        <w:tc>
          <w:tcPr>
            <w:tcW w:w="4100" w:type="dxa"/>
            <w:vAlign w:val="bottom"/>
          </w:tcPr>
          <w:p>
            <w:pPr>
              <w:jc w:val="center"/>
              <w:ind w:left="20"/>
              <w:spacing w:after="0"/>
              <w:rPr>
                <w:sz w:val="20"/>
                <w:szCs w:val="20"/>
                <w:color w:val="auto"/>
              </w:rPr>
            </w:pPr>
            <w:r>
              <w:rPr>
                <w:rFonts w:ascii="Arial" w:cs="Arial" w:eastAsia="Arial" w:hAnsi="Arial"/>
                <w:sz w:val="12"/>
                <w:szCs w:val="12"/>
                <w:color w:val="auto"/>
                <w:w w:val="99"/>
              </w:rPr>
              <w:t>(State or other jurisdiction of incorporation)</w:t>
            </w:r>
          </w:p>
        </w:tc>
        <w:tc>
          <w:tcPr>
            <w:tcW w:w="3280" w:type="dxa"/>
            <w:vAlign w:val="bottom"/>
          </w:tcPr>
          <w:p>
            <w:pPr>
              <w:jc w:val="center"/>
              <w:ind w:right="20"/>
              <w:spacing w:after="0"/>
              <w:rPr>
                <w:sz w:val="20"/>
                <w:szCs w:val="20"/>
                <w:color w:val="auto"/>
              </w:rPr>
            </w:pPr>
            <w:r>
              <w:rPr>
                <w:rFonts w:ascii="Arial" w:cs="Arial" w:eastAsia="Arial" w:hAnsi="Arial"/>
                <w:sz w:val="12"/>
                <w:szCs w:val="12"/>
                <w:color w:val="auto"/>
              </w:rPr>
              <w:t>(Commission File Number)</w:t>
            </w:r>
          </w:p>
        </w:tc>
        <w:tc>
          <w:tcPr>
            <w:tcW w:w="3920" w:type="dxa"/>
            <w:vAlign w:val="bottom"/>
          </w:tcPr>
          <w:p>
            <w:pPr>
              <w:jc w:val="center"/>
              <w:ind w:right="120"/>
              <w:spacing w:after="0"/>
              <w:rPr>
                <w:sz w:val="20"/>
                <w:szCs w:val="20"/>
                <w:color w:val="auto"/>
              </w:rPr>
            </w:pPr>
            <w:r>
              <w:rPr>
                <w:rFonts w:ascii="Arial" w:cs="Arial" w:eastAsia="Arial" w:hAnsi="Arial"/>
                <w:sz w:val="12"/>
                <w:szCs w:val="12"/>
                <w:color w:val="auto"/>
              </w:rPr>
              <w:t>(I.R.S. Employer Identification No.)</w:t>
            </w:r>
          </w:p>
        </w:tc>
      </w:tr>
    </w:tbl>
    <w:p>
      <w:pPr>
        <w:spacing w:after="0" w:line="264" w:lineRule="exact"/>
        <w:rPr>
          <w:sz w:val="24"/>
          <w:szCs w:val="24"/>
          <w:color w:val="auto"/>
        </w:rPr>
      </w:pPr>
    </w:p>
    <w:p>
      <w:pPr>
        <w:ind w:left="4968"/>
        <w:spacing w:after="0"/>
        <w:rPr>
          <w:sz w:val="20"/>
          <w:szCs w:val="20"/>
          <w:color w:val="auto"/>
        </w:rPr>
      </w:pPr>
      <w:r>
        <w:rPr>
          <w:rFonts w:ascii="Arial" w:cs="Arial" w:eastAsia="Arial" w:hAnsi="Arial"/>
          <w:sz w:val="12"/>
          <w:szCs w:val="12"/>
          <w:b w:val="1"/>
          <w:bCs w:val="1"/>
          <w:color w:val="auto"/>
        </w:rPr>
        <w:t>8000 South Federal Way</w:t>
      </w:r>
    </w:p>
    <w:p>
      <w:pPr>
        <w:spacing w:after="0" w:line="24" w:lineRule="exact"/>
        <w:rPr>
          <w:sz w:val="24"/>
          <w:szCs w:val="24"/>
          <w:color w:val="auto"/>
        </w:rPr>
      </w:pPr>
    </w:p>
    <w:p>
      <w:pPr>
        <w:ind w:left="4968"/>
        <w:spacing w:after="0"/>
        <w:rPr>
          <w:sz w:val="20"/>
          <w:szCs w:val="20"/>
          <w:color w:val="auto"/>
        </w:rPr>
      </w:pPr>
      <w:r>
        <w:rPr>
          <w:rFonts w:ascii="Arial" w:cs="Arial" w:eastAsia="Arial" w:hAnsi="Arial"/>
          <w:sz w:val="12"/>
          <w:szCs w:val="12"/>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1954530</wp:posOffset>
            </wp:positionH>
            <wp:positionV relativeFrom="paragraph">
              <wp:posOffset>13335</wp:posOffset>
            </wp:positionV>
            <wp:extent cx="3268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8980" cy="5715"/>
                    </a:xfrm>
                    <a:prstGeom prst="rect">
                      <a:avLst/>
                    </a:prstGeom>
                    <a:noFill/>
                  </pic:spPr>
                </pic:pic>
              </a:graphicData>
            </a:graphic>
          </wp:anchor>
        </w:drawing>
      </w:r>
    </w:p>
    <w:p>
      <w:pPr>
        <w:spacing w:after="0" w:line="27"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(Address of principal executive offices)</w:t>
      </w:r>
    </w:p>
    <w:p>
      <w:pPr>
        <w:spacing w:after="0" w:line="26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13335</wp:posOffset>
            </wp:positionV>
            <wp:extent cx="32632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3265" cy="5715"/>
                    </a:xfrm>
                    <a:prstGeom prst="rect">
                      <a:avLst/>
                    </a:prstGeom>
                    <a:noFill/>
                  </pic:spPr>
                </pic:pic>
              </a:graphicData>
            </a:graphic>
          </wp:anchor>
        </w:drawing>
      </w:r>
    </w:p>
    <w:p>
      <w:pPr>
        <w:spacing w:after="0" w:line="27"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(Registrant’s telephone number, including area code)</w:t>
      </w:r>
    </w:p>
    <w:p>
      <w:pPr>
        <w:spacing w:after="0" w:line="249"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45"/>
        </w:trPr>
        <w:tc>
          <w:tcPr>
            <w:tcW w:w="47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20" w:type="dxa"/>
            <w:vAlign w:val="bottom"/>
          </w:tcPr>
          <w:p>
            <w:pPr>
              <w:spacing w:after="0"/>
              <w:rPr>
                <w:sz w:val="12"/>
                <w:szCs w:val="12"/>
                <w:color w:val="auto"/>
              </w:rPr>
            </w:pPr>
          </w:p>
        </w:tc>
      </w:tr>
      <w:tr>
        <w:trPr>
          <w:trHeight w:val="185"/>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Title of each class</w:t>
            </w:r>
          </w:p>
        </w:tc>
        <w:tc>
          <w:tcPr>
            <w:tcW w:w="1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Trading symbol</w:t>
            </w:r>
          </w:p>
        </w:tc>
        <w:tc>
          <w:tcPr>
            <w:tcW w:w="8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55"/>
        </w:trPr>
        <w:tc>
          <w:tcPr>
            <w:tcW w:w="4740" w:type="dxa"/>
            <w:vAlign w:val="bottom"/>
            <w:gridSpan w:val="2"/>
          </w:tcPr>
          <w:p>
            <w:pPr>
              <w:jc w:val="center"/>
              <w:ind w:right="80"/>
              <w:spacing w:after="0"/>
              <w:rPr>
                <w:sz w:val="20"/>
                <w:szCs w:val="20"/>
                <w:color w:val="auto"/>
              </w:rPr>
            </w:pPr>
            <w:r>
              <w:rPr>
                <w:rFonts w:ascii="Arial" w:cs="Arial" w:eastAsia="Arial" w:hAnsi="Arial"/>
                <w:sz w:val="12"/>
                <w:szCs w:val="12"/>
                <w:color w:val="auto"/>
              </w:rPr>
              <w:t>Common Stock, par value $0.10 per share</w:t>
            </w:r>
          </w:p>
        </w:tc>
        <w:tc>
          <w:tcPr>
            <w:tcW w:w="1920" w:type="dxa"/>
            <w:vAlign w:val="bottom"/>
            <w:gridSpan w:val="2"/>
          </w:tcPr>
          <w:p>
            <w:pPr>
              <w:jc w:val="center"/>
              <w:ind w:right="80"/>
              <w:spacing w:after="0"/>
              <w:rPr>
                <w:sz w:val="20"/>
                <w:szCs w:val="20"/>
                <w:color w:val="auto"/>
              </w:rPr>
            </w:pPr>
            <w:r>
              <w:rPr>
                <w:rFonts w:ascii="Arial" w:cs="Arial" w:eastAsia="Arial" w:hAnsi="Arial"/>
                <w:sz w:val="12"/>
                <w:szCs w:val="12"/>
                <w:color w:val="auto"/>
              </w:rPr>
              <w:t>MU</w:t>
            </w:r>
          </w:p>
        </w:tc>
        <w:tc>
          <w:tcPr>
            <w:tcW w:w="4620" w:type="dxa"/>
            <w:vAlign w:val="bottom"/>
          </w:tcPr>
          <w:p>
            <w:pPr>
              <w:jc w:val="center"/>
              <w:spacing w:after="0"/>
              <w:rPr>
                <w:sz w:val="20"/>
                <w:szCs w:val="20"/>
                <w:color w:val="auto"/>
              </w:rPr>
            </w:pPr>
            <w:r>
              <w:rPr>
                <w:rFonts w:ascii="Arial" w:cs="Arial" w:eastAsia="Arial" w:hAnsi="Arial"/>
                <w:sz w:val="12"/>
                <w:szCs w:val="12"/>
                <w:color w:val="auto"/>
                <w:w w:val="99"/>
              </w:rPr>
              <w:t>Nasdaq Global Select Market</w:t>
            </w:r>
          </w:p>
        </w:tc>
      </w:tr>
    </w:tbl>
    <w:p>
      <w:pPr>
        <w:spacing w:after="0" w:line="80" w:lineRule="exact"/>
        <w:rPr>
          <w:sz w:val="24"/>
          <w:szCs w:val="24"/>
          <w:color w:val="auto"/>
        </w:rPr>
      </w:pPr>
    </w:p>
    <w:p>
      <w:pPr>
        <w:ind w:left="8" w:right="140"/>
        <w:spacing w:after="0" w:line="24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9" w:lineRule="exact"/>
        <w:rPr>
          <w:sz w:val="24"/>
          <w:szCs w:val="24"/>
          <w:color w:val="auto"/>
        </w:rPr>
      </w:pPr>
    </w:p>
    <w:p>
      <w:pPr>
        <w:ind w:left="8" w:right="2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558165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15240</wp:posOffset>
            </wp:positionV>
            <wp:extent cx="697801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32385</wp:posOffset>
            </wp:positionV>
            <wp:extent cx="69780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015" cy="5715"/>
                    </a:xfrm>
                    <a:prstGeom prst="rect">
                      <a:avLst/>
                    </a:prstGeom>
                    <a:noFill/>
                  </pic:spPr>
                </pic:pic>
              </a:graphicData>
            </a:graphic>
          </wp:anchor>
        </w:drawing>
      </w:r>
    </w:p>
    <w:p>
      <w:pPr>
        <w:sectPr>
          <w:pgSz w:w="11900" w:h="16838" w:orient="portrait"/>
          <w:cols w:equalWidth="0" w:num="1">
            <w:col w:w="11308"/>
          </w:cols>
          <w:pgMar w:left="292" w:top="1166" w:right="2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326" w:lineRule="exact"/>
        <w:rPr>
          <w:sz w:val="20"/>
          <w:szCs w:val="20"/>
          <w:color w:val="auto"/>
        </w:rPr>
      </w:pPr>
    </w:p>
    <w:p>
      <w:pPr>
        <w:ind w:right="180"/>
        <w:spacing w:after="0" w:line="246" w:lineRule="auto"/>
        <w:rPr>
          <w:sz w:val="20"/>
          <w:szCs w:val="20"/>
          <w:color w:val="auto"/>
        </w:rPr>
      </w:pPr>
      <w:r>
        <w:rPr>
          <w:rFonts w:ascii="Arial" w:cs="Arial" w:eastAsia="Arial" w:hAnsi="Arial"/>
          <w:sz w:val="12"/>
          <w:szCs w:val="12"/>
          <w:color w:val="auto"/>
        </w:rPr>
        <w:t>On May 22, 2020, Micron Technology, Inc. (the “Company”) made available on its investor relations website, investors.micron.com, a webcast including the presentation titled, “Winning in the 5G Era”, dated May 2020, attached to this Current Report on Form 8-K (the “Current Report”) as Exhibit 99.1. Exhibit 99.1 is incorporated by reference herein.</w:t>
      </w:r>
    </w:p>
    <w:p>
      <w:pPr>
        <w:spacing w:after="0" w:line="149"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The Company uses its investor relations website as a routine channel for distribution of important information, including news releases, analyst presentations, and financial information. The Company’s filings are available free of charge on its website as soon as reasonably practicable after they are electronically filed with, or furnished to, the U.S. Securities and Exchange Commission (“SEC”), including the Company’s annual and quarterly reports on Forms 10-K and 10-Q and current reports on Form 8-K, its proxy statements, and any amendments to those reports or statements. The SEC’s website, www.sec.gov, contains reports, proxy and information statements, and other information regarding issuers that file electronically with the SEC. The content on any website referred to in this Current Report is not incorporated by reference in this Current Report unless expressly noted.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4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996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42"/>
        </w:trPr>
        <w:tc>
          <w:tcPr>
            <w:tcW w:w="1340" w:type="dxa"/>
            <w:vAlign w:val="bottom"/>
          </w:tcPr>
          <w:p>
            <w:pPr>
              <w:spacing w:after="0"/>
              <w:rPr>
                <w:sz w:val="24"/>
                <w:szCs w:val="24"/>
                <w:color w:val="auto"/>
              </w:rPr>
            </w:pPr>
          </w:p>
        </w:tc>
        <w:tc>
          <w:tcPr>
            <w:tcW w:w="9960" w:type="dxa"/>
            <w:vAlign w:val="bottom"/>
            <w:gridSpan w:val="3"/>
          </w:tcPr>
          <w:p>
            <w:pPr>
              <w:ind w:left="20"/>
              <w:spacing w:after="0"/>
              <w:rPr>
                <w:sz w:val="20"/>
                <w:szCs w:val="20"/>
                <w:color w:val="auto"/>
              </w:rPr>
            </w:pPr>
            <w:r>
              <w:rPr>
                <w:rFonts w:ascii="Arial" w:cs="Arial" w:eastAsia="Arial" w:hAnsi="Arial"/>
                <w:sz w:val="12"/>
                <w:szCs w:val="12"/>
                <w:color w:val="auto"/>
              </w:rPr>
              <w:t>(d) Exhibits.</w:t>
            </w:r>
          </w:p>
        </w:tc>
      </w:tr>
      <w:tr>
        <w:trPr>
          <w:trHeight w:val="590"/>
        </w:trPr>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Exhibit No.</w:t>
            </w:r>
          </w:p>
        </w:tc>
        <w:tc>
          <w:tcPr>
            <w:tcW w:w="260" w:type="dxa"/>
            <w:vAlign w:val="bottom"/>
          </w:tcPr>
          <w:p>
            <w:pPr>
              <w:spacing w:after="0"/>
              <w:rPr>
                <w:sz w:val="24"/>
                <w:szCs w:val="24"/>
                <w:color w:val="auto"/>
              </w:rPr>
            </w:pPr>
          </w:p>
        </w:tc>
        <w:tc>
          <w:tcPr>
            <w:tcW w:w="96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24"/>
                <w:szCs w:val="24"/>
                <w:color w:val="auto"/>
              </w:rPr>
            </w:pPr>
          </w:p>
        </w:tc>
      </w:tr>
      <w:tr>
        <w:trPr>
          <w:trHeight w:val="164"/>
        </w:trPr>
        <w:tc>
          <w:tcPr>
            <w:tcW w:w="1340" w:type="dxa"/>
            <w:vAlign w:val="bottom"/>
          </w:tcPr>
          <w:p>
            <w:pPr>
              <w:jc w:val="right"/>
              <w:ind w:right="500"/>
              <w:spacing w:after="0"/>
              <w:rPr>
                <w:sz w:val="20"/>
                <w:szCs w:val="20"/>
                <w:color w:val="auto"/>
              </w:rPr>
            </w:pPr>
            <w:r>
              <w:rPr>
                <w:rFonts w:ascii="Arial" w:cs="Arial" w:eastAsia="Arial" w:hAnsi="Arial"/>
                <w:sz w:val="12"/>
                <w:szCs w:val="12"/>
                <w:color w:val="auto"/>
              </w:rPr>
              <w:t>99.1</w:t>
            </w:r>
          </w:p>
        </w:tc>
        <w:tc>
          <w:tcPr>
            <w:tcW w:w="260" w:type="dxa"/>
            <w:vAlign w:val="bottom"/>
          </w:tcPr>
          <w:p>
            <w:pPr>
              <w:spacing w:after="0"/>
              <w:rPr>
                <w:sz w:val="14"/>
                <w:szCs w:val="14"/>
                <w:color w:val="auto"/>
              </w:rPr>
            </w:pPr>
          </w:p>
        </w:tc>
        <w:tc>
          <w:tcPr>
            <w:tcW w:w="9700" w:type="dxa"/>
            <w:vAlign w:val="bottom"/>
            <w:gridSpan w:val="2"/>
          </w:tcPr>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Presentation, dated May 2020</w:t>
              </w:r>
            </w:hyperlink>
          </w:p>
        </w:tc>
      </w:tr>
      <w:tr>
        <w:trPr>
          <w:trHeight w:val="162"/>
        </w:trPr>
        <w:tc>
          <w:tcPr>
            <w:tcW w:w="1340" w:type="dxa"/>
            <w:vAlign w:val="bottom"/>
          </w:tcPr>
          <w:p>
            <w:pPr>
              <w:jc w:val="right"/>
              <w:ind w:right="520"/>
              <w:spacing w:after="0"/>
              <w:rPr>
                <w:sz w:val="20"/>
                <w:szCs w:val="20"/>
                <w:color w:val="auto"/>
              </w:rPr>
            </w:pPr>
            <w:r>
              <w:rPr>
                <w:rFonts w:ascii="Arial" w:cs="Arial" w:eastAsia="Arial" w:hAnsi="Arial"/>
                <w:sz w:val="12"/>
                <w:szCs w:val="12"/>
                <w:color w:val="auto"/>
              </w:rPr>
              <w:t>104</w:t>
            </w:r>
          </w:p>
        </w:tc>
        <w:tc>
          <w:tcPr>
            <w:tcW w:w="26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28"/>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sectPr>
      </w:pPr>
    </w:p>
    <w:bookmarkStart w:id="2" w:name="page3"/>
    <w:bookmarkEnd w:id="2"/>
    <w:p>
      <w:pPr>
        <w:ind w:left="5300"/>
        <w:spacing w:after="0"/>
        <w:rPr>
          <w:sz w:val="20"/>
          <w:szCs w:val="20"/>
          <w:color w:val="auto"/>
        </w:rPr>
      </w:pPr>
      <w:r>
        <w:rPr>
          <w:rFonts w:ascii="Arial" w:cs="Arial" w:eastAsia="Arial" w:hAnsi="Arial"/>
          <w:sz w:val="12"/>
          <w:szCs w:val="12"/>
          <w:b w:val="1"/>
          <w:bCs w:val="1"/>
          <w:color w:val="auto"/>
        </w:rPr>
        <w:t>SIGNATURE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220" w:type="dxa"/>
            <w:vAlign w:val="bottom"/>
            <w:gridSpan w:val="2"/>
          </w:tcPr>
          <w:p>
            <w:pPr>
              <w:ind w:left="2020"/>
              <w:spacing w:after="0"/>
              <w:rPr>
                <w:sz w:val="20"/>
                <w:szCs w:val="20"/>
                <w:color w:val="auto"/>
              </w:rPr>
            </w:pPr>
            <w:r>
              <w:rPr>
                <w:rFonts w:ascii="Arial" w:cs="Arial" w:eastAsia="Arial" w:hAnsi="Arial"/>
                <w:sz w:val="12"/>
                <w:szCs w:val="12"/>
                <w:b w:val="1"/>
                <w:bCs w:val="1"/>
                <w:color w:val="auto"/>
              </w:rPr>
              <w:t>MICRON TECHNOLOGY, INC.</w:t>
            </w:r>
          </w:p>
        </w:tc>
      </w:tr>
      <w:tr>
        <w:trPr>
          <w:trHeight w:val="513"/>
        </w:trPr>
        <w:tc>
          <w:tcPr>
            <w:tcW w:w="520" w:type="dxa"/>
            <w:vAlign w:val="bottom"/>
          </w:tcPr>
          <w:p>
            <w:pPr>
              <w:spacing w:after="0"/>
              <w:rPr>
                <w:sz w:val="20"/>
                <w:szCs w:val="20"/>
                <w:color w:val="auto"/>
              </w:rPr>
            </w:pPr>
            <w:r>
              <w:rPr>
                <w:rFonts w:ascii="Arial" w:cs="Arial" w:eastAsia="Arial" w:hAnsi="Arial"/>
                <w:sz w:val="12"/>
                <w:szCs w:val="12"/>
                <w:color w:val="auto"/>
              </w:rPr>
              <w:t>Date:</w:t>
            </w:r>
          </w:p>
        </w:tc>
        <w:tc>
          <w:tcPr>
            <w:tcW w:w="2980" w:type="dxa"/>
            <w:vAlign w:val="bottom"/>
          </w:tcPr>
          <w:p>
            <w:pPr>
              <w:ind w:left="240"/>
              <w:spacing w:after="0"/>
              <w:rPr>
                <w:sz w:val="20"/>
                <w:szCs w:val="20"/>
                <w:color w:val="auto"/>
              </w:rPr>
            </w:pPr>
            <w:r>
              <w:rPr>
                <w:rFonts w:ascii="Arial" w:cs="Arial" w:eastAsia="Arial" w:hAnsi="Arial"/>
                <w:sz w:val="12"/>
                <w:szCs w:val="12"/>
                <w:color w:val="auto"/>
              </w:rPr>
              <w:t>May 22, 2020</w:t>
            </w:r>
          </w:p>
        </w:tc>
        <w:tc>
          <w:tcPr>
            <w:tcW w:w="2920" w:type="dxa"/>
            <w:vAlign w:val="bottom"/>
          </w:tcPr>
          <w:p>
            <w:pPr>
              <w:ind w:left="2020"/>
              <w:spacing w:after="0"/>
              <w:rPr>
                <w:sz w:val="20"/>
                <w:szCs w:val="20"/>
                <w:color w:val="auto"/>
              </w:rPr>
            </w:pPr>
            <w:r>
              <w:rPr>
                <w:rFonts w:ascii="Arial" w:cs="Arial" w:eastAsia="Arial" w:hAnsi="Arial"/>
                <w:sz w:val="12"/>
                <w:szCs w:val="1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/s/ David A. Zinsner</w:t>
            </w:r>
          </w:p>
        </w:tc>
      </w:tr>
      <w:tr>
        <w:trPr>
          <w:trHeight w:val="160"/>
        </w:trPr>
        <w:tc>
          <w:tcPr>
            <w:tcW w:w="5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920" w:type="dxa"/>
            <w:vAlign w:val="bottom"/>
          </w:tcPr>
          <w:p>
            <w:pPr>
              <w:ind w:left="2020"/>
              <w:spacing w:after="0"/>
              <w:rPr>
                <w:sz w:val="20"/>
                <w:szCs w:val="20"/>
                <w:color w:val="auto"/>
              </w:rPr>
            </w:pPr>
            <w:r>
              <w:rPr>
                <w:rFonts w:ascii="Arial" w:cs="Arial" w:eastAsia="Arial" w:hAnsi="Arial"/>
                <w:sz w:val="12"/>
                <w:szCs w:val="12"/>
                <w:color w:val="auto"/>
              </w:rPr>
              <w:t>Name:</w:t>
            </w:r>
          </w:p>
        </w:tc>
        <w:tc>
          <w:tcPr>
            <w:tcW w:w="4300" w:type="dxa"/>
            <w:vAlign w:val="bottom"/>
          </w:tcPr>
          <w:p>
            <w:pPr>
              <w:ind w:left="20"/>
              <w:spacing w:after="0"/>
              <w:rPr>
                <w:sz w:val="20"/>
                <w:szCs w:val="20"/>
                <w:color w:val="auto"/>
              </w:rPr>
            </w:pPr>
            <w:r>
              <w:rPr>
                <w:rFonts w:ascii="Arial" w:cs="Arial" w:eastAsia="Arial" w:hAnsi="Arial"/>
                <w:sz w:val="12"/>
                <w:szCs w:val="12"/>
                <w:color w:val="auto"/>
              </w:rPr>
              <w:t>David A. Zinsner</w:t>
            </w:r>
          </w:p>
        </w:tc>
      </w:tr>
      <w:tr>
        <w:trPr>
          <w:trHeight w:val="171"/>
        </w:trPr>
        <w:tc>
          <w:tcPr>
            <w:tcW w:w="5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20" w:type="dxa"/>
            <w:vAlign w:val="bottom"/>
          </w:tcPr>
          <w:p>
            <w:pPr>
              <w:ind w:left="2020"/>
              <w:spacing w:after="0"/>
              <w:rPr>
                <w:sz w:val="20"/>
                <w:szCs w:val="20"/>
                <w:color w:val="auto"/>
              </w:rPr>
            </w:pPr>
            <w:r>
              <w:rPr>
                <w:rFonts w:ascii="Arial" w:cs="Arial" w:eastAsia="Arial" w:hAnsi="Arial"/>
                <w:sz w:val="12"/>
                <w:szCs w:val="12"/>
                <w:color w:val="auto"/>
              </w:rPr>
              <w:t>Title:</w:t>
            </w:r>
          </w:p>
        </w:tc>
        <w:tc>
          <w:tcPr>
            <w:tcW w:w="4300" w:type="dxa"/>
            <w:vAlign w:val="bottom"/>
          </w:tcPr>
          <w:p>
            <w:pPr>
              <w:ind w:left="20"/>
              <w:spacing w:after="0"/>
              <w:rPr>
                <w:sz w:val="20"/>
                <w:szCs w:val="20"/>
                <w:color w:val="auto"/>
              </w:rPr>
            </w:pPr>
            <w:r>
              <w:rPr>
                <w:rFonts w:ascii="Arial" w:cs="Arial" w:eastAsia="Arial" w:hAnsi="Arial"/>
                <w:sz w:val="12"/>
                <w:szCs w:val="12"/>
                <w:color w:val="auto"/>
              </w:rPr>
              <w:t>Senior Vice President and Chief Financial Officer</w:t>
            </w:r>
          </w:p>
        </w:tc>
      </w:tr>
    </w:tbl>
    <w:p>
      <w:pPr>
        <w:sectPr>
          <w:pgSz w:w="11900" w:h="16838" w:orient="portrait"/>
          <w:cols w:equalWidth="0" w:num="1">
            <w:col w:w="10720"/>
          </w:cols>
          <w:pgMar w:left="300" w:top="800" w:right="8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2020-05-22T12:47:43Z</dcterms:created>
  <dcterms:modified xsi:type="dcterms:W3CDTF">2020-05-22T12:47:43Z</dcterms:modified>
</cp:coreProperties>
</file>