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394,675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transferred from a revocable trust to a grantor retained annuity trust. All trusts are for the benefit of the Reporting Person and his family.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2654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2025-04-25T15:39:48Z</dcterms:created>
  <dcterms:modified xsi:type="dcterms:W3CDTF">2025-04-25T15:39:48Z</dcterms:modified>
</cp:coreProperties>
</file>