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6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80" w:type="dxa"/>
            <w:vAlign w:val="bottom"/>
            <w:gridSpan w:val="22"/>
            <w:vMerge w:val="restart"/>
          </w:tcPr>
          <w:p>
            <w:pPr>
              <w:jc w:val="center"/>
              <w:ind w:left="8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8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  <w:vMerge w:val="restart"/>
          </w:tcPr>
          <w:p>
            <w:pPr>
              <w:jc w:val="center"/>
              <w:ind w:lef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MEHROTRA SANJAY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jc w:val="center"/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2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1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689,529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222,061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629,529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282,061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2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8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transferred from a grantor retained annuity trust back to a revocable trust. All trusts are for the benefit of the reporting person and his family.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Grantor retained annuity trust for the benefit of the reporting person and his family.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-7341870</wp:posOffset>
            </wp:positionV>
            <wp:extent cx="7044055" cy="62083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0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42654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2022-10-11T19:19:44Z</dcterms:created>
  <dcterms:modified xsi:type="dcterms:W3CDTF">2022-10-11T19:19:44Z</dcterms:modified>
</cp:coreProperties>
</file>