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-233045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-614680</wp:posOffset>
            </wp:positionV>
            <wp:extent cx="57785" cy="628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18415</wp:posOffset>
            </wp:positionV>
            <wp:extent cx="6996430" cy="922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922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9" w:right="359" w:bottom="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MEHROTRA SANJAY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3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8000 S. FEDERAL WAY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83716</w:t>
            </w:r>
          </w:p>
        </w:tc>
      </w:tr>
      <w:tr>
        <w:trPr>
          <w:trHeight w:val="45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5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MU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4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0" w:right="42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119,176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702,038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89,045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791,083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42,056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749,027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35,363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784,390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16,720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767,670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7,264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774,934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3,773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771,161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7,264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778,425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3,773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774,652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34,385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(6)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809,037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17,857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791,180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29,105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69.75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762,075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10/15/2023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37,205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724,870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10/16/2023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29,433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69.21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695,437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601,257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89,045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44,523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35,363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37,620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0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7,264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22,013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22,014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3"/>
              </w:rPr>
              <w:t>7,264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22,013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22,014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4"/>
              </w:rPr>
              <w:t>34,385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36,973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36,973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-3192145</wp:posOffset>
            </wp:positionV>
            <wp:extent cx="28575" cy="3197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9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1" w:hanging="121"/>
        <w:spacing w:after="0"/>
        <w:tabs>
          <w:tab w:leader="none" w:pos="12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vests in 33 1/3% increments annually on the anniversary of the grant.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" w:right="120" w:hanging="1"/>
        <w:spacing w:after="0" w:line="251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pre-established performance goals related to NAND delivery and solutions at 200% of target under the performance-based restricted stock units ("PRSU") with a 3-year performance period previously awarded on October 16, 2020. As reported at grant, the PRSU could result in a payout (if earned) that varies (starting at 0%) based on actual achievement of the goals, subject to a 200% aggregate limit on the total target shares that may be received under the PRSUs awarded on October 16, 2020.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2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" w:right="140" w:hanging="1"/>
        <w:spacing w:after="0" w:line="280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Compensation Committee certified achievement of pre-established performance goals related to relative total shareholder return at a level of 93% of target under the performance-based restricted stock units ("PRSU") with a 3-year performance period previously awarded on October 16, 2020. As reported at grant, the PRSU could result in a payout (if earned) that varies (starting at 0%) based on actual achievement of the goals, subject to a 200% aggregate limit on the total target shares that may be received under the PRSUs awarded on October 16, 2020.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8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jc w:val="both"/>
        <w:ind w:left="1" w:hanging="1"/>
        <w:spacing w:after="0" w:line="231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pre-established performance goals at a level of 33% of target under the performance-based restricted stock units ("PRSU") with a 3-year performance period previously awarded on October 13, 2021. As reported at grant, the PRSU could result in a payout (if earned) that varies (starting at 0%) based on actual achievement of the goals, subject to a 200% aggregate limit on the total target shares that may be received under the PRSUs awarded on October 13, 2021.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1" w:right="140" w:hanging="1"/>
        <w:spacing w:after="0" w:line="255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pre-established performance goals related to relative total shareholder return at a level of 93% of target under the performance-based restricted stock units ("PRSU") with a 3-year performance period previously awarded on October 13, 2021. As reported at grant, the PRSU could result in a payout (if earned) that varies (starting at 0%) based on actual achievement of the goals, subject to a 200% aggregate limit on the total target shares that may be received under the PRSU awarded on October 13, 2021.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Grantor retained annuity trusts are for the benefit of the Reporting Person and his family.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" w:right="160" w:hanging="1"/>
        <w:spacing w:after="0" w:line="261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PRSUs awarded on October 16, 2020),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1" w:right="140" w:hanging="1"/>
        <w:spacing w:after="0" w:line="261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PRSUs awarded on October 16, 2020),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80" w:hanging="1"/>
        <w:spacing w:after="0" w:line="261" w:lineRule="auto"/>
        <w:tabs>
          <w:tab w:leader="none" w:pos="19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Data Center NAND delivery and solutions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20" w:hanging="1"/>
        <w:spacing w:after="0" w:line="261" w:lineRule="auto"/>
        <w:tabs>
          <w:tab w:leader="none" w:pos="18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High Value NAND delivery and solutions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" w:right="80" w:hanging="1"/>
        <w:spacing w:after="0" w:line="261" w:lineRule="auto"/>
        <w:tabs>
          <w:tab w:leader="none" w:pos="19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relative total shareholder return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6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10/17/2023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3600" w:hanging="1"/>
        <w:spacing w:after="0" w:line="326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1"/>
      </w:cols>
      <w:pgMar w:left="499" w:top="131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2023-10-17T19:24:28Z</dcterms:created>
  <dcterms:modified xsi:type="dcterms:W3CDTF">2023-10-17T19:24:28Z</dcterms:modified>
</cp:coreProperties>
</file>