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854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CVP,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Restricted Stock Units will vest on January 19, 2023, and the remaining shares will vest in 12 equal quarterly installments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01/21/2022</w:t>
            </w:r>
          </w:p>
        </w:tc>
      </w:tr>
      <w:tr>
        <w:trPr>
          <w:trHeight w:val="22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2022-01-21T18:54:40Z</dcterms:created>
  <dcterms:modified xsi:type="dcterms:W3CDTF">2022-01-21T18:54:40Z</dcterms:modified>
</cp:coreProperties>
</file>