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380" w:type="dxa"/>
        <w:tblCellMar>
          <w:top w:w="0" w:type="dxa"/>
          <w:left w:w="0" w:type="dxa"/>
          <w:bottom w:w="0" w:type="dxa"/>
          <w:right w:w="0" w:type="dxa"/>
        </w:tblCellMar>
      </w:tblPr>
      <w:tr>
        <w:trPr>
          <w:trHeight w:val="378"/>
        </w:trPr>
        <w:tc>
          <w:tcPr>
            <w:tcW w:w="1120" w:type="dxa"/>
            <w:vAlign w:val="bottom"/>
          </w:tcPr>
          <w:p>
            <w:pPr>
              <w:spacing w:after="0"/>
              <w:rPr>
                <w:sz w:val="24"/>
                <w:szCs w:val="24"/>
                <w:color w:val="auto"/>
              </w:rPr>
            </w:pPr>
          </w:p>
        </w:tc>
        <w:tc>
          <w:tcPr>
            <w:tcW w:w="9440" w:type="dxa"/>
            <w:vAlign w:val="bottom"/>
          </w:tcPr>
          <w:p>
            <w:pPr>
              <w:jc w:val="center"/>
              <w:ind w:right="1095"/>
              <w:spacing w:after="0"/>
              <w:rPr>
                <w:sz w:val="20"/>
                <w:szCs w:val="20"/>
                <w:color w:val="auto"/>
              </w:rPr>
            </w:pPr>
            <w:r>
              <w:rPr>
                <w:rFonts w:ascii="Arial" w:cs="Arial" w:eastAsia="Arial" w:hAnsi="Arial"/>
                <w:sz w:val="32"/>
                <w:szCs w:val="32"/>
                <w:b w:val="1"/>
                <w:bCs w:val="1"/>
                <w:color w:val="auto"/>
                <w:w w:val="99"/>
              </w:rPr>
              <w:t>UNITED STATES</w:t>
            </w:r>
          </w:p>
        </w:tc>
        <w:tc>
          <w:tcPr>
            <w:tcW w:w="0" w:type="dxa"/>
            <w:vAlign w:val="bottom"/>
          </w:tcPr>
          <w:p>
            <w:pPr>
              <w:spacing w:after="0"/>
              <w:rPr>
                <w:sz w:val="1"/>
                <w:szCs w:val="1"/>
                <w:color w:val="auto"/>
              </w:rPr>
            </w:pPr>
          </w:p>
        </w:tc>
      </w:tr>
      <w:tr>
        <w:trPr>
          <w:trHeight w:val="405"/>
        </w:trPr>
        <w:tc>
          <w:tcPr>
            <w:tcW w:w="1120" w:type="dxa"/>
            <w:vAlign w:val="bottom"/>
          </w:tcPr>
          <w:p>
            <w:pPr>
              <w:spacing w:after="0"/>
              <w:rPr>
                <w:sz w:val="24"/>
                <w:szCs w:val="24"/>
                <w:color w:val="auto"/>
              </w:rPr>
            </w:pPr>
          </w:p>
        </w:tc>
        <w:tc>
          <w:tcPr>
            <w:tcW w:w="9440" w:type="dxa"/>
            <w:vAlign w:val="bottom"/>
          </w:tcPr>
          <w:p>
            <w:pPr>
              <w:jc w:val="center"/>
              <w:ind w:right="1075"/>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51"/>
        </w:trPr>
        <w:tc>
          <w:tcPr>
            <w:tcW w:w="1120" w:type="dxa"/>
            <w:vAlign w:val="bottom"/>
          </w:tcPr>
          <w:p>
            <w:pPr>
              <w:spacing w:after="0"/>
              <w:rPr>
                <w:sz w:val="21"/>
                <w:szCs w:val="21"/>
                <w:color w:val="auto"/>
              </w:rPr>
            </w:pPr>
          </w:p>
        </w:tc>
        <w:tc>
          <w:tcPr>
            <w:tcW w:w="9440" w:type="dxa"/>
            <w:vAlign w:val="bottom"/>
          </w:tcPr>
          <w:p>
            <w:pPr>
              <w:jc w:val="center"/>
              <w:ind w:right="1095"/>
              <w:spacing w:after="0"/>
              <w:rPr>
                <w:sz w:val="20"/>
                <w:szCs w:val="20"/>
                <w:color w:val="auto"/>
              </w:rPr>
            </w:pPr>
            <w:r>
              <w:rPr>
                <w:rFonts w:ascii="Arial" w:cs="Arial" w:eastAsia="Arial" w:hAnsi="Arial"/>
                <w:sz w:val="18"/>
                <w:szCs w:val="18"/>
                <w:b w:val="1"/>
                <w:bCs w:val="1"/>
                <w:color w:val="auto"/>
                <w:w w:val="99"/>
              </w:rPr>
              <w:t>Washington, D.C.  20549</w:t>
            </w:r>
          </w:p>
        </w:tc>
        <w:tc>
          <w:tcPr>
            <w:tcW w:w="0" w:type="dxa"/>
            <w:vAlign w:val="bottom"/>
          </w:tcPr>
          <w:p>
            <w:pPr>
              <w:spacing w:after="0"/>
              <w:rPr>
                <w:sz w:val="1"/>
                <w:szCs w:val="1"/>
                <w:color w:val="auto"/>
              </w:rPr>
            </w:pPr>
          </w:p>
        </w:tc>
      </w:tr>
      <w:tr>
        <w:trPr>
          <w:trHeight w:val="663"/>
        </w:trPr>
        <w:tc>
          <w:tcPr>
            <w:tcW w:w="11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(Mark One)</w:t>
            </w:r>
          </w:p>
        </w:tc>
        <w:tc>
          <w:tcPr>
            <w:tcW w:w="9440" w:type="dxa"/>
            <w:vAlign w:val="bottom"/>
          </w:tcPr>
          <w:p>
            <w:pPr>
              <w:jc w:val="center"/>
              <w:ind w:right="1095"/>
              <w:spacing w:after="0"/>
              <w:rPr>
                <w:sz w:val="20"/>
                <w:szCs w:val="20"/>
                <w:color w:val="auto"/>
              </w:rPr>
            </w:pPr>
            <w:r>
              <w:rPr>
                <w:rFonts w:ascii="Arial" w:cs="Arial" w:eastAsia="Arial" w:hAnsi="Arial"/>
                <w:sz w:val="43"/>
                <w:szCs w:val="43"/>
                <w:b w:val="1"/>
                <w:bCs w:val="1"/>
                <w:color w:val="auto"/>
              </w:rPr>
              <w:t>FORM 10-Q</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9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112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Pr>
          <w:p>
            <w:pPr>
              <w:ind w:left="200"/>
              <w:spacing w:after="0"/>
              <w:rPr>
                <w:sz w:val="20"/>
                <w:szCs w:val="20"/>
                <w:color w:val="auto"/>
              </w:rPr>
            </w:pPr>
            <w:r>
              <w:rPr>
                <w:rFonts w:ascii="Arial" w:cs="Arial" w:eastAsia="Arial" w:hAnsi="Arial"/>
                <w:sz w:val="18"/>
                <w:szCs w:val="18"/>
                <w:b w:val="1"/>
                <w:bCs w:val="1"/>
                <w:color w:val="auto"/>
                <w:w w:val="99"/>
              </w:rPr>
              <w:t>QUARTERLY REPORT PURSUANT TO SECTION 13 OR 15(d) OF THE SECURITIES EXCHANGE ACT OF 1934</w:t>
            </w:r>
          </w:p>
        </w:tc>
        <w:tc>
          <w:tcPr>
            <w:tcW w:w="0" w:type="dxa"/>
            <w:vAlign w:val="bottom"/>
          </w:tcPr>
          <w:p>
            <w:pPr>
              <w:spacing w:after="0"/>
              <w:rPr>
                <w:sz w:val="1"/>
                <w:szCs w:val="1"/>
                <w:color w:val="auto"/>
              </w:rPr>
            </w:pPr>
          </w:p>
        </w:tc>
      </w:tr>
      <w:tr>
        <w:trPr>
          <w:trHeight w:val="348"/>
        </w:trPr>
        <w:tc>
          <w:tcPr>
            <w:tcW w:w="1120" w:type="dxa"/>
            <w:vAlign w:val="bottom"/>
          </w:tcPr>
          <w:p>
            <w:pPr>
              <w:spacing w:after="0"/>
              <w:rPr>
                <w:sz w:val="24"/>
                <w:szCs w:val="24"/>
                <w:color w:val="auto"/>
              </w:rPr>
            </w:pPr>
          </w:p>
        </w:tc>
        <w:tc>
          <w:tcPr>
            <w:tcW w:w="9440" w:type="dxa"/>
            <w:vAlign w:val="bottom"/>
          </w:tcPr>
          <w:p>
            <w:pPr>
              <w:jc w:val="center"/>
              <w:ind w:right="1095"/>
              <w:spacing w:after="0"/>
              <w:rPr>
                <w:sz w:val="20"/>
                <w:szCs w:val="20"/>
                <w:color w:val="auto"/>
              </w:rPr>
            </w:pPr>
            <w:r>
              <w:rPr>
                <w:rFonts w:ascii="Arial" w:cs="Arial" w:eastAsia="Arial" w:hAnsi="Arial"/>
                <w:sz w:val="18"/>
                <w:szCs w:val="18"/>
                <w:b w:val="1"/>
                <w:bCs w:val="1"/>
                <w:color w:val="auto"/>
                <w:w w:val="99"/>
              </w:rPr>
              <w:t>For the quarterly period ended June 1, 2023</w:t>
            </w:r>
          </w:p>
        </w:tc>
        <w:tc>
          <w:tcPr>
            <w:tcW w:w="0" w:type="dxa"/>
            <w:vAlign w:val="bottom"/>
          </w:tcPr>
          <w:p>
            <w:pPr>
              <w:spacing w:after="0"/>
              <w:rPr>
                <w:sz w:val="1"/>
                <w:szCs w:val="1"/>
                <w:color w:val="auto"/>
              </w:rPr>
            </w:pPr>
          </w:p>
        </w:tc>
      </w:tr>
      <w:tr>
        <w:trPr>
          <w:trHeight w:val="270"/>
        </w:trPr>
        <w:tc>
          <w:tcPr>
            <w:tcW w:w="1120" w:type="dxa"/>
            <w:vAlign w:val="bottom"/>
            <w:vMerge w:val="restart"/>
          </w:tcPr>
          <w:p>
            <w:pPr>
              <w:jc w:val="center"/>
              <w:ind w:right="7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Pr>
          <w:p>
            <w:pPr>
              <w:jc w:val="center"/>
              <w:ind w:right="1095"/>
              <w:spacing w:after="0"/>
              <w:rPr>
                <w:sz w:val="20"/>
                <w:szCs w:val="20"/>
                <w:color w:val="auto"/>
              </w:rPr>
            </w:pPr>
            <w:r>
              <w:rPr>
                <w:rFonts w:ascii="Arial" w:cs="Arial" w:eastAsia="Arial" w:hAnsi="Arial"/>
                <w:sz w:val="18"/>
                <w:szCs w:val="18"/>
                <w:b w:val="1"/>
                <w:bCs w:val="1"/>
                <w:color w:val="auto"/>
              </w:rPr>
              <w:t>OR</w:t>
            </w:r>
          </w:p>
        </w:tc>
        <w:tc>
          <w:tcPr>
            <w:tcW w:w="0" w:type="dxa"/>
            <w:vAlign w:val="bottom"/>
          </w:tcPr>
          <w:p>
            <w:pPr>
              <w:spacing w:after="0"/>
              <w:rPr>
                <w:sz w:val="1"/>
                <w:szCs w:val="1"/>
                <w:color w:val="auto"/>
              </w:rPr>
            </w:pPr>
          </w:p>
        </w:tc>
      </w:tr>
      <w:tr>
        <w:trPr>
          <w:trHeight w:val="273"/>
        </w:trPr>
        <w:tc>
          <w:tcPr>
            <w:tcW w:w="1120" w:type="dxa"/>
            <w:vAlign w:val="bottom"/>
            <w:vMerge w:val="continue"/>
          </w:tcPr>
          <w:p>
            <w:pPr>
              <w:spacing w:after="0"/>
              <w:rPr>
                <w:sz w:val="23"/>
                <w:szCs w:val="23"/>
                <w:color w:val="auto"/>
              </w:rPr>
            </w:pPr>
          </w:p>
        </w:tc>
        <w:tc>
          <w:tcPr>
            <w:tcW w:w="9440" w:type="dxa"/>
            <w:vAlign w:val="bottom"/>
          </w:tcPr>
          <w:p>
            <w:pPr>
              <w:ind w:left="220"/>
              <w:spacing w:after="0"/>
              <w:rPr>
                <w:sz w:val="20"/>
                <w:szCs w:val="20"/>
                <w:color w:val="auto"/>
              </w:rPr>
            </w:pPr>
            <w:r>
              <w:rPr>
                <w:rFonts w:ascii="Arial" w:cs="Arial" w:eastAsia="Arial" w:hAnsi="Arial"/>
                <w:sz w:val="18"/>
                <w:szCs w:val="18"/>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348"/>
        </w:trPr>
        <w:tc>
          <w:tcPr>
            <w:tcW w:w="1120" w:type="dxa"/>
            <w:vAlign w:val="bottom"/>
          </w:tcPr>
          <w:p>
            <w:pPr>
              <w:spacing w:after="0"/>
              <w:rPr>
                <w:sz w:val="24"/>
                <w:szCs w:val="24"/>
                <w:color w:val="auto"/>
              </w:rPr>
            </w:pPr>
          </w:p>
        </w:tc>
        <w:tc>
          <w:tcPr>
            <w:tcW w:w="9440" w:type="dxa"/>
            <w:vAlign w:val="bottom"/>
          </w:tcPr>
          <w:p>
            <w:pPr>
              <w:jc w:val="center"/>
              <w:ind w:right="1075"/>
              <w:spacing w:after="0"/>
              <w:rPr>
                <w:sz w:val="20"/>
                <w:szCs w:val="20"/>
                <w:color w:val="auto"/>
              </w:rPr>
            </w:pPr>
            <w:r>
              <w:rPr>
                <w:rFonts w:ascii="Arial" w:cs="Arial" w:eastAsia="Arial" w:hAnsi="Arial"/>
                <w:sz w:val="18"/>
                <w:szCs w:val="18"/>
                <w:b w:val="1"/>
                <w:bCs w:val="1"/>
                <w:color w:val="auto"/>
              </w:rPr>
              <w:t>For the transition period fromto</w:t>
            </w:r>
          </w:p>
        </w:tc>
        <w:tc>
          <w:tcPr>
            <w:tcW w:w="0" w:type="dxa"/>
            <w:vAlign w:val="bottom"/>
          </w:tcPr>
          <w:p>
            <w:pPr>
              <w:spacing w:after="0"/>
              <w:rPr>
                <w:sz w:val="1"/>
                <w:szCs w:val="1"/>
                <w:color w:val="auto"/>
              </w:rPr>
            </w:pPr>
          </w:p>
        </w:tc>
      </w:tr>
      <w:tr>
        <w:trPr>
          <w:trHeight w:val="324"/>
        </w:trPr>
        <w:tc>
          <w:tcPr>
            <w:tcW w:w="1120" w:type="dxa"/>
            <w:vAlign w:val="bottom"/>
          </w:tcPr>
          <w:p>
            <w:pPr>
              <w:spacing w:after="0"/>
              <w:rPr>
                <w:sz w:val="24"/>
                <w:szCs w:val="24"/>
                <w:color w:val="auto"/>
              </w:rPr>
            </w:pPr>
          </w:p>
        </w:tc>
        <w:tc>
          <w:tcPr>
            <w:tcW w:w="9440" w:type="dxa"/>
            <w:vAlign w:val="bottom"/>
          </w:tcPr>
          <w:p>
            <w:pPr>
              <w:jc w:val="center"/>
              <w:ind w:right="1095"/>
              <w:spacing w:after="0"/>
              <w:rPr>
                <w:sz w:val="20"/>
                <w:szCs w:val="20"/>
                <w:color w:val="auto"/>
              </w:rPr>
            </w:pPr>
            <w:r>
              <w:rPr>
                <w:rFonts w:ascii="Arial" w:cs="Arial" w:eastAsia="Arial" w:hAnsi="Arial"/>
                <w:sz w:val="18"/>
                <w:szCs w:val="18"/>
                <w:b w:val="1"/>
                <w:bCs w:val="1"/>
                <w:color w:val="auto"/>
                <w:w w:val="99"/>
              </w:rPr>
              <w:t>Commission file number 1-10658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26670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 w:lineRule="exact"/>
        <w:rPr>
          <w:sz w:val="24"/>
          <w:szCs w:val="24"/>
          <w:color w:val="auto"/>
        </w:rPr>
      </w:pPr>
    </w:p>
    <w:tbl>
      <w:tblPr>
        <w:tblLayout w:type="fixed"/>
        <w:tblInd w:w="120" w:type="dxa"/>
        <w:tblCellMar>
          <w:top w:w="0" w:type="dxa"/>
          <w:left w:w="0" w:type="dxa"/>
          <w:bottom w:w="0" w:type="dxa"/>
          <w:right w:w="0" w:type="dxa"/>
        </w:tblCellMar>
      </w:tblPr>
      <w:tr>
        <w:trPr>
          <w:trHeight w:val="251"/>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6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75-1618004</w:t>
            </w:r>
          </w:p>
        </w:tc>
      </w:tr>
      <w:tr>
        <w:trPr>
          <w:trHeight w:val="222"/>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60" w:type="dxa"/>
            <w:vAlign w:val="bottom"/>
          </w:tcPr>
          <w:p>
            <w:pPr>
              <w:jc w:val="center"/>
              <w:ind w:left="1292"/>
              <w:spacing w:after="0"/>
              <w:rPr>
                <w:sz w:val="20"/>
                <w:szCs w:val="20"/>
                <w:color w:val="auto"/>
              </w:rPr>
            </w:pPr>
            <w:r>
              <w:rPr>
                <w:rFonts w:ascii="Arial" w:cs="Arial" w:eastAsia="Arial" w:hAnsi="Arial"/>
                <w:sz w:val="18"/>
                <w:szCs w:val="18"/>
                <w:color w:val="auto"/>
              </w:rPr>
              <w:t>(I.R.S. Employer Identification No.)</w:t>
            </w:r>
          </w:p>
        </w:tc>
      </w:tr>
      <w:tr>
        <w:trPr>
          <w:trHeight w:val="240"/>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6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83716-9632</w:t>
            </w:r>
          </w:p>
        </w:tc>
      </w:tr>
      <w:tr>
        <w:trPr>
          <w:trHeight w:val="229"/>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60" w:type="dxa"/>
            <w:vAlign w:val="bottom"/>
          </w:tcPr>
          <w:p>
            <w:pPr>
              <w:jc w:val="center"/>
              <w:ind w:left="1292"/>
              <w:spacing w:after="0"/>
              <w:rPr>
                <w:sz w:val="20"/>
                <w:szCs w:val="20"/>
                <w:color w:val="auto"/>
              </w:rPr>
            </w:pPr>
            <w:r>
              <w:rPr>
                <w:rFonts w:ascii="Arial" w:cs="Arial" w:eastAsia="Arial" w:hAnsi="Arial"/>
                <w:sz w:val="18"/>
                <w:szCs w:val="18"/>
                <w:color w:val="auto"/>
              </w:rPr>
              <w:t>(Zip Code)</w:t>
            </w:r>
          </w:p>
        </w:tc>
      </w:tr>
      <w:tr>
        <w:trPr>
          <w:trHeight w:val="243"/>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6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484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20" w:type="dxa"/>
            <w:vAlign w:val="bottom"/>
          </w:tcPr>
          <w:p>
            <w:pPr>
              <w:spacing w:after="0"/>
              <w:rPr>
                <w:sz w:val="19"/>
                <w:szCs w:val="19"/>
                <w:color w:val="auto"/>
              </w:rPr>
            </w:pPr>
          </w:p>
        </w:tc>
        <w:tc>
          <w:tcPr>
            <w:tcW w:w="4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840" w:type="dxa"/>
            <w:vAlign w:val="bottom"/>
          </w:tcPr>
          <w:p>
            <w:pPr>
              <w:ind w:left="720"/>
              <w:spacing w:after="0"/>
              <w:rPr>
                <w:sz w:val="20"/>
                <w:szCs w:val="20"/>
                <w:color w:val="auto"/>
              </w:rPr>
            </w:pPr>
            <w:r>
              <w:rPr>
                <w:rFonts w:ascii="Arial" w:cs="Arial" w:eastAsia="Arial" w:hAnsi="Arial"/>
                <w:sz w:val="18"/>
                <w:szCs w:val="18"/>
                <w:color w:val="auto"/>
              </w:rPr>
              <w:t>Common Stock, par value $0.10 per share</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MU</w:t>
            </w:r>
          </w:p>
        </w:tc>
        <w:tc>
          <w:tcPr>
            <w:tcW w:w="120" w:type="dxa"/>
            <w:vAlign w:val="bottom"/>
          </w:tcPr>
          <w:p>
            <w:pPr>
              <w:spacing w:after="0"/>
              <w:rPr>
                <w:sz w:val="19"/>
                <w:szCs w:val="19"/>
                <w:color w:val="auto"/>
              </w:rPr>
            </w:pPr>
          </w:p>
        </w:tc>
        <w:tc>
          <w:tcPr>
            <w:tcW w:w="3820" w:type="dxa"/>
            <w:vAlign w:val="bottom"/>
            <w:gridSpan w:val="2"/>
          </w:tcPr>
          <w:p>
            <w:pPr>
              <w:jc w:val="center"/>
              <w:ind w:left="710"/>
              <w:spacing w:after="0"/>
              <w:rPr>
                <w:sz w:val="20"/>
                <w:szCs w:val="20"/>
                <w:color w:val="auto"/>
              </w:rPr>
            </w:pPr>
            <w:r>
              <w:rPr>
                <w:rFonts w:ascii="Arial" w:cs="Arial" w:eastAsia="Arial" w:hAnsi="Arial"/>
                <w:sz w:val="18"/>
                <w:szCs w:val="18"/>
                <w:color w:val="auto"/>
                <w:w w:val="99"/>
              </w:rPr>
              <w:t>Nasdaq Global Select Market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9520" w:type="dxa"/>
            <w:vAlign w:val="bottom"/>
            <w:gridSpan w:val="5"/>
          </w:tcPr>
          <w:p>
            <w:pPr>
              <w:ind w:left="20"/>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6"/>
        </w:trPr>
        <w:tc>
          <w:tcPr>
            <w:tcW w:w="9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520" w:type="dxa"/>
            <w:vAlign w:val="bottom"/>
            <w:gridSpan w:val="5"/>
          </w:tcPr>
          <w:p>
            <w:pPr>
              <w:ind w:left="20"/>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0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9520" w:type="dxa"/>
            <w:vAlign w:val="bottom"/>
            <w:gridSpan w:val="5"/>
          </w:tcPr>
          <w:p>
            <w:pPr>
              <w:ind w:left="20"/>
              <w:spacing w:after="0" w:line="189"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60" w:type="dxa"/>
            <w:vAlign w:val="bottom"/>
            <w:gridSpan w:val="3"/>
          </w:tcPr>
          <w:p>
            <w:pPr>
              <w:ind w:left="20"/>
              <w:spacing w:after="0"/>
              <w:rPr>
                <w:sz w:val="20"/>
                <w:szCs w:val="20"/>
                <w:color w:val="auto"/>
              </w:rPr>
            </w:pPr>
            <w:r>
              <w:rPr>
                <w:rFonts w:ascii="Arial" w:cs="Arial" w:eastAsia="Arial" w:hAnsi="Arial"/>
                <w:sz w:val="18"/>
                <w:szCs w:val="18"/>
                <w:color w:val="auto"/>
              </w:rPr>
              <w:t>such shorter period that the registrant was required to submit such files).</w:t>
            </w: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0"/>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w:t>
      </w:r>
    </w:p>
    <w:p>
      <w:pPr>
        <w:spacing w:after="0" w:line="1" w:lineRule="exact"/>
        <w:rPr>
          <w:sz w:val="24"/>
          <w:szCs w:val="24"/>
          <w:color w:val="auto"/>
        </w:rPr>
      </w:pPr>
    </w:p>
    <w:p>
      <w:pPr>
        <w:ind w:left="40" w:right="300"/>
        <w:spacing w:after="0" w:line="227" w:lineRule="auto"/>
        <w:rPr>
          <w:sz w:val="20"/>
          <w:szCs w:val="20"/>
          <w:color w:val="auto"/>
        </w:rPr>
      </w:pPr>
      <w:r>
        <w:rPr>
          <w:rFonts w:ascii="Arial" w:cs="Arial" w:eastAsia="Arial" w:hAnsi="Arial"/>
          <w:sz w:val="18"/>
          <w:szCs w:val="18"/>
          <w:color w:val="auto"/>
        </w:rPr>
        <w:t>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171"/>
        </w:trPr>
        <w:tc>
          <w:tcPr>
            <w:tcW w:w="2340" w:type="dxa"/>
            <w:vAlign w:val="bottom"/>
          </w:tcPr>
          <w:p>
            <w:pPr>
              <w:jc w:val="center"/>
              <w:ind w:right="32"/>
              <w:spacing w:after="0" w:line="171" w:lineRule="exact"/>
              <w:rPr>
                <w:sz w:val="20"/>
                <w:szCs w:val="20"/>
                <w:color w:val="auto"/>
              </w:rPr>
            </w:pPr>
            <w:r>
              <w:rPr>
                <w:rFonts w:ascii="Arial" w:cs="Arial" w:eastAsia="Arial" w:hAnsi="Arial"/>
                <w:sz w:val="16"/>
                <w:szCs w:val="16"/>
                <w:color w:val="auto"/>
              </w:rPr>
              <w:t>Large Accelerated Filer</w:t>
            </w:r>
          </w:p>
        </w:tc>
        <w:tc>
          <w:tcPr>
            <w:tcW w:w="2040" w:type="dxa"/>
            <w:vAlign w:val="bottom"/>
          </w:tcPr>
          <w:p>
            <w:pPr>
              <w:jc w:val="center"/>
              <w:spacing w:after="0" w:line="171" w:lineRule="exact"/>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line="171" w:lineRule="exact"/>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line="171" w:lineRule="exact"/>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line="171" w:lineRule="exact"/>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89"/>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9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5"/>
        </w:trPr>
        <w:tc>
          <w:tcPr>
            <w:tcW w:w="10380" w:type="dxa"/>
            <w:vAlign w:val="bottom"/>
            <w:gridSpan w:val="5"/>
          </w:tcPr>
          <w:p>
            <w:pPr>
              <w:spacing w:after="0" w:line="17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380" w:type="dxa"/>
            <w:vAlign w:val="bottom"/>
            <w:gridSpan w:val="5"/>
          </w:tcPr>
          <w:p>
            <w:pPr>
              <w:spacing w:after="0" w:line="183" w:lineRule="exact"/>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902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June 22, 2023 was 1,095,301,608.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6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600" w:type="dxa"/>
            <w:vAlign w:val="bottom"/>
          </w:tcPr>
          <w:p>
            <w:pPr>
              <w:spacing w:after="0"/>
              <w:rPr>
                <w:sz w:val="19"/>
                <w:szCs w:val="19"/>
                <w:color w:val="auto"/>
              </w:rPr>
            </w:pPr>
          </w:p>
        </w:tc>
      </w:tr>
      <w:tr>
        <w:trPr>
          <w:trHeight w:val="243"/>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Financial Statements: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08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80" w:type="dxa"/>
            <w:vAlign w:val="bottom"/>
            <w:shd w:val="clear" w:color="auto" w:fill="D1D2D4"/>
          </w:tcPr>
          <w:p>
            <w:pPr>
              <w:spacing w:after="0"/>
              <w:rPr>
                <w:sz w:val="19"/>
                <w:szCs w:val="19"/>
                <w:color w:val="auto"/>
              </w:rPr>
            </w:pPr>
          </w:p>
        </w:tc>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Consolidated Statements of Comprehensive Income (Loss)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36"/>
        </w:trPr>
        <w:tc>
          <w:tcPr>
            <w:tcW w:w="10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Consolidated Balance Sheets</w:t>
            </w: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1080" w:type="dxa"/>
            <w:vAlign w:val="bottom"/>
            <w:shd w:val="clear" w:color="auto" w:fill="D1D2D4"/>
          </w:tcPr>
          <w:p>
            <w:pPr>
              <w:spacing w:after="0"/>
              <w:rPr>
                <w:sz w:val="20"/>
                <w:szCs w:val="20"/>
                <w:color w:val="auto"/>
              </w:rPr>
            </w:pPr>
          </w:p>
        </w:tc>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Consolidated Statements of Changes in Equity</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080" w:type="dxa"/>
            <w:vAlign w:val="bottom"/>
          </w:tcPr>
          <w:p>
            <w:pPr>
              <w:spacing w:after="0"/>
              <w:rPr>
                <w:sz w:val="19"/>
                <w:szCs w:val="19"/>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Consolidated Statements of Cash Flows</w:t>
            </w:r>
          </w:p>
        </w:tc>
        <w:tc>
          <w:tcPr>
            <w:tcW w:w="1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080" w:type="dxa"/>
            <w:vAlign w:val="bottom"/>
            <w:shd w:val="clear" w:color="auto" w:fill="D1D2D4"/>
          </w:tcPr>
          <w:p>
            <w:pPr>
              <w:spacing w:after="0"/>
              <w:rPr>
                <w:sz w:val="21"/>
                <w:szCs w:val="21"/>
                <w:color w:val="auto"/>
              </w:rPr>
            </w:pPr>
          </w:p>
        </w:tc>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1080" w:type="dxa"/>
            <w:vAlign w:val="bottom"/>
            <w:shd w:val="clear" w:color="auto" w:fill="D1D2D4"/>
          </w:tcPr>
          <w:p>
            <w:pPr>
              <w:spacing w:after="0"/>
              <w:rPr>
                <w:sz w:val="19"/>
                <w:szCs w:val="19"/>
                <w:color w:val="auto"/>
              </w:rPr>
            </w:pPr>
          </w:p>
        </w:tc>
        <w:tc>
          <w:tcPr>
            <w:tcW w:w="85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Results of Operations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1080" w:type="dxa"/>
            <w:vAlign w:val="bottom"/>
          </w:tcPr>
          <w:p>
            <w:pPr>
              <w:spacing w:after="0"/>
              <w:rPr>
                <w:sz w:val="20"/>
                <w:szCs w:val="20"/>
                <w:color w:val="auto"/>
              </w:rPr>
            </w:pPr>
          </w:p>
        </w:tc>
        <w:tc>
          <w:tcPr>
            <w:tcW w:w="8560" w:type="dxa"/>
            <w:vAlign w:val="bottom"/>
          </w:tcPr>
          <w:p>
            <w:pPr>
              <w:ind w:left="220"/>
              <w:spacing w:after="0"/>
              <w:rPr>
                <w:sz w:val="20"/>
                <w:szCs w:val="20"/>
                <w:color w:val="auto"/>
              </w:rPr>
            </w:pPr>
            <w:r>
              <w:rPr>
                <w:rFonts w:ascii="Arial" w:cs="Arial" w:eastAsia="Arial" w:hAnsi="Arial"/>
                <w:sz w:val="18"/>
                <w:szCs w:val="18"/>
                <w:color w:val="auto"/>
              </w:rPr>
              <w:t>Liquidity and Capital Resources</w:t>
            </w:r>
          </w:p>
        </w:tc>
        <w:tc>
          <w:tcPr>
            <w:tcW w:w="1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08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964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600" w:type="dxa"/>
            <w:vAlign w:val="bottom"/>
            <w:shd w:val="clear" w:color="auto" w:fill="D1D2D4"/>
          </w:tcPr>
          <w:p>
            <w:pPr>
              <w:spacing w:after="0"/>
              <w:rPr>
                <w:sz w:val="21"/>
                <w:szCs w:val="21"/>
                <w:color w:val="auto"/>
              </w:rPr>
            </w:pPr>
          </w:p>
        </w:tc>
      </w:tr>
      <w:tr>
        <w:trPr>
          <w:trHeight w:val="230"/>
        </w:trPr>
        <w:tc>
          <w:tcPr>
            <w:tcW w:w="108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Risk Factors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108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6"/>
        </w:trPr>
        <w:tc>
          <w:tcPr>
            <w:tcW w:w="10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shd w:val="clear" w:color="auto" w:fill="D1D2D4"/>
          </w:tcPr>
          <w:p>
            <w:pPr>
              <w:ind w:left="100"/>
              <w:spacing w:after="0"/>
              <w:rPr>
                <w:sz w:val="20"/>
                <w:szCs w:val="20"/>
                <w:color w:val="auto"/>
              </w:rPr>
            </w:pPr>
            <w:r>
              <w:rPr>
                <w:rFonts w:ascii="Arial" w:cs="Arial" w:eastAsia="Arial" w:hAnsi="Arial"/>
                <w:sz w:val="18"/>
                <w:szCs w:val="18"/>
                <w:color w:val="auto"/>
              </w:rPr>
              <w:t>Exhibits</w:t>
            </w:r>
          </w:p>
        </w:tc>
        <w:tc>
          <w:tcPr>
            <w:tcW w:w="1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7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w w:val="95"/>
              </w:rPr>
              <w:t>Term</w:t>
            </w:r>
          </w:p>
        </w:tc>
        <w:tc>
          <w:tcPr>
            <w:tcW w:w="1200" w:type="dxa"/>
            <w:vAlign w:val="bottom"/>
            <w:tcBorders>
              <w:bottom w:val="single" w:sz="8" w:color="0090DA"/>
            </w:tcBorders>
          </w:tcPr>
          <w:p>
            <w:pPr>
              <w:spacing w:after="0"/>
              <w:rPr>
                <w:sz w:val="20"/>
                <w:szCs w:val="20"/>
                <w:color w:val="auto"/>
              </w:rPr>
            </w:pPr>
          </w:p>
        </w:tc>
        <w:tc>
          <w:tcPr>
            <w:tcW w:w="3840" w:type="dxa"/>
            <w:vAlign w:val="bottom"/>
            <w:tcBorders>
              <w:bottom w:val="single" w:sz="8" w:color="0090DA"/>
            </w:tcBorders>
            <w:gridSpan w:val="2"/>
          </w:tcPr>
          <w:p>
            <w:pPr>
              <w:ind w:left="140"/>
              <w:spacing w:after="0"/>
              <w:rPr>
                <w:sz w:val="20"/>
                <w:szCs w:val="20"/>
                <w:color w:val="auto"/>
              </w:rPr>
            </w:pPr>
            <w:r>
              <w:rPr>
                <w:rFonts w:ascii="Arial" w:cs="Arial" w:eastAsia="Arial" w:hAnsi="Arial"/>
                <w:sz w:val="18"/>
                <w:szCs w:val="18"/>
                <w:b w:val="1"/>
                <w:bCs w:val="1"/>
                <w:color w:val="auto"/>
              </w:rPr>
              <w:t>Definition</w:t>
            </w:r>
          </w:p>
        </w:tc>
        <w:tc>
          <w:tcPr>
            <w:tcW w:w="120" w:type="dxa"/>
            <w:vAlign w:val="bottom"/>
          </w:tcPr>
          <w:p>
            <w:pPr>
              <w:spacing w:after="0"/>
              <w:rPr>
                <w:sz w:val="20"/>
                <w:szCs w:val="20"/>
                <w:color w:val="auto"/>
              </w:rPr>
            </w:pPr>
          </w:p>
        </w:tc>
        <w:tc>
          <w:tcPr>
            <w:tcW w:w="15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Term</w:t>
            </w:r>
          </w:p>
        </w:tc>
        <w:tc>
          <w:tcPr>
            <w:tcW w:w="4040" w:type="dxa"/>
            <w:vAlign w:val="bottom"/>
            <w:tcBorders>
              <w:bottom w:val="single" w:sz="8" w:color="0090DA"/>
            </w:tcBorders>
          </w:tcPr>
          <w:p>
            <w:pPr>
              <w:ind w:left="240"/>
              <w:spacing w:after="0"/>
              <w:rPr>
                <w:sz w:val="20"/>
                <w:szCs w:val="20"/>
                <w:color w:val="auto"/>
              </w:rPr>
            </w:pPr>
            <w:r>
              <w:rPr>
                <w:rFonts w:ascii="Arial" w:cs="Arial" w:eastAsia="Arial" w:hAnsi="Arial"/>
                <w:sz w:val="18"/>
                <w:szCs w:val="18"/>
                <w:b w:val="1"/>
                <w:bCs w:val="1"/>
                <w:color w:val="auto"/>
              </w:rPr>
              <w:t>Definition</w:t>
            </w:r>
          </w:p>
        </w:tc>
      </w:tr>
      <w:tr>
        <w:trPr>
          <w:trHeight w:val="48"/>
        </w:trPr>
        <w:tc>
          <w:tcPr>
            <w:tcW w:w="4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40" w:type="dxa"/>
            <w:vAlign w:val="bottom"/>
          </w:tcPr>
          <w:p>
            <w:pPr>
              <w:spacing w:after="0"/>
              <w:rPr>
                <w:sz w:val="4"/>
                <w:szCs w:val="4"/>
                <w:color w:val="auto"/>
              </w:rPr>
            </w:pP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8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rPr>
              <w:t>2.497%</w:t>
            </w:r>
          </w:p>
        </w:tc>
        <w:tc>
          <w:tcPr>
            <w:tcW w:w="30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Senior Notes due April 2023, repaid</w:t>
            </w:r>
          </w:p>
        </w:tc>
        <w:tc>
          <w:tcPr>
            <w:tcW w:w="120" w:type="dxa"/>
            <w:vAlign w:val="bottom"/>
            <w:shd w:val="clear" w:color="auto" w:fill="DBDBDB"/>
          </w:tcPr>
          <w:p>
            <w:pPr>
              <w:spacing w:after="0"/>
              <w:rPr>
                <w:sz w:val="15"/>
                <w:szCs w:val="15"/>
                <w:color w:val="auto"/>
              </w:rPr>
            </w:pPr>
          </w:p>
        </w:tc>
        <w:tc>
          <w:tcPr>
            <w:tcW w:w="15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DDR</w:t>
            </w:r>
          </w:p>
        </w:tc>
        <w:tc>
          <w:tcPr>
            <w:tcW w:w="404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Double data rate DRAM</w:t>
            </w:r>
          </w:p>
        </w:tc>
      </w:tr>
      <w:tr>
        <w:trPr>
          <w:trHeight w:val="229"/>
        </w:trPr>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8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c>
          <w:tcPr>
            <w:tcW w:w="4040" w:type="dxa"/>
            <w:vAlign w:val="bottom"/>
            <w:shd w:val="clear" w:color="auto" w:fill="DBDBDB"/>
          </w:tcPr>
          <w:p>
            <w:pPr>
              <w:spacing w:after="0"/>
              <w:rPr>
                <w:sz w:val="19"/>
                <w:szCs w:val="19"/>
                <w:color w:val="auto"/>
              </w:rPr>
            </w:pPr>
          </w:p>
        </w:tc>
      </w:tr>
      <w:tr>
        <w:trPr>
          <w:trHeight w:val="190"/>
        </w:trPr>
        <w:tc>
          <w:tcPr>
            <w:tcW w:w="460" w:type="dxa"/>
            <w:vAlign w:val="bottom"/>
          </w:tcPr>
          <w:p>
            <w:pPr>
              <w:ind w:left="20"/>
              <w:spacing w:after="0" w:line="189" w:lineRule="exact"/>
              <w:rPr>
                <w:sz w:val="20"/>
                <w:szCs w:val="20"/>
                <w:color w:val="auto"/>
              </w:rPr>
            </w:pPr>
            <w:r>
              <w:rPr>
                <w:rFonts w:ascii="Arial" w:cs="Arial" w:eastAsia="Arial" w:hAnsi="Arial"/>
                <w:sz w:val="18"/>
                <w:szCs w:val="18"/>
                <w:color w:val="auto"/>
              </w:rPr>
              <w:t>2024</w:t>
            </w:r>
          </w:p>
        </w:tc>
        <w:tc>
          <w:tcPr>
            <w:tcW w:w="1200" w:type="dxa"/>
            <w:vAlign w:val="bottom"/>
          </w:tcPr>
          <w:p>
            <w:pPr>
              <w:ind w:left="20"/>
              <w:spacing w:after="0" w:line="189" w:lineRule="exact"/>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line="189" w:lineRule="exact"/>
              <w:rPr>
                <w:sz w:val="20"/>
                <w:szCs w:val="20"/>
                <w:color w:val="auto"/>
              </w:rPr>
            </w:pPr>
            <w:r>
              <w:rPr>
                <w:rFonts w:ascii="Arial" w:cs="Arial" w:eastAsia="Arial" w:hAnsi="Arial"/>
                <w:sz w:val="18"/>
                <w:szCs w:val="18"/>
                <w:color w:val="auto"/>
              </w:rPr>
              <w:t>4.640%</w:t>
            </w:r>
          </w:p>
        </w:tc>
        <w:tc>
          <w:tcPr>
            <w:tcW w:w="3060" w:type="dxa"/>
            <w:vAlign w:val="bottom"/>
          </w:tcPr>
          <w:p>
            <w:pPr>
              <w:ind w:left="20"/>
              <w:spacing w:after="0" w:line="189" w:lineRule="exact"/>
              <w:rPr>
                <w:sz w:val="20"/>
                <w:szCs w:val="20"/>
                <w:color w:val="auto"/>
              </w:rPr>
            </w:pPr>
            <w:r>
              <w:rPr>
                <w:rFonts w:ascii="Arial" w:cs="Arial" w:eastAsia="Arial" w:hAnsi="Arial"/>
                <w:sz w:val="18"/>
                <w:szCs w:val="18"/>
                <w:color w:val="auto"/>
              </w:rPr>
              <w:t>Senior Notes due February 2024,</w:t>
            </w:r>
          </w:p>
        </w:tc>
        <w:tc>
          <w:tcPr>
            <w:tcW w:w="120" w:type="dxa"/>
            <w:vAlign w:val="bottom"/>
          </w:tcPr>
          <w:p>
            <w:pPr>
              <w:spacing w:after="0"/>
              <w:rPr>
                <w:sz w:val="16"/>
                <w:szCs w:val="16"/>
                <w:color w:val="auto"/>
              </w:rPr>
            </w:pPr>
          </w:p>
        </w:tc>
        <w:tc>
          <w:tcPr>
            <w:tcW w:w="1580" w:type="dxa"/>
            <w:vAlign w:val="bottom"/>
          </w:tcPr>
          <w:p>
            <w:pPr>
              <w:ind w:left="20"/>
              <w:spacing w:after="0" w:line="189" w:lineRule="exact"/>
              <w:rPr>
                <w:sz w:val="20"/>
                <w:szCs w:val="20"/>
                <w:color w:val="auto"/>
              </w:rPr>
            </w:pPr>
            <w:r>
              <w:rPr>
                <w:rFonts w:ascii="Arial" w:cs="Arial" w:eastAsia="Arial" w:hAnsi="Arial"/>
                <w:sz w:val="18"/>
                <w:szCs w:val="18"/>
                <w:color w:val="auto"/>
              </w:rPr>
              <w:t>EBITDA</w:t>
            </w:r>
          </w:p>
        </w:tc>
        <w:tc>
          <w:tcPr>
            <w:tcW w:w="4040" w:type="dxa"/>
            <w:vAlign w:val="bottom"/>
          </w:tcPr>
          <w:p>
            <w:pPr>
              <w:ind w:left="240"/>
              <w:spacing w:after="0" w:line="189" w:lineRule="exact"/>
              <w:rPr>
                <w:sz w:val="20"/>
                <w:szCs w:val="20"/>
                <w:color w:val="auto"/>
              </w:rPr>
            </w:pPr>
            <w:r>
              <w:rPr>
                <w:rFonts w:ascii="Arial" w:cs="Arial" w:eastAsia="Arial" w:hAnsi="Arial"/>
                <w:sz w:val="18"/>
                <w:szCs w:val="18"/>
                <w:color w:val="auto"/>
              </w:rPr>
              <w:t>Earnings before interest, taxes, depreciation,</w:t>
            </w:r>
          </w:p>
        </w:tc>
      </w:tr>
      <w:tr>
        <w:trPr>
          <w:trHeight w:val="229"/>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repaid November 2021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and amortization</w:t>
            </w:r>
          </w:p>
        </w:tc>
      </w:tr>
      <w:tr>
        <w:trPr>
          <w:trHeight w:val="230"/>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2024 Term Loan A</w:t>
            </w:r>
          </w:p>
        </w:tc>
        <w:tc>
          <w:tcPr>
            <w:tcW w:w="38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ESG</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Environmental, social, and governance</w:t>
            </w:r>
          </w:p>
        </w:tc>
      </w:tr>
      <w:tr>
        <w:trPr>
          <w:trHeight w:val="236"/>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 Term Loan A</w:t>
            </w:r>
          </w:p>
        </w:tc>
        <w:tc>
          <w:tcPr>
            <w:tcW w:w="3840" w:type="dxa"/>
            <w:vAlign w:val="bottom"/>
            <w:gridSpan w:val="2"/>
          </w:tcPr>
          <w:p>
            <w:pPr>
              <w:ind w:left="140"/>
              <w:spacing w:after="0"/>
              <w:rPr>
                <w:sz w:val="20"/>
                <w:szCs w:val="20"/>
                <w:color w:val="auto"/>
              </w:rPr>
            </w:pPr>
            <w:r>
              <w:rPr>
                <w:rFonts w:ascii="Arial" w:cs="Arial" w:eastAsia="Arial" w:hAnsi="Arial"/>
                <w:sz w:val="18"/>
                <w:szCs w:val="18"/>
                <w:color w:val="auto"/>
              </w:rPr>
              <w:t>Senior Term Loan A due November 2025</w:t>
            </w:r>
          </w:p>
        </w:tc>
        <w:tc>
          <w:tcPr>
            <w:tcW w:w="12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EUV</w:t>
            </w:r>
          </w:p>
        </w:tc>
        <w:tc>
          <w:tcPr>
            <w:tcW w:w="4040" w:type="dxa"/>
            <w:vAlign w:val="bottom"/>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36"/>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 Term Loan A</w:t>
            </w:r>
          </w:p>
        </w:tc>
        <w:tc>
          <w:tcPr>
            <w:tcW w:w="3840" w:type="dxa"/>
            <w:vAlign w:val="bottom"/>
            <w:gridSpan w:val="2"/>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20" w:type="dxa"/>
            <w:vAlign w:val="bottom"/>
            <w:shd w:val="clear" w:color="auto" w:fill="DBDBDB"/>
          </w:tcPr>
          <w:p>
            <w:pPr>
              <w:spacing w:after="0"/>
              <w:rPr>
                <w:sz w:val="20"/>
                <w:szCs w:val="20"/>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GDDR</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Graphics double data rate</w:t>
            </w: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2027 Term Loan A</w:t>
            </w:r>
          </w:p>
        </w:tc>
        <w:tc>
          <w:tcPr>
            <w:tcW w:w="38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20" w:type="dxa"/>
            <w:vAlign w:val="bottom"/>
          </w:tcPr>
          <w:p>
            <w:pPr>
              <w:spacing w:after="0"/>
              <w:rPr>
                <w:sz w:val="15"/>
                <w:szCs w:val="15"/>
                <w:color w:val="auto"/>
              </w:rPr>
            </w:pPr>
          </w:p>
        </w:tc>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HBM</w:t>
            </w:r>
          </w:p>
        </w:tc>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High-bandwidth memory, a stacked DRAM</w:t>
            </w:r>
          </w:p>
        </w:tc>
      </w:tr>
      <w:tr>
        <w:trPr>
          <w:trHeight w:val="189"/>
        </w:trPr>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40" w:type="dxa"/>
            <w:vAlign w:val="bottom"/>
          </w:tcPr>
          <w:p>
            <w:pPr>
              <w:ind w:left="240"/>
              <w:spacing w:after="0" w:line="189" w:lineRule="exact"/>
              <w:rPr>
                <w:sz w:val="20"/>
                <w:szCs w:val="20"/>
                <w:color w:val="auto"/>
              </w:rPr>
            </w:pPr>
            <w:r>
              <w:rPr>
                <w:rFonts w:ascii="Arial" w:cs="Arial" w:eastAsia="Arial" w:hAnsi="Arial"/>
                <w:sz w:val="18"/>
                <w:szCs w:val="18"/>
                <w:color w:val="auto"/>
              </w:rPr>
              <w:t>technology optimized for memory-bandwidth</w:t>
            </w:r>
          </w:p>
        </w:tc>
      </w:tr>
      <w:tr>
        <w:trPr>
          <w:trHeight w:val="229"/>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intensive applications</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4.975%</w:t>
            </w:r>
          </w:p>
        </w:tc>
        <w:tc>
          <w:tcPr>
            <w:tcW w:w="3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Notes due February 2026</w:t>
            </w: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Inotera</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Inotera Memories, Inc.</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4.185%</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February 2027</w:t>
            </w: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LIBOR</w:t>
            </w:r>
          </w:p>
        </w:tc>
        <w:tc>
          <w:tcPr>
            <w:tcW w:w="404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5.375%</w:t>
            </w:r>
          </w:p>
        </w:tc>
        <w:tc>
          <w:tcPr>
            <w:tcW w:w="3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Notes due April 2028</w:t>
            </w:r>
          </w:p>
        </w:tc>
        <w:tc>
          <w:tcPr>
            <w:tcW w:w="120" w:type="dxa"/>
            <w:vAlign w:val="bottom"/>
            <w:shd w:val="clear" w:color="auto" w:fill="DBDBDB"/>
          </w:tcPr>
          <w:p>
            <w:pPr>
              <w:spacing w:after="0"/>
              <w:rPr>
                <w:sz w:val="21"/>
                <w:szCs w:val="21"/>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LPDRAM</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DRAM</w:t>
            </w: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2029 A Notes</w:t>
            </w:r>
          </w:p>
        </w:tc>
        <w:tc>
          <w:tcPr>
            <w:tcW w:w="780" w:type="dxa"/>
            <w:vAlign w:val="bottom"/>
          </w:tcPr>
          <w:p>
            <w:pPr>
              <w:ind w:left="140"/>
              <w:spacing w:after="0" w:line="176" w:lineRule="exact"/>
              <w:rPr>
                <w:sz w:val="20"/>
                <w:szCs w:val="20"/>
                <w:color w:val="auto"/>
              </w:rPr>
            </w:pPr>
            <w:r>
              <w:rPr>
                <w:rFonts w:ascii="Arial" w:cs="Arial" w:eastAsia="Arial" w:hAnsi="Arial"/>
                <w:sz w:val="18"/>
                <w:szCs w:val="18"/>
                <w:color w:val="auto"/>
              </w:rPr>
              <w:t>5.327%</w:t>
            </w:r>
          </w:p>
        </w:tc>
        <w:tc>
          <w:tcPr>
            <w:tcW w:w="3060" w:type="dxa"/>
            <w:vAlign w:val="bottom"/>
          </w:tcPr>
          <w:p>
            <w:pPr>
              <w:ind w:left="20"/>
              <w:spacing w:after="0" w:line="176" w:lineRule="exact"/>
              <w:rPr>
                <w:sz w:val="20"/>
                <w:szCs w:val="20"/>
                <w:color w:val="auto"/>
              </w:rPr>
            </w:pPr>
            <w:r>
              <w:rPr>
                <w:rFonts w:ascii="Arial" w:cs="Arial" w:eastAsia="Arial" w:hAnsi="Arial"/>
                <w:sz w:val="18"/>
                <w:szCs w:val="18"/>
                <w:color w:val="auto"/>
              </w:rPr>
              <w:t>Senior Notes due February 2029</w:t>
            </w:r>
          </w:p>
        </w:tc>
        <w:tc>
          <w:tcPr>
            <w:tcW w:w="120" w:type="dxa"/>
            <w:vAlign w:val="bottom"/>
          </w:tcPr>
          <w:p>
            <w:pPr>
              <w:spacing w:after="0"/>
              <w:rPr>
                <w:sz w:val="15"/>
                <w:szCs w:val="15"/>
                <w:color w:val="auto"/>
              </w:rPr>
            </w:pPr>
          </w:p>
        </w:tc>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MCP</w:t>
            </w:r>
          </w:p>
        </w:tc>
        <w:tc>
          <w:tcPr>
            <w:tcW w:w="4040" w:type="dxa"/>
            <w:vAlign w:val="bottom"/>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29"/>
        </w:trPr>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43"/>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B Notes</w:t>
            </w:r>
          </w:p>
        </w:tc>
        <w:tc>
          <w:tcPr>
            <w:tcW w:w="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6.750%</w:t>
            </w:r>
          </w:p>
        </w:tc>
        <w:tc>
          <w:tcPr>
            <w:tcW w:w="3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Notes due November 2029</w:t>
            </w:r>
          </w:p>
        </w:tc>
        <w:tc>
          <w:tcPr>
            <w:tcW w:w="120" w:type="dxa"/>
            <w:vAlign w:val="bottom"/>
            <w:shd w:val="clear" w:color="auto" w:fill="DBDBDB"/>
          </w:tcPr>
          <w:p>
            <w:pPr>
              <w:spacing w:after="0"/>
              <w:rPr>
                <w:sz w:val="21"/>
                <w:szCs w:val="21"/>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Micron</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4.663%</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February 2030</w:t>
            </w:r>
          </w:p>
        </w:tc>
        <w:tc>
          <w:tcPr>
            <w:tcW w:w="120" w:type="dxa"/>
            <w:vAlign w:val="bottom"/>
          </w:tcPr>
          <w:p>
            <w:pPr>
              <w:spacing w:after="0"/>
              <w:rPr>
                <w:sz w:val="19"/>
                <w:szCs w:val="19"/>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NRV</w:t>
            </w:r>
          </w:p>
        </w:tc>
        <w:tc>
          <w:tcPr>
            <w:tcW w:w="4040" w:type="dxa"/>
            <w:vAlign w:val="bottom"/>
          </w:tcPr>
          <w:p>
            <w:pPr>
              <w:ind w:left="240"/>
              <w:spacing w:after="0"/>
              <w:rPr>
                <w:sz w:val="20"/>
                <w:szCs w:val="20"/>
                <w:color w:val="auto"/>
              </w:rPr>
            </w:pPr>
            <w:r>
              <w:rPr>
                <w:rFonts w:ascii="Arial" w:cs="Arial" w:eastAsia="Arial" w:hAnsi="Arial"/>
                <w:sz w:val="18"/>
                <w:szCs w:val="18"/>
                <w:color w:val="auto"/>
              </w:rPr>
              <w:t>Net realizable value</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2032</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Green Bonds</w:t>
            </w:r>
          </w:p>
        </w:tc>
        <w:tc>
          <w:tcPr>
            <w:tcW w:w="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2.703%</w:t>
            </w:r>
          </w:p>
        </w:tc>
        <w:tc>
          <w:tcPr>
            <w:tcW w:w="3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Notes due April 2032</w:t>
            </w: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OEM</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Original equipment manufacturer</w:t>
            </w:r>
          </w:p>
        </w:tc>
      </w:tr>
      <w:tr>
        <w:trPr>
          <w:trHeight w:val="236"/>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2033 A Notes</w:t>
            </w:r>
          </w:p>
        </w:tc>
        <w:tc>
          <w:tcPr>
            <w:tcW w:w="780" w:type="dxa"/>
            <w:vAlign w:val="bottom"/>
          </w:tcPr>
          <w:p>
            <w:pPr>
              <w:ind w:left="140"/>
              <w:spacing w:after="0"/>
              <w:rPr>
                <w:sz w:val="20"/>
                <w:szCs w:val="20"/>
                <w:color w:val="auto"/>
              </w:rPr>
            </w:pPr>
            <w:r>
              <w:rPr>
                <w:rFonts w:ascii="Arial" w:cs="Arial" w:eastAsia="Arial" w:hAnsi="Arial"/>
                <w:sz w:val="18"/>
                <w:szCs w:val="18"/>
                <w:color w:val="auto"/>
              </w:rPr>
              <w:t>5.875%</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February 2033</w:t>
            </w:r>
          </w:p>
        </w:tc>
        <w:tc>
          <w:tcPr>
            <w:tcW w:w="12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Qimonda</w:t>
            </w:r>
          </w:p>
        </w:tc>
        <w:tc>
          <w:tcPr>
            <w:tcW w:w="4040" w:type="dxa"/>
            <w:vAlign w:val="bottom"/>
          </w:tcPr>
          <w:p>
            <w:pPr>
              <w:ind w:left="240"/>
              <w:spacing w:after="0"/>
              <w:rPr>
                <w:sz w:val="20"/>
                <w:szCs w:val="20"/>
                <w:color w:val="auto"/>
              </w:rPr>
            </w:pPr>
            <w:r>
              <w:rPr>
                <w:rFonts w:ascii="Arial" w:cs="Arial" w:eastAsia="Arial" w:hAnsi="Arial"/>
                <w:sz w:val="18"/>
                <w:szCs w:val="18"/>
                <w:color w:val="auto"/>
              </w:rPr>
              <w:t>Qimonda AG</w:t>
            </w:r>
          </w:p>
        </w:tc>
      </w:tr>
      <w:tr>
        <w:trPr>
          <w:trHeight w:val="183"/>
        </w:trPr>
        <w:tc>
          <w:tcPr>
            <w:tcW w:w="46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2033</w:t>
            </w:r>
          </w:p>
        </w:tc>
        <w:tc>
          <w:tcPr>
            <w:tcW w:w="120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B Notes</w:t>
            </w:r>
          </w:p>
        </w:tc>
        <w:tc>
          <w:tcPr>
            <w:tcW w:w="780" w:type="dxa"/>
            <w:vAlign w:val="bottom"/>
            <w:shd w:val="clear" w:color="auto" w:fill="DBDBDB"/>
          </w:tcPr>
          <w:p>
            <w:pPr>
              <w:ind w:left="140"/>
              <w:spacing w:after="0" w:line="183" w:lineRule="exact"/>
              <w:rPr>
                <w:sz w:val="20"/>
                <w:szCs w:val="20"/>
                <w:color w:val="auto"/>
              </w:rPr>
            </w:pPr>
            <w:r>
              <w:rPr>
                <w:rFonts w:ascii="Arial" w:cs="Arial" w:eastAsia="Arial" w:hAnsi="Arial"/>
                <w:sz w:val="18"/>
                <w:szCs w:val="18"/>
                <w:color w:val="auto"/>
              </w:rPr>
              <w:t>5.875%</w:t>
            </w:r>
          </w:p>
        </w:tc>
        <w:tc>
          <w:tcPr>
            <w:tcW w:w="306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Senior Notes due September 2033</w:t>
            </w:r>
          </w:p>
        </w:tc>
        <w:tc>
          <w:tcPr>
            <w:tcW w:w="120" w:type="dxa"/>
            <w:vAlign w:val="bottom"/>
            <w:shd w:val="clear" w:color="auto" w:fill="DBDBDB"/>
          </w:tcPr>
          <w:p>
            <w:pPr>
              <w:spacing w:after="0"/>
              <w:rPr>
                <w:sz w:val="15"/>
                <w:szCs w:val="15"/>
                <w:color w:val="auto"/>
              </w:rPr>
            </w:pPr>
          </w:p>
        </w:tc>
        <w:tc>
          <w:tcPr>
            <w:tcW w:w="1580" w:type="dxa"/>
            <w:vAlign w:val="bottom"/>
            <w:shd w:val="clear" w:color="auto" w:fill="DBDBDB"/>
          </w:tcPr>
          <w:p>
            <w:pPr>
              <w:ind w:left="20"/>
              <w:spacing w:after="0" w:line="183" w:lineRule="exact"/>
              <w:rPr>
                <w:sz w:val="20"/>
                <w:szCs w:val="20"/>
                <w:color w:val="auto"/>
              </w:rPr>
            </w:pPr>
            <w:r>
              <w:rPr>
                <w:rFonts w:ascii="Arial" w:cs="Arial" w:eastAsia="Arial" w:hAnsi="Arial"/>
                <w:sz w:val="18"/>
                <w:szCs w:val="18"/>
                <w:color w:val="auto"/>
              </w:rPr>
              <w:t>Revolving Credit</w:t>
            </w:r>
          </w:p>
        </w:tc>
        <w:tc>
          <w:tcPr>
            <w:tcW w:w="4040" w:type="dxa"/>
            <w:vAlign w:val="bottom"/>
            <w:shd w:val="clear" w:color="auto" w:fill="DBDBDB"/>
          </w:tcPr>
          <w:p>
            <w:pPr>
              <w:ind w:left="240"/>
              <w:spacing w:after="0" w:line="183" w:lineRule="exact"/>
              <w:rPr>
                <w:sz w:val="20"/>
                <w:szCs w:val="20"/>
                <w:color w:val="auto"/>
              </w:rPr>
            </w:pPr>
            <w:r>
              <w:rPr>
                <w:rFonts w:ascii="Arial" w:cs="Arial" w:eastAsia="Arial" w:hAnsi="Arial"/>
                <w:sz w:val="18"/>
                <w:szCs w:val="18"/>
                <w:color w:val="auto"/>
              </w:rPr>
              <w:t>$2.5 billion Revolving Credit Facility due May</w:t>
            </w:r>
          </w:p>
        </w:tc>
      </w:tr>
      <w:tr>
        <w:trPr>
          <w:trHeight w:val="229"/>
        </w:trPr>
        <w:tc>
          <w:tcPr>
            <w:tcW w:w="46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780" w:type="dxa"/>
            <w:vAlign w:val="bottom"/>
            <w:shd w:val="clear" w:color="auto" w:fill="DBDBDB"/>
          </w:tcPr>
          <w:p>
            <w:pPr>
              <w:spacing w:after="0"/>
              <w:rPr>
                <w:sz w:val="19"/>
                <w:szCs w:val="19"/>
                <w:color w:val="auto"/>
              </w:rPr>
            </w:pPr>
          </w:p>
        </w:tc>
        <w:tc>
          <w:tcPr>
            <w:tcW w:w="3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Facility</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236"/>
        </w:trPr>
        <w:tc>
          <w:tcPr>
            <w:tcW w:w="460" w:type="dxa"/>
            <w:vAlign w:val="bottom"/>
          </w:tcPr>
          <w:p>
            <w:pPr>
              <w:ind w:left="20"/>
              <w:spacing w:after="0"/>
              <w:rPr>
                <w:sz w:val="20"/>
                <w:szCs w:val="20"/>
                <w:color w:val="auto"/>
              </w:rPr>
            </w:pPr>
            <w:r>
              <w:rPr>
                <w:rFonts w:ascii="Arial" w:cs="Arial" w:eastAsia="Arial" w:hAnsi="Arial"/>
                <w:sz w:val="18"/>
                <w:szCs w:val="18"/>
                <w:color w:val="auto"/>
              </w:rPr>
              <w:t>2041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80" w:type="dxa"/>
            <w:vAlign w:val="bottom"/>
          </w:tcPr>
          <w:p>
            <w:pPr>
              <w:ind w:left="140"/>
              <w:spacing w:after="0"/>
              <w:rPr>
                <w:sz w:val="20"/>
                <w:szCs w:val="20"/>
                <w:color w:val="auto"/>
              </w:rPr>
            </w:pPr>
            <w:r>
              <w:rPr>
                <w:rFonts w:ascii="Arial" w:cs="Arial" w:eastAsia="Arial" w:hAnsi="Arial"/>
                <w:sz w:val="18"/>
                <w:szCs w:val="18"/>
                <w:color w:val="auto"/>
              </w:rPr>
              <w:t>3.366%</w:t>
            </w:r>
          </w:p>
        </w:tc>
        <w:tc>
          <w:tcPr>
            <w:tcW w:w="3060" w:type="dxa"/>
            <w:vAlign w:val="bottom"/>
          </w:tcPr>
          <w:p>
            <w:pPr>
              <w:ind w:left="20"/>
              <w:spacing w:after="0"/>
              <w:rPr>
                <w:sz w:val="20"/>
                <w:szCs w:val="20"/>
                <w:color w:val="auto"/>
              </w:rPr>
            </w:pPr>
            <w:r>
              <w:rPr>
                <w:rFonts w:ascii="Arial" w:cs="Arial" w:eastAsia="Arial" w:hAnsi="Arial"/>
                <w:sz w:val="18"/>
                <w:szCs w:val="18"/>
                <w:color w:val="auto"/>
              </w:rPr>
              <w:t>Senior Notes due November 2041</w:t>
            </w:r>
          </w:p>
        </w:tc>
        <w:tc>
          <w:tcPr>
            <w:tcW w:w="120" w:type="dxa"/>
            <w:vAlign w:val="bottom"/>
          </w:tcPr>
          <w:p>
            <w:pPr>
              <w:spacing w:after="0"/>
              <w:rPr>
                <w:sz w:val="20"/>
                <w:szCs w:val="20"/>
                <w:color w:val="auto"/>
              </w:rPr>
            </w:pPr>
          </w:p>
        </w:tc>
        <w:tc>
          <w:tcPr>
            <w:tcW w:w="1580" w:type="dxa"/>
            <w:vAlign w:val="bottom"/>
          </w:tcPr>
          <w:p>
            <w:pPr>
              <w:ind w:left="20"/>
              <w:spacing w:after="0"/>
              <w:rPr>
                <w:sz w:val="20"/>
                <w:szCs w:val="20"/>
                <w:color w:val="auto"/>
              </w:rPr>
            </w:pPr>
            <w:r>
              <w:rPr>
                <w:rFonts w:ascii="Arial" w:cs="Arial" w:eastAsia="Arial" w:hAnsi="Arial"/>
                <w:sz w:val="18"/>
                <w:szCs w:val="18"/>
                <w:color w:val="auto"/>
              </w:rPr>
              <w:t>SOFR</w:t>
            </w:r>
          </w:p>
        </w:tc>
        <w:tc>
          <w:tcPr>
            <w:tcW w:w="404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6"/>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2051</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3.477%</w:t>
            </w:r>
          </w:p>
        </w:tc>
        <w:tc>
          <w:tcPr>
            <w:tcW w:w="3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Senior Notes due November 2051</w:t>
            </w:r>
          </w:p>
        </w:tc>
        <w:tc>
          <w:tcPr>
            <w:tcW w:w="120" w:type="dxa"/>
            <w:vAlign w:val="bottom"/>
            <w:shd w:val="clear" w:color="auto" w:fill="DBDBDB"/>
          </w:tcPr>
          <w:p>
            <w:pPr>
              <w:spacing w:after="0"/>
              <w:rPr>
                <w:sz w:val="20"/>
                <w:szCs w:val="20"/>
                <w:color w:val="auto"/>
              </w:rPr>
            </w:pPr>
          </w:p>
        </w:tc>
        <w:tc>
          <w:tcPr>
            <w:tcW w:w="1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SSD</w:t>
            </w:r>
          </w:p>
        </w:tc>
        <w:tc>
          <w:tcPr>
            <w:tcW w:w="40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3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1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Micron, Crucial, any associated logos, and all other Micron trademarks are the property of Micron. Other product names or trademarks that are not owned by Micron are for identification purposes only and may be the trademarks of their respective owners.</w:t>
      </w:r>
    </w:p>
    <w:p>
      <w:pPr>
        <w:spacing w:after="0" w:line="20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All period references herein are to our fiscal periods unless otherwise indicated. Our fiscal year is the 52 or 53-week period ending on the Thursday closest to August 31. Fiscal years 2023 and 2022 each contain 52 weeks.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7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the expected one-time payment to the Qimonda estate; restructure plans and expected related savings and charges; market conditions and profitability in our industry; potential write-downs of inventories in future quarters; reductions in our wafer starts and the corresponding impact on our costs in 2023; the impact of the Cyberspace Administration of China decision; the timing for construction and ramping of production for new memory manufacturing fabs in the United States; the construction or expansion of our backend facilities; the receipt of government grants and investment tax credits; the sufficiency of our cash and investments; capital spending in 2023; funding of sustainability-focused projects; and allocation and dispersal of the net proceeds of our 2032 Green Bonds.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r>
      <w:tr>
        <w:trPr>
          <w:trHeight w:val="229"/>
        </w:trPr>
        <w:tc>
          <w:tcPr>
            <w:tcW w:w="54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48"/>
        </w:trPr>
        <w:tc>
          <w:tcPr>
            <w:tcW w:w="5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3,752</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r>
      <w:tr>
        <w:trPr>
          <w:trHeight w:val="243"/>
        </w:trPr>
        <w:tc>
          <w:tcPr>
            <w:tcW w:w="54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r>
      <w:tr>
        <w:trPr>
          <w:trHeight w:val="223"/>
        </w:trPr>
        <w:tc>
          <w:tcPr>
            <w:tcW w:w="54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r>
      <w:tr>
        <w:trPr>
          <w:trHeight w:val="243"/>
        </w:trPr>
        <w:tc>
          <w:tcPr>
            <w:tcW w:w="5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758</w:t>
            </w:r>
          </w:p>
        </w:tc>
        <w:tc>
          <w:tcPr>
            <w:tcW w:w="28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2,395</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786</w:t>
            </w: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54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54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(4,273)</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8,181</w:t>
            </w:r>
          </w:p>
        </w:tc>
      </w:tr>
      <w:tr>
        <w:trPr>
          <w:trHeight w:val="257"/>
        </w:trPr>
        <w:tc>
          <w:tcPr>
            <w:tcW w:w="5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8,018</w:t>
            </w:r>
          </w:p>
        </w:tc>
      </w:tr>
      <w:tr>
        <w:trPr>
          <w:trHeight w:val="257"/>
        </w:trPr>
        <w:tc>
          <w:tcPr>
            <w:tcW w:w="54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54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540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(1,896)</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2,626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r>
      <w:tr>
        <w:trPr>
          <w:trHeight w:val="20"/>
        </w:trPr>
        <w:tc>
          <w:tcPr>
            <w:tcW w:w="5400" w:type="dxa"/>
            <w:vAlign w:val="bottom"/>
            <w:tcBorders>
              <w:bottom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40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0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54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6.44</w:t>
            </w:r>
          </w:p>
        </w:tc>
      </w:tr>
      <w:tr>
        <w:trPr>
          <w:trHeight w:val="229"/>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57"/>
        </w:trPr>
        <w:tc>
          <w:tcPr>
            <w:tcW w:w="54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3"/>
        </w:trPr>
        <w:tc>
          <w:tcPr>
            <w:tcW w:w="54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1,127</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38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3"/>
          </w:tcPr>
          <w:p>
            <w:pPr>
              <w:jc w:val="right"/>
              <w:ind w:right="71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3"/>
          </w:tcPr>
          <w:p>
            <w:pPr>
              <w:jc w:val="right"/>
              <w:ind w:right="49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0"/>
              <w:spacing w:after="0" w:line="170"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r>
      <w:tr>
        <w:trPr>
          <w:trHeight w:val="229"/>
        </w:trPr>
        <w:tc>
          <w:tcPr>
            <w:tcW w:w="538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48"/>
        </w:trPr>
        <w:tc>
          <w:tcPr>
            <w:tcW w:w="5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(4,403)</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7,195</w:t>
            </w:r>
          </w:p>
        </w:tc>
      </w:tr>
      <w:tr>
        <w:trPr>
          <w:trHeight w:val="257"/>
        </w:trPr>
        <w:tc>
          <w:tcPr>
            <w:tcW w:w="5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r>
      <w:tr>
        <w:trPr>
          <w:trHeight w:val="236"/>
        </w:trPr>
        <w:tc>
          <w:tcPr>
            <w:tcW w:w="538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36"/>
        </w:trPr>
        <w:tc>
          <w:tcPr>
            <w:tcW w:w="53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26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38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Pension liability adjustments</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38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D1D2D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53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(1,863)</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2,400</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(4,183)</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6,829</w:t>
            </w:r>
          </w:p>
        </w:tc>
      </w:tr>
      <w:tr>
        <w:trPr>
          <w:trHeight w:val="20"/>
        </w:trPr>
        <w:tc>
          <w:tcPr>
            <w:tcW w:w="5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70"/>
        </w:trPr>
        <w:tc>
          <w:tcPr>
            <w:tcW w:w="834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90DA"/>
            </w:tcBorders>
          </w:tcPr>
          <w:p>
            <w:pPr>
              <w:spacing w:after="0"/>
              <w:rPr>
                <w:sz w:val="24"/>
                <w:szCs w:val="24"/>
                <w:color w:val="auto"/>
              </w:rPr>
            </w:pPr>
          </w:p>
        </w:tc>
        <w:tc>
          <w:tcPr>
            <w:tcW w:w="132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34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39"/>
        </w:trPr>
        <w:tc>
          <w:tcPr>
            <w:tcW w:w="8340" w:type="dxa"/>
            <w:vAlign w:val="bottom"/>
            <w:tcBorders>
              <w:bottom w:val="single" w:sz="8" w:color="0090DA"/>
            </w:tcBorders>
            <w:vMerge w:val="continue"/>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0090DA"/>
            </w:tcBorders>
          </w:tcPr>
          <w:p>
            <w:pPr>
              <w:spacing w:after="0"/>
              <w:rPr>
                <w:sz w:val="20"/>
                <w:szCs w:val="20"/>
                <w:color w:val="auto"/>
              </w:rPr>
            </w:pPr>
          </w:p>
        </w:tc>
        <w:tc>
          <w:tcPr>
            <w:tcW w:w="4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9,298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43"/>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D1D2D4"/>
          </w:tcPr>
          <w:p>
            <w:pPr>
              <w:spacing w:after="0"/>
              <w:rPr>
                <w:sz w:val="21"/>
                <w:szCs w:val="21"/>
                <w:color w:val="auto"/>
              </w:rPr>
            </w:pPr>
          </w:p>
        </w:tc>
        <w:tc>
          <w:tcPr>
            <w:tcW w:w="40" w:type="dxa"/>
            <w:vAlign w:val="bottom"/>
            <w:shd w:val="clear" w:color="auto" w:fill="D1D2D4"/>
          </w:tcPr>
          <w:p>
            <w:pPr>
              <w:spacing w:after="0"/>
              <w:rPr>
                <w:sz w:val="21"/>
                <w:szCs w:val="21"/>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21,734</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9"/>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38,727</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6"/>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D1D2D4"/>
          </w:tcPr>
          <w:p>
            <w:pPr>
              <w:spacing w:after="0"/>
              <w:rPr>
                <w:sz w:val="20"/>
                <w:szCs w:val="20"/>
                <w:color w:val="auto"/>
              </w:rPr>
            </w:pPr>
          </w:p>
        </w:tc>
        <w:tc>
          <w:tcPr>
            <w:tcW w:w="40" w:type="dxa"/>
            <w:vAlign w:val="bottom"/>
            <w:shd w:val="clear" w:color="auto" w:fill="D1D2D4"/>
          </w:tcPr>
          <w:p>
            <w:pPr>
              <w:spacing w:after="0"/>
              <w:rPr>
                <w:sz w:val="20"/>
                <w:szCs w:val="20"/>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43"/>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D1D2D4"/>
          </w:tcPr>
          <w:p>
            <w:pPr>
              <w:spacing w:after="0"/>
              <w:rPr>
                <w:sz w:val="21"/>
                <w:szCs w:val="21"/>
                <w:color w:val="auto"/>
              </w:rPr>
            </w:pPr>
          </w:p>
        </w:tc>
        <w:tc>
          <w:tcPr>
            <w:tcW w:w="40" w:type="dxa"/>
            <w:vAlign w:val="bottom"/>
            <w:shd w:val="clear" w:color="auto" w:fill="D1D2D4"/>
          </w:tcPr>
          <w:p>
            <w:pPr>
              <w:spacing w:after="0"/>
              <w:rPr>
                <w:sz w:val="21"/>
                <w:szCs w:val="21"/>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4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4,177</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6"/>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D1D2D4"/>
          </w:tcPr>
          <w:p>
            <w:pPr>
              <w:spacing w:after="0"/>
              <w:rPr>
                <w:sz w:val="20"/>
                <w:szCs w:val="20"/>
                <w:color w:val="auto"/>
              </w:rPr>
            </w:pPr>
          </w:p>
        </w:tc>
        <w:tc>
          <w:tcPr>
            <w:tcW w:w="40" w:type="dxa"/>
            <w:vAlign w:val="bottom"/>
            <w:shd w:val="clear" w:color="auto" w:fill="D1D2D4"/>
          </w:tcPr>
          <w:p>
            <w:pPr>
              <w:spacing w:after="0"/>
              <w:rPr>
                <w:sz w:val="20"/>
                <w:szCs w:val="20"/>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6"/>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5,104</w:t>
            </w:r>
          </w:p>
        </w:tc>
        <w:tc>
          <w:tcPr>
            <w:tcW w:w="100" w:type="dxa"/>
            <w:vAlign w:val="bottom"/>
            <w:shd w:val="clear" w:color="auto" w:fill="D1D2D4"/>
          </w:tcPr>
          <w:p>
            <w:pPr>
              <w:spacing w:after="0"/>
              <w:rPr>
                <w:sz w:val="20"/>
                <w:szCs w:val="20"/>
                <w:color w:val="auto"/>
              </w:rPr>
            </w:pPr>
          </w:p>
        </w:tc>
        <w:tc>
          <w:tcPr>
            <w:tcW w:w="40" w:type="dxa"/>
            <w:vAlign w:val="bottom"/>
            <w:shd w:val="clear" w:color="auto" w:fill="D1D2D4"/>
          </w:tcPr>
          <w:p>
            <w:pPr>
              <w:spacing w:after="0"/>
              <w:rPr>
                <w:sz w:val="20"/>
                <w:szCs w:val="20"/>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auto"/>
            </w:tcBorders>
            <w:shd w:val="clear" w:color="auto" w:fill="D1D2D4"/>
          </w:tcPr>
          <w:p>
            <w:pPr>
              <w:spacing w:after="0"/>
              <w:rPr>
                <w:sz w:val="20"/>
                <w:szCs w:val="20"/>
                <w:color w:val="auto"/>
              </w:rPr>
            </w:pPr>
          </w:p>
        </w:tc>
        <w:tc>
          <w:tcPr>
            <w:tcW w:w="40" w:type="dxa"/>
            <w:vAlign w:val="bottom"/>
            <w:tcBorders>
              <w:bottom w:val="single" w:sz="8" w:color="auto"/>
            </w:tcBorders>
            <w:shd w:val="clear" w:color="auto" w:fill="D1D2D4"/>
          </w:tcPr>
          <w:p>
            <w:pPr>
              <w:spacing w:after="0"/>
              <w:rPr>
                <w:sz w:val="20"/>
                <w:szCs w:val="20"/>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3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50"/>
        </w:trPr>
        <w:tc>
          <w:tcPr>
            <w:tcW w:w="834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40" w:type="dxa"/>
            <w:vAlign w:val="bottom"/>
            <w:shd w:val="clear" w:color="auto" w:fill="D1D2D4"/>
          </w:tcPr>
          <w:p>
            <w:pPr>
              <w:spacing w:after="0"/>
              <w:rPr>
                <w:sz w:val="21"/>
                <w:szCs w:val="21"/>
                <w:color w:val="auto"/>
              </w:rPr>
            </w:pPr>
          </w:p>
        </w:tc>
        <w:tc>
          <w:tcPr>
            <w:tcW w:w="13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3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100" w:type="dxa"/>
            <w:vAlign w:val="bottom"/>
            <w:shd w:val="clear" w:color="auto" w:fill="D1D2D4"/>
          </w:tcPr>
          <w:p>
            <w:pPr>
              <w:spacing w:after="0"/>
              <w:rPr>
                <w:sz w:val="22"/>
                <w:szCs w:val="22"/>
                <w:color w:val="auto"/>
              </w:rPr>
            </w:pPr>
          </w:p>
        </w:tc>
        <w:tc>
          <w:tcPr>
            <w:tcW w:w="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40" w:type="dxa"/>
            <w:vAlign w:val="bottom"/>
            <w:shd w:val="clear" w:color="auto" w:fill="D1D2D4"/>
          </w:tcPr>
          <w:p>
            <w:pPr>
              <w:ind w:left="220"/>
              <w:spacing w:after="0" w:line="176" w:lineRule="exact"/>
              <w:rPr>
                <w:sz w:val="20"/>
                <w:szCs w:val="20"/>
                <w:color w:val="auto"/>
              </w:rPr>
            </w:pPr>
            <w:r>
              <w:rPr>
                <w:rFonts w:ascii="Arial" w:cs="Arial" w:eastAsia="Arial" w:hAnsi="Arial"/>
                <w:sz w:val="18"/>
                <w:szCs w:val="18"/>
                <w:color w:val="auto"/>
              </w:rPr>
              <w:t>Common stock, $0.10 par value, 3,000 shares authorized, 1,236 shares issued and 1,095</w:t>
            </w:r>
          </w:p>
        </w:tc>
        <w:tc>
          <w:tcPr>
            <w:tcW w:w="26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D1D2D4"/>
          </w:tcPr>
          <w:p>
            <w:pPr>
              <w:spacing w:after="0"/>
              <w:rPr>
                <w:sz w:val="15"/>
                <w:szCs w:val="15"/>
                <w:color w:val="auto"/>
              </w:rPr>
            </w:pPr>
          </w:p>
        </w:tc>
        <w:tc>
          <w:tcPr>
            <w:tcW w:w="40" w:type="dxa"/>
            <w:vAlign w:val="bottom"/>
            <w:shd w:val="clear" w:color="auto" w:fill="D1D2D4"/>
          </w:tcPr>
          <w:p>
            <w:pPr>
              <w:spacing w:after="0"/>
              <w:rPr>
                <w:sz w:val="15"/>
                <w:szCs w:val="15"/>
                <w:color w:val="auto"/>
              </w:rPr>
            </w:pPr>
          </w:p>
        </w:tc>
        <w:tc>
          <w:tcPr>
            <w:tcW w:w="13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2"/>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(1,226 shares issued and 1,094 outstanding as of September 1, 2022)</w:t>
            </w:r>
          </w:p>
        </w:tc>
        <w:tc>
          <w:tcPr>
            <w:tcW w:w="260" w:type="dxa"/>
            <w:vAlign w:val="bottom"/>
            <w:shd w:val="clear" w:color="auto" w:fill="D1D2D4"/>
          </w:tcPr>
          <w:p>
            <w:pPr>
              <w:spacing w:after="0"/>
              <w:rPr>
                <w:sz w:val="21"/>
                <w:szCs w:val="21"/>
                <w:color w:val="auto"/>
              </w:rPr>
            </w:pPr>
          </w:p>
        </w:tc>
        <w:tc>
          <w:tcPr>
            <w:tcW w:w="1180" w:type="dxa"/>
            <w:vAlign w:val="bottom"/>
            <w:vMerge w:val="continue"/>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40" w:type="dxa"/>
            <w:vAlign w:val="bottom"/>
            <w:shd w:val="clear" w:color="auto" w:fill="D1D2D4"/>
          </w:tcPr>
          <w:p>
            <w:pPr>
              <w:spacing w:after="0"/>
              <w:rPr>
                <w:sz w:val="21"/>
                <w:szCs w:val="21"/>
                <w:color w:val="auto"/>
              </w:rPr>
            </w:pPr>
          </w:p>
        </w:tc>
        <w:tc>
          <w:tcPr>
            <w:tcW w:w="132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42,391</w:t>
            </w:r>
          </w:p>
        </w:tc>
        <w:tc>
          <w:tcPr>
            <w:tcW w:w="100" w:type="dxa"/>
            <w:vAlign w:val="bottom"/>
            <w:shd w:val="clear" w:color="auto" w:fill="D1D2D4"/>
          </w:tcPr>
          <w:p>
            <w:pPr>
              <w:spacing w:after="0"/>
              <w:rPr>
                <w:sz w:val="19"/>
                <w:szCs w:val="19"/>
                <w:color w:val="auto"/>
              </w:rPr>
            </w:pPr>
          </w:p>
        </w:tc>
        <w:tc>
          <w:tcPr>
            <w:tcW w:w="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6"/>
        </w:trPr>
        <w:tc>
          <w:tcPr>
            <w:tcW w:w="8340" w:type="dxa"/>
            <w:vAlign w:val="bottom"/>
          </w:tcPr>
          <w:p>
            <w:pPr>
              <w:ind w:left="220"/>
              <w:spacing w:after="0"/>
              <w:rPr>
                <w:sz w:val="20"/>
                <w:szCs w:val="20"/>
                <w:color w:val="auto"/>
              </w:rPr>
            </w:pPr>
            <w:r>
              <w:rPr>
                <w:rFonts w:ascii="Arial" w:cs="Arial" w:eastAsia="Arial" w:hAnsi="Arial"/>
                <w:sz w:val="18"/>
                <w:szCs w:val="18"/>
                <w:color w:val="auto"/>
              </w:rPr>
              <w:t>Treasury stock, 141 shares held (132 shares as of September 1, 2022)</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6"/>
        </w:trPr>
        <w:tc>
          <w:tcPr>
            <w:tcW w:w="83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auto"/>
            </w:tcBorders>
            <w:shd w:val="clear" w:color="auto" w:fill="D1D2D4"/>
          </w:tcPr>
          <w:p>
            <w:pPr>
              <w:spacing w:after="0"/>
              <w:rPr>
                <w:sz w:val="20"/>
                <w:szCs w:val="20"/>
                <w:color w:val="auto"/>
              </w:rPr>
            </w:pPr>
          </w:p>
        </w:tc>
        <w:tc>
          <w:tcPr>
            <w:tcW w:w="40" w:type="dxa"/>
            <w:vAlign w:val="bottom"/>
            <w:tcBorders>
              <w:bottom w:val="single" w:sz="8" w:color="auto"/>
            </w:tcBorders>
            <w:shd w:val="clear" w:color="auto" w:fill="D1D2D4"/>
          </w:tcPr>
          <w:p>
            <w:pPr>
              <w:spacing w:after="0"/>
              <w:rPr>
                <w:sz w:val="20"/>
                <w:szCs w:val="20"/>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4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40" w:type="dxa"/>
            <w:vAlign w:val="bottom"/>
          </w:tcPr>
          <w:p>
            <w:pPr>
              <w:spacing w:after="0"/>
              <w:rPr>
                <w:sz w:val="19"/>
                <w:szCs w:val="19"/>
                <w:color w:val="auto"/>
              </w:rPr>
            </w:pPr>
          </w:p>
        </w:tc>
        <w:tc>
          <w:tcPr>
            <w:tcW w:w="19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6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860" w:type="dxa"/>
            <w:vAlign w:val="bottom"/>
            <w:tcBorders>
              <w:bottom w:val="single" w:sz="8" w:color="0090DA"/>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vMerge w:val="restart"/>
          </w:tcPr>
          <w:p>
            <w:pPr>
              <w:jc w:val="center"/>
              <w:ind w:right="10"/>
              <w:spacing w:after="0" w:line="180" w:lineRule="exact"/>
              <w:rPr>
                <w:sz w:val="20"/>
                <w:szCs w:val="20"/>
                <w:color w:val="auto"/>
              </w:rPr>
            </w:pPr>
            <w:r>
              <w:rPr>
                <w:rFonts w:ascii="Arial" w:cs="Arial" w:eastAsia="Arial" w:hAnsi="Arial"/>
                <w:sz w:val="18"/>
                <w:szCs w:val="18"/>
                <w:b w:val="1"/>
                <w:bCs w:val="1"/>
                <w:color w:val="auto"/>
                <w:w w:val="99"/>
              </w:rPr>
              <w:t>Other</w:t>
            </w:r>
          </w:p>
        </w:tc>
        <w:tc>
          <w:tcPr>
            <w:tcW w:w="260" w:type="dxa"/>
            <w:vAlign w:val="bottom"/>
          </w:tcPr>
          <w:p>
            <w:pPr>
              <w:spacing w:after="0"/>
              <w:rPr>
                <w:sz w:val="2"/>
                <w:szCs w:val="2"/>
                <w:color w:val="auto"/>
              </w:rPr>
            </w:pPr>
          </w:p>
        </w:tc>
        <w:tc>
          <w:tcPr>
            <w:tcW w:w="1060" w:type="dxa"/>
            <w:vAlign w:val="bottom"/>
            <w:vMerge w:val="restart"/>
          </w:tcPr>
          <w:p>
            <w:pPr>
              <w:jc w:val="center"/>
              <w:ind w:right="150"/>
              <w:spacing w:after="0" w:line="180"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Treasury</w:t>
            </w: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5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Comprehensive</w:t>
            </w: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96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bottom w:val="single" w:sz="8" w:color="0090DA"/>
            </w:tcBorders>
          </w:tcPr>
          <w:p>
            <w:pPr>
              <w:spacing w:after="0"/>
              <w:rPr>
                <w:sz w:val="19"/>
                <w:szCs w:val="19"/>
                <w:color w:val="auto"/>
              </w:rPr>
            </w:pPr>
          </w:p>
        </w:tc>
        <w:tc>
          <w:tcPr>
            <w:tcW w:w="78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Income (Loss)</w:t>
            </w:r>
          </w:p>
        </w:tc>
        <w:tc>
          <w:tcPr>
            <w:tcW w:w="26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48"/>
        </w:trPr>
        <w:tc>
          <w:tcPr>
            <w:tcW w:w="3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September 1, 2022</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10,197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1"/>
                <w:szCs w:val="21"/>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D1D2D4"/>
          </w:tcPr>
          <w:p>
            <w:pPr>
              <w:spacing w:after="0"/>
              <w:rPr>
                <w:sz w:val="21"/>
                <w:szCs w:val="21"/>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Repurchase of stock - repurchase program</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83"/>
        </w:trPr>
        <w:tc>
          <w:tcPr>
            <w:tcW w:w="354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86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40" w:type="dxa"/>
            <w:vAlign w:val="bottom"/>
            <w:vMerge w:val="continue"/>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740" w:type="dxa"/>
            <w:vAlign w:val="bottom"/>
            <w:vMerge w:val="continue"/>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8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80" w:type="dxa"/>
            <w:vAlign w:val="bottom"/>
            <w:vMerge w:val="continue"/>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6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line="189" w:lineRule="exact"/>
              <w:rPr>
                <w:sz w:val="20"/>
                <w:szCs w:val="20"/>
                <w:color w:val="auto"/>
              </w:rPr>
            </w:pPr>
            <w:r>
              <w:rPr>
                <w:rFonts w:ascii="Arial" w:cs="Arial" w:eastAsia="Arial" w:hAnsi="Arial"/>
                <w:sz w:val="18"/>
                <w:szCs w:val="18"/>
                <w:color w:val="auto"/>
              </w:rPr>
              <w:t>Dividends and dividend equivalents</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8"/>
                <w:szCs w:val="18"/>
                <w:color w:val="auto"/>
              </w:rPr>
              <w:t>declared ($0.115 per share)</w:t>
            </w: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December 1, 2022</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10,335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46,873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(7,552)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49,306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29"/>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6"/>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0"/>
                <w:szCs w:val="20"/>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D1D2D4"/>
          </w:tcPr>
          <w:p>
            <w:pPr>
              <w:spacing w:after="0"/>
              <w:rPr>
                <w:sz w:val="20"/>
                <w:szCs w:val="20"/>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0"/>
                <w:szCs w:val="20"/>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Dividends and dividend equivalents</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declared ($0.115 per share)</w:t>
            </w: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740" w:type="dxa"/>
            <w:vAlign w:val="bottom"/>
            <w:tcBorders>
              <w:bottom w:val="single" w:sz="8" w:color="auto"/>
            </w:tcBorders>
            <w:vMerge w:val="continue"/>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80" w:type="dxa"/>
            <w:vAlign w:val="bottom"/>
            <w:tcBorders>
              <w:bottom w:val="single" w:sz="8" w:color="auto"/>
            </w:tcBorders>
            <w:vMerge w:val="continue"/>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06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 at March 2, 2023</w:t>
            </w: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10,633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47,257</w:t>
            </w:r>
          </w:p>
        </w:tc>
        <w:tc>
          <w:tcPr>
            <w:tcW w:w="0" w:type="dxa"/>
            <w:vAlign w:val="bottom"/>
          </w:tcPr>
          <w:p>
            <w:pPr>
              <w:spacing w:after="0"/>
              <w:rPr>
                <w:sz w:val="1"/>
                <w:szCs w:val="1"/>
                <w:color w:val="auto"/>
              </w:rPr>
            </w:pPr>
          </w:p>
        </w:tc>
      </w:tr>
      <w:tr>
        <w:trPr>
          <w:trHeight w:val="243"/>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21"/>
                <w:szCs w:val="21"/>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180" w:type="dxa"/>
            <w:vAlign w:val="bottom"/>
            <w:shd w:val="clear" w:color="auto" w:fill="D1D2D4"/>
          </w:tcPr>
          <w:p>
            <w:pPr>
              <w:spacing w:after="0"/>
              <w:rPr>
                <w:sz w:val="21"/>
                <w:szCs w:val="21"/>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1"/>
                <w:szCs w:val="21"/>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6"/>
        </w:trPr>
        <w:tc>
          <w:tcPr>
            <w:tcW w:w="35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83"/>
        </w:trPr>
        <w:tc>
          <w:tcPr>
            <w:tcW w:w="354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86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840" w:type="dxa"/>
            <w:vAlign w:val="bottom"/>
            <w:vMerge w:val="continue"/>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740" w:type="dxa"/>
            <w:vAlign w:val="bottom"/>
            <w:vMerge w:val="continue"/>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8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80" w:type="dxa"/>
            <w:vAlign w:val="bottom"/>
            <w:vMerge w:val="continue"/>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06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20"/>
              <w:spacing w:after="0" w:line="189" w:lineRule="exact"/>
              <w:rPr>
                <w:sz w:val="20"/>
                <w:szCs w:val="20"/>
                <w:color w:val="auto"/>
              </w:rPr>
            </w:pPr>
            <w:r>
              <w:rPr>
                <w:rFonts w:ascii="Arial" w:cs="Arial" w:eastAsia="Arial" w:hAnsi="Arial"/>
                <w:sz w:val="18"/>
                <w:szCs w:val="18"/>
                <w:color w:val="auto"/>
              </w:rPr>
              <w:t>Dividends and dividend equivalents</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8"/>
                <w:szCs w:val="18"/>
                <w:color w:val="auto"/>
              </w:rPr>
              <w:t>declared ($0.115 per share)</w:t>
            </w: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5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June 1, 2023</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10,782</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42,391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(7,552)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45,405</w:t>
            </w:r>
          </w:p>
        </w:tc>
        <w:tc>
          <w:tcPr>
            <w:tcW w:w="0" w:type="dxa"/>
            <w:vAlign w:val="bottom"/>
          </w:tcPr>
          <w:p>
            <w:pPr>
              <w:spacing w:after="0"/>
              <w:rPr>
                <w:sz w:val="1"/>
                <w:szCs w:val="1"/>
                <w:color w:val="auto"/>
              </w:rPr>
            </w:pPr>
          </w:p>
        </w:tc>
      </w:tr>
      <w:tr>
        <w:trPr>
          <w:trHeight w:val="20"/>
        </w:trPr>
        <w:tc>
          <w:tcPr>
            <w:tcW w:w="354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8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5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3520" w:type="dxa"/>
            <w:vAlign w:val="bottom"/>
          </w:tcPr>
          <w:p>
            <w:pPr>
              <w:spacing w:after="0"/>
              <w:rPr>
                <w:sz w:val="19"/>
                <w:szCs w:val="19"/>
                <w:color w:val="auto"/>
              </w:rPr>
            </w:pPr>
          </w:p>
        </w:tc>
        <w:tc>
          <w:tcPr>
            <w:tcW w:w="194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Accumulated</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960" w:type="dxa"/>
            <w:vAlign w:val="bottom"/>
            <w:tcBorders>
              <w:bottom w:val="single" w:sz="8" w:color="0090DA"/>
            </w:tcBorders>
          </w:tcPr>
          <w:p>
            <w:pPr>
              <w:spacing w:after="0"/>
              <w:rPr>
                <w:sz w:val="2"/>
                <w:szCs w:val="2"/>
                <w:color w:val="auto"/>
              </w:rPr>
            </w:pPr>
          </w:p>
        </w:tc>
        <w:tc>
          <w:tcPr>
            <w:tcW w:w="120" w:type="dxa"/>
            <w:vAlign w:val="bottom"/>
            <w:tcBorders>
              <w:bottom w:val="single" w:sz="8" w:color="0090DA"/>
            </w:tcBorders>
          </w:tcPr>
          <w:p>
            <w:pPr>
              <w:spacing w:after="0"/>
              <w:rPr>
                <w:sz w:val="2"/>
                <w:szCs w:val="2"/>
                <w:color w:val="auto"/>
              </w:rPr>
            </w:pPr>
          </w:p>
        </w:tc>
        <w:tc>
          <w:tcPr>
            <w:tcW w:w="860" w:type="dxa"/>
            <w:vAlign w:val="bottom"/>
            <w:tcBorders>
              <w:bottom w:val="single" w:sz="8" w:color="0090DA"/>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vMerge w:val="restart"/>
          </w:tcPr>
          <w:p>
            <w:pPr>
              <w:jc w:val="center"/>
              <w:ind w:right="50"/>
              <w:spacing w:after="0" w:line="180" w:lineRule="exact"/>
              <w:rPr>
                <w:sz w:val="20"/>
                <w:szCs w:val="20"/>
                <w:color w:val="auto"/>
              </w:rPr>
            </w:pPr>
            <w:r>
              <w:rPr>
                <w:rFonts w:ascii="Arial" w:cs="Arial" w:eastAsia="Arial" w:hAnsi="Arial"/>
                <w:sz w:val="18"/>
                <w:szCs w:val="18"/>
                <w:b w:val="1"/>
                <w:bCs w:val="1"/>
                <w:color w:val="auto"/>
                <w:w w:val="99"/>
              </w:rPr>
              <w:t>Other</w:t>
            </w:r>
          </w:p>
        </w:tc>
        <w:tc>
          <w:tcPr>
            <w:tcW w:w="260" w:type="dxa"/>
            <w:vAlign w:val="bottom"/>
          </w:tcPr>
          <w:p>
            <w:pPr>
              <w:spacing w:after="0"/>
              <w:rPr>
                <w:sz w:val="2"/>
                <w:szCs w:val="2"/>
                <w:color w:val="auto"/>
              </w:rPr>
            </w:pPr>
          </w:p>
        </w:tc>
        <w:tc>
          <w:tcPr>
            <w:tcW w:w="1040" w:type="dxa"/>
            <w:vAlign w:val="bottom"/>
            <w:vMerge w:val="restart"/>
          </w:tcPr>
          <w:p>
            <w:pPr>
              <w:jc w:val="center"/>
              <w:ind w:right="170"/>
              <w:spacing w:after="0" w:line="180"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Additional</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Retained</w:t>
            </w:r>
          </w:p>
        </w:tc>
        <w:tc>
          <w:tcPr>
            <w:tcW w:w="9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Treasury</w:t>
            </w:r>
          </w:p>
        </w:tc>
        <w:tc>
          <w:tcPr>
            <w:tcW w:w="14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Amount</w:t>
            </w:r>
          </w:p>
        </w:tc>
        <w:tc>
          <w:tcPr>
            <w:tcW w:w="9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5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rPr>
              <w:t>Comprehensive</w:t>
            </w:r>
          </w:p>
        </w:tc>
        <w:tc>
          <w:tcPr>
            <w:tcW w:w="130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Shareholders’</w:t>
            </w:r>
          </w:p>
        </w:tc>
        <w:tc>
          <w:tcPr>
            <w:tcW w:w="0" w:type="dxa"/>
            <w:vAlign w:val="bottom"/>
          </w:tcPr>
          <w:p>
            <w:pPr>
              <w:spacing w:after="0"/>
              <w:rPr>
                <w:sz w:val="1"/>
                <w:szCs w:val="1"/>
                <w:color w:val="auto"/>
              </w:rPr>
            </w:pPr>
          </w:p>
        </w:tc>
      </w:tr>
      <w:tr>
        <w:trPr>
          <w:trHeight w:val="230"/>
        </w:trPr>
        <w:tc>
          <w:tcPr>
            <w:tcW w:w="352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of Shares</w:t>
            </w:r>
          </w:p>
        </w:tc>
        <w:tc>
          <w:tcPr>
            <w:tcW w:w="120" w:type="dxa"/>
            <w:vAlign w:val="bottom"/>
            <w:tcBorders>
              <w:bottom w:val="single" w:sz="8" w:color="0090DA"/>
            </w:tcBorders>
          </w:tcPr>
          <w:p>
            <w:pPr>
              <w:spacing w:after="0"/>
              <w:rPr>
                <w:sz w:val="19"/>
                <w:szCs w:val="19"/>
                <w:color w:val="auto"/>
              </w:rPr>
            </w:pPr>
          </w:p>
        </w:tc>
        <w:tc>
          <w:tcPr>
            <w:tcW w:w="860" w:type="dxa"/>
            <w:vAlign w:val="bottom"/>
            <w:tcBorders>
              <w:bottom w:val="single" w:sz="8" w:color="0090DA"/>
            </w:tcBorders>
            <w:vMerge w:val="continue"/>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84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Capital</w:t>
            </w:r>
          </w:p>
        </w:tc>
        <w:tc>
          <w:tcPr>
            <w:tcW w:w="9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18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Income (Loss)</w:t>
            </w:r>
          </w:p>
        </w:tc>
        <w:tc>
          <w:tcPr>
            <w:tcW w:w="26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48"/>
        </w:trPr>
        <w:tc>
          <w:tcPr>
            <w:tcW w:w="3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Balance at September 2, 2021</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39,051</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43"/>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D1D2D4"/>
          </w:tcPr>
          <w:p>
            <w:pPr>
              <w:spacing w:after="0"/>
              <w:rPr>
                <w:sz w:val="21"/>
                <w:szCs w:val="21"/>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Repurchase of stock - repurchase program</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83"/>
        </w:trPr>
        <w:tc>
          <w:tcPr>
            <w:tcW w:w="352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86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D1D2D4"/>
          </w:tcPr>
          <w:p>
            <w:pPr>
              <w:spacing w:after="0"/>
              <w:rPr>
                <w:sz w:val="15"/>
                <w:szCs w:val="15"/>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vMerge w:val="continue"/>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80" w:type="dxa"/>
            <w:vAlign w:val="bottom"/>
            <w:tcBorders>
              <w:bottom w:val="single" w:sz="8" w:color="auto"/>
            </w:tcBorders>
            <w:vMerge w:val="continue"/>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2, 2021</w:t>
            </w:r>
          </w:p>
        </w:tc>
        <w:tc>
          <w:tcPr>
            <w:tcW w:w="960" w:type="dxa"/>
            <w:vAlign w:val="bottom"/>
          </w:tcPr>
          <w:p>
            <w:pPr>
              <w:jc w:val="right"/>
              <w:spacing w:after="0"/>
              <w:rPr>
                <w:sz w:val="20"/>
                <w:szCs w:val="20"/>
                <w:color w:val="auto"/>
              </w:rPr>
            </w:pPr>
            <w:r>
              <w:rPr>
                <w:rFonts w:ascii="Arial" w:cs="Arial" w:eastAsia="Arial" w:hAnsi="Arial"/>
                <w:sz w:val="18"/>
                <w:szCs w:val="18"/>
                <w:color w:val="auto"/>
              </w:rPr>
              <w:t>1,220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45,908</w:t>
            </w:r>
          </w:p>
        </w:tc>
        <w:tc>
          <w:tcPr>
            <w:tcW w:w="0" w:type="dxa"/>
            <w:vAlign w:val="bottom"/>
          </w:tcPr>
          <w:p>
            <w:pPr>
              <w:spacing w:after="0"/>
              <w:rPr>
                <w:sz w:val="1"/>
                <w:szCs w:val="1"/>
                <w:color w:val="auto"/>
              </w:rPr>
            </w:pPr>
          </w:p>
        </w:tc>
      </w:tr>
      <w:tr>
        <w:trPr>
          <w:trHeight w:val="229"/>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1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6"/>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1D2D4"/>
          </w:tcPr>
          <w:p>
            <w:pPr>
              <w:spacing w:after="0"/>
              <w:rPr>
                <w:sz w:val="20"/>
                <w:szCs w:val="20"/>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 of stock - repurchase program</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D1D2D4"/>
          </w:tcPr>
          <w:p>
            <w:pPr>
              <w:spacing w:after="0"/>
              <w:rPr>
                <w:sz w:val="21"/>
                <w:szCs w:val="21"/>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1"/>
                <w:szCs w:val="21"/>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Dividends and dividend equivalents</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6"/>
                <w:szCs w:val="16"/>
                <w:color w:val="auto"/>
              </w:rPr>
            </w:pPr>
          </w:p>
        </w:tc>
        <w:tc>
          <w:tcPr>
            <w:tcW w:w="86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6"/>
                <w:szCs w:val="16"/>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D1D2D4"/>
          </w:tcPr>
          <w:p>
            <w:pPr>
              <w:spacing w:after="0"/>
              <w:rPr>
                <w:sz w:val="16"/>
                <w:szCs w:val="16"/>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6"/>
                <w:szCs w:val="16"/>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declared ($0.10 per share)</w:t>
            </w: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vMerge w:val="continue"/>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80" w:type="dxa"/>
            <w:vAlign w:val="bottom"/>
            <w:tcBorders>
              <w:bottom w:val="single" w:sz="8" w:color="auto"/>
            </w:tcBorders>
            <w:vMerge w:val="continue"/>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March 3, 2022</w:t>
            </w:r>
          </w:p>
        </w:tc>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47,845</w:t>
            </w:r>
          </w:p>
        </w:tc>
        <w:tc>
          <w:tcPr>
            <w:tcW w:w="0" w:type="dxa"/>
            <w:vAlign w:val="bottom"/>
          </w:tcPr>
          <w:p>
            <w:pPr>
              <w:spacing w:after="0"/>
              <w:rPr>
                <w:sz w:val="1"/>
                <w:szCs w:val="1"/>
                <w:color w:val="auto"/>
              </w:rPr>
            </w:pPr>
          </w:p>
        </w:tc>
      </w:tr>
      <w:tr>
        <w:trPr>
          <w:trHeight w:val="230"/>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18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Other comprehensive income (loss),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6"/>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 issued under stock plans</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0"/>
                <w:szCs w:val="20"/>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0"/>
                <w:szCs w:val="20"/>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3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 of stock - repurchase program</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8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1"/>
                <w:szCs w:val="21"/>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D1D2D4"/>
          </w:tcPr>
          <w:p>
            <w:pPr>
              <w:spacing w:after="0"/>
              <w:rPr>
                <w:sz w:val="21"/>
                <w:szCs w:val="21"/>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21"/>
                <w:szCs w:val="21"/>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Arial" w:cs="Arial" w:eastAsia="Arial" w:hAnsi="Arial"/>
                <w:sz w:val="18"/>
                <w:szCs w:val="18"/>
                <w:color w:val="auto"/>
              </w:rPr>
              <w:t>Repurchase of stock - withholdings on</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employee equity awards</w:t>
            </w: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5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Dividends and dividend equivalents</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6"/>
                <w:szCs w:val="16"/>
                <w:color w:val="auto"/>
              </w:rPr>
            </w:pPr>
          </w:p>
        </w:tc>
        <w:tc>
          <w:tcPr>
            <w:tcW w:w="86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6"/>
                <w:szCs w:val="16"/>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D1D2D4"/>
          </w:tcPr>
          <w:p>
            <w:pPr>
              <w:spacing w:after="0"/>
              <w:rPr>
                <w:sz w:val="16"/>
                <w:szCs w:val="16"/>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6"/>
                <w:szCs w:val="16"/>
                <w:color w:val="auto"/>
              </w:rPr>
            </w:pPr>
          </w:p>
        </w:tc>
        <w:tc>
          <w:tcPr>
            <w:tcW w:w="13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6"/>
                <w:szCs w:val="16"/>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declared ($0.10 per share)</w:t>
            </w:r>
          </w:p>
        </w:tc>
        <w:tc>
          <w:tcPr>
            <w:tcW w:w="960" w:type="dxa"/>
            <w:vAlign w:val="bottom"/>
            <w:tcBorders>
              <w:bottom w:val="single" w:sz="8" w:color="auto"/>
            </w:tcBorders>
            <w:vMerge w:val="continue"/>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86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vMerge w:val="continue"/>
            <w:shd w:val="clear" w:color="auto" w:fill="D1D2D4"/>
          </w:tcPr>
          <w:p>
            <w:pPr>
              <w:spacing w:after="0"/>
              <w:rPr>
                <w:sz w:val="18"/>
                <w:szCs w:val="18"/>
                <w:color w:val="auto"/>
              </w:rPr>
            </w:pPr>
          </w:p>
        </w:tc>
        <w:tc>
          <w:tcPr>
            <w:tcW w:w="240" w:type="dxa"/>
            <w:vAlign w:val="bottom"/>
            <w:tcBorders>
              <w:bottom w:val="single" w:sz="8" w:color="auto"/>
            </w:tcBorders>
            <w:shd w:val="clear" w:color="auto" w:fill="D1D2D4"/>
          </w:tcPr>
          <w:p>
            <w:pPr>
              <w:spacing w:after="0"/>
              <w:rPr>
                <w:sz w:val="18"/>
                <w:szCs w:val="18"/>
                <w:color w:val="auto"/>
              </w:rPr>
            </w:pPr>
          </w:p>
        </w:tc>
        <w:tc>
          <w:tcPr>
            <w:tcW w:w="720" w:type="dxa"/>
            <w:vAlign w:val="bottom"/>
            <w:tcBorders>
              <w:bottom w:val="single" w:sz="8" w:color="auto"/>
            </w:tcBorders>
            <w:vMerge w:val="continue"/>
            <w:shd w:val="clear" w:color="auto" w:fill="D1D2D4"/>
          </w:tcPr>
          <w:p>
            <w:pPr>
              <w:spacing w:after="0"/>
              <w:rPr>
                <w:sz w:val="18"/>
                <w:szCs w:val="18"/>
                <w:color w:val="auto"/>
              </w:rPr>
            </w:pPr>
          </w:p>
        </w:tc>
        <w:tc>
          <w:tcPr>
            <w:tcW w:w="180" w:type="dxa"/>
            <w:vAlign w:val="bottom"/>
            <w:tcBorders>
              <w:bottom w:val="single" w:sz="8" w:color="auto"/>
            </w:tcBorders>
            <w:shd w:val="clear" w:color="auto" w:fill="D1D2D4"/>
          </w:tcPr>
          <w:p>
            <w:pPr>
              <w:spacing w:after="0"/>
              <w:rPr>
                <w:sz w:val="18"/>
                <w:szCs w:val="18"/>
                <w:color w:val="auto"/>
              </w:rPr>
            </w:pPr>
          </w:p>
        </w:tc>
        <w:tc>
          <w:tcPr>
            <w:tcW w:w="80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1380" w:type="dxa"/>
            <w:vAlign w:val="bottom"/>
            <w:tcBorders>
              <w:bottom w:val="single" w:sz="8" w:color="auto"/>
            </w:tcBorders>
            <w:vMerge w:val="continue"/>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040" w:type="dxa"/>
            <w:vAlign w:val="bottom"/>
            <w:tcBorders>
              <w:bottom w:val="single" w:sz="8" w:color="auto"/>
            </w:tcBorders>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b w:val="1"/>
                <w:bCs w:val="1"/>
                <w:color w:val="auto"/>
              </w:rPr>
              <w:t>Balance at June 2, 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9" w:lineRule="exact"/>
        <w:rPr>
          <w:sz w:val="20"/>
          <w:szCs w:val="20"/>
          <w:color w:val="auto"/>
        </w:rPr>
      </w:pPr>
    </w:p>
    <w:p>
      <w:pPr>
        <w:ind w:left="10060"/>
        <w:spacing w:after="0"/>
        <w:rPr>
          <w:sz w:val="20"/>
          <w:szCs w:val="20"/>
          <w:color w:val="auto"/>
        </w:rPr>
      </w:pPr>
      <w:r>
        <w:rPr>
          <w:sz w:val="1"/>
          <w:szCs w:val="1"/>
          <w:color w:val="auto"/>
        </w:rPr>
        <w:drawing>
          <wp:inline distT="0" distB="0" distL="0" distR="0">
            <wp:extent cx="659765" cy="179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765" cy="179705"/>
                    </a:xfrm>
                    <a:prstGeom prst="rect">
                      <a:avLst/>
                    </a:prstGeom>
                    <a:noFill/>
                    <a:ln>
                      <a:noFill/>
                    </a:ln>
                  </pic:spPr>
                </pic:pic>
              </a:graphicData>
            </a:graphic>
          </wp:inline>
        </w:drawing>
      </w:r>
      <w:r>
        <w:rPr>
          <w:rFonts w:ascii="Arial" w:cs="Arial" w:eastAsia="Arial" w:hAnsi="Arial"/>
          <w:sz w:val="11"/>
          <w:szCs w:val="11"/>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7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90DA"/>
            </w:tcBorders>
          </w:tcPr>
          <w:p>
            <w:pPr>
              <w:spacing w:after="0"/>
              <w:rPr>
                <w:sz w:val="24"/>
                <w:szCs w:val="24"/>
                <w:color w:val="auto"/>
              </w:rPr>
            </w:pPr>
          </w:p>
        </w:tc>
        <w:tc>
          <w:tcPr>
            <w:tcW w:w="11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2,</w:t>
            </w:r>
          </w:p>
        </w:tc>
        <w:tc>
          <w:tcPr>
            <w:tcW w:w="0" w:type="dxa"/>
            <w:vAlign w:val="bottom"/>
          </w:tcPr>
          <w:p>
            <w:pPr>
              <w:spacing w:after="0"/>
              <w:rPr>
                <w:sz w:val="1"/>
                <w:szCs w:val="1"/>
                <w:color w:val="auto"/>
              </w:rPr>
            </w:pPr>
          </w:p>
        </w:tc>
      </w:tr>
      <w:tr>
        <w:trPr>
          <w:trHeight w:val="239"/>
        </w:trPr>
        <w:tc>
          <w:tcPr>
            <w:tcW w:w="8360" w:type="dxa"/>
            <w:vAlign w:val="bottom"/>
            <w:tcBorders>
              <w:bottom w:val="single" w:sz="8" w:color="0090DA"/>
            </w:tcBorders>
            <w:vMerge w:val="continue"/>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(4,403)</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80" w:type="dxa"/>
            <w:vAlign w:val="bottom"/>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repurchases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2,728</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6"/>
        </w:trPr>
        <w:tc>
          <w:tcPr>
            <w:tcW w:w="83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(1,764)</w:t>
            </w:r>
          </w:p>
        </w:tc>
        <w:tc>
          <w:tcPr>
            <w:tcW w:w="8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30"/>
        </w:trPr>
        <w:tc>
          <w:tcPr>
            <w:tcW w:w="836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1,310</w:t>
            </w:r>
          </w:p>
        </w:tc>
        <w:tc>
          <w:tcPr>
            <w:tcW w:w="80" w:type="dxa"/>
            <w:vAlign w:val="bottom"/>
            <w:tcBorders>
              <w:bottom w:val="single" w:sz="8" w:color="auto"/>
            </w:tcBorders>
            <w:shd w:val="clear" w:color="auto" w:fill="D1D2D4"/>
          </w:tcPr>
          <w:p>
            <w:pPr>
              <w:spacing w:after="0"/>
              <w:rPr>
                <w:sz w:val="20"/>
                <w:szCs w:val="20"/>
                <w:color w:val="auto"/>
              </w:rPr>
            </w:pPr>
          </w:p>
        </w:tc>
        <w:tc>
          <w:tcPr>
            <w:tcW w:w="18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03"/>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80" w:type="dxa"/>
            <w:vAlign w:val="bottom"/>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(5,361)</w:t>
            </w:r>
          </w:p>
        </w:tc>
        <w:tc>
          <w:tcPr>
            <w:tcW w:w="80" w:type="dxa"/>
            <w:vAlign w:val="bottom"/>
            <w:tcBorders>
              <w:bottom w:val="single" w:sz="8" w:color="auto"/>
            </w:tcBorders>
            <w:shd w:val="clear" w:color="auto" w:fill="D1D2D4"/>
          </w:tcPr>
          <w:p>
            <w:pPr>
              <w:spacing w:after="0"/>
              <w:rPr>
                <w:sz w:val="19"/>
                <w:szCs w:val="19"/>
                <w:color w:val="auto"/>
              </w:rPr>
            </w:pPr>
          </w:p>
        </w:tc>
        <w:tc>
          <w:tcPr>
            <w:tcW w:w="1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1D2D4"/>
          </w:tcPr>
          <w:p>
            <w:pPr>
              <w:spacing w:after="0"/>
              <w:rPr>
                <w:sz w:val="20"/>
                <w:szCs w:val="20"/>
                <w:color w:val="auto"/>
              </w:rPr>
            </w:pPr>
          </w:p>
        </w:tc>
        <w:tc>
          <w:tcPr>
            <w:tcW w:w="18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0"/>
        </w:trPr>
        <w:tc>
          <w:tcPr>
            <w:tcW w:w="836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36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80" w:type="dxa"/>
            <w:vAlign w:val="bottom"/>
            <w:tcBorders>
              <w:bottom w:val="single" w:sz="8" w:color="auto"/>
            </w:tcBorders>
            <w:shd w:val="clear" w:color="auto" w:fill="D1D2D4"/>
          </w:tcPr>
          <w:p>
            <w:pPr>
              <w:spacing w:after="0"/>
              <w:rPr>
                <w:sz w:val="20"/>
                <w:szCs w:val="20"/>
                <w:color w:val="auto"/>
              </w:rPr>
            </w:pPr>
          </w:p>
        </w:tc>
        <w:tc>
          <w:tcPr>
            <w:tcW w:w="180" w:type="dxa"/>
            <w:vAlign w:val="bottom"/>
            <w:tcBorders>
              <w:bottom w:val="single" w:sz="8" w:color="auto"/>
            </w:tcBorders>
            <w:shd w:val="clear" w:color="auto" w:fill="D1D2D4"/>
          </w:tcPr>
          <w:p>
            <w:pPr>
              <w:spacing w:after="0"/>
              <w:rPr>
                <w:sz w:val="20"/>
                <w:szCs w:val="20"/>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73"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1, 2022. There have been no changes to our significant accounting policies since our Annual Report on Form 10-K for the year ended September 1, 2022.</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5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September 1, 2022.</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21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2023 and 2022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sz w:val="1"/>
          <w:szCs w:val="1"/>
          <w:color w:val="auto"/>
        </w:rPr>
        <w:drawing>
          <wp:inline distT="0" distB="0" distL="0" distR="0">
            <wp:extent cx="659765" cy="180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76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60" w:type="dxa"/>
            <w:vAlign w:val="bottom"/>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440" w:type="dxa"/>
            <w:vAlign w:val="bottom"/>
            <w:tcBorders>
              <w:bottom w:val="single" w:sz="8" w:color="0090DA"/>
            </w:tcBorders>
            <w:gridSpan w:val="3"/>
          </w:tcPr>
          <w:p>
            <w:pPr>
              <w:jc w:val="right"/>
              <w:ind w:right="790"/>
              <w:spacing w:after="0"/>
              <w:rPr>
                <w:sz w:val="20"/>
                <w:szCs w:val="20"/>
                <w:color w:val="auto"/>
              </w:rPr>
            </w:pPr>
            <w:r>
              <w:rPr>
                <w:rFonts w:ascii="Arial" w:cs="Arial" w:eastAsia="Arial" w:hAnsi="Arial"/>
                <w:sz w:val="18"/>
                <w:szCs w:val="18"/>
                <w:b w:val="1"/>
                <w:bCs w:val="1"/>
                <w:color w:val="auto"/>
              </w:rPr>
              <w:t>June 1, 2023</w:t>
            </w:r>
          </w:p>
        </w:tc>
        <w:tc>
          <w:tcPr>
            <w:tcW w:w="18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1, 2022</w:t>
            </w:r>
          </w:p>
        </w:tc>
        <w:tc>
          <w:tcPr>
            <w:tcW w:w="20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Cash and</w:t>
            </w:r>
          </w:p>
        </w:tc>
        <w:tc>
          <w:tcPr>
            <w:tcW w:w="14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4"/>
                <w:szCs w:val="14"/>
                <w:color w:val="auto"/>
              </w:rPr>
            </w:pPr>
          </w:p>
        </w:tc>
        <w:tc>
          <w:tcPr>
            <w:tcW w:w="120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rPr>
              <w:t>Long-term</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40" w:type="dxa"/>
            <w:vAlign w:val="bottom"/>
          </w:tcPr>
          <w:p>
            <w:pPr>
              <w:spacing w:after="0"/>
              <w:rPr>
                <w:sz w:val="14"/>
                <w:szCs w:val="1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7"/>
              </w:rPr>
              <w:t>Short-term</w:t>
            </w:r>
          </w:p>
        </w:tc>
        <w:tc>
          <w:tcPr>
            <w:tcW w:w="200" w:type="dxa"/>
            <w:vAlign w:val="bottom"/>
          </w:tcPr>
          <w:p>
            <w:pPr>
              <w:spacing w:after="0"/>
              <w:rPr>
                <w:sz w:val="14"/>
                <w:szCs w:val="14"/>
                <w:color w:val="auto"/>
              </w:rPr>
            </w:pPr>
          </w:p>
        </w:tc>
        <w:tc>
          <w:tcPr>
            <w:tcW w:w="118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w w:val="98"/>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76"/>
        </w:trPr>
        <w:tc>
          <w:tcPr>
            <w:tcW w:w="1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Marketable</w:t>
            </w: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0090DA"/>
            </w:tcBorders>
            <w:vMerge w:val="continue"/>
          </w:tcPr>
          <w:p>
            <w:pPr>
              <w:spacing w:after="0"/>
              <w:rPr>
                <w:sz w:val="21"/>
                <w:szCs w:val="21"/>
                <w:color w:val="auto"/>
              </w:rPr>
            </w:pPr>
          </w:p>
        </w:tc>
        <w:tc>
          <w:tcPr>
            <w:tcW w:w="11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400" w:type="dxa"/>
            <w:vAlign w:val="bottom"/>
            <w:tcBorders>
              <w:bottom w:val="single" w:sz="8" w:color="0090DA"/>
            </w:tcBorders>
            <w:gridSpan w:val="2"/>
          </w:tcPr>
          <w:p>
            <w:pPr>
              <w:jc w:val="center"/>
              <w:spacing w:after="0" w:line="243"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18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1"/>
                <w:szCs w:val="21"/>
                <w:color w:val="auto"/>
              </w:rPr>
            </w:pPr>
          </w:p>
        </w:tc>
        <w:tc>
          <w:tcPr>
            <w:tcW w:w="11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tcBorders>
              <w:bottom w:val="single" w:sz="8" w:color="0090DA"/>
            </w:tcBorders>
            <w:gridSpan w:val="2"/>
          </w:tcPr>
          <w:p>
            <w:pPr>
              <w:jc w:val="center"/>
              <w:spacing w:after="0" w:line="243"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20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6,834</w:t>
            </w:r>
          </w:p>
        </w:tc>
        <w:tc>
          <w:tcPr>
            <w:tcW w:w="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line="243"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D1D2D4"/>
          </w:tcPr>
          <w:p>
            <w:pPr>
              <w:spacing w:after="0"/>
              <w:rPr>
                <w:sz w:val="21"/>
                <w:szCs w:val="21"/>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1,326</w:t>
            </w:r>
          </w:p>
        </w:tc>
        <w:tc>
          <w:tcPr>
            <w:tcW w:w="140" w:type="dxa"/>
            <w:vAlign w:val="bottom"/>
            <w:shd w:val="clear" w:color="auto" w:fill="D1D2D4"/>
          </w:tcPr>
          <w:p>
            <w:pPr>
              <w:spacing w:after="0"/>
              <w:rPr>
                <w:sz w:val="21"/>
                <w:szCs w:val="21"/>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21"/>
                <w:szCs w:val="21"/>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1,376</w:t>
            </w:r>
          </w:p>
        </w:tc>
        <w:tc>
          <w:tcPr>
            <w:tcW w:w="12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140" w:type="dxa"/>
            <w:vAlign w:val="bottom"/>
            <w:shd w:val="clear" w:color="auto" w:fill="D1D2D4"/>
          </w:tcPr>
          <w:p>
            <w:pPr>
              <w:spacing w:after="0"/>
              <w:rPr>
                <w:sz w:val="21"/>
                <w:szCs w:val="21"/>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1"/>
                <w:szCs w:val="21"/>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76"/>
        </w:trPr>
        <w:tc>
          <w:tcPr>
            <w:tcW w:w="1960" w:type="dxa"/>
            <w:vAlign w:val="bottom"/>
            <w:shd w:val="clear" w:color="auto" w:fill="D1D2D4"/>
          </w:tcPr>
          <w:p>
            <w:pPr>
              <w:ind w:left="140"/>
              <w:spacing w:after="0" w:line="176" w:lineRule="exact"/>
              <w:rPr>
                <w:sz w:val="20"/>
                <w:szCs w:val="20"/>
                <w:color w:val="auto"/>
              </w:rPr>
            </w:pPr>
            <w:r>
              <w:rPr>
                <w:rFonts w:ascii="Arial" w:cs="Arial" w:eastAsia="Arial" w:hAnsi="Arial"/>
                <w:sz w:val="18"/>
                <w:szCs w:val="18"/>
                <w:color w:val="auto"/>
              </w:rPr>
              <w:t>Asset-backed</w:t>
            </w:r>
          </w:p>
        </w:tc>
        <w:tc>
          <w:tcPr>
            <w:tcW w:w="12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2"/>
        </w:trPr>
        <w:tc>
          <w:tcPr>
            <w:tcW w:w="1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D1D2D4"/>
          </w:tcPr>
          <w:p>
            <w:pPr>
              <w:spacing w:after="0"/>
              <w:rPr>
                <w:sz w:val="21"/>
                <w:szCs w:val="21"/>
                <w:color w:val="auto"/>
              </w:rPr>
            </w:pPr>
          </w:p>
        </w:tc>
        <w:tc>
          <w:tcPr>
            <w:tcW w:w="10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7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98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118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70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140"/>
              <w:spacing w:after="0" w:line="176" w:lineRule="exact"/>
              <w:rPr>
                <w:sz w:val="20"/>
                <w:szCs w:val="20"/>
                <w:color w:val="auto"/>
              </w:rPr>
            </w:pPr>
            <w:r>
              <w:rPr>
                <w:rFonts w:ascii="Arial" w:cs="Arial" w:eastAsia="Arial" w:hAnsi="Arial"/>
                <w:sz w:val="18"/>
                <w:szCs w:val="18"/>
                <w:color w:val="auto"/>
              </w:rPr>
              <w:t>Government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auto"/>
            </w:tcBorders>
            <w:shd w:val="clear" w:color="auto" w:fill="D1D2D4"/>
          </w:tcPr>
          <w:p>
            <w:pPr>
              <w:spacing w:after="0"/>
              <w:rPr>
                <w:sz w:val="21"/>
                <w:szCs w:val="21"/>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shd w:val="clear" w:color="auto" w:fill="D1D2D4"/>
          </w:tcPr>
          <w:p>
            <w:pPr>
              <w:spacing w:after="0"/>
              <w:rPr>
                <w:sz w:val="21"/>
                <w:szCs w:val="21"/>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spacing w:after="0"/>
              <w:rPr>
                <w:sz w:val="21"/>
                <w:szCs w:val="21"/>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0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tcBorders>
              <w:bottom w:val="single" w:sz="8" w:color="D1D2D4"/>
            </w:tcBorders>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20" w:type="dxa"/>
            <w:vAlign w:val="bottom"/>
            <w:tcBorders>
              <w:bottom w:val="single" w:sz="8" w:color="auto"/>
            </w:tcBorders>
            <w:shd w:val="clear" w:color="auto" w:fill="D1D2D4"/>
          </w:tcPr>
          <w:p>
            <w:pPr>
              <w:spacing w:after="0"/>
              <w:rPr>
                <w:sz w:val="17"/>
                <w:szCs w:val="17"/>
                <w:color w:val="auto"/>
              </w:rPr>
            </w:pPr>
          </w:p>
        </w:tc>
        <w:tc>
          <w:tcPr>
            <w:tcW w:w="100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72</w:t>
            </w:r>
          </w:p>
        </w:tc>
        <w:tc>
          <w:tcPr>
            <w:tcW w:w="140" w:type="dxa"/>
            <w:vAlign w:val="bottom"/>
            <w:tcBorders>
              <w:bottom w:val="single" w:sz="8" w:color="D1D2D4"/>
            </w:tcBorders>
            <w:shd w:val="clear" w:color="auto" w:fill="D1D2D4"/>
          </w:tcPr>
          <w:p>
            <w:pPr>
              <w:spacing w:after="0"/>
              <w:rPr>
                <w:sz w:val="17"/>
                <w:szCs w:val="17"/>
                <w:color w:val="auto"/>
              </w:rPr>
            </w:pPr>
          </w:p>
        </w:tc>
        <w:tc>
          <w:tcPr>
            <w:tcW w:w="1040" w:type="dxa"/>
            <w:vAlign w:val="bottom"/>
            <w:tcBorders>
              <w:bottom w:val="single" w:sz="8" w:color="D1D2D4"/>
            </w:tcBorders>
            <w:shd w:val="clear" w:color="auto" w:fill="D1D2D4"/>
          </w:tcPr>
          <w:p>
            <w:pPr>
              <w:spacing w:after="0"/>
              <w:rPr>
                <w:sz w:val="17"/>
                <w:szCs w:val="17"/>
                <w:color w:val="auto"/>
              </w:rPr>
            </w:pPr>
          </w:p>
        </w:tc>
        <w:tc>
          <w:tcPr>
            <w:tcW w:w="200" w:type="dxa"/>
            <w:vAlign w:val="bottom"/>
            <w:tcBorders>
              <w:bottom w:val="single" w:sz="8" w:color="D1D2D4"/>
            </w:tcBorders>
            <w:shd w:val="clear" w:color="auto" w:fill="D1D2D4"/>
          </w:tcPr>
          <w:p>
            <w:pPr>
              <w:spacing w:after="0"/>
              <w:rPr>
                <w:sz w:val="17"/>
                <w:szCs w:val="17"/>
                <w:color w:val="auto"/>
              </w:rPr>
            </w:pPr>
          </w:p>
        </w:tc>
        <w:tc>
          <w:tcPr>
            <w:tcW w:w="1200" w:type="dxa"/>
            <w:vAlign w:val="bottom"/>
            <w:tcBorders>
              <w:bottom w:val="single" w:sz="8" w:color="D1D2D4"/>
            </w:tcBorders>
            <w:shd w:val="clear" w:color="auto" w:fill="D1D2D4"/>
          </w:tcPr>
          <w:p>
            <w:pPr>
              <w:spacing w:after="0"/>
              <w:rPr>
                <w:sz w:val="17"/>
                <w:szCs w:val="17"/>
                <w:color w:val="auto"/>
              </w:rPr>
            </w:pPr>
          </w:p>
        </w:tc>
        <w:tc>
          <w:tcPr>
            <w:tcW w:w="180" w:type="dxa"/>
            <w:vAlign w:val="bottom"/>
            <w:tcBorders>
              <w:bottom w:val="single" w:sz="8" w:color="D1D2D4"/>
            </w:tcBorders>
            <w:shd w:val="clear" w:color="auto" w:fill="D1D2D4"/>
          </w:tcPr>
          <w:p>
            <w:pPr>
              <w:spacing w:after="0"/>
              <w:rPr>
                <w:sz w:val="17"/>
                <w:szCs w:val="17"/>
                <w:color w:val="auto"/>
              </w:rPr>
            </w:pPr>
          </w:p>
        </w:tc>
        <w:tc>
          <w:tcPr>
            <w:tcW w:w="700" w:type="dxa"/>
            <w:vAlign w:val="bottom"/>
            <w:tcBorders>
              <w:bottom w:val="single" w:sz="8" w:color="D1D2D4"/>
            </w:tcBorders>
            <w:shd w:val="clear" w:color="auto" w:fill="D1D2D4"/>
          </w:tcPr>
          <w:p>
            <w:pPr>
              <w:spacing w:after="0"/>
              <w:rPr>
                <w:sz w:val="17"/>
                <w:szCs w:val="17"/>
                <w:color w:val="auto"/>
              </w:rPr>
            </w:pPr>
          </w:p>
        </w:tc>
        <w:tc>
          <w:tcPr>
            <w:tcW w:w="120" w:type="dxa"/>
            <w:vAlign w:val="bottom"/>
            <w:tcBorders>
              <w:bottom w:val="single" w:sz="8" w:color="D1D2D4"/>
            </w:tcBorders>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77</w:t>
            </w:r>
          </w:p>
        </w:tc>
        <w:tc>
          <w:tcPr>
            <w:tcW w:w="140" w:type="dxa"/>
            <w:vAlign w:val="bottom"/>
            <w:tcBorders>
              <w:bottom w:val="single" w:sz="8" w:color="D1D2D4"/>
            </w:tcBorders>
            <w:shd w:val="clear" w:color="auto" w:fill="D1D2D4"/>
          </w:tcPr>
          <w:p>
            <w:pPr>
              <w:spacing w:after="0"/>
              <w:rPr>
                <w:sz w:val="17"/>
                <w:szCs w:val="17"/>
                <w:color w:val="auto"/>
              </w:rPr>
            </w:pPr>
          </w:p>
        </w:tc>
        <w:tc>
          <w:tcPr>
            <w:tcW w:w="1040" w:type="dxa"/>
            <w:vAlign w:val="bottom"/>
            <w:tcBorders>
              <w:bottom w:val="single" w:sz="8" w:color="D1D2D4"/>
            </w:tcBorders>
            <w:shd w:val="clear" w:color="auto" w:fill="D1D2D4"/>
          </w:tcPr>
          <w:p>
            <w:pPr>
              <w:spacing w:after="0"/>
              <w:rPr>
                <w:sz w:val="17"/>
                <w:szCs w:val="17"/>
                <w:color w:val="auto"/>
              </w:rPr>
            </w:pPr>
          </w:p>
        </w:tc>
        <w:tc>
          <w:tcPr>
            <w:tcW w:w="200" w:type="dxa"/>
            <w:vAlign w:val="bottom"/>
            <w:tcBorders>
              <w:bottom w:val="single" w:sz="8" w:color="D1D2D4"/>
            </w:tcBorders>
            <w:shd w:val="clear" w:color="auto" w:fill="D1D2D4"/>
          </w:tcPr>
          <w:p>
            <w:pPr>
              <w:spacing w:after="0"/>
              <w:rPr>
                <w:sz w:val="17"/>
                <w:szCs w:val="17"/>
                <w:color w:val="auto"/>
              </w:rPr>
            </w:pPr>
          </w:p>
        </w:tc>
        <w:tc>
          <w:tcPr>
            <w:tcW w:w="1180" w:type="dxa"/>
            <w:vAlign w:val="bottom"/>
            <w:tcBorders>
              <w:bottom w:val="single" w:sz="8" w:color="D1D2D4"/>
            </w:tcBorders>
            <w:shd w:val="clear" w:color="auto" w:fill="D1D2D4"/>
          </w:tcPr>
          <w:p>
            <w:pPr>
              <w:spacing w:after="0"/>
              <w:rPr>
                <w:sz w:val="17"/>
                <w:szCs w:val="17"/>
                <w:color w:val="auto"/>
              </w:rPr>
            </w:pPr>
          </w:p>
        </w:tc>
        <w:tc>
          <w:tcPr>
            <w:tcW w:w="200" w:type="dxa"/>
            <w:vAlign w:val="bottom"/>
            <w:tcBorders>
              <w:bottom w:val="single" w:sz="8" w:color="D1D2D4"/>
            </w:tcBorders>
            <w:shd w:val="clear" w:color="auto" w:fill="D1D2D4"/>
          </w:tcPr>
          <w:p>
            <w:pPr>
              <w:spacing w:after="0"/>
              <w:rPr>
                <w:sz w:val="17"/>
                <w:szCs w:val="17"/>
                <w:color w:val="auto"/>
              </w:rPr>
            </w:pPr>
          </w:p>
        </w:tc>
        <w:tc>
          <w:tcPr>
            <w:tcW w:w="700" w:type="dxa"/>
            <w:vAlign w:val="bottom"/>
            <w:tcBorders>
              <w:bottom w:val="single" w:sz="8" w:color="D1D2D4"/>
            </w:tcBorders>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line="170" w:lineRule="exact"/>
              <w:rPr>
                <w:sz w:val="20"/>
                <w:szCs w:val="20"/>
                <w:color w:val="auto"/>
              </w:rPr>
            </w:pPr>
            <w:r>
              <w:rPr>
                <w:rFonts w:ascii="Arial" w:cs="Arial" w:eastAsia="Arial" w:hAnsi="Arial"/>
                <w:sz w:val="18"/>
                <w:szCs w:val="18"/>
                <w:color w:val="auto"/>
              </w:rPr>
              <w:t>Cash, cash</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line="176" w:lineRule="exact"/>
              <w:rPr>
                <w:sz w:val="20"/>
                <w:szCs w:val="20"/>
                <w:color w:val="auto"/>
              </w:rPr>
            </w:pPr>
            <w:r>
              <w:rPr>
                <w:rFonts w:ascii="Arial" w:cs="Arial" w:eastAsia="Arial" w:hAnsi="Arial"/>
                <w:sz w:val="18"/>
                <w:szCs w:val="18"/>
                <w:color w:val="auto"/>
              </w:rPr>
              <w:t>equivalents,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9,370</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9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60" w:hanging="252"/>
        <w:spacing w:after="0" w:line="196" w:lineRule="auto"/>
        <w:tabs>
          <w:tab w:leader="none" w:pos="260"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60" w:val="left"/>
        </w:tabs>
        <w:numPr>
          <w:ilvl w:val="0"/>
          <w:numId w:val="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June 1, 2023 or September 1, 2022.</w:t>
      </w:r>
    </w:p>
    <w:p>
      <w:pPr>
        <w:spacing w:after="0" w:line="1" w:lineRule="exact"/>
        <w:rPr>
          <w:rFonts w:ascii="Arial" w:cs="Arial" w:eastAsia="Arial" w:hAnsi="Arial"/>
          <w:sz w:val="23"/>
          <w:szCs w:val="23"/>
          <w:i w:val="1"/>
          <w:iCs w:val="1"/>
          <w:color w:val="auto"/>
          <w:vertAlign w:val="superscript"/>
        </w:rPr>
      </w:pPr>
    </w:p>
    <w:p>
      <w:pPr>
        <w:ind w:left="260" w:right="180" w:hanging="252"/>
        <w:spacing w:after="0" w:line="229" w:lineRule="auto"/>
        <w:tabs>
          <w:tab w:leader="none" w:pos="260" w:val="left"/>
        </w:tabs>
        <w:numPr>
          <w:ilvl w:val="0"/>
          <w:numId w:val="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 or which will be returned if performance conditions are not met.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Non-marketable Equity Investments</w:t>
      </w:r>
    </w:p>
    <w:p>
      <w:pPr>
        <w:spacing w:after="0" w:line="26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addition to the amounts included in the table above, we had $217 million and $222 million of non-marketable equity investments without a readily determinable fair value that were included in other noncurrent assets as of June 1, 2023 and September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1154"/>
        </w:trPr>
        <w:tc>
          <w:tcPr>
            <w:tcW w:w="832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260" w:type="dxa"/>
            <w:vAlign w:val="bottom"/>
          </w:tcPr>
          <w:p>
            <w:pPr>
              <w:spacing w:after="0"/>
              <w:rPr>
                <w:sz w:val="24"/>
                <w:szCs w:val="24"/>
                <w:color w:val="auto"/>
              </w:rPr>
            </w:pPr>
          </w:p>
        </w:tc>
        <w:tc>
          <w:tcPr>
            <w:tcW w:w="11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June 1,</w:t>
            </w:r>
          </w:p>
        </w:tc>
        <w:tc>
          <w:tcPr>
            <w:tcW w:w="140" w:type="dxa"/>
            <w:vAlign w:val="bottom"/>
          </w:tcPr>
          <w:p>
            <w:pPr>
              <w:spacing w:after="0"/>
              <w:rPr>
                <w:sz w:val="24"/>
                <w:szCs w:val="24"/>
                <w:color w:val="auto"/>
              </w:rPr>
            </w:pPr>
          </w:p>
        </w:tc>
        <w:tc>
          <w:tcPr>
            <w:tcW w:w="136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53"/>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320" w:type="dxa"/>
            <w:vAlign w:val="bottom"/>
            <w:tcBorders>
              <w:bottom w:val="single" w:sz="8" w:color="0090DA"/>
            </w:tcBorders>
            <w:vMerge w:val="continue"/>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116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tcPr>
          <w:p>
            <w:pPr>
              <w:jc w:val="center"/>
              <w:ind w:right="31"/>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Borders>
              <w:bottom w:val="single" w:sz="8" w:color="auto"/>
            </w:tcBorders>
            <w:shd w:val="clear" w:color="auto" w:fill="D1D2D4"/>
          </w:tcPr>
          <w:p>
            <w:pPr>
              <w:spacing w:after="0"/>
              <w:rPr>
                <w:sz w:val="19"/>
                <w:szCs w:val="19"/>
                <w:color w:val="auto"/>
              </w:rPr>
            </w:pP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87"/>
        </w:trPr>
        <w:tc>
          <w:tcPr>
            <w:tcW w:w="8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June 1,</w:t>
            </w:r>
          </w:p>
        </w:tc>
        <w:tc>
          <w:tcPr>
            <w:tcW w:w="140" w:type="dxa"/>
            <w:vAlign w:val="bottom"/>
          </w:tcPr>
          <w:p>
            <w:pPr>
              <w:spacing w:after="0"/>
              <w:rPr>
                <w:sz w:val="24"/>
                <w:szCs w:val="24"/>
                <w:color w:val="auto"/>
              </w:rPr>
            </w:pPr>
          </w:p>
        </w:tc>
        <w:tc>
          <w:tcPr>
            <w:tcW w:w="136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62"/>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14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jc w:val="center"/>
              <w:ind w:right="31"/>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48"/>
        </w:trPr>
        <w:tc>
          <w:tcPr>
            <w:tcW w:w="8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5,722</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43"/>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Borders>
              <w:bottom w:val="single" w:sz="8" w:color="auto"/>
            </w:tcBorders>
            <w:shd w:val="clear" w:color="auto" w:fill="D1D2D4"/>
          </w:tcPr>
          <w:p>
            <w:pPr>
              <w:spacing w:after="0"/>
              <w:rPr>
                <w:sz w:val="21"/>
                <w:szCs w:val="21"/>
                <w:color w:val="auto"/>
              </w:rPr>
            </w:pP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color w:val="auto"/>
        </w:rPr>
        <w:t>The third quarter and first nine months of 2023, included charges of $401 million and $1.83 billion, respectively, to cost of goods sold to write down the carrying value of work in process and finished goods inventories to their estimated net realizable value.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1,</w:t>
            </w:r>
          </w:p>
        </w:tc>
        <w:tc>
          <w:tcPr>
            <w:tcW w:w="14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0090DA"/>
            </w:tcBorders>
            <w:vMerge w:val="continue"/>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8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6"/>
        </w:trPr>
        <w:tc>
          <w:tcPr>
            <w:tcW w:w="834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17,622</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36"/>
        </w:trPr>
        <w:tc>
          <w:tcPr>
            <w:tcW w:w="8340" w:type="dxa"/>
            <w:vAlign w:val="bottom"/>
            <w:shd w:val="clear" w:color="auto" w:fill="D1D2D4"/>
          </w:tcPr>
          <w:p>
            <w:pPr>
              <w:ind w:left="20"/>
              <w:spacing w:after="0" w:line="236"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65,175</w:t>
            </w:r>
          </w:p>
        </w:tc>
        <w:tc>
          <w:tcPr>
            <w:tcW w:w="140" w:type="dxa"/>
            <w:vAlign w:val="bottom"/>
            <w:shd w:val="clear" w:color="auto" w:fill="D1D2D4"/>
          </w:tcPr>
          <w:p>
            <w:pPr>
              <w:spacing w:after="0"/>
              <w:rPr>
                <w:sz w:val="20"/>
                <w:szCs w:val="20"/>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61,354</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3"/>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86,725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81,331</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(47,998)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(42,782)</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60" w:hanging="252"/>
        <w:spacing w:after="0"/>
        <w:tabs>
          <w:tab w:leader="none" w:pos="260"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$3.33 billion as of June 1, 2023 and $3.35 billion as of September 1, 2022.</w:t>
      </w:r>
    </w:p>
    <w:p>
      <w:pPr>
        <w:ind w:left="260" w:hanging="252"/>
        <w:spacing w:after="0" w:line="196" w:lineRule="auto"/>
        <w:tabs>
          <w:tab w:leader="none" w:pos="260"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583565</wp:posOffset>
            </wp:positionV>
            <wp:extent cx="65976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4020" w:type="dxa"/>
            <w:vAlign w:val="bottom"/>
            <w:gridSpan w:val="3"/>
          </w:tcPr>
          <w:p>
            <w:pPr>
              <w:spacing w:after="0"/>
              <w:rPr>
                <w:sz w:val="20"/>
                <w:szCs w:val="20"/>
                <w:color w:val="auto"/>
              </w:rPr>
            </w:pPr>
            <w:r>
              <w:rPr>
                <w:rFonts w:ascii="Arial" w:cs="Arial" w:eastAsia="Arial" w:hAnsi="Arial"/>
                <w:sz w:val="40"/>
                <w:szCs w:val="40"/>
                <w:b w:val="1"/>
                <w:bCs w:val="1"/>
                <w:color w:val="auto"/>
              </w:rPr>
              <w:t>Intangible Assets</w:t>
            </w:r>
          </w:p>
        </w:tc>
        <w:tc>
          <w:tcPr>
            <w:tcW w:w="18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rPr>
              <w:t>June 1, 2023</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9"/>
              </w:rPr>
              <w:t>September 1, 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24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spacing w:after="0"/>
              <w:rPr>
                <w:sz w:val="18"/>
                <w:szCs w:val="18"/>
                <w:color w:val="auto"/>
              </w:rPr>
            </w:pPr>
          </w:p>
        </w:tc>
        <w:tc>
          <w:tcPr>
            <w:tcW w:w="180" w:type="dxa"/>
            <w:vAlign w:val="bottom"/>
            <w:tcBorders>
              <w:bottom w:val="single" w:sz="8" w:color="0090DA"/>
            </w:tcBorders>
          </w:tcPr>
          <w:p>
            <w:pPr>
              <w:spacing w:after="0"/>
              <w:rPr>
                <w:sz w:val="18"/>
                <w:szCs w:val="18"/>
                <w:color w:val="auto"/>
              </w:rPr>
            </w:pPr>
          </w:p>
        </w:tc>
        <w:tc>
          <w:tcPr>
            <w:tcW w:w="1300" w:type="dxa"/>
            <w:vAlign w:val="bottom"/>
            <w:tcBorders>
              <w:bottom w:val="single" w:sz="8" w:color="0090DA"/>
            </w:tcBorders>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1260" w:type="dxa"/>
            <w:vAlign w:val="bottom"/>
            <w:tcBorders>
              <w:bottom w:val="single" w:sz="8" w:color="0090DA"/>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spacing w:after="0"/>
              <w:rPr>
                <w:sz w:val="18"/>
                <w:szCs w:val="18"/>
                <w:color w:val="auto"/>
              </w:rPr>
            </w:pPr>
          </w:p>
        </w:tc>
        <w:tc>
          <w:tcPr>
            <w:tcW w:w="1660" w:type="dxa"/>
            <w:vAlign w:val="bottom"/>
            <w:tcBorders>
              <w:bottom w:val="single" w:sz="8" w:color="0090DA"/>
            </w:tcBorders>
            <w:gridSpan w:val="4"/>
            <w:vMerge w:val="continue"/>
          </w:tcPr>
          <w:p>
            <w:pPr>
              <w:spacing w:after="0"/>
              <w:rPr>
                <w:sz w:val="18"/>
                <w:szCs w:val="18"/>
                <w:color w:val="auto"/>
              </w:rPr>
            </w:pPr>
          </w:p>
        </w:tc>
        <w:tc>
          <w:tcPr>
            <w:tcW w:w="1260" w:type="dxa"/>
            <w:vAlign w:val="bottom"/>
            <w:tcBorders>
              <w:bottom w:val="single" w:sz="8" w:color="0090DA"/>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jc w:val="center"/>
              <w:ind w:right="110"/>
              <w:spacing w:after="0" w:line="170" w:lineRule="exact"/>
              <w:rPr>
                <w:sz w:val="20"/>
                <w:szCs w:val="20"/>
                <w:color w:val="auto"/>
              </w:rPr>
            </w:pPr>
            <w:r>
              <w:rPr>
                <w:rFonts w:ascii="Arial" w:cs="Arial" w:eastAsia="Arial" w:hAnsi="Arial"/>
                <w:sz w:val="18"/>
                <w:szCs w:val="18"/>
                <w:b w:val="1"/>
                <w:bCs w:val="1"/>
                <w:color w:val="auto"/>
                <w:w w:val="99"/>
              </w:rPr>
              <w:t>Gross</w:t>
            </w:r>
          </w:p>
        </w:tc>
        <w:tc>
          <w:tcPr>
            <w:tcW w:w="180" w:type="dxa"/>
            <w:vAlign w:val="bottom"/>
          </w:tcPr>
          <w:p>
            <w:pPr>
              <w:spacing w:after="0"/>
              <w:rPr>
                <w:sz w:val="14"/>
                <w:szCs w:val="14"/>
                <w:color w:val="auto"/>
              </w:rPr>
            </w:pPr>
          </w:p>
        </w:tc>
        <w:tc>
          <w:tcPr>
            <w:tcW w:w="130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w w:val="99"/>
              </w:rPr>
              <w:t>Accumulated</w:t>
            </w:r>
          </w:p>
        </w:tc>
        <w:tc>
          <w:tcPr>
            <w:tcW w:w="140" w:type="dxa"/>
            <w:vAlign w:val="bottom"/>
          </w:tcPr>
          <w:p>
            <w:pPr>
              <w:spacing w:after="0"/>
              <w:rPr>
                <w:sz w:val="14"/>
                <w:szCs w:val="14"/>
                <w:color w:val="auto"/>
              </w:rPr>
            </w:pPr>
          </w:p>
        </w:tc>
        <w:tc>
          <w:tcPr>
            <w:tcW w:w="126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w w:val="99"/>
              </w:rPr>
              <w:t>Net 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0"/>
              <w:spacing w:after="0" w:line="170" w:lineRule="exact"/>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4"/>
                <w:szCs w:val="14"/>
                <w:color w:val="auto"/>
              </w:rPr>
            </w:pPr>
          </w:p>
        </w:tc>
        <w:tc>
          <w:tcPr>
            <w:tcW w:w="130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w w:val="99"/>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50"/>
              <w:spacing w:after="0" w:line="170" w:lineRule="exact"/>
              <w:rPr>
                <w:sz w:val="20"/>
                <w:szCs w:val="20"/>
                <w:color w:val="auto"/>
              </w:rPr>
            </w:pPr>
            <w:r>
              <w:rPr>
                <w:rFonts w:ascii="Arial" w:cs="Arial" w:eastAsia="Arial" w:hAnsi="Arial"/>
                <w:sz w:val="18"/>
                <w:szCs w:val="18"/>
                <w:b w:val="1"/>
                <w:bCs w:val="1"/>
                <w:color w:val="auto"/>
                <w:w w:val="99"/>
              </w:rPr>
              <w:t>Net Carrying</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0090DA"/>
            </w:tcBorders>
            <w:gridSpan w:val="2"/>
            <w:vMerge w:val="continue"/>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Amortization</w:t>
            </w:r>
          </w:p>
        </w:tc>
        <w:tc>
          <w:tcPr>
            <w:tcW w:w="14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08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70"/>
              <w:spacing w:after="0"/>
              <w:rPr>
                <w:sz w:val="20"/>
                <w:szCs w:val="20"/>
                <w:color w:val="auto"/>
              </w:rPr>
            </w:pPr>
            <w:r>
              <w:rPr>
                <w:rFonts w:ascii="Arial" w:cs="Arial" w:eastAsia="Arial" w:hAnsi="Arial"/>
                <w:sz w:val="18"/>
                <w:szCs w:val="18"/>
                <w:b w:val="1"/>
                <w:bCs w:val="1"/>
                <w:color w:val="auto"/>
                <w:w w:val="99"/>
              </w:rPr>
              <w:t>Amortization</w:t>
            </w:r>
          </w:p>
        </w:tc>
        <w:tc>
          <w:tcPr>
            <w:tcW w:w="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Amount</w:t>
            </w:r>
          </w:p>
        </w:tc>
        <w:tc>
          <w:tcPr>
            <w:tcW w:w="0" w:type="dxa"/>
            <w:vAlign w:val="bottom"/>
          </w:tcPr>
          <w:p>
            <w:pPr>
              <w:spacing w:after="0"/>
              <w:rPr>
                <w:sz w:val="1"/>
                <w:szCs w:val="1"/>
                <w:color w:val="auto"/>
              </w:rPr>
            </w:pPr>
          </w:p>
        </w:tc>
      </w:tr>
      <w:tr>
        <w:trPr>
          <w:trHeight w:val="48"/>
        </w:trPr>
        <w:tc>
          <w:tcPr>
            <w:tcW w:w="2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9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Product and process technology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34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1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In the first nine months of 2023 and 2022, we capitalized $72 million and $130 million, respectively, for product and process technology with weighted-average useful lives of 9 years. Amortization expense was $66 million and $63 million for the first nine months of 2023 and 2022, respectively. Expected amortization expense is $19 million for the remainder of 2023, $72 million for 2024, $50 million for 2025, $46 million for 2026, and $42 million for 2027.</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6"/>
        </w:trPr>
        <w:tc>
          <w:tcPr>
            <w:tcW w:w="5400" w:type="dxa"/>
            <w:vAlign w:val="bottom"/>
          </w:tcPr>
          <w:p>
            <w:pPr>
              <w:spacing w:after="0"/>
              <w:rPr>
                <w:sz w:val="22"/>
                <w:szCs w:val="22"/>
                <w:color w:val="auto"/>
              </w:rPr>
            </w:pPr>
          </w:p>
        </w:tc>
        <w:tc>
          <w:tcPr>
            <w:tcW w:w="2540" w:type="dxa"/>
            <w:vAlign w:val="bottom"/>
            <w:tcBorders>
              <w:bottom w:val="single" w:sz="8" w:color="0090DA"/>
            </w:tcBorders>
            <w:gridSpan w:val="3"/>
          </w:tcPr>
          <w:p>
            <w:pPr>
              <w:jc w:val="right"/>
              <w:ind w:right="39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0090DA"/>
            </w:tcBorders>
          </w:tcPr>
          <w:p>
            <w:pPr>
              <w:spacing w:after="0"/>
              <w:rPr>
                <w:sz w:val="22"/>
                <w:szCs w:val="22"/>
                <w:color w:val="auto"/>
              </w:rPr>
            </w:pPr>
          </w:p>
        </w:tc>
        <w:tc>
          <w:tcPr>
            <w:tcW w:w="260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3"/>
        </w:trPr>
        <w:tc>
          <w:tcPr>
            <w:tcW w:w="5400" w:type="dxa"/>
            <w:vAlign w:val="bottom"/>
          </w:tcPr>
          <w:p>
            <w:pPr>
              <w:spacing w:after="0"/>
              <w:rPr>
                <w:sz w:val="15"/>
                <w:szCs w:val="15"/>
                <w:color w:val="auto"/>
              </w:rPr>
            </w:pPr>
          </w:p>
        </w:tc>
        <w:tc>
          <w:tcPr>
            <w:tcW w:w="110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June 1,</w:t>
            </w:r>
          </w:p>
        </w:tc>
        <w:tc>
          <w:tcPr>
            <w:tcW w:w="300" w:type="dxa"/>
            <w:vAlign w:val="bottom"/>
          </w:tcPr>
          <w:p>
            <w:pPr>
              <w:spacing w:after="0"/>
              <w:rPr>
                <w:sz w:val="15"/>
                <w:szCs w:val="15"/>
                <w:color w:val="auto"/>
              </w:rPr>
            </w:pPr>
          </w:p>
        </w:tc>
        <w:tc>
          <w:tcPr>
            <w:tcW w:w="1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June 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90"/>
              <w:spacing w:after="0" w:line="173"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5"/>
                <w:szCs w:val="15"/>
                <w:color w:val="auto"/>
              </w:rPr>
            </w:pPr>
          </w:p>
        </w:tc>
        <w:tc>
          <w:tcPr>
            <w:tcW w:w="1180" w:type="dxa"/>
            <w:vAlign w:val="bottom"/>
          </w:tcPr>
          <w:p>
            <w:pPr>
              <w:jc w:val="right"/>
              <w:ind w:right="310"/>
              <w:spacing w:after="0" w:line="173" w:lineRule="exact"/>
              <w:rPr>
                <w:sz w:val="20"/>
                <w:szCs w:val="20"/>
                <w:color w:val="auto"/>
              </w:rPr>
            </w:pPr>
            <w:r>
              <w:rPr>
                <w:rFonts w:ascii="Arial" w:cs="Arial" w:eastAsia="Arial" w:hAnsi="Arial"/>
                <w:sz w:val="18"/>
                <w:szCs w:val="18"/>
                <w:b w:val="1"/>
                <w:bCs w:val="1"/>
                <w:color w:val="auto"/>
              </w:rPr>
              <w:t>June 2,</w:t>
            </w:r>
          </w:p>
        </w:tc>
      </w:tr>
      <w:tr>
        <w:trPr>
          <w:trHeight w:val="239"/>
        </w:trPr>
        <w:tc>
          <w:tcPr>
            <w:tcW w:w="54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40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1100" w:type="dxa"/>
            <w:vAlign w:val="bottom"/>
            <w:shd w:val="clear" w:color="auto" w:fill="DDDDDD"/>
          </w:tcPr>
          <w:p>
            <w:pPr>
              <w:spacing w:after="0"/>
              <w:rPr>
                <w:sz w:val="21"/>
                <w:szCs w:val="21"/>
                <w:color w:val="auto"/>
              </w:rPr>
            </w:pPr>
          </w:p>
        </w:tc>
        <w:tc>
          <w:tcPr>
            <w:tcW w:w="30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3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80" w:type="dxa"/>
            <w:vAlign w:val="bottom"/>
            <w:shd w:val="clear" w:color="auto" w:fill="DDDDDD"/>
          </w:tcPr>
          <w:p>
            <w:pPr>
              <w:spacing w:after="0"/>
              <w:rPr>
                <w:sz w:val="21"/>
                <w:szCs w:val="2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4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Interest on lease liabilities</w:t>
            </w:r>
          </w:p>
        </w:tc>
        <w:tc>
          <w:tcPr>
            <w:tcW w:w="1100" w:type="dxa"/>
            <w:vAlign w:val="bottom"/>
            <w:shd w:val="clear" w:color="auto" w:fill="DDDDDD"/>
          </w:tcPr>
          <w:p>
            <w:pPr>
              <w:spacing w:after="0"/>
              <w:rPr>
                <w:sz w:val="19"/>
                <w:szCs w:val="19"/>
                <w:color w:val="auto"/>
              </w:rPr>
            </w:pPr>
          </w:p>
        </w:tc>
        <w:tc>
          <w:tcPr>
            <w:tcW w:w="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140" w:type="dxa"/>
            <w:vAlign w:val="bottom"/>
            <w:shd w:val="clear" w:color="auto" w:fill="DDDDDD"/>
          </w:tcPr>
          <w:p>
            <w:pPr>
              <w:spacing w:after="0"/>
              <w:rPr>
                <w:sz w:val="19"/>
                <w:szCs w:val="19"/>
                <w:color w:val="auto"/>
              </w:rPr>
            </w:pPr>
          </w:p>
        </w:tc>
        <w:tc>
          <w:tcPr>
            <w:tcW w:w="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DDDDDD"/>
          </w:tcPr>
          <w:p>
            <w:pPr>
              <w:spacing w:after="0"/>
              <w:rPr>
                <w:sz w:val="19"/>
                <w:szCs w:val="19"/>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400" w:type="dxa"/>
            <w:vAlign w:val="bottom"/>
            <w:tcBorders>
              <w:bottom w:val="single" w:sz="8" w:color="DDDDDD"/>
            </w:tcBorders>
          </w:tcPr>
          <w:p>
            <w:pPr>
              <w:ind w:left="20"/>
              <w:spacing w:after="0" w:line="24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DDDDD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540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8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68</w:t>
            </w:r>
          </w:p>
        </w:tc>
        <w:tc>
          <w:tcPr>
            <w:tcW w:w="1140" w:type="dxa"/>
            <w:vAlign w:val="bottom"/>
            <w:shd w:val="clear" w:color="auto" w:fill="DDDDDD"/>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61</w:t>
            </w:r>
          </w:p>
        </w:tc>
        <w:tc>
          <w:tcPr>
            <w:tcW w:w="380" w:type="dxa"/>
            <w:vAlign w:val="bottom"/>
            <w:gridSpan w:val="2"/>
            <w:shd w:val="clear" w:color="auto" w:fill="DDDDDD"/>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5400" w:type="dxa"/>
            <w:vAlign w:val="bottom"/>
            <w:tcBorders>
              <w:top w:val="single" w:sz="8" w:color="DDDDDD"/>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Operating lease cost includes short-term and variable lease expenses, which were not material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480" w:type="dxa"/>
            <w:vAlign w:val="bottom"/>
          </w:tcPr>
          <w:p>
            <w:pPr>
              <w:jc w:val="center"/>
              <w:ind w:left="1730"/>
              <w:spacing w:after="0" w:line="202" w:lineRule="exact"/>
              <w:rPr>
                <w:sz w:val="20"/>
                <w:szCs w:val="20"/>
                <w:color w:val="auto"/>
              </w:rPr>
            </w:pPr>
            <w:r>
              <w:rPr>
                <w:rFonts w:ascii="Arial" w:cs="Arial" w:eastAsia="Arial" w:hAnsi="Arial"/>
                <w:sz w:val="18"/>
                <w:szCs w:val="18"/>
                <w:b w:val="1"/>
                <w:bCs w:val="1"/>
                <w:color w:val="auto"/>
                <w:w w:val="99"/>
              </w:rPr>
              <w:t>June 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June 2,</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0090DA"/>
            </w:tcBorders>
            <w:vMerge w:val="continue"/>
          </w:tcPr>
          <w:p>
            <w:pPr>
              <w:spacing w:after="0"/>
              <w:rPr>
                <w:sz w:val="19"/>
                <w:szCs w:val="19"/>
                <w:color w:val="auto"/>
              </w:rPr>
            </w:pPr>
          </w:p>
        </w:tc>
        <w:tc>
          <w:tcPr>
            <w:tcW w:w="248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24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4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92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2480" w:type="dxa"/>
            <w:vAlign w:val="bottom"/>
            <w:shd w:val="clear" w:color="auto" w:fill="DDDDDD"/>
          </w:tcPr>
          <w:p>
            <w:pPr>
              <w:spacing w:after="0"/>
              <w:rPr>
                <w:sz w:val="21"/>
                <w:szCs w:val="21"/>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DDDDDD"/>
          </w:tcPr>
          <w:p>
            <w:pPr>
              <w:spacing w:after="0"/>
              <w:rPr>
                <w:sz w:val="21"/>
                <w:szCs w:val="21"/>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2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9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24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24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354</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6"/>
        </w:trPr>
        <w:tc>
          <w:tcPr>
            <w:tcW w:w="692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2480" w:type="dxa"/>
            <w:vAlign w:val="bottom"/>
            <w:shd w:val="clear" w:color="auto" w:fill="DDDDDD"/>
          </w:tcPr>
          <w:p>
            <w:pPr>
              <w:spacing w:after="0"/>
              <w:rPr>
                <w:sz w:val="20"/>
                <w:szCs w:val="20"/>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DDDDDD"/>
          </w:tcPr>
          <w:p>
            <w:pPr>
              <w:spacing w:after="0"/>
              <w:rPr>
                <w:sz w:val="20"/>
                <w:szCs w:val="20"/>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0090DA"/>
            </w:tcBorders>
            <w:gridSpan w:val="2"/>
          </w:tcPr>
          <w:p>
            <w:pPr>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844"/>
        </w:trPr>
        <w:tc>
          <w:tcPr>
            <w:tcW w:w="754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90"/>
              <w:spacing w:after="0" w:line="202" w:lineRule="exact"/>
              <w:rPr>
                <w:sz w:val="20"/>
                <w:szCs w:val="20"/>
                <w:color w:val="auto"/>
              </w:rPr>
            </w:pPr>
            <w:r>
              <w:rPr>
                <w:rFonts w:ascii="Arial" w:cs="Arial" w:eastAsia="Arial" w:hAnsi="Arial"/>
                <w:sz w:val="18"/>
                <w:szCs w:val="18"/>
                <w:b w:val="1"/>
                <w:bCs w:val="1"/>
                <w:color w:val="auto"/>
              </w:rPr>
              <w:t>June 1,</w:t>
            </w:r>
          </w:p>
        </w:tc>
        <w:tc>
          <w:tcPr>
            <w:tcW w:w="140" w:type="dxa"/>
            <w:vAlign w:val="bottom"/>
          </w:tcPr>
          <w:p>
            <w:pPr>
              <w:spacing w:after="0"/>
              <w:rPr>
                <w:sz w:val="17"/>
                <w:szCs w:val="17"/>
                <w:color w:val="auto"/>
              </w:rPr>
            </w:pPr>
          </w:p>
        </w:tc>
        <w:tc>
          <w:tcPr>
            <w:tcW w:w="1480" w:type="dxa"/>
            <w:vAlign w:val="bottom"/>
            <w:gridSpan w:val="3"/>
          </w:tcPr>
          <w:p>
            <w:pPr>
              <w:ind w:left="100"/>
              <w:spacing w:after="0" w:line="202" w:lineRule="exact"/>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Borders>
              <w:bottom w:val="single" w:sz="8" w:color="0090DA"/>
            </w:tcBorders>
            <w:vMerge w:val="continue"/>
          </w:tcPr>
          <w:p>
            <w:pPr>
              <w:spacing w:after="0"/>
              <w:rPr>
                <w:sz w:val="21"/>
                <w:szCs w:val="21"/>
                <w:color w:val="auto"/>
              </w:rPr>
            </w:pPr>
          </w:p>
        </w:tc>
        <w:tc>
          <w:tcPr>
            <w:tcW w:w="78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340" w:type="dxa"/>
            <w:vAlign w:val="bottom"/>
            <w:tcBorders>
              <w:bottom w:val="single" w:sz="8" w:color="0090DA"/>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7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D1D2D4"/>
          </w:tcPr>
          <w:p>
            <w:pPr>
              <w:spacing w:after="0"/>
              <w:rPr>
                <w:sz w:val="19"/>
                <w:szCs w:val="19"/>
                <w:color w:val="auto"/>
              </w:rPr>
            </w:pPr>
          </w:p>
        </w:tc>
        <w:tc>
          <w:tcPr>
            <w:tcW w:w="1340" w:type="dxa"/>
            <w:vAlign w:val="bottom"/>
            <w:shd w:val="clear" w:color="auto" w:fill="D1D2D4"/>
          </w:tcPr>
          <w:p>
            <w:pPr>
              <w:jc w:val="right"/>
              <w:ind w:right="131"/>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520" w:type="dxa"/>
            <w:vAlign w:val="bottom"/>
            <w:shd w:val="clear" w:color="auto" w:fill="D1D2D4"/>
          </w:tcPr>
          <w:p>
            <w:pPr>
              <w:spacing w:after="0"/>
              <w:rPr>
                <w:sz w:val="24"/>
                <w:szCs w:val="24"/>
                <w:color w:val="auto"/>
              </w:rPr>
            </w:pPr>
          </w:p>
        </w:tc>
        <w:tc>
          <w:tcPr>
            <w:tcW w:w="780" w:type="dxa"/>
            <w:vAlign w:val="bottom"/>
            <w:shd w:val="clear" w:color="auto" w:fill="D1D2D4"/>
          </w:tcPr>
          <w:p>
            <w:pPr>
              <w:spacing w:after="0"/>
              <w:rPr>
                <w:sz w:val="24"/>
                <w:szCs w:val="24"/>
                <w:color w:val="auto"/>
              </w:rPr>
            </w:pPr>
          </w:p>
        </w:tc>
        <w:tc>
          <w:tcPr>
            <w:tcW w:w="160" w:type="dxa"/>
            <w:vAlign w:val="bottom"/>
            <w:shd w:val="clear" w:color="auto" w:fill="D1D2D4"/>
          </w:tcPr>
          <w:p>
            <w:pPr>
              <w:spacing w:after="0"/>
              <w:rPr>
                <w:sz w:val="24"/>
                <w:szCs w:val="24"/>
                <w:color w:val="auto"/>
              </w:rPr>
            </w:pPr>
          </w:p>
        </w:tc>
        <w:tc>
          <w:tcPr>
            <w:tcW w:w="1140" w:type="dxa"/>
            <w:vAlign w:val="bottom"/>
            <w:shd w:val="clear" w:color="auto" w:fill="D1D2D4"/>
          </w:tcPr>
          <w:p>
            <w:pPr>
              <w:spacing w:after="0"/>
              <w:rPr>
                <w:sz w:val="24"/>
                <w:szCs w:val="24"/>
                <w:color w:val="auto"/>
              </w:rPr>
            </w:pPr>
          </w:p>
        </w:tc>
        <w:tc>
          <w:tcPr>
            <w:tcW w:w="140" w:type="dxa"/>
            <w:vAlign w:val="bottom"/>
            <w:shd w:val="clear" w:color="auto" w:fill="D1D2D4"/>
          </w:tcPr>
          <w:p>
            <w:pPr>
              <w:spacing w:after="0"/>
              <w:rPr>
                <w:sz w:val="24"/>
                <w:szCs w:val="24"/>
                <w:color w:val="auto"/>
              </w:rPr>
            </w:pPr>
          </w:p>
        </w:tc>
        <w:tc>
          <w:tcPr>
            <w:tcW w:w="120" w:type="dxa"/>
            <w:vAlign w:val="bottom"/>
            <w:shd w:val="clear" w:color="auto" w:fill="D1D2D4"/>
          </w:tcPr>
          <w:p>
            <w:pPr>
              <w:spacing w:after="0"/>
              <w:rPr>
                <w:sz w:val="24"/>
                <w:szCs w:val="24"/>
                <w:color w:val="auto"/>
              </w:rPr>
            </w:pPr>
          </w:p>
        </w:tc>
        <w:tc>
          <w:tcPr>
            <w:tcW w:w="1340" w:type="dxa"/>
            <w:vAlign w:val="bottom"/>
            <w:shd w:val="clear" w:color="auto" w:fill="D1D2D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40" w:type="dxa"/>
            <w:vAlign w:val="bottom"/>
            <w:shd w:val="clear" w:color="auto" w:fill="D1D2D4"/>
          </w:tcPr>
          <w:p>
            <w:pPr>
              <w:jc w:val="center"/>
              <w:ind w:left="811"/>
              <w:spacing w:after="0"/>
              <w:rPr>
                <w:sz w:val="20"/>
                <w:szCs w:val="20"/>
                <w:color w:val="auto"/>
              </w:rPr>
            </w:pPr>
            <w:r>
              <w:rPr>
                <w:rFonts w:ascii="Arial" w:cs="Arial" w:eastAsia="Arial" w:hAnsi="Arial"/>
                <w:sz w:val="18"/>
                <w:szCs w:val="18"/>
                <w:color w:val="auto"/>
                <w:w w:val="99"/>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left="811"/>
              <w:spacing w:after="0"/>
              <w:rPr>
                <w:sz w:val="20"/>
                <w:szCs w:val="20"/>
                <w:color w:val="auto"/>
              </w:rPr>
            </w:pPr>
            <w:r>
              <w:rPr>
                <w:rFonts w:ascii="Arial" w:cs="Arial" w:eastAsia="Arial" w:hAnsi="Arial"/>
                <w:sz w:val="18"/>
                <w:szCs w:val="18"/>
                <w:color w:val="auto"/>
                <w:w w:val="99"/>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78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14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40" w:type="dxa"/>
            <w:vAlign w:val="bottom"/>
            <w:shd w:val="clear" w:color="auto" w:fill="D1D2D4"/>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Operating leases</w:t>
            </w:r>
          </w:p>
        </w:tc>
        <w:tc>
          <w:tcPr>
            <w:tcW w:w="780" w:type="dxa"/>
            <w:vAlign w:val="bottom"/>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3.11 %</w:t>
            </w:r>
          </w:p>
        </w:tc>
        <w:tc>
          <w:tcPr>
            <w:tcW w:w="140" w:type="dxa"/>
            <w:vAlign w:val="bottom"/>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7540" w:type="dxa"/>
            <w:vAlign w:val="bottom"/>
            <w:gridSpan w:val="2"/>
          </w:tcPr>
          <w:p>
            <w:pPr>
              <w:spacing w:after="0"/>
              <w:rPr>
                <w:sz w:val="20"/>
                <w:szCs w:val="20"/>
                <w:color w:val="auto"/>
              </w:rPr>
            </w:pPr>
            <w:r>
              <w:rPr>
                <w:rFonts w:ascii="Arial" w:cs="Arial" w:eastAsia="Arial" w:hAnsi="Arial"/>
                <w:sz w:val="18"/>
                <w:szCs w:val="18"/>
                <w:color w:val="auto"/>
              </w:rPr>
              <w:t>As of June 1, 2023, maturities of lease liabilities by fiscal year were as follows: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For the year ending</w:t>
            </w:r>
          </w:p>
        </w:tc>
        <w:tc>
          <w:tcPr>
            <w:tcW w:w="78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12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9"/>
        </w:trPr>
        <w:tc>
          <w:tcPr>
            <w:tcW w:w="20" w:type="dxa"/>
            <w:vAlign w:val="bottom"/>
            <w:tcBorders>
              <w:bottom w:val="single" w:sz="8" w:color="0090DA"/>
            </w:tcBorders>
          </w:tcPr>
          <w:p>
            <w:pPr>
              <w:spacing w:after="0"/>
              <w:rPr>
                <w:sz w:val="20"/>
                <w:szCs w:val="20"/>
                <w:color w:val="auto"/>
              </w:rPr>
            </w:pPr>
          </w:p>
        </w:tc>
        <w:tc>
          <w:tcPr>
            <w:tcW w:w="7520" w:type="dxa"/>
            <w:vAlign w:val="bottom"/>
            <w:tcBorders>
              <w:bottom w:val="single" w:sz="8" w:color="0090DA"/>
            </w:tcBorders>
            <w:vMerge w:val="continue"/>
          </w:tcPr>
          <w:p>
            <w:pPr>
              <w:spacing w:after="0"/>
              <w:rPr>
                <w:sz w:val="20"/>
                <w:szCs w:val="20"/>
                <w:color w:val="auto"/>
              </w:rPr>
            </w:pPr>
          </w:p>
        </w:tc>
        <w:tc>
          <w:tcPr>
            <w:tcW w:w="780" w:type="dxa"/>
            <w:vAlign w:val="bottom"/>
            <w:tcBorders>
              <w:bottom w:val="single" w:sz="8" w:color="0090DA"/>
            </w:tcBorders>
          </w:tcPr>
          <w:p>
            <w:pPr>
              <w:spacing w:after="0"/>
              <w:rPr>
                <w:sz w:val="20"/>
                <w:szCs w:val="20"/>
                <w:color w:val="auto"/>
              </w:rPr>
            </w:pPr>
          </w:p>
        </w:tc>
        <w:tc>
          <w:tcPr>
            <w:tcW w:w="1440" w:type="dxa"/>
            <w:vAlign w:val="bottom"/>
            <w:tcBorders>
              <w:bottom w:val="single" w:sz="8" w:color="0090DA"/>
            </w:tcBorders>
            <w:gridSpan w:val="3"/>
            <w:vMerge w:val="continue"/>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gridSpan w:val="2"/>
          </w:tcPr>
          <w:p>
            <w:pPr>
              <w:jc w:val="center"/>
              <w:ind w:right="12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1D2D4"/>
          </w:tcPr>
          <w:p>
            <w:pPr>
              <w:spacing w:after="0"/>
              <w:rPr>
                <w:sz w:val="19"/>
                <w:szCs w:val="19"/>
                <w:color w:val="auto"/>
              </w:rPr>
            </w:pPr>
          </w:p>
        </w:tc>
        <w:tc>
          <w:tcPr>
            <w:tcW w:w="7520" w:type="dxa"/>
            <w:vAlign w:val="bottom"/>
            <w:shd w:val="clear" w:color="auto" w:fill="D1D2D4"/>
          </w:tcPr>
          <w:p>
            <w:pPr>
              <w:spacing w:after="0"/>
              <w:rPr>
                <w:sz w:val="20"/>
                <w:szCs w:val="20"/>
                <w:color w:val="auto"/>
              </w:rPr>
            </w:pPr>
            <w:r>
              <w:rPr>
                <w:rFonts w:ascii="Arial" w:cs="Arial" w:eastAsia="Arial" w:hAnsi="Arial"/>
                <w:sz w:val="18"/>
                <w:szCs w:val="18"/>
                <w:color w:val="auto"/>
              </w:rPr>
              <w:t>Remainder of 2023</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D1D2D4"/>
          </w:tcPr>
          <w:p>
            <w:pPr>
              <w:spacing w:after="0"/>
              <w:rPr>
                <w:sz w:val="21"/>
                <w:szCs w:val="21"/>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7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2028 and thereafter</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D1D2D4"/>
          </w:tcPr>
          <w:p>
            <w:pPr>
              <w:spacing w:after="0"/>
              <w:rPr>
                <w:sz w:val="20"/>
                <w:szCs w:val="20"/>
                <w:color w:val="auto"/>
              </w:rPr>
            </w:pPr>
          </w:p>
        </w:tc>
        <w:tc>
          <w:tcPr>
            <w:tcW w:w="7520" w:type="dxa"/>
            <w:vAlign w:val="bottom"/>
            <w:shd w:val="clear" w:color="auto" w:fill="D1D2D4"/>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auto"/>
            </w:tcBorders>
            <w:shd w:val="clear" w:color="auto" w:fill="D1D2D4"/>
          </w:tcPr>
          <w:p>
            <w:pPr>
              <w:spacing w:after="0"/>
              <w:rPr>
                <w:sz w:val="20"/>
                <w:szCs w:val="20"/>
                <w:color w:val="auto"/>
              </w:rPr>
            </w:pPr>
          </w:p>
        </w:tc>
        <w:tc>
          <w:tcPr>
            <w:tcW w:w="1340" w:type="dxa"/>
            <w:vAlign w:val="bottom"/>
            <w:tcBorders>
              <w:bottom w:val="single" w:sz="8" w:color="auto"/>
            </w:tcBorders>
            <w:shd w:val="clear" w:color="auto" w:fill="D1D2D4"/>
          </w:tcPr>
          <w:p>
            <w:pPr>
              <w:jc w:val="center"/>
              <w:ind w:left="791"/>
              <w:spacing w:after="0"/>
              <w:rPr>
                <w:sz w:val="20"/>
                <w:szCs w:val="20"/>
                <w:color w:val="auto"/>
              </w:rPr>
            </w:pPr>
            <w:r>
              <w:rPr>
                <w:rFonts w:ascii="Arial" w:cs="Arial" w:eastAsia="Arial" w:hAnsi="Arial"/>
                <w:sz w:val="18"/>
                <w:szCs w:val="18"/>
                <w:color w:val="auto"/>
                <w:w w:val="99"/>
              </w:rPr>
              <w:t>(152)</w:t>
            </w:r>
          </w:p>
        </w:tc>
        <w:tc>
          <w:tcPr>
            <w:tcW w:w="20" w:type="dxa"/>
            <w:vAlign w:val="bottom"/>
            <w:tcBorders>
              <w:bottom w:val="single" w:sz="8" w:color="auto"/>
            </w:tcBorders>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June 1, 2023, excluded obligations consisted of $ 175 million of estimated finance lease payments over a weighted-average period of 11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1,</w:t>
            </w:r>
          </w:p>
        </w:tc>
        <w:tc>
          <w:tcPr>
            <w:tcW w:w="18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20" w:type="dxa"/>
            <w:vAlign w:val="bottom"/>
            <w:tcBorders>
              <w:bottom w:val="single" w:sz="8" w:color="0090DA"/>
            </w:tcBorders>
            <w:vMerge w:val="continue"/>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1,640</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6"/>
        </w:trPr>
        <w:tc>
          <w:tcPr>
            <w:tcW w:w="832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6"/>
        </w:trPr>
        <w:tc>
          <w:tcPr>
            <w:tcW w:w="8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20"/>
                <w:szCs w:val="20"/>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Borders>
              <w:bottom w:val="single" w:sz="8" w:color="auto"/>
            </w:tcBorders>
            <w:shd w:val="clear" w:color="auto" w:fill="D1D2D4"/>
          </w:tcPr>
          <w:p>
            <w:pPr>
              <w:spacing w:after="0"/>
              <w:rPr>
                <w:sz w:val="20"/>
                <w:szCs w:val="20"/>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634365</wp:posOffset>
            </wp:positionV>
            <wp:extent cx="65976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000" w:type="dxa"/>
            <w:vAlign w:val="bottom"/>
            <w:tcBorders>
              <w:bottom w:val="single" w:sz="8" w:color="0090DA"/>
            </w:tcBorders>
          </w:tcPr>
          <w:p>
            <w:pPr>
              <w:spacing w:after="0"/>
              <w:rPr>
                <w:sz w:val="20"/>
                <w:szCs w:val="20"/>
                <w:color w:val="auto"/>
              </w:rPr>
            </w:pPr>
          </w:p>
        </w:tc>
        <w:tc>
          <w:tcPr>
            <w:tcW w:w="1880" w:type="dxa"/>
            <w:vAlign w:val="bottom"/>
            <w:tcBorders>
              <w:bottom w:val="single" w:sz="8" w:color="0090DA"/>
            </w:tcBorders>
            <w:gridSpan w:val="3"/>
          </w:tcPr>
          <w:p>
            <w:pPr>
              <w:jc w:val="right"/>
              <w:spacing w:after="0"/>
              <w:rPr>
                <w:sz w:val="20"/>
                <w:szCs w:val="20"/>
                <w:color w:val="auto"/>
              </w:rPr>
            </w:pPr>
            <w:r>
              <w:rPr>
                <w:rFonts w:ascii="Arial" w:cs="Arial" w:eastAsia="Arial" w:hAnsi="Arial"/>
                <w:sz w:val="18"/>
                <w:szCs w:val="18"/>
                <w:b w:val="1"/>
                <w:bCs w:val="1"/>
                <w:color w:val="auto"/>
              </w:rPr>
              <w:t>June 1, 2023</w:t>
            </w:r>
          </w:p>
        </w:tc>
        <w:tc>
          <w:tcPr>
            <w:tcW w:w="16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258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September 1, 2022</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2580" w:type="dxa"/>
            <w:vAlign w:val="bottom"/>
            <w:tcBorders>
              <w:bottom w:val="single" w:sz="8" w:color="0090DA"/>
            </w:tcBorders>
            <w:gridSpan w:val="5"/>
          </w:tcPr>
          <w:p>
            <w:pPr>
              <w:jc w:val="center"/>
              <w:ind w:right="5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69"/>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Stated</w:t>
            </w:r>
          </w:p>
        </w:tc>
        <w:tc>
          <w:tcPr>
            <w:tcW w:w="96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4"/>
                <w:szCs w:val="14"/>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8"/>
              </w:rPr>
              <w:t>Current</w:t>
            </w:r>
          </w:p>
        </w:tc>
        <w:tc>
          <w:tcPr>
            <w:tcW w:w="16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4"/>
                <w:szCs w:val="14"/>
                <w:color w:val="auto"/>
              </w:rPr>
            </w:pPr>
          </w:p>
        </w:tc>
        <w:tc>
          <w:tcPr>
            <w:tcW w:w="7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0090DA"/>
            </w:tcBorders>
            <w:vMerge w:val="continue"/>
          </w:tcPr>
          <w:p>
            <w:pPr>
              <w:spacing w:after="0"/>
              <w:rPr>
                <w:sz w:val="21"/>
                <w:szCs w:val="21"/>
                <w:color w:val="auto"/>
              </w:rPr>
            </w:pPr>
          </w:p>
        </w:tc>
        <w:tc>
          <w:tcPr>
            <w:tcW w:w="100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080" w:type="dxa"/>
            <w:vAlign w:val="bottom"/>
            <w:tcBorders>
              <w:bottom w:val="single" w:sz="8" w:color="0090DA"/>
            </w:tcBorders>
            <w:gridSpan w:val="2"/>
          </w:tcPr>
          <w:p>
            <w:pPr>
              <w:jc w:val="right"/>
              <w:ind w:right="440"/>
              <w:spacing w:after="0"/>
              <w:rPr>
                <w:sz w:val="20"/>
                <w:szCs w:val="20"/>
                <w:color w:val="auto"/>
              </w:rPr>
            </w:pPr>
            <w:r>
              <w:rPr>
                <w:rFonts w:ascii="Arial" w:cs="Arial" w:eastAsia="Arial" w:hAnsi="Arial"/>
                <w:sz w:val="18"/>
                <w:szCs w:val="18"/>
                <w:b w:val="1"/>
                <w:bCs w:val="1"/>
                <w:color w:val="auto"/>
              </w:rPr>
              <w:t>Rate</w:t>
            </w:r>
          </w:p>
        </w:tc>
        <w:tc>
          <w:tcPr>
            <w:tcW w:w="800" w:type="dxa"/>
            <w:vAlign w:val="bottom"/>
            <w:tcBorders>
              <w:bottom w:val="single" w:sz="8" w:color="0090DA"/>
            </w:tcBorders>
            <w:vMerge w:val="continue"/>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7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760" w:type="dxa"/>
            <w:vAlign w:val="bottom"/>
            <w:tcBorders>
              <w:bottom w:val="single" w:sz="8" w:color="0090DA"/>
            </w:tcBorders>
            <w:vMerge w:val="continue"/>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00" w:type="dxa"/>
            <w:vAlign w:val="bottom"/>
            <w:tcBorders>
              <w:bottom w:val="single" w:sz="8" w:color="0090DA"/>
            </w:tcBorders>
          </w:tcPr>
          <w:p>
            <w:pPr>
              <w:spacing w:after="0"/>
              <w:rPr>
                <w:sz w:val="21"/>
                <w:szCs w:val="21"/>
                <w:color w:val="auto"/>
              </w:rPr>
            </w:pPr>
          </w:p>
        </w:tc>
        <w:tc>
          <w:tcPr>
            <w:tcW w:w="720" w:type="dxa"/>
            <w:vAlign w:val="bottom"/>
            <w:tcBorders>
              <w:bottom w:val="single" w:sz="8" w:color="0090D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5.860 %</w:t>
            </w:r>
          </w:p>
        </w:tc>
        <w:tc>
          <w:tcPr>
            <w:tcW w:w="10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5.90 % $</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w:t>
            </w:r>
          </w:p>
        </w:tc>
        <w:tc>
          <w:tcPr>
            <w:tcW w:w="2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6.503 %</w:t>
            </w:r>
          </w:p>
        </w:tc>
        <w:tc>
          <w:tcPr>
            <w:tcW w:w="960" w:type="dxa"/>
            <w:vAlign w:val="bottom"/>
          </w:tcPr>
          <w:p>
            <w:pPr>
              <w:jc w:val="right"/>
              <w:spacing w:after="0"/>
              <w:rPr>
                <w:sz w:val="20"/>
                <w:szCs w:val="20"/>
                <w:color w:val="auto"/>
              </w:rPr>
            </w:pPr>
            <w:r>
              <w:rPr>
                <w:rFonts w:ascii="Arial" w:cs="Arial" w:eastAsia="Arial" w:hAnsi="Arial"/>
                <w:sz w:val="18"/>
                <w:szCs w:val="18"/>
                <w:color w:val="auto"/>
              </w:rPr>
              <w:t>6.64 %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6.628 %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6.76 %</w:t>
            </w:r>
          </w:p>
        </w:tc>
        <w:tc>
          <w:tcPr>
            <w:tcW w:w="120" w:type="dxa"/>
            <w:vAlign w:val="bottom"/>
            <w:shd w:val="clear" w:color="auto" w:fill="D1D2D4"/>
          </w:tcPr>
          <w:p>
            <w:pPr>
              <w:spacing w:after="0"/>
              <w:rPr>
                <w:sz w:val="20"/>
                <w:szCs w:val="20"/>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D1D2D4"/>
          </w:tcPr>
          <w:p>
            <w:pPr>
              <w:spacing w:after="0"/>
              <w:rPr>
                <w:sz w:val="20"/>
                <w:szCs w:val="20"/>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00" w:type="dxa"/>
            <w:vAlign w:val="bottom"/>
          </w:tcPr>
          <w:p>
            <w:pPr>
              <w:jc w:val="right"/>
              <w:spacing w:after="0"/>
              <w:rPr>
                <w:sz w:val="20"/>
                <w:szCs w:val="20"/>
                <w:color w:val="auto"/>
              </w:rPr>
            </w:pPr>
            <w:r>
              <w:rPr>
                <w:rFonts w:ascii="Arial" w:cs="Arial" w:eastAsia="Arial" w:hAnsi="Arial"/>
                <w:sz w:val="18"/>
                <w:szCs w:val="18"/>
                <w:color w:val="auto"/>
              </w:rPr>
              <w:t>6.753 %</w:t>
            </w:r>
          </w:p>
        </w:tc>
        <w:tc>
          <w:tcPr>
            <w:tcW w:w="960" w:type="dxa"/>
            <w:vAlign w:val="bottom"/>
          </w:tcPr>
          <w:p>
            <w:pPr>
              <w:jc w:val="right"/>
              <w:spacing w:after="0"/>
              <w:rPr>
                <w:sz w:val="20"/>
                <w:szCs w:val="20"/>
                <w:color w:val="auto"/>
              </w:rPr>
            </w:pPr>
            <w:r>
              <w:rPr>
                <w:rFonts w:ascii="Arial" w:cs="Arial" w:eastAsia="Arial" w:hAnsi="Arial"/>
                <w:sz w:val="18"/>
                <w:szCs w:val="18"/>
                <w:color w:val="auto"/>
              </w:rPr>
              <w:t>6.89 %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21"/>
                <w:szCs w:val="21"/>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1"/>
                <w:szCs w:val="21"/>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0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00" w:type="dxa"/>
            <w:vAlign w:val="bottom"/>
          </w:tcPr>
          <w:p>
            <w:pPr>
              <w:jc w:val="right"/>
              <w:spacing w:after="0"/>
              <w:rPr>
                <w:sz w:val="20"/>
                <w:szCs w:val="20"/>
                <w:color w:val="auto"/>
              </w:rPr>
            </w:pPr>
            <w:r>
              <w:rPr>
                <w:rFonts w:ascii="Arial" w:cs="Arial" w:eastAsia="Arial" w:hAnsi="Arial"/>
                <w:sz w:val="18"/>
                <w:szCs w:val="18"/>
                <w:color w:val="auto"/>
              </w:rPr>
              <w:t>4.185 %</w:t>
            </w:r>
          </w:p>
        </w:tc>
        <w:tc>
          <w:tcPr>
            <w:tcW w:w="96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9"/>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2028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5.52 %</w:t>
            </w:r>
          </w:p>
        </w:tc>
        <w:tc>
          <w:tcPr>
            <w:tcW w:w="12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8"/>
                <w:szCs w:val="18"/>
                <w:color w:val="auto"/>
              </w:rPr>
              <w:t>2029 A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5.327 %</w:t>
            </w:r>
          </w:p>
        </w:tc>
        <w:tc>
          <w:tcPr>
            <w:tcW w:w="960" w:type="dxa"/>
            <w:vAlign w:val="bottom"/>
          </w:tcPr>
          <w:p>
            <w:pPr>
              <w:jc w:val="right"/>
              <w:spacing w:after="0"/>
              <w:rPr>
                <w:sz w:val="20"/>
                <w:szCs w:val="20"/>
                <w:color w:val="auto"/>
              </w:rPr>
            </w:pPr>
            <w:r>
              <w:rPr>
                <w:rFonts w:ascii="Arial" w:cs="Arial" w:eastAsia="Arial" w:hAnsi="Arial"/>
                <w:sz w:val="18"/>
                <w:szCs w:val="18"/>
                <w:color w:val="auto"/>
              </w:rPr>
              <w:t>5.40 %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6"/>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B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6.750 %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D1D2D4"/>
          </w:tcPr>
          <w:p>
            <w:pPr>
              <w:spacing w:after="0"/>
              <w:rPr>
                <w:sz w:val="20"/>
                <w:szCs w:val="20"/>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0"/>
                <w:szCs w:val="20"/>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22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2030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4.663 %</w:t>
            </w:r>
          </w:p>
        </w:tc>
        <w:tc>
          <w:tcPr>
            <w:tcW w:w="960" w:type="dxa"/>
            <w:vAlign w:val="bottom"/>
          </w:tcPr>
          <w:p>
            <w:pPr>
              <w:jc w:val="right"/>
              <w:spacing w:after="0"/>
              <w:rPr>
                <w:sz w:val="20"/>
                <w:szCs w:val="20"/>
                <w:color w:val="auto"/>
              </w:rPr>
            </w:pPr>
            <w:r>
              <w:rPr>
                <w:rFonts w:ascii="Arial" w:cs="Arial" w:eastAsia="Arial" w:hAnsi="Arial"/>
                <w:sz w:val="18"/>
                <w:szCs w:val="18"/>
                <w:color w:val="auto"/>
              </w:rPr>
              <w:t>4.73 %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2032 Green Bonds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2.703 %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D1D2D4"/>
          </w:tcPr>
          <w:p>
            <w:pPr>
              <w:spacing w:after="0"/>
              <w:rPr>
                <w:sz w:val="21"/>
                <w:szCs w:val="21"/>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1"/>
                <w:szCs w:val="21"/>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D1D2D4"/>
          </w:tcPr>
          <w:p>
            <w:pPr>
              <w:spacing w:after="0"/>
              <w:rPr>
                <w:sz w:val="21"/>
                <w:szCs w:val="21"/>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2033 A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5.875 %</w:t>
            </w:r>
          </w:p>
        </w:tc>
        <w:tc>
          <w:tcPr>
            <w:tcW w:w="960" w:type="dxa"/>
            <w:vAlign w:val="bottom"/>
          </w:tcPr>
          <w:p>
            <w:pPr>
              <w:jc w:val="right"/>
              <w:spacing w:after="0"/>
              <w:rPr>
                <w:sz w:val="20"/>
                <w:szCs w:val="20"/>
                <w:color w:val="auto"/>
              </w:rPr>
            </w:pPr>
            <w:r>
              <w:rPr>
                <w:rFonts w:ascii="Arial" w:cs="Arial" w:eastAsia="Arial" w:hAnsi="Arial"/>
                <w:sz w:val="18"/>
                <w:szCs w:val="18"/>
                <w:color w:val="auto"/>
              </w:rPr>
              <w:t>5.96 %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B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5.875 %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6.01 %</w:t>
            </w:r>
          </w:p>
        </w:tc>
        <w:tc>
          <w:tcPr>
            <w:tcW w:w="120" w:type="dxa"/>
            <w:vAlign w:val="bottom"/>
            <w:shd w:val="clear" w:color="auto" w:fill="D1D2D4"/>
          </w:tcPr>
          <w:p>
            <w:pPr>
              <w:spacing w:after="0"/>
              <w:rPr>
                <w:sz w:val="19"/>
                <w:szCs w:val="19"/>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740" w:type="dxa"/>
            <w:vAlign w:val="bottom"/>
          </w:tcPr>
          <w:p>
            <w:pPr>
              <w:ind w:left="20"/>
              <w:spacing w:after="0"/>
              <w:rPr>
                <w:sz w:val="20"/>
                <w:szCs w:val="20"/>
                <w:color w:val="auto"/>
              </w:rPr>
            </w:pPr>
            <w:r>
              <w:rPr>
                <w:rFonts w:ascii="Arial" w:cs="Arial" w:eastAsia="Arial" w:hAnsi="Arial"/>
                <w:sz w:val="18"/>
                <w:szCs w:val="18"/>
                <w:color w:val="auto"/>
              </w:rPr>
              <w:t>2041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3.366 %</w:t>
            </w:r>
          </w:p>
        </w:tc>
        <w:tc>
          <w:tcPr>
            <w:tcW w:w="960" w:type="dxa"/>
            <w:vAlign w:val="bottom"/>
          </w:tcPr>
          <w:p>
            <w:pPr>
              <w:jc w:val="right"/>
              <w:spacing w:after="0"/>
              <w:rPr>
                <w:sz w:val="20"/>
                <w:szCs w:val="20"/>
                <w:color w:val="auto"/>
              </w:rPr>
            </w:pPr>
            <w:r>
              <w:rPr>
                <w:rFonts w:ascii="Arial" w:cs="Arial" w:eastAsia="Arial" w:hAnsi="Arial"/>
                <w:sz w:val="18"/>
                <w:szCs w:val="18"/>
                <w:color w:val="auto"/>
              </w:rPr>
              <w:t>3.41 %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6"/>
        </w:trPr>
        <w:tc>
          <w:tcPr>
            <w:tcW w:w="374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2051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3.477 %</w:t>
            </w: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D1D2D4"/>
          </w:tcPr>
          <w:p>
            <w:pPr>
              <w:spacing w:after="0"/>
              <w:rPr>
                <w:sz w:val="20"/>
                <w:szCs w:val="20"/>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0"/>
                <w:szCs w:val="20"/>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3.48 %</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50"/>
        </w:trPr>
        <w:tc>
          <w:tcPr>
            <w:tcW w:w="3740" w:type="dxa"/>
            <w:vAlign w:val="bottom"/>
            <w:shd w:val="clear" w:color="auto" w:fill="D1D2D4"/>
          </w:tcPr>
          <w:p>
            <w:pPr>
              <w:spacing w:after="0"/>
              <w:rPr>
                <w:sz w:val="21"/>
                <w:szCs w:val="21"/>
                <w:color w:val="auto"/>
              </w:rPr>
            </w:pPr>
          </w:p>
        </w:tc>
        <w:tc>
          <w:tcPr>
            <w:tcW w:w="1000" w:type="dxa"/>
            <w:vAlign w:val="bottom"/>
            <w:shd w:val="clear" w:color="auto" w:fill="D1D2D4"/>
          </w:tcPr>
          <w:p>
            <w:pPr>
              <w:spacing w:after="0"/>
              <w:rPr>
                <w:sz w:val="21"/>
                <w:szCs w:val="21"/>
                <w:color w:val="auto"/>
              </w:rPr>
            </w:pPr>
          </w:p>
        </w:tc>
        <w:tc>
          <w:tcPr>
            <w:tcW w:w="10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12,986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13,245</w:t>
            </w:r>
          </w:p>
        </w:tc>
        <w:tc>
          <w:tcPr>
            <w:tcW w:w="2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374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180" w:right="240" w:hanging="172"/>
        <w:spacing w:after="0" w:line="239" w:lineRule="auto"/>
        <w:tabs>
          <w:tab w:leader="none" w:pos="211"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and as a result, the carrying values of our 2027 Notes reflect adjustments in fair value.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financing and prepayment activities in the first nine months of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c>
          <w:tcPr>
            <w:tcW w:w="16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r>
      <w:tr>
        <w:trPr>
          <w:trHeight w:val="185"/>
        </w:trPr>
        <w:tc>
          <w:tcPr>
            <w:tcW w:w="5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(Decrease) in</w:t>
            </w:r>
          </w:p>
        </w:tc>
        <w:tc>
          <w:tcPr>
            <w:tcW w:w="160" w:type="dxa"/>
            <w:vAlign w:val="bottom"/>
          </w:tcPr>
          <w:p>
            <w:pPr>
              <w:spacing w:after="0"/>
              <w:rPr>
                <w:sz w:val="16"/>
                <w:szCs w:val="16"/>
                <w:color w:val="auto"/>
              </w:rPr>
            </w:pPr>
          </w:p>
        </w:tc>
        <w:tc>
          <w:tcPr>
            <w:tcW w:w="132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6"/>
                <w:szCs w:val="16"/>
                <w:color w:val="auto"/>
              </w:rPr>
            </w:pPr>
          </w:p>
        </w:tc>
        <w:tc>
          <w:tcPr>
            <w:tcW w:w="134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(Decrease) in</w:t>
            </w:r>
          </w:p>
        </w:tc>
      </w:tr>
      <w:tr>
        <w:trPr>
          <w:trHeight w:val="229"/>
        </w:trPr>
        <w:tc>
          <w:tcPr>
            <w:tcW w:w="560" w:type="dxa"/>
            <w:vAlign w:val="bottom"/>
            <w:tcBorders>
              <w:bottom w:val="single" w:sz="8" w:color="0090DA"/>
            </w:tcBorders>
          </w:tcPr>
          <w:p>
            <w:pPr>
              <w:spacing w:after="0"/>
              <w:rPr>
                <w:sz w:val="19"/>
                <w:szCs w:val="19"/>
                <w:color w:val="auto"/>
              </w:rPr>
            </w:pPr>
          </w:p>
        </w:tc>
        <w:tc>
          <w:tcPr>
            <w:tcW w:w="626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Cash</w:t>
            </w:r>
          </w:p>
        </w:tc>
      </w:tr>
      <w:tr>
        <w:trPr>
          <w:trHeight w:val="48"/>
        </w:trPr>
        <w:tc>
          <w:tcPr>
            <w:tcW w:w="560" w:type="dxa"/>
            <w:vAlign w:val="bottom"/>
          </w:tcPr>
          <w:p>
            <w:pPr>
              <w:spacing w:after="0"/>
              <w:rPr>
                <w:sz w:val="4"/>
                <w:szCs w:val="4"/>
                <w:color w:val="auto"/>
              </w:rPr>
            </w:pPr>
          </w:p>
        </w:tc>
        <w:tc>
          <w:tcPr>
            <w:tcW w:w="6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30"/>
        </w:trPr>
        <w:tc>
          <w:tcPr>
            <w:tcW w:w="68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Issuances</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40" w:type="dxa"/>
            <w:vAlign w:val="bottom"/>
            <w:shd w:val="clear" w:color="auto" w:fill="D1D2D4"/>
          </w:tcPr>
          <w:p>
            <w:pPr>
              <w:spacing w:after="0"/>
              <w:rPr>
                <w:sz w:val="19"/>
                <w:szCs w:val="19"/>
                <w:color w:val="auto"/>
              </w:rPr>
            </w:pPr>
          </w:p>
        </w:tc>
      </w:tr>
      <w:tr>
        <w:trPr>
          <w:trHeight w:val="236"/>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2025 Term Loan 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1,052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6"/>
        </w:trPr>
        <w:tc>
          <w:tcPr>
            <w:tcW w:w="6820" w:type="dxa"/>
            <w:vAlign w:val="bottom"/>
            <w:gridSpan w:val="2"/>
            <w:shd w:val="clear" w:color="auto" w:fill="D1D2D4"/>
          </w:tcPr>
          <w:p>
            <w:pPr>
              <w:ind w:left="140"/>
              <w:spacing w:after="0"/>
              <w:rPr>
                <w:sz w:val="20"/>
                <w:szCs w:val="20"/>
                <w:color w:val="auto"/>
              </w:rPr>
            </w:pPr>
            <w:r>
              <w:rPr>
                <w:rFonts w:ascii="Arial" w:cs="Arial" w:eastAsia="Arial" w:hAnsi="Arial"/>
                <w:sz w:val="18"/>
                <w:szCs w:val="18"/>
                <w:color w:val="auto"/>
              </w:rPr>
              <w:t>2026 Term Loan A</w:t>
            </w:r>
          </w:p>
        </w:tc>
        <w:tc>
          <w:tcPr>
            <w:tcW w:w="160" w:type="dxa"/>
            <w:vAlign w:val="bottom"/>
            <w:shd w:val="clear" w:color="auto" w:fill="D1D2D4"/>
          </w:tcPr>
          <w:p>
            <w:pPr>
              <w:spacing w:after="0"/>
              <w:rPr>
                <w:sz w:val="20"/>
                <w:szCs w:val="20"/>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996</w:t>
            </w:r>
          </w:p>
        </w:tc>
        <w:tc>
          <w:tcPr>
            <w:tcW w:w="160" w:type="dxa"/>
            <w:vAlign w:val="bottom"/>
            <w:shd w:val="clear" w:color="auto" w:fill="D1D2D4"/>
          </w:tcPr>
          <w:p>
            <w:pPr>
              <w:spacing w:after="0"/>
              <w:rPr>
                <w:sz w:val="20"/>
                <w:szCs w:val="20"/>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D1D2D4"/>
          </w:tcPr>
          <w:p>
            <w:pPr>
              <w:spacing w:after="0"/>
              <w:rPr>
                <w:sz w:val="20"/>
                <w:szCs w:val="20"/>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2027 Term Loan A</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1,149</w:t>
            </w:r>
          </w:p>
        </w:tc>
      </w:tr>
      <w:tr>
        <w:trPr>
          <w:trHeight w:val="243"/>
        </w:trPr>
        <w:tc>
          <w:tcPr>
            <w:tcW w:w="560" w:type="dxa"/>
            <w:vAlign w:val="bottom"/>
            <w:shd w:val="clear" w:color="auto" w:fill="D1D2D4"/>
          </w:tcPr>
          <w:p>
            <w:pPr>
              <w:ind w:left="140"/>
              <w:spacing w:after="0"/>
              <w:rPr>
                <w:sz w:val="20"/>
                <w:szCs w:val="20"/>
                <w:color w:val="auto"/>
              </w:rPr>
            </w:pPr>
            <w:r>
              <w:rPr>
                <w:rFonts w:ascii="Arial" w:cs="Arial" w:eastAsia="Arial" w:hAnsi="Arial"/>
                <w:sz w:val="18"/>
                <w:szCs w:val="18"/>
                <w:color w:val="auto"/>
                <w:w w:val="99"/>
              </w:rPr>
              <w:t>2028</w:t>
            </w:r>
          </w:p>
        </w:tc>
        <w:tc>
          <w:tcPr>
            <w:tcW w:w="62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D1D2D4"/>
          </w:tcPr>
          <w:p>
            <w:pPr>
              <w:spacing w:after="0"/>
              <w:rPr>
                <w:sz w:val="21"/>
                <w:szCs w:val="21"/>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D1D2D4"/>
          </w:tcPr>
          <w:p>
            <w:pPr>
              <w:spacing w:after="0"/>
              <w:rPr>
                <w:sz w:val="21"/>
                <w:szCs w:val="21"/>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D1D2D4"/>
          </w:tcPr>
          <w:p>
            <w:pPr>
              <w:spacing w:after="0"/>
              <w:rPr>
                <w:sz w:val="21"/>
                <w:szCs w:val="21"/>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560" w:type="dxa"/>
            <w:vAlign w:val="bottom"/>
          </w:tcPr>
          <w:p>
            <w:pPr>
              <w:ind w:left="140"/>
              <w:spacing w:after="0"/>
              <w:rPr>
                <w:sz w:val="20"/>
                <w:szCs w:val="20"/>
                <w:color w:val="auto"/>
              </w:rPr>
            </w:pPr>
            <w:r>
              <w:rPr>
                <w:rFonts w:ascii="Arial" w:cs="Arial" w:eastAsia="Arial" w:hAnsi="Arial"/>
                <w:sz w:val="18"/>
                <w:szCs w:val="18"/>
                <w:color w:val="auto"/>
                <w:w w:val="99"/>
              </w:rPr>
              <w:t>2029</w:t>
            </w:r>
          </w:p>
        </w:tc>
        <w:tc>
          <w:tcPr>
            <w:tcW w:w="6260" w:type="dxa"/>
            <w:vAlign w:val="bottom"/>
          </w:tcPr>
          <w:p>
            <w:pPr>
              <w:ind w:left="20"/>
              <w:spacing w:after="0"/>
              <w:rPr>
                <w:sz w:val="20"/>
                <w:szCs w:val="20"/>
                <w:color w:val="auto"/>
              </w:rPr>
            </w:pPr>
            <w:r>
              <w:rPr>
                <w:rFonts w:ascii="Arial" w:cs="Arial" w:eastAsia="Arial" w:hAnsi="Arial"/>
                <w:sz w:val="18"/>
                <w:szCs w:val="18"/>
                <w:color w:val="auto"/>
              </w:rPr>
              <w:t>B Notes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30"/>
        </w:trPr>
        <w:tc>
          <w:tcPr>
            <w:tcW w:w="6820" w:type="dxa"/>
            <w:vAlign w:val="bottom"/>
            <w:gridSpan w:val="2"/>
            <w:shd w:val="clear" w:color="auto" w:fill="D1D2D4"/>
          </w:tcPr>
          <w:p>
            <w:pPr>
              <w:ind w:left="140"/>
              <w:spacing w:after="0"/>
              <w:rPr>
                <w:sz w:val="20"/>
                <w:szCs w:val="20"/>
                <w:color w:val="auto"/>
              </w:rPr>
            </w:pPr>
            <w:r>
              <w:rPr>
                <w:rFonts w:ascii="Arial" w:cs="Arial" w:eastAsia="Arial" w:hAnsi="Arial"/>
                <w:sz w:val="18"/>
                <w:szCs w:val="18"/>
                <w:color w:val="auto"/>
              </w:rPr>
              <w:t>2033 A Notes</w:t>
            </w:r>
          </w:p>
        </w:tc>
        <w:tc>
          <w:tcPr>
            <w:tcW w:w="1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r>
      <w:tr>
        <w:trPr>
          <w:trHeight w:val="236"/>
        </w:trPr>
        <w:tc>
          <w:tcPr>
            <w:tcW w:w="560" w:type="dxa"/>
            <w:vAlign w:val="bottom"/>
          </w:tcPr>
          <w:p>
            <w:pPr>
              <w:ind w:left="140"/>
              <w:spacing w:after="0"/>
              <w:rPr>
                <w:sz w:val="20"/>
                <w:szCs w:val="20"/>
                <w:color w:val="auto"/>
              </w:rPr>
            </w:pPr>
            <w:r>
              <w:rPr>
                <w:rFonts w:ascii="Arial" w:cs="Arial" w:eastAsia="Arial" w:hAnsi="Arial"/>
                <w:sz w:val="18"/>
                <w:szCs w:val="18"/>
                <w:color w:val="auto"/>
                <w:w w:val="99"/>
              </w:rPr>
              <w:t>2033</w:t>
            </w:r>
          </w:p>
        </w:tc>
        <w:tc>
          <w:tcPr>
            <w:tcW w:w="6260" w:type="dxa"/>
            <w:vAlign w:val="bottom"/>
          </w:tcPr>
          <w:p>
            <w:pPr>
              <w:ind w:left="20"/>
              <w:spacing w:after="0"/>
              <w:rPr>
                <w:sz w:val="20"/>
                <w:szCs w:val="20"/>
                <w:color w:val="auto"/>
              </w:rPr>
            </w:pPr>
            <w:r>
              <w:rPr>
                <w:rFonts w:ascii="Arial" w:cs="Arial" w:eastAsia="Arial" w:hAnsi="Arial"/>
                <w:sz w:val="18"/>
                <w:szCs w:val="18"/>
                <w:color w:val="auto"/>
              </w:rPr>
              <w:t>B Notes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36"/>
        </w:trPr>
        <w:tc>
          <w:tcPr>
            <w:tcW w:w="68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Prepayments</w:t>
            </w:r>
          </w:p>
        </w:tc>
        <w:tc>
          <w:tcPr>
            <w:tcW w:w="16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40" w:type="dxa"/>
            <w:vAlign w:val="bottom"/>
            <w:shd w:val="clear" w:color="auto" w:fill="D1D2D4"/>
          </w:tcPr>
          <w:p>
            <w:pPr>
              <w:spacing w:after="0"/>
              <w:rPr>
                <w:sz w:val="20"/>
                <w:szCs w:val="20"/>
                <w:color w:val="auto"/>
              </w:rPr>
            </w:pPr>
          </w:p>
        </w:tc>
      </w:tr>
      <w:tr>
        <w:trPr>
          <w:trHeight w:val="229"/>
        </w:trPr>
        <w:tc>
          <w:tcPr>
            <w:tcW w:w="6820" w:type="dxa"/>
            <w:vAlign w:val="bottom"/>
            <w:gridSpan w:val="2"/>
          </w:tcPr>
          <w:p>
            <w:pPr>
              <w:ind w:left="140"/>
              <w:spacing w:after="0"/>
              <w:rPr>
                <w:sz w:val="20"/>
                <w:szCs w:val="20"/>
                <w:color w:val="auto"/>
              </w:rPr>
            </w:pPr>
            <w:r>
              <w:rPr>
                <w:rFonts w:ascii="Arial" w:cs="Arial" w:eastAsia="Arial" w:hAnsi="Arial"/>
                <w:sz w:val="18"/>
                <w:szCs w:val="18"/>
                <w:color w:val="auto"/>
              </w:rPr>
              <w:t>2024 Term Loan A</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55"/>
        </w:trPr>
        <w:tc>
          <w:tcPr>
            <w:tcW w:w="560" w:type="dxa"/>
            <w:vAlign w:val="bottom"/>
            <w:tcBorders>
              <w:bottom w:val="single" w:sz="8" w:color="D1D2D4"/>
            </w:tcBorders>
            <w:shd w:val="clear" w:color="auto" w:fill="D1D2D4"/>
          </w:tcPr>
          <w:p>
            <w:pPr>
              <w:spacing w:after="0"/>
              <w:rPr>
                <w:sz w:val="21"/>
                <w:szCs w:val="21"/>
                <w:color w:val="auto"/>
              </w:rPr>
            </w:pPr>
          </w:p>
        </w:tc>
        <w:tc>
          <w:tcPr>
            <w:tcW w:w="6260" w:type="dxa"/>
            <w:vAlign w:val="bottom"/>
            <w:tcBorders>
              <w:bottom w:val="single" w:sz="8" w:color="D1D2D4"/>
            </w:tcBorders>
            <w:shd w:val="clear" w:color="auto" w:fill="D1D2D4"/>
          </w:tcPr>
          <w:p>
            <w:pPr>
              <w:spacing w:after="0"/>
              <w:rPr>
                <w:sz w:val="21"/>
                <w:szCs w:val="21"/>
                <w:color w:val="auto"/>
              </w:rPr>
            </w:pP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6,100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6,088</w:t>
            </w:r>
          </w:p>
        </w:tc>
      </w:tr>
      <w:tr>
        <w:trPr>
          <w:trHeight w:val="20"/>
        </w:trPr>
        <w:tc>
          <w:tcPr>
            <w:tcW w:w="560" w:type="dxa"/>
            <w:vAlign w:val="bottom"/>
            <w:tcBorders>
              <w:top w:val="single" w:sz="8" w:color="D1D2D4"/>
            </w:tcBorders>
          </w:tcPr>
          <w:p>
            <w:pPr>
              <w:spacing w:after="0" w:line="20" w:lineRule="exact"/>
              <w:rPr>
                <w:sz w:val="1"/>
                <w:szCs w:val="1"/>
                <w:color w:val="auto"/>
              </w:rPr>
            </w:pPr>
          </w:p>
        </w:tc>
        <w:tc>
          <w:tcPr>
            <w:tcW w:w="626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4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Term Loan Agreement</w:t>
      </w:r>
    </w:p>
    <w:p>
      <w:pPr>
        <w:spacing w:after="0" w:line="25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November 3, 2022, we entered into a term loan agreement consisting of three tranches and borrowed $2.60 billion in aggregate principal amount, including $927 million due November 3, 2025; $ 746 million due November 3, 2026; and $927 million due November 3, 2027 (the “Term Loan Agreement”). We incurred aggregate fees of $6 million in connection with these borrowings.</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January 5, 2023, we amended the Term Loan Agreement and borrowed an additional $600 million in aggregate principal amount, including $125 million due November 3, 2025, $ 250 million due November 3, 2026, and $225 million due November 3, 2027. The additional borrowings have terms that are identical to, and will be treated as a single class with, the three original tranches.</w:t>
      </w:r>
    </w:p>
    <w:p>
      <w:pPr>
        <w:spacing w:after="0" w:line="21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2026 Term Loan A and 2027 Term Loan A each require equal quarterly installment payments in an amount equal to 1.25% of the original principal amount. The 2025 Term Loan A does not require quarterly installment payments. Borrowings under the Term Loan Agreement will generally bear interest at adjusted term SOFR plus an applicable interest rate margin ranging from 1.00% to 2.00%, varying by tranche and depending on our corporate credit ratings. Adjusted term SOFR for the Term Loan Agreement is the SOFR benchmark plus 0.10%. The Term Loan Agreement requires us to maintain, on a consolidated basis, a leverage ratio of total indebtedness to adjusted EBITDA, as defined in the Term Loan Agreement and calculated as of the last day of each fiscal quarter, not to exceed 3.25 to 1.00, except as described below.</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27, 2023, we further amended the Term Loan Agreement to provide that in lieu of the foregoing leverage ratio, during the fourth quarter of 2023 and each quarter of 2024, we will be required to maintain, on a consolidated basis, a net leverage ratio of total net indebtedness to adjusted EBITDA, as defined in the Term Loan Agreement and calculated as of the last day of each fiscal quarter, not to exceed 3.25 to 1.00, or alternatively, for up to three of such five quarters, we may elect to comply with a requirement of minimum liquidity, as defined in the Term Loan Agreement, of not less than $5.0 billion. Each of the leverage ratio and net leverage ratio maximums, as applicable, is subject to a temporary four quarter increase in such ratio to 3.75 to 1.00 following certain material acquisitions. Our obligations under the Term Loan Agreement are unsecured.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2024 Term Loan A</w:t>
      </w:r>
    </w:p>
    <w:p>
      <w:pPr>
        <w:spacing w:after="0" w:line="253"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On March 27, 2023, we also amended the agreement governing the 2024 Term Loan A to align the leverage ratio covenant with the corresponding covenant in the Term Loan Agreement described above.</w:t>
      </w:r>
    </w:p>
    <w:p>
      <w:pPr>
        <w:spacing w:after="0" w:line="20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On April 13, 2023, we used a portion of the proceeds from our April 11, 2023 issuance of senior unsecured notes to prepay $600 million principal amount of our 2024 Term Loan A.</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June 7, 2023, the 2024 Term Loan A agreement was amended, pursuant to its transition provisions, to replace LIBOR-based benchmark rates with SOFR-based benchmark rates effective July 1, 2023. After giving effect to this amendment, borrowings under the 2024 Term Loan A will generally bear interest at adjusted term SOFR plus an applicable interest rate margin ranging from 0.625% to 1.375% depending on our corporate credit ratings. Adjusted term SOFR for the 2024 Term Loan A is the SOFR benchmark plus a credit spread adjustment ranging from approximately 0.11% to 0.43% depending on the applicable interest period selected.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421640</wp:posOffset>
            </wp:positionV>
            <wp:extent cx="65976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53"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On October 31, 2022, we issued $750 million principal amount of senior unsecured 2029 B Notes. The 2029 B Notes bear interest at a rate of 6.750% per year and will mature on November 1, 2029. Aggregate issuance costs and debt discount for these notes were $6 million.</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On February 9, 2023, we issued an additional $ 500 million principal amount of 2029 B Notes at a $22 million premium. The additional notes have terms that are identical to the terms of the original 2029 B Notes other than the original offering price. Also on February 9, 2023, we issued $750 million principal amount of senior unsecured 2033 A Notes. The 2033 A Notes bear interest at a rate of 5.875% per year and will mature on February 9, 2033. Aggregate issuance costs for these notes were $7 million.</w:t>
      </w:r>
    </w:p>
    <w:p>
      <w:pPr>
        <w:spacing w:after="0" w:line="21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On April 11, 2023, we issued $ 600 million principal amount of senior unsecured 2028 Notes and $900 million principal amount of senior unsecured 2033 B Notes. The 2028 Notes bear interest at a rate of 5.375% per year and will mature on April 15, 2028. The 2033 B Notes bear interest at a rate of 5.875% per year and will mature on September 15, 2033. Aggregate issuance costs and debt discount for these notes were $14 million.</w:t>
      </w:r>
    </w:p>
    <w:p>
      <w:pPr>
        <w:spacing w:after="0" w:line="2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may redeem the 2028 Notes, the 2029 B Notes, the 2033 A Notes, and the 2033 B Notes (the “Notes”), in whole or in part, at our option prior to their maturity dates at a redemption price equal to the greater of (i) 100% of the principal amount of the notes to be redeemed and (ii) the present value of the remaining scheduled payments of principal and interest, plus accrued interest in each case. We may also redeem the Notes, in whole or in part, at a price equal to par either one, two, or three months prior to maturity in accordance with the terms of the Notes.</w:t>
      </w:r>
    </w:p>
    <w:p>
      <w:pPr>
        <w:spacing w:after="0" w:line="21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w:t>
      </w:r>
    </w:p>
    <w:p>
      <w:pPr>
        <w:ind w:right="240" w:firstLine="8"/>
        <w:spacing w:after="0" w:line="254" w:lineRule="auto"/>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as defined in the indenture governing the Notes, occurs with respect to a series of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3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As of June 1, 2023, $2.50 billion was available to us under the Revolving Credit Facility and no amounts were outstanding. Any amounts outstanding under the Revolving Credit Facility would mature in May 2026 and amounts borrowed may be prepaid any time without penalty. Under the transition provisions of the Revolving Credit Facility agreement, after the retirement of LIBOR on June 30, 2023, any amounts drawn under the Revolving Credit Facility would generally bear interest at a rate equal to adjusted term SOFR plus 1.00% to 1.75%, depending on our corporate credit ratings. Adjusted term SOFR for the Revolving Credit Facility agreement is the SOFR benchmark plus a credit spread adjustment ranging from approximately 0.11% to 0.43% depending on the applicable interest period selected.</w:t>
      </w:r>
    </w:p>
    <w:p>
      <w:pPr>
        <w:spacing w:after="0" w:line="22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On March 27, 2023, we amended the agreement governing the Revolving Credit Facility to align the leverage ratio covenant with the corresponding covenants in the Term Loan Agreement and 2024 Term Loan A described above.</w:t>
      </w:r>
    </w:p>
    <w:p>
      <w:pPr>
        <w:spacing w:after="0" w:line="20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On June 7, 2023, the Revolving Credit Facility agreement was amended, pursuant to its transition provisions, to replace LIBOR-based benchmark rates with SOFR-based benchmark rates effective July 1, 2023.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910"/>
        </w:trPr>
        <w:tc>
          <w:tcPr>
            <w:tcW w:w="9800" w:type="dxa"/>
            <w:vAlign w:val="bottom"/>
          </w:tcPr>
          <w:p>
            <w:pPr>
              <w:spacing w:after="0"/>
              <w:rPr>
                <w:sz w:val="20"/>
                <w:szCs w:val="20"/>
                <w:color w:val="auto"/>
              </w:rPr>
            </w:pPr>
            <w:r>
              <w:rPr>
                <w:rFonts w:ascii="Arial" w:cs="Arial" w:eastAsia="Arial" w:hAnsi="Arial"/>
                <w:sz w:val="22"/>
                <w:szCs w:val="22"/>
                <w:b w:val="1"/>
                <w:bCs w:val="1"/>
                <w:color w:val="0090DA"/>
              </w:rPr>
              <w:t>Maturities of Notes Payable</w:t>
            </w:r>
          </w:p>
        </w:tc>
        <w:tc>
          <w:tcPr>
            <w:tcW w:w="80" w:type="dxa"/>
            <w:vAlign w:val="bottom"/>
          </w:tcPr>
          <w:p>
            <w:pPr>
              <w:spacing w:after="0"/>
              <w:rPr>
                <w:sz w:val="24"/>
                <w:szCs w:val="24"/>
                <w:color w:val="auto"/>
              </w:rPr>
            </w:pPr>
          </w:p>
        </w:tc>
        <w:tc>
          <w:tcPr>
            <w:tcW w:w="380" w:type="dxa"/>
            <w:vAlign w:val="bottom"/>
            <w:tcBorders>
              <w:top w:val="single" w:sz="8" w:color="0090DA"/>
            </w:tcBorders>
          </w:tcPr>
          <w:p>
            <w:pPr>
              <w:spacing w:after="0"/>
              <w:rPr>
                <w:sz w:val="24"/>
                <w:szCs w:val="24"/>
                <w:color w:val="auto"/>
              </w:rPr>
            </w:pPr>
          </w:p>
        </w:tc>
        <w:tc>
          <w:tcPr>
            <w:tcW w:w="980" w:type="dxa"/>
            <w:vAlign w:val="bottom"/>
            <w:tcBorders>
              <w:top w:val="single" w:sz="8" w:color="0090DA"/>
            </w:tcBorders>
          </w:tcPr>
          <w:p>
            <w:pPr>
              <w:spacing w:after="0"/>
              <w:rPr>
                <w:sz w:val="24"/>
                <w:szCs w:val="24"/>
                <w:color w:val="auto"/>
              </w:rPr>
            </w:pPr>
          </w:p>
        </w:tc>
      </w:tr>
      <w:tr>
        <w:trPr>
          <w:trHeight w:val="433"/>
        </w:trPr>
        <w:tc>
          <w:tcPr>
            <w:tcW w:w="9800" w:type="dxa"/>
            <w:vAlign w:val="bottom"/>
          </w:tcPr>
          <w:p>
            <w:pPr>
              <w:spacing w:after="0"/>
              <w:rPr>
                <w:sz w:val="20"/>
                <w:szCs w:val="20"/>
                <w:color w:val="auto"/>
              </w:rPr>
            </w:pPr>
            <w:r>
              <w:rPr>
                <w:rFonts w:ascii="Arial" w:cs="Arial" w:eastAsia="Arial" w:hAnsi="Arial"/>
                <w:sz w:val="18"/>
                <w:szCs w:val="18"/>
                <w:color w:val="auto"/>
              </w:rPr>
              <w:t>As of June 1, 2023, maturities of notes payable by fiscal year were as follows: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98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2023</w:t>
            </w:r>
          </w:p>
        </w:tc>
        <w:tc>
          <w:tcPr>
            <w:tcW w:w="460" w:type="dxa"/>
            <w:vAlign w:val="bottom"/>
            <w:gridSpan w:val="2"/>
            <w:shd w:val="clear" w:color="auto" w:fill="D1D2D4"/>
          </w:tcPr>
          <w:p>
            <w:pPr>
              <w:jc w:val="right"/>
              <w:ind w:right="3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695</w:t>
            </w:r>
          </w:p>
        </w:tc>
      </w:tr>
      <w:tr>
        <w:trPr>
          <w:trHeight w:val="236"/>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1,659</w:t>
            </w:r>
          </w:p>
        </w:tc>
      </w:tr>
      <w:tr>
        <w:trPr>
          <w:trHeight w:val="236"/>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80" w:type="dxa"/>
            <w:vAlign w:val="bottom"/>
            <w:shd w:val="clear" w:color="auto" w:fill="D1D2D4"/>
          </w:tcPr>
          <w:p>
            <w:pPr>
              <w:spacing w:after="0"/>
              <w:rPr>
                <w:sz w:val="20"/>
                <w:szCs w:val="20"/>
                <w:color w:val="auto"/>
              </w:rPr>
            </w:pPr>
          </w:p>
        </w:tc>
        <w:tc>
          <w:tcPr>
            <w:tcW w:w="380" w:type="dxa"/>
            <w:vAlign w:val="bottom"/>
            <w:shd w:val="clear" w:color="auto" w:fill="D1D2D4"/>
          </w:tcPr>
          <w:p>
            <w:pPr>
              <w:spacing w:after="0"/>
              <w:rPr>
                <w:sz w:val="20"/>
                <w:szCs w:val="20"/>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1,780</w:t>
            </w: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7,942</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issuance costs, discounts, and premium, net</w:t>
            </w:r>
          </w:p>
        </w:tc>
        <w:tc>
          <w:tcPr>
            <w:tcW w:w="8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460" w:type="dxa"/>
            <w:vAlign w:val="bottom"/>
            <w:tcBorders>
              <w:bottom w:val="single" w:sz="8" w:color="auto"/>
            </w:tcBorders>
            <w:gridSpan w:val="2"/>
            <w:shd w:val="clear" w:color="auto" w:fill="D1D2D4"/>
          </w:tcPr>
          <w:p>
            <w:pPr>
              <w:jc w:val="right"/>
              <w:ind w:right="3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12,074</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73"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the second quarter of 2023, we entered into an 18-year power purchase agreement in Singapore to purchase up to 450 megawatts of power at variable prices. This contract, which begins in the fourth quarter of 2023, is expected to supply the majority of our power consumption needs in Singapore with more favorable pricing than our existing supply arrangements.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73"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5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20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422910</wp:posOffset>
            </wp:positionV>
            <wp:extent cx="659765"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May 4, 2020, Flash-Control, LLC (“Flash-Control”)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 On May 10, 2023, Flash-Control voluntarily dismissed its complaint with prejudice.</w:t>
      </w:r>
    </w:p>
    <w:p>
      <w:pPr>
        <w:spacing w:after="0" w:line="2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costs, and injunctive relief. 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w:t>
      </w:r>
    </w:p>
    <w:p>
      <w:pPr>
        <w:spacing w:after="0" w:line="2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On May 10, 2021, Vervain, LLC filed a patent infringement action against Micron, MSP, and MTEC in the U.S. District Court for the Western District of Texas. The complaint alleges that four U.S. patents are infringed by certain SSD products. The complaint seeks injunctive relief, damages, attorneys’ fees, and costs. On April 21, 2023, the complaint was dismissed with prejudice pursuant to an agreement between the parties.</w:t>
      </w:r>
    </w:p>
    <w:p>
      <w:pPr>
        <w:spacing w:after="0" w:line="2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2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On January 23, 2023, Besang Inc. filed a patent infringement complaint against Micron, MSP, and MTEC in the U.S. District Court for the Eastern District of Texas. The complaint alleges that one U.S. patent is infringed by certain of our 3D NAND and SSD products. The complaint seeks an injunction, damages, attorneys’ fees, and costs.</w:t>
      </w:r>
    </w:p>
    <w:p>
      <w:pPr>
        <w:spacing w:after="0" w:line="211"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5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1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ind w:right="140" w:firstLine="8"/>
        <w:spacing w:after="0" w:line="251"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May 9, 2023, Micron and Dr. Jaffé reached an agreement in principle to dismiss the case in exchange for a one-time payment by Micron to the Qimonda estate and a waiver of each party’s claims. The agreement is expected to be formally entered by the Appeals Court in July 2023.</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5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219"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420370</wp:posOffset>
            </wp:positionV>
            <wp:extent cx="65976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5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5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6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for the expected one-time payment to the Qimonda estate described above, which is not material, 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63"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No shares were repurchased in the second or third quarters of 2023. In the first quarter of 2023, we repurchased 8.6 million shares of our common stock for $425 million. Through June 1, 2023, we had repurchased an aggregate of $6.89 billion under the authorization. Amounts repurchased are included in treasury stock.</w:t>
      </w:r>
    </w:p>
    <w:p>
      <w:pPr>
        <w:spacing w:after="0" w:line="2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declared and paid dividends of $126 million ($ 0.115 per share) in each of the first three quarters of 2023. On June 28,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declared a quarterly dividend of $0.115 per share, payable in cash on July 25, 2023, to shareholders of record as of the close of business on July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1, 2023 were as follows:</w:t>
      </w: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0"/>
              <w:spacing w:after="0" w:line="187" w:lineRule="exact"/>
              <w:rPr>
                <w:sz w:val="20"/>
                <w:szCs w:val="20"/>
                <w:color w:val="auto"/>
              </w:rPr>
            </w:pPr>
            <w:r>
              <w:rPr>
                <w:rFonts w:ascii="Arial" w:cs="Arial" w:eastAsia="Arial" w:hAnsi="Arial"/>
                <w:sz w:val="18"/>
                <w:szCs w:val="18"/>
                <w:b w:val="1"/>
                <w:bCs w:val="1"/>
                <w:color w:val="auto"/>
              </w:rPr>
              <w:t>Cumulative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Gains (Losses)</w:t>
            </w:r>
          </w:p>
        </w:tc>
        <w:tc>
          <w:tcPr>
            <w:tcW w:w="180" w:type="dxa"/>
            <w:vAlign w:val="bottom"/>
          </w:tcPr>
          <w:p>
            <w:pPr>
              <w:spacing w:after="0"/>
              <w:rPr>
                <w:sz w:val="15"/>
                <w:szCs w:val="15"/>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5"/>
                <w:szCs w:val="15"/>
                <w:color w:val="auto"/>
              </w:rPr>
            </w:pPr>
          </w:p>
        </w:tc>
        <w:tc>
          <w:tcPr>
            <w:tcW w:w="12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5"/>
                <w:szCs w:val="15"/>
                <w:color w:val="auto"/>
              </w:rPr>
            </w:pPr>
          </w:p>
        </w:tc>
        <w:tc>
          <w:tcPr>
            <w:tcW w:w="1200" w:type="dxa"/>
            <w:vAlign w:val="bottom"/>
          </w:tcPr>
          <w:p>
            <w:pPr>
              <w:jc w:val="center"/>
              <w:ind w:right="50"/>
              <w:spacing w:after="0" w:line="180" w:lineRule="exact"/>
              <w:rPr>
                <w:sz w:val="20"/>
                <w:szCs w:val="20"/>
                <w:color w:val="auto"/>
              </w:rPr>
            </w:pPr>
            <w:r>
              <w:rPr>
                <w:rFonts w:ascii="Arial" w:cs="Arial" w:eastAsia="Arial" w:hAnsi="Arial"/>
                <w:sz w:val="18"/>
                <w:szCs w:val="18"/>
                <w:b w:val="1"/>
                <w:bCs w:val="1"/>
                <w:color w:val="auto"/>
                <w:w w:val="99"/>
              </w:rPr>
              <w:t>Foreign</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8"/>
              </w:rPr>
              <w:t>Currency</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4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380" w:type="dxa"/>
            <w:vAlign w:val="bottom"/>
            <w:gridSpan w:val="2"/>
          </w:tcPr>
          <w:p>
            <w:pPr>
              <w:ind w:left="60"/>
              <w:spacing w:after="0" w:line="176" w:lineRule="exact"/>
              <w:rPr>
                <w:sz w:val="20"/>
                <w:szCs w:val="20"/>
                <w:color w:val="auto"/>
              </w:rPr>
            </w:pPr>
            <w:r>
              <w:rPr>
                <w:rFonts w:ascii="Arial" w:cs="Arial" w:eastAsia="Arial" w:hAnsi="Arial"/>
                <w:sz w:val="18"/>
                <w:szCs w:val="18"/>
                <w:b w:val="1"/>
                <w:bCs w:val="1"/>
                <w:color w:val="auto"/>
              </w:rPr>
              <w:t>Gains (Losses)</w:t>
            </w:r>
          </w:p>
        </w:tc>
        <w:tc>
          <w:tcPr>
            <w:tcW w:w="140" w:type="dxa"/>
            <w:vAlign w:val="bottom"/>
          </w:tcPr>
          <w:p>
            <w:pPr>
              <w:spacing w:after="0"/>
              <w:rPr>
                <w:sz w:val="15"/>
                <w:szCs w:val="15"/>
                <w:color w:val="auto"/>
              </w:rPr>
            </w:pPr>
          </w:p>
        </w:tc>
        <w:tc>
          <w:tcPr>
            <w:tcW w:w="12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300" w:type="dxa"/>
            <w:vAlign w:val="bottom"/>
          </w:tcPr>
          <w:p>
            <w:pPr>
              <w:spacing w:after="0"/>
              <w:rPr>
                <w:sz w:val="15"/>
                <w:szCs w:val="15"/>
                <w:color w:val="auto"/>
              </w:rPr>
            </w:pPr>
          </w:p>
        </w:tc>
        <w:tc>
          <w:tcPr>
            <w:tcW w:w="10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0090DA"/>
            </w:tcBorders>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w w:val="98"/>
              </w:rPr>
              <w:t>Instruments</w:t>
            </w:r>
          </w:p>
        </w:tc>
        <w:tc>
          <w:tcPr>
            <w:tcW w:w="13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on Investments</w:t>
            </w:r>
          </w:p>
        </w:tc>
        <w:tc>
          <w:tcPr>
            <w:tcW w:w="14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30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4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shd w:val="clear" w:color="auto" w:fill="D1D2D4"/>
          </w:tcPr>
          <w:p>
            <w:pPr>
              <w:ind w:left="96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70"/>
        </w:trPr>
        <w:tc>
          <w:tcPr>
            <w:tcW w:w="4480" w:type="dxa"/>
            <w:vAlign w:val="bottom"/>
          </w:tcPr>
          <w:p>
            <w:pPr>
              <w:ind w:left="240"/>
              <w:spacing w:after="0" w:line="170"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6"/>
        </w:trPr>
        <w:tc>
          <w:tcPr>
            <w:tcW w:w="44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D1D2D4"/>
          </w:tcPr>
          <w:p>
            <w:pPr>
              <w:ind w:left="240"/>
              <w:spacing w:after="0" w:line="183" w:lineRule="exact"/>
              <w:rPr>
                <w:sz w:val="20"/>
                <w:szCs w:val="20"/>
                <w:color w:val="auto"/>
              </w:rPr>
            </w:pPr>
            <w:r>
              <w:rPr>
                <w:rFonts w:ascii="Arial" w:cs="Arial" w:eastAsia="Arial" w:hAnsi="Arial"/>
                <w:sz w:val="18"/>
                <w:szCs w:val="18"/>
                <w:color w:val="auto"/>
              </w:rPr>
              <w:t>Amount reclassified out of accumulated other</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1D2D4"/>
          </w:tcPr>
          <w:p>
            <w:pPr>
              <w:spacing w:after="0"/>
              <w:rPr>
                <w:sz w:val="15"/>
                <w:szCs w:val="15"/>
                <w:color w:val="auto"/>
              </w:rPr>
            </w:pPr>
          </w:p>
        </w:tc>
        <w:tc>
          <w:tcPr>
            <w:tcW w:w="12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5"/>
                <w:szCs w:val="15"/>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4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40" w:type="dxa"/>
            <w:vAlign w:val="bottom"/>
            <w:vMerge w:val="continue"/>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00" w:type="dxa"/>
            <w:vAlign w:val="bottom"/>
            <w:vMerge w:val="continue"/>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00" w:type="dxa"/>
            <w:vAlign w:val="bottom"/>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As of June 1, 2023</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6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2580" w:type="dxa"/>
            <w:vAlign w:val="bottom"/>
            <w:tcBorders>
              <w:bottom w:val="single" w:sz="8" w:color="0090DA"/>
            </w:tcBorders>
            <w:gridSpan w:val="3"/>
          </w:tcPr>
          <w:p>
            <w:pPr>
              <w:jc w:val="right"/>
              <w:ind w:right="810"/>
              <w:spacing w:after="0"/>
              <w:rPr>
                <w:sz w:val="20"/>
                <w:szCs w:val="20"/>
                <w:color w:val="auto"/>
              </w:rPr>
            </w:pPr>
            <w:r>
              <w:rPr>
                <w:rFonts w:ascii="Arial" w:cs="Arial" w:eastAsia="Arial" w:hAnsi="Arial"/>
                <w:sz w:val="18"/>
                <w:szCs w:val="18"/>
                <w:b w:val="1"/>
                <w:bCs w:val="1"/>
                <w:color w:val="auto"/>
              </w:rPr>
              <w:t>June 1, 2023</w:t>
            </w:r>
          </w:p>
        </w:tc>
        <w:tc>
          <w:tcPr>
            <w:tcW w:w="12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2580" w:type="dxa"/>
            <w:vAlign w:val="bottom"/>
            <w:tcBorders>
              <w:bottom w:val="single" w:sz="8" w:color="0090DA"/>
            </w:tcBorders>
            <w:gridSpan w:val="3"/>
          </w:tcPr>
          <w:p>
            <w:pPr>
              <w:jc w:val="right"/>
              <w:ind w:right="570"/>
              <w:spacing w:after="0"/>
              <w:rPr>
                <w:sz w:val="20"/>
                <w:szCs w:val="20"/>
                <w:color w:val="auto"/>
              </w:rPr>
            </w:pPr>
            <w:r>
              <w:rPr>
                <w:rFonts w:ascii="Arial" w:cs="Arial" w:eastAsia="Arial" w:hAnsi="Arial"/>
                <w:sz w:val="18"/>
                <w:szCs w:val="18"/>
                <w:b w:val="1"/>
                <w:bCs w:val="1"/>
                <w:color w:val="auto"/>
              </w:rPr>
              <w:t>September 1, 2022</w:t>
            </w:r>
          </w:p>
        </w:tc>
        <w:tc>
          <w:tcPr>
            <w:tcW w:w="0" w:type="dxa"/>
            <w:vAlign w:val="bottom"/>
          </w:tcPr>
          <w:p>
            <w:pPr>
              <w:spacing w:after="0"/>
              <w:rPr>
                <w:sz w:val="1"/>
                <w:szCs w:val="1"/>
                <w:color w:val="auto"/>
              </w:rPr>
            </w:pPr>
          </w:p>
        </w:tc>
      </w:tr>
      <w:tr>
        <w:trPr>
          <w:trHeight w:val="173"/>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5"/>
                <w:szCs w:val="15"/>
                <w:color w:val="auto"/>
              </w:rPr>
            </w:pPr>
          </w:p>
        </w:tc>
        <w:tc>
          <w:tcPr>
            <w:tcW w:w="112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5"/>
                <w:szCs w:val="15"/>
                <w:color w:val="auto"/>
              </w:rPr>
            </w:pPr>
          </w:p>
        </w:tc>
        <w:tc>
          <w:tcPr>
            <w:tcW w:w="1200" w:type="dxa"/>
            <w:vAlign w:val="bottom"/>
          </w:tcPr>
          <w:p>
            <w:pPr>
              <w:jc w:val="center"/>
              <w:ind w:right="130"/>
              <w:spacing w:after="0" w:line="173"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center"/>
              <w:ind w:right="190"/>
              <w:spacing w:after="0" w:line="173" w:lineRule="exact"/>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5"/>
                <w:szCs w:val="15"/>
                <w:color w:val="auto"/>
              </w:rPr>
            </w:pPr>
          </w:p>
        </w:tc>
        <w:tc>
          <w:tcPr>
            <w:tcW w:w="1220" w:type="dxa"/>
            <w:vAlign w:val="bottom"/>
          </w:tcPr>
          <w:p>
            <w:pPr>
              <w:jc w:val="center"/>
              <w:ind w:right="150"/>
              <w:spacing w:after="0" w:line="173"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39"/>
        </w:trPr>
        <w:tc>
          <w:tcPr>
            <w:tcW w:w="5360" w:type="dxa"/>
            <w:vAlign w:val="bottom"/>
            <w:tcBorders>
              <w:bottom w:val="single" w:sz="8" w:color="0090DA"/>
            </w:tcBorders>
            <w:vMerge w:val="continue"/>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12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5"/>
              </w:rPr>
              <w:t>Value</w:t>
            </w:r>
          </w:p>
        </w:tc>
        <w:tc>
          <w:tcPr>
            <w:tcW w:w="26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48"/>
        </w:trPr>
        <w:tc>
          <w:tcPr>
            <w:tcW w:w="5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11,628</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12,074</w:t>
            </w:r>
          </w:p>
        </w:tc>
        <w:tc>
          <w:tcPr>
            <w:tcW w:w="42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5,472</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6,020</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555625</wp:posOffset>
            </wp:positionV>
            <wp:extent cx="65976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1154"/>
        </w:trPr>
        <w:tc>
          <w:tcPr>
            <w:tcW w:w="586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40" w:type="dxa"/>
            <w:vAlign w:val="bottom"/>
          </w:tcPr>
          <w:p>
            <w:pPr>
              <w:spacing w:after="0"/>
              <w:rPr>
                <w:sz w:val="24"/>
                <w:szCs w:val="24"/>
                <w:color w:val="auto"/>
              </w:rPr>
            </w:pPr>
          </w:p>
        </w:tc>
        <w:tc>
          <w:tcPr>
            <w:tcW w:w="130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rPr>
              <w:t>Notional or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jc w:val="right"/>
              <w:ind w:right="851"/>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00" w:type="dxa"/>
            <w:vAlign w:val="bottom"/>
            <w:vMerge w:val="restart"/>
          </w:tcPr>
          <w:p>
            <w:pPr>
              <w:jc w:val="center"/>
              <w:ind w:right="92"/>
              <w:spacing w:after="0" w:line="126" w:lineRule="exact"/>
              <w:rPr>
                <w:sz w:val="20"/>
                <w:szCs w:val="20"/>
                <w:color w:val="auto"/>
              </w:rPr>
            </w:pPr>
            <w:r>
              <w:rPr>
                <w:rFonts w:ascii="Arial" w:cs="Arial" w:eastAsia="Arial" w:hAnsi="Arial"/>
                <w:sz w:val="13"/>
                <w:szCs w:val="13"/>
                <w:b w:val="1"/>
                <w:bCs w:val="1"/>
                <w:color w:val="auto"/>
              </w:rPr>
              <w:t>Contractual</w:t>
            </w:r>
          </w:p>
        </w:tc>
        <w:tc>
          <w:tcPr>
            <w:tcW w:w="240" w:type="dxa"/>
            <w:vAlign w:val="bottom"/>
            <w:tcBorders>
              <w:bottom w:val="single" w:sz="8" w:color="0090DA"/>
            </w:tcBorders>
          </w:tcPr>
          <w:p>
            <w:pPr>
              <w:spacing w:after="0"/>
              <w:rPr>
                <w:sz w:val="4"/>
                <w:szCs w:val="4"/>
                <w:color w:val="auto"/>
              </w:rPr>
            </w:pPr>
          </w:p>
        </w:tc>
        <w:tc>
          <w:tcPr>
            <w:tcW w:w="1200" w:type="dxa"/>
            <w:vAlign w:val="bottom"/>
            <w:tcBorders>
              <w:bottom w:val="single" w:sz="8" w:color="0090DA"/>
            </w:tcBorders>
          </w:tcPr>
          <w:p>
            <w:pPr>
              <w:spacing w:after="0"/>
              <w:rPr>
                <w:sz w:val="4"/>
                <w:szCs w:val="4"/>
                <w:color w:val="auto"/>
              </w:rPr>
            </w:pPr>
          </w:p>
        </w:tc>
        <w:tc>
          <w:tcPr>
            <w:tcW w:w="140" w:type="dxa"/>
            <w:vAlign w:val="bottom"/>
            <w:tcBorders>
              <w:bottom w:val="single" w:sz="8" w:color="0090DA"/>
            </w:tcBorders>
          </w:tcPr>
          <w:p>
            <w:pPr>
              <w:spacing w:after="0"/>
              <w:rPr>
                <w:sz w:val="4"/>
                <w:szCs w:val="4"/>
                <w:color w:val="auto"/>
              </w:rPr>
            </w:pPr>
          </w:p>
        </w:tc>
        <w:tc>
          <w:tcPr>
            <w:tcW w:w="13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5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40" w:type="dxa"/>
            <w:vAlign w:val="bottom"/>
          </w:tcPr>
          <w:p>
            <w:pPr>
              <w:spacing w:after="0"/>
              <w:rPr>
                <w:sz w:val="4"/>
                <w:szCs w:val="4"/>
                <w:color w:val="auto"/>
              </w:rPr>
            </w:pPr>
          </w:p>
        </w:tc>
        <w:tc>
          <w:tcPr>
            <w:tcW w:w="136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Liabilities</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39"/>
        </w:trPr>
        <w:tc>
          <w:tcPr>
            <w:tcW w:w="586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center"/>
              <w:ind w:right="92"/>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June 1, 2023</w:t>
            </w:r>
          </w:p>
        </w:tc>
        <w:tc>
          <w:tcPr>
            <w:tcW w:w="1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3,869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5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40" w:type="dxa"/>
            <w:vAlign w:val="bottom"/>
            <w:shd w:val="clear" w:color="auto" w:fill="D1D2D4"/>
          </w:tcPr>
          <w:p>
            <w:pPr>
              <w:spacing w:after="0"/>
              <w:rPr>
                <w:sz w:val="20"/>
                <w:szCs w:val="20"/>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1,946</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5"/>
        </w:trPr>
        <w:tc>
          <w:tcPr>
            <w:tcW w:w="586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spacing w:after="0"/>
              <w:rPr>
                <w:sz w:val="21"/>
                <w:szCs w:val="21"/>
                <w:color w:val="auto"/>
              </w:rPr>
            </w:pPr>
          </w:p>
        </w:tc>
        <w:tc>
          <w:tcPr>
            <w:tcW w:w="130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586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tcBorders>
          </w:tcPr>
          <w:p>
            <w:pPr>
              <w:spacing w:after="0" w:line="20" w:lineRule="exact"/>
              <w:rPr>
                <w:sz w:val="1"/>
                <w:szCs w:val="1"/>
                <w:color w:val="auto"/>
              </w:rPr>
            </w:pPr>
          </w:p>
        </w:tc>
        <w:tc>
          <w:tcPr>
            <w:tcW w:w="13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140" w:type="dxa"/>
            <w:vAlign w:val="bottom"/>
            <w:shd w:val="clear" w:color="auto" w:fill="D1D2D4"/>
          </w:tcPr>
          <w:p>
            <w:pPr>
              <w:spacing w:after="0"/>
              <w:rPr>
                <w:sz w:val="21"/>
                <w:szCs w:val="21"/>
                <w:color w:val="auto"/>
              </w:rPr>
            </w:pPr>
          </w:p>
        </w:tc>
        <w:tc>
          <w:tcPr>
            <w:tcW w:w="1300" w:type="dxa"/>
            <w:vAlign w:val="bottom"/>
            <w:shd w:val="clear" w:color="auto" w:fill="D1D2D4"/>
          </w:tcPr>
          <w:p>
            <w:pPr>
              <w:spacing w:after="0"/>
              <w:rPr>
                <w:sz w:val="21"/>
                <w:szCs w:val="21"/>
                <w:color w:val="auto"/>
              </w:rPr>
            </w:pPr>
          </w:p>
        </w:tc>
        <w:tc>
          <w:tcPr>
            <w:tcW w:w="240" w:type="dxa"/>
            <w:vAlign w:val="bottom"/>
            <w:shd w:val="clear" w:color="auto" w:fill="D1D2D4"/>
          </w:tcPr>
          <w:p>
            <w:pPr>
              <w:spacing w:after="0"/>
              <w:rPr>
                <w:sz w:val="21"/>
                <w:szCs w:val="21"/>
                <w:color w:val="auto"/>
              </w:rPr>
            </w:pPr>
          </w:p>
        </w:tc>
        <w:tc>
          <w:tcPr>
            <w:tcW w:w="12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36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6"/>
        </w:trPr>
        <w:tc>
          <w:tcPr>
            <w:tcW w:w="586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6"/>
        </w:trPr>
        <w:tc>
          <w:tcPr>
            <w:tcW w:w="58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40" w:type="dxa"/>
            <w:vAlign w:val="bottom"/>
            <w:shd w:val="clear" w:color="auto" w:fill="D1D2D4"/>
          </w:tcPr>
          <w:p>
            <w:pPr>
              <w:spacing w:after="0"/>
              <w:rPr>
                <w:sz w:val="20"/>
                <w:szCs w:val="20"/>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D1D2D4"/>
          </w:tcPr>
          <w:p>
            <w:pPr>
              <w:spacing w:after="0"/>
              <w:rPr>
                <w:sz w:val="20"/>
                <w:szCs w:val="20"/>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20"/>
                <w:szCs w:val="20"/>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5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80"/>
              <w:spacing w:after="0"/>
              <w:rPr>
                <w:sz w:val="20"/>
                <w:szCs w:val="20"/>
                <w:color w:val="auto"/>
              </w:rPr>
            </w:pPr>
            <w:r>
              <w:rPr>
                <w:rFonts w:ascii="Arial" w:cs="Arial" w:eastAsia="Arial" w:hAnsi="Arial"/>
                <w:sz w:val="18"/>
                <w:szCs w:val="18"/>
                <w:color w:val="auto"/>
              </w:rPr>
              <w:t>Non-designated currency hedges</w:t>
            </w:r>
          </w:p>
        </w:tc>
        <w:tc>
          <w:tcPr>
            <w:tcW w:w="1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2,821</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5"/>
        </w:trPr>
        <w:tc>
          <w:tcPr>
            <w:tcW w:w="5860" w:type="dxa"/>
            <w:vAlign w:val="bottom"/>
            <w:tcBorders>
              <w:bottom w:val="single" w:sz="8" w:color="D1D2D4"/>
            </w:tcBorders>
            <w:shd w:val="clear" w:color="auto" w:fill="D1D2D4"/>
          </w:tcPr>
          <w:p>
            <w:pPr>
              <w:spacing w:after="0"/>
              <w:rPr>
                <w:sz w:val="21"/>
                <w:szCs w:val="21"/>
                <w:color w:val="auto"/>
              </w:rPr>
            </w:pPr>
          </w:p>
        </w:tc>
        <w:tc>
          <w:tcPr>
            <w:tcW w:w="1140" w:type="dxa"/>
            <w:vAlign w:val="bottom"/>
            <w:tcBorders>
              <w:bottom w:val="single" w:sz="8" w:color="D1D2D4"/>
            </w:tcBorders>
            <w:shd w:val="clear" w:color="auto" w:fill="D1D2D4"/>
          </w:tcPr>
          <w:p>
            <w:pPr>
              <w:spacing w:after="0"/>
              <w:rPr>
                <w:sz w:val="21"/>
                <w:szCs w:val="21"/>
                <w:color w:val="auto"/>
              </w:rPr>
            </w:pPr>
          </w:p>
        </w:tc>
        <w:tc>
          <w:tcPr>
            <w:tcW w:w="1300" w:type="dxa"/>
            <w:vAlign w:val="bottom"/>
            <w:tcBorders>
              <w:bottom w:val="single" w:sz="8" w:color="D1D2D4"/>
            </w:tcBorders>
            <w:shd w:val="clear" w:color="auto" w:fill="D1D2D4"/>
          </w:tcPr>
          <w:p>
            <w:pPr>
              <w:spacing w:after="0"/>
              <w:rPr>
                <w:sz w:val="21"/>
                <w:szCs w:val="21"/>
                <w:color w:val="auto"/>
              </w:rPr>
            </w:pP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860" w:type="dxa"/>
            <w:vAlign w:val="bottom"/>
            <w:tcBorders>
              <w:top w:val="single" w:sz="8" w:color="D1D2D4"/>
            </w:tcBorders>
          </w:tcPr>
          <w:p>
            <w:pPr>
              <w:spacing w:after="0" w:line="20" w:lineRule="exact"/>
              <w:rPr>
                <w:sz w:val="1"/>
                <w:szCs w:val="1"/>
                <w:color w:val="auto"/>
              </w:rPr>
            </w:pPr>
          </w:p>
        </w:tc>
        <w:tc>
          <w:tcPr>
            <w:tcW w:w="1140" w:type="dxa"/>
            <w:vAlign w:val="bottom"/>
            <w:tcBorders>
              <w:top w:val="single" w:sz="8" w:color="D1D2D4"/>
            </w:tcBorders>
          </w:tcPr>
          <w:p>
            <w:pPr>
              <w:spacing w:after="0" w:line="20" w:lineRule="exact"/>
              <w:rPr>
                <w:sz w:val="1"/>
                <w:szCs w:val="1"/>
                <w:color w:val="auto"/>
              </w:rPr>
            </w:pPr>
          </w:p>
        </w:tc>
        <w:tc>
          <w:tcPr>
            <w:tcW w:w="130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60" w:hanging="252"/>
        <w:spacing w:after="0" w:line="196" w:lineRule="auto"/>
        <w:tabs>
          <w:tab w:leader="none" w:pos="26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recognized losses from cash flow hedges of $40 million and gains of $88 million for the third quarter and first nine months of 2023, respectively, and losses of $299 million and $469 million for the third quarter and first nine months of 2022, respectively, in accumulated other comprehensive income (loss). We recognized losses related to amounts excluded from hedge effectiveness testing on our cash flow hedges of $26 million and $71 million for the third quarter and first nine months of 2023, respectively, in cost of goods sold through an amortization approach. The amounts for the third quarter and first nine months of 2022 were not significant. We reclassified losses of $77 million and $199 million for the third quarter and first nine months of 2023, respectively, from accumulated other comprehensive income (loss) to earnings, primarily to cost of goods sold. The reclassifications for the third quarter and first nine months of 2022 were not significant. As of June 1, 2023, we expect to reclassify $179 million of pre-tax losses related to cash flow hedges from accumulated other comprehensive income (loss) into earnings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third quarter and first nine months of 2023. We recognized interest expense of $47 million and $81 million, respectively, for changes in the fair value of our interest rate swaps in the third quarter and first nine months of 2022. We also recognized offsetting reductions in interest expense of the same amounts related to the changes in the fair value of the hedged portion of the underlying debt for these periods.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73"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As of June 1, 2023, 102 million shares of our common stock were available for future awards under our equity plans, including 16 million shares approved for issuance under our employee stock purchase plan.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Restricted Stock Awards activity is summarized as follows:</w:t>
            </w:r>
          </w:p>
        </w:tc>
        <w:tc>
          <w:tcPr>
            <w:tcW w:w="2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120" w:type="dxa"/>
            <w:vAlign w:val="bottom"/>
          </w:tcPr>
          <w:p>
            <w:pPr>
              <w:spacing w:after="0"/>
              <w:rPr>
                <w:sz w:val="17"/>
                <w:szCs w:val="17"/>
                <w:color w:val="auto"/>
              </w:rPr>
            </w:pPr>
          </w:p>
        </w:tc>
        <w:tc>
          <w:tcPr>
            <w:tcW w:w="118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June 1,</w:t>
            </w:r>
          </w:p>
        </w:tc>
        <w:tc>
          <w:tcPr>
            <w:tcW w:w="260" w:type="dxa"/>
            <w:vAlign w:val="bottom"/>
          </w:tcPr>
          <w:p>
            <w:pPr>
              <w:spacing w:after="0"/>
              <w:rPr>
                <w:sz w:val="17"/>
                <w:szCs w:val="17"/>
                <w:color w:val="auto"/>
              </w:rPr>
            </w:pPr>
          </w:p>
        </w:tc>
        <w:tc>
          <w:tcPr>
            <w:tcW w:w="11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June 2,</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0090DA"/>
            </w:tcBorders>
            <w:vMerge w:val="continue"/>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65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1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5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For the six-month ESPP offering periods that ended in the second quarters of 2023 and 2022, employees purchased 3 million and 2 million shares, respectively, at a per share price of $52.45 and $65.94,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410210</wp:posOffset>
            </wp:positionV>
            <wp:extent cx="659765"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53"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$89 million and $48 million was capitalized and remained in inventory as of June 1, 2023 and September 1, 2022,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spacing w:after="0"/>
              <w:rPr>
                <w:sz w:val="21"/>
                <w:szCs w:val="21"/>
                <w:color w:val="auto"/>
              </w:rPr>
            </w:pPr>
          </w:p>
        </w:tc>
        <w:tc>
          <w:tcPr>
            <w:tcW w:w="2480" w:type="dxa"/>
            <w:vAlign w:val="bottom"/>
            <w:tcBorders>
              <w:bottom w:val="single" w:sz="8" w:color="0090DA"/>
            </w:tcBorders>
            <w:gridSpan w:val="3"/>
          </w:tcPr>
          <w:p>
            <w:pPr>
              <w:jc w:val="right"/>
              <w:ind w:right="33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0090DA"/>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4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June 1,</w:t>
            </w:r>
          </w:p>
        </w:tc>
        <w:tc>
          <w:tcPr>
            <w:tcW w:w="40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8"/>
                <w:szCs w:val="18"/>
                <w:b w:val="1"/>
                <w:bCs w:val="1"/>
                <w:color w:val="auto"/>
              </w:rPr>
              <w:t>June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r>
      <w:tr>
        <w:trPr>
          <w:trHeight w:val="229"/>
        </w:trPr>
        <w:tc>
          <w:tcPr>
            <w:tcW w:w="54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0090DA"/>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48"/>
        </w:trPr>
        <w:tc>
          <w:tcPr>
            <w:tcW w:w="5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04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3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D1D2D4"/>
          </w:tcPr>
          <w:p>
            <w:pPr>
              <w:spacing w:after="0"/>
              <w:rPr>
                <w:sz w:val="21"/>
                <w:szCs w:val="21"/>
                <w:color w:val="auto"/>
              </w:rPr>
            </w:pP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040" w:type="dxa"/>
            <w:vAlign w:val="bottom"/>
            <w:shd w:val="clear" w:color="auto" w:fill="D1D2D4"/>
          </w:tcPr>
          <w:p>
            <w:pPr>
              <w:spacing w:after="0"/>
              <w:rPr>
                <w:sz w:val="21"/>
                <w:szCs w:val="21"/>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40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1040" w:type="dxa"/>
            <w:vAlign w:val="bottom"/>
            <w:tcBorders>
              <w:bottom w:val="single" w:sz="8" w:color="auto"/>
            </w:tcBorders>
            <w:shd w:val="clear" w:color="auto" w:fill="D1D2D4"/>
          </w:tcPr>
          <w:p>
            <w:pPr>
              <w:spacing w:after="0"/>
              <w:rPr>
                <w:sz w:val="19"/>
                <w:szCs w:val="19"/>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040" w:type="dxa"/>
            <w:vAlign w:val="bottom"/>
            <w:tcBorders>
              <w:bottom w:val="single" w:sz="8" w:color="auto"/>
            </w:tcBorders>
            <w:shd w:val="clear" w:color="auto" w:fill="D1D2D4"/>
          </w:tcPr>
          <w:p>
            <w:pPr>
              <w:spacing w:after="0"/>
              <w:rPr>
                <w:sz w:val="19"/>
                <w:szCs w:val="19"/>
                <w:color w:val="auto"/>
              </w:rPr>
            </w:pP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40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148</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1"/>
        </w:trPr>
        <w:tc>
          <w:tcPr>
            <w:tcW w:w="5400" w:type="dxa"/>
            <w:vAlign w:val="bottom"/>
            <w:tcBorders>
              <w:bottom w:val="single" w:sz="8" w:color="D1D2D4"/>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4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4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6"/>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1040" w:type="dxa"/>
            <w:vAlign w:val="bottom"/>
            <w:shd w:val="clear" w:color="auto" w:fill="D1D2D4"/>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129</w:t>
            </w:r>
          </w:p>
        </w:tc>
        <w:tc>
          <w:tcPr>
            <w:tcW w:w="1040" w:type="dxa"/>
            <w:vAlign w:val="bottom"/>
            <w:shd w:val="clear" w:color="auto" w:fill="D1D2D4"/>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116</w:t>
            </w:r>
          </w:p>
        </w:tc>
        <w:tc>
          <w:tcPr>
            <w:tcW w:w="38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354</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ESPP</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auto"/>
            </w:tcBorders>
            <w:shd w:val="clear" w:color="auto" w:fill="D1D2D4"/>
          </w:tcPr>
          <w:p>
            <w:pPr>
              <w:spacing w:after="0"/>
              <w:rPr>
                <w:sz w:val="21"/>
                <w:szCs w:val="21"/>
                <w:color w:val="auto"/>
              </w:rPr>
            </w:pPr>
          </w:p>
        </w:tc>
        <w:tc>
          <w:tcPr>
            <w:tcW w:w="4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spacing w:after="0"/>
              <w:rPr>
                <w:sz w:val="21"/>
                <w:szCs w:val="21"/>
                <w:color w:val="auto"/>
              </w:rPr>
            </w:pP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00" w:type="dxa"/>
            <w:vAlign w:val="bottom"/>
          </w:tcPr>
          <w:p>
            <w:pPr>
              <w:spacing w:after="0"/>
              <w:rPr>
                <w:sz w:val="19"/>
                <w:szCs w:val="19"/>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148</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0"/>
        </w:trPr>
        <w:tc>
          <w:tcPr>
            <w:tcW w:w="5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As of June 1, 2023, $1.23 billion of total unrecognized compensation costs for unvested awards, before the effect of any future forfeitures, was expected to be recognized through the third quarter of 2027, resulting in a weighted-average period of 1.3 years.</w:t>
      </w:r>
    </w:p>
    <w:p>
      <w:pPr>
        <w:spacing w:after="0" w:line="18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w:t>
      </w:r>
    </w:p>
    <w:p>
      <w:pPr>
        <w:spacing w:after="0" w:line="2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June 1, 2023, our future performance obligations beyond one year were not significant.</w:t>
      </w:r>
    </w:p>
    <w:p>
      <w:pPr>
        <w:spacing w:after="0" w:line="219"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As of June 1, 2023 and September 1, 2022, other current liabilities included $604 million and $1.26 billion, respectively, for estimates of consideration payable to customers including estimates for pricing adjustments and returns.</w:t>
      </w:r>
    </w:p>
    <w:p>
      <w:pPr>
        <w:spacing w:after="0" w:line="20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In the third quarter of 2023, we received $108 million from settlement of an insurance claim involving a power disruption in 2022, of which $72 million was for business interruption and recognized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911"/>
        </w:trPr>
        <w:tc>
          <w:tcPr>
            <w:tcW w:w="5400" w:type="dxa"/>
            <w:vAlign w:val="bottom"/>
          </w:tcPr>
          <w:p>
            <w:pPr>
              <w:spacing w:after="0"/>
              <w:rPr>
                <w:sz w:val="20"/>
                <w:szCs w:val="20"/>
                <w:color w:val="auto"/>
              </w:rPr>
            </w:pPr>
            <w:r>
              <w:rPr>
                <w:rFonts w:ascii="Arial" w:cs="Arial" w:eastAsia="Arial" w:hAnsi="Arial"/>
                <w:sz w:val="22"/>
                <w:szCs w:val="22"/>
                <w:b w:val="1"/>
                <w:bCs w:val="1"/>
                <w:color w:val="0090DA"/>
              </w:rPr>
              <w:t>Revenue by Technology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90DA"/>
            </w:tcBorders>
          </w:tcPr>
          <w:p>
            <w:pPr>
              <w:spacing w:after="0"/>
              <w:rPr>
                <w:sz w:val="24"/>
                <w:szCs w:val="24"/>
                <w:color w:val="auto"/>
              </w:rPr>
            </w:pPr>
          </w:p>
        </w:tc>
        <w:tc>
          <w:tcPr>
            <w:tcW w:w="1180" w:type="dxa"/>
            <w:vAlign w:val="bottom"/>
            <w:tcBorders>
              <w:top w:val="single" w:sz="8" w:color="0090DA"/>
            </w:tcBorders>
          </w:tcPr>
          <w:p>
            <w:pPr>
              <w:spacing w:after="0"/>
              <w:rPr>
                <w:sz w:val="24"/>
                <w:szCs w:val="24"/>
                <w:color w:val="auto"/>
              </w:rPr>
            </w:pPr>
          </w:p>
        </w:tc>
      </w:tr>
      <w:tr>
        <w:trPr>
          <w:trHeight w:val="486"/>
        </w:trPr>
        <w:tc>
          <w:tcPr>
            <w:tcW w:w="5400" w:type="dxa"/>
            <w:vAlign w:val="bottom"/>
          </w:tcPr>
          <w:p>
            <w:pPr>
              <w:spacing w:after="0"/>
              <w:rPr>
                <w:sz w:val="24"/>
                <w:szCs w:val="24"/>
                <w:color w:val="auto"/>
              </w:rPr>
            </w:pPr>
          </w:p>
        </w:tc>
        <w:tc>
          <w:tcPr>
            <w:tcW w:w="260" w:type="dxa"/>
            <w:vAlign w:val="bottom"/>
            <w:tcBorders>
              <w:bottom w:val="single" w:sz="8" w:color="0090DA"/>
            </w:tcBorders>
          </w:tcPr>
          <w:p>
            <w:pPr>
              <w:spacing w:after="0"/>
              <w:rPr>
                <w:sz w:val="24"/>
                <w:szCs w:val="24"/>
                <w:color w:val="auto"/>
              </w:rPr>
            </w:pPr>
          </w:p>
        </w:tc>
        <w:tc>
          <w:tcPr>
            <w:tcW w:w="2600" w:type="dxa"/>
            <w:vAlign w:val="bottom"/>
            <w:tcBorders>
              <w:bottom w:val="single" w:sz="8" w:color="0090DA"/>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260" w:type="dxa"/>
            <w:vAlign w:val="bottom"/>
            <w:tcBorders>
              <w:bottom w:val="single" w:sz="8" w:color="0090DA"/>
            </w:tcBorders>
          </w:tcPr>
          <w:p>
            <w:pPr>
              <w:spacing w:after="0"/>
              <w:rPr>
                <w:sz w:val="24"/>
                <w:szCs w:val="24"/>
                <w:color w:val="auto"/>
              </w:rPr>
            </w:pPr>
          </w:p>
        </w:tc>
        <w:tc>
          <w:tcPr>
            <w:tcW w:w="2620" w:type="dxa"/>
            <w:vAlign w:val="bottom"/>
            <w:tcBorders>
              <w:bottom w:val="single" w:sz="8" w:color="0090DA"/>
            </w:tcBorders>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90"/>
              <w:spacing w:after="0" w:line="170" w:lineRule="exact"/>
              <w:rPr>
                <w:sz w:val="20"/>
                <w:szCs w:val="20"/>
                <w:color w:val="auto"/>
              </w:rPr>
            </w:pPr>
            <w:r>
              <w:rPr>
                <w:rFonts w:ascii="Arial" w:cs="Arial" w:eastAsia="Arial" w:hAnsi="Arial"/>
                <w:sz w:val="18"/>
                <w:szCs w:val="18"/>
                <w:b w:val="1"/>
                <w:bCs w:val="1"/>
                <w:color w:val="auto"/>
              </w:rPr>
              <w:t>June 1,</w:t>
            </w:r>
          </w:p>
        </w:tc>
        <w:tc>
          <w:tcPr>
            <w:tcW w:w="30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90"/>
              <w:spacing w:after="0" w:line="170" w:lineRule="exact"/>
              <w:rPr>
                <w:sz w:val="20"/>
                <w:szCs w:val="20"/>
                <w:color w:val="auto"/>
              </w:rPr>
            </w:pPr>
            <w:r>
              <w:rPr>
                <w:rFonts w:ascii="Arial" w:cs="Arial" w:eastAsia="Arial" w:hAnsi="Arial"/>
                <w:sz w:val="18"/>
                <w:szCs w:val="18"/>
                <w:b w:val="1"/>
                <w:bCs w:val="1"/>
                <w:color w:val="auto"/>
              </w:rPr>
              <w:t>June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r>
      <w:tr>
        <w:trPr>
          <w:trHeight w:val="229"/>
        </w:trPr>
        <w:tc>
          <w:tcPr>
            <w:tcW w:w="54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48"/>
        </w:trPr>
        <w:tc>
          <w:tcPr>
            <w:tcW w:w="5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2,672</w:t>
            </w:r>
          </w:p>
        </w:tc>
        <w:tc>
          <w:tcPr>
            <w:tcW w:w="30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6,271</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8,223</w:t>
            </w:r>
          </w:p>
        </w:tc>
        <w:tc>
          <w:tcPr>
            <w:tcW w:w="28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17,577</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NAND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6,123</w:t>
            </w:r>
          </w:p>
        </w:tc>
      </w:tr>
      <w:tr>
        <w:trPr>
          <w:trHeight w:val="243"/>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w:t>
            </w:r>
          </w:p>
        </w:tc>
        <w:tc>
          <w:tcPr>
            <w:tcW w:w="260" w:type="dxa"/>
            <w:vAlign w:val="bottom"/>
            <w:tcBorders>
              <w:bottom w:val="single" w:sz="8" w:color="auto"/>
            </w:tcBorders>
            <w:shd w:val="clear" w:color="auto" w:fill="D1D2D4"/>
          </w:tcPr>
          <w:p>
            <w:pPr>
              <w:spacing w:after="0"/>
              <w:rPr>
                <w:sz w:val="21"/>
                <w:szCs w:val="21"/>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D1D2D4"/>
          </w:tcPr>
          <w:p>
            <w:pPr>
              <w:spacing w:after="0"/>
              <w:rPr>
                <w:sz w:val="21"/>
                <w:szCs w:val="21"/>
                <w:color w:val="auto"/>
              </w:rPr>
            </w:pPr>
          </w:p>
        </w:tc>
        <w:tc>
          <w:tcPr>
            <w:tcW w:w="26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auto"/>
            </w:tcBorders>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415</w:t>
            </w:r>
          </w:p>
        </w:tc>
      </w:tr>
      <w:tr>
        <w:trPr>
          <w:trHeight w:val="223"/>
        </w:trPr>
        <w:tc>
          <w:tcPr>
            <w:tcW w:w="54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8,642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11,530</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24,115</w:t>
            </w:r>
          </w:p>
        </w:tc>
      </w:tr>
      <w:tr>
        <w:trPr>
          <w:trHeight w:val="21"/>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18"/>
                <w:szCs w:val="18"/>
                <w:color w:val="auto"/>
              </w:rPr>
            </w:pPr>
          </w:p>
        </w:tc>
        <w:tc>
          <w:tcPr>
            <w:tcW w:w="254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0090DA"/>
            </w:tcBorders>
          </w:tcPr>
          <w:p>
            <w:pPr>
              <w:spacing w:after="0"/>
              <w:rPr>
                <w:sz w:val="18"/>
                <w:szCs w:val="18"/>
                <w:color w:val="auto"/>
              </w:rPr>
            </w:pPr>
          </w:p>
        </w:tc>
        <w:tc>
          <w:tcPr>
            <w:tcW w:w="260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1,</w:t>
            </w:r>
          </w:p>
        </w:tc>
        <w:tc>
          <w:tcPr>
            <w:tcW w:w="32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8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June 2,</w:t>
            </w:r>
          </w:p>
        </w:tc>
      </w:tr>
      <w:tr>
        <w:trPr>
          <w:trHeight w:val="243"/>
        </w:trPr>
        <w:tc>
          <w:tcPr>
            <w:tcW w:w="540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5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Employee severance</w:t>
            </w:r>
          </w:p>
        </w:tc>
        <w:tc>
          <w:tcPr>
            <w:tcW w:w="1100" w:type="dxa"/>
            <w:vAlign w:val="bottom"/>
            <w:shd w:val="clear" w:color="auto" w:fill="DBDBDB"/>
          </w:tcPr>
          <w:p>
            <w:pPr>
              <w:jc w:val="right"/>
              <w:ind w:right="8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120" w:type="dxa"/>
            <w:vAlign w:val="bottom"/>
            <w:shd w:val="clear" w:color="auto" w:fill="DBDBDB"/>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Asset impairments and other asset-related costs</w:t>
            </w:r>
          </w:p>
        </w:tc>
        <w:tc>
          <w:tcPr>
            <w:tcW w:w="1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Restructure and asset impairments</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
        </w:trPr>
        <w:tc>
          <w:tcPr>
            <w:tcW w:w="5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2023, we initiated a restructure plan in response to challenging industry conditions (the “2023 Restructure Plan”). Under the 2023 Restructure Plan, we expect our headcount reduction to approach 15% by the end of calendar 2023, through a combination of voluntary attrition and personnel reductions. In connection with the plan, we incurred restructure charges of $68 million and $167 million in the third quarter and first nine months of 2023 respectively, primarily related to employee severance costs. As of June 1, 2023, total costs expected to be incurred under the 2023 Restructure Plan were approximately $170 million and the plan was substantially completed.</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Changes in our restructure liability (included in accounts payable and accrued expenses) for the nine months ended June 1, 2023 were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Restructure liability 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Costs incurred and 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Costs paid or otherwise settled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Restructure liability as of June 1, 2023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Severance</w:t>
      </w:r>
    </w:p>
    <w:p>
      <w:pPr>
        <w:spacing w:after="0" w:line="65" w:lineRule="exact"/>
        <w:rPr>
          <w:sz w:val="20"/>
          <w:szCs w:val="20"/>
          <w:color w:val="auto"/>
        </w:rPr>
      </w:pPr>
    </w:p>
    <w:p>
      <w:pPr>
        <w:ind w:left="1220" w:hanging="1214"/>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163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(117)</w:t>
      </w:r>
    </w:p>
    <w:p>
      <w:pPr>
        <w:spacing w:after="0" w:line="36" w:lineRule="exact"/>
        <w:rPr>
          <w:sz w:val="20"/>
          <w:szCs w:val="20"/>
          <w:color w:val="auto"/>
        </w:rPr>
      </w:pPr>
    </w:p>
    <w:p>
      <w:pPr>
        <w:ind w:left="1200" w:hanging="1194"/>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942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48260</wp:posOffset>
            </wp:positionV>
            <wp:extent cx="9429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845185</wp:posOffset>
            </wp:positionV>
            <wp:extent cx="65976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9040" w:space="720"/>
            <w:col w:w="148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6"/>
                <w:szCs w:val="16"/>
                <w:b w:val="1"/>
                <w:bCs w:val="1"/>
                <w:color w:val="0090DA"/>
              </w:rPr>
              <w:t>Table of Contents</w:t>
            </w:r>
          </w:p>
        </w:tc>
      </w:tr>
      <w:tr>
        <w:trPr>
          <w:trHeight w:val="1118"/>
        </w:trPr>
        <w:tc>
          <w:tcPr>
            <w:tcW w:w="7940" w:type="dxa"/>
            <w:vAlign w:val="bottom"/>
            <w:gridSpan w:val="4"/>
          </w:tcPr>
          <w:p>
            <w:pPr>
              <w:spacing w:after="0"/>
              <w:rPr>
                <w:sz w:val="20"/>
                <w:szCs w:val="20"/>
                <w:color w:val="auto"/>
              </w:rPr>
            </w:pPr>
            <w:r>
              <w:rPr>
                <w:rFonts w:ascii="Arial" w:cs="Arial" w:eastAsia="Arial" w:hAnsi="Arial"/>
                <w:sz w:val="40"/>
                <w:szCs w:val="40"/>
                <w:b w:val="1"/>
                <w:bCs w:val="1"/>
                <w:color w:val="auto"/>
              </w:rPr>
              <w:t>Other Operating (Income) Expense,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90DA"/>
            </w:tcBorders>
          </w:tcPr>
          <w:p>
            <w:pPr>
              <w:spacing w:after="0"/>
              <w:rPr>
                <w:sz w:val="24"/>
                <w:szCs w:val="24"/>
                <w:color w:val="auto"/>
              </w:rPr>
            </w:pPr>
          </w:p>
        </w:tc>
        <w:tc>
          <w:tcPr>
            <w:tcW w:w="1180" w:type="dxa"/>
            <w:vAlign w:val="bottom"/>
            <w:tcBorders>
              <w:top w:val="single" w:sz="8" w:color="0090DA"/>
            </w:tcBorders>
          </w:tcPr>
          <w:p>
            <w:pPr>
              <w:spacing w:after="0"/>
              <w:rPr>
                <w:sz w:val="24"/>
                <w:szCs w:val="24"/>
                <w:color w:val="auto"/>
              </w:rPr>
            </w:pPr>
          </w:p>
        </w:tc>
      </w:tr>
      <w:tr>
        <w:trPr>
          <w:trHeight w:val="252"/>
        </w:trPr>
        <w:tc>
          <w:tcPr>
            <w:tcW w:w="5400" w:type="dxa"/>
            <w:vAlign w:val="bottom"/>
          </w:tcPr>
          <w:p>
            <w:pPr>
              <w:spacing w:after="0"/>
              <w:rPr>
                <w:sz w:val="21"/>
                <w:szCs w:val="21"/>
                <w:color w:val="auto"/>
              </w:rPr>
            </w:pPr>
          </w:p>
        </w:tc>
        <w:tc>
          <w:tcPr>
            <w:tcW w:w="254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400" w:type="dxa"/>
            <w:vAlign w:val="bottom"/>
          </w:tcPr>
          <w:p>
            <w:pPr>
              <w:spacing w:after="0"/>
              <w:rPr>
                <w:sz w:val="14"/>
                <w:szCs w:val="14"/>
                <w:color w:val="auto"/>
              </w:rPr>
            </w:pPr>
          </w:p>
        </w:tc>
        <w:tc>
          <w:tcPr>
            <w:tcW w:w="1060" w:type="dxa"/>
            <w:vAlign w:val="bottom"/>
          </w:tcPr>
          <w:p>
            <w:pPr>
              <w:jc w:val="center"/>
              <w:ind w:left="270"/>
              <w:spacing w:after="0" w:line="170" w:lineRule="exact"/>
              <w:rPr>
                <w:sz w:val="20"/>
                <w:szCs w:val="20"/>
                <w:color w:val="auto"/>
              </w:rPr>
            </w:pPr>
            <w:r>
              <w:rPr>
                <w:rFonts w:ascii="Arial" w:cs="Arial" w:eastAsia="Arial" w:hAnsi="Arial"/>
                <w:sz w:val="18"/>
                <w:szCs w:val="18"/>
                <w:b w:val="1"/>
                <w:bCs w:val="1"/>
                <w:color w:val="auto"/>
                <w:w w:val="99"/>
              </w:rPr>
              <w:t>June 1,</w:t>
            </w:r>
          </w:p>
        </w:tc>
        <w:tc>
          <w:tcPr>
            <w:tcW w:w="360" w:type="dxa"/>
            <w:vAlign w:val="bottom"/>
          </w:tcPr>
          <w:p>
            <w:pPr>
              <w:spacing w:after="0"/>
              <w:rPr>
                <w:sz w:val="14"/>
                <w:szCs w:val="14"/>
                <w:color w:val="auto"/>
              </w:rPr>
            </w:pPr>
          </w:p>
        </w:tc>
        <w:tc>
          <w:tcPr>
            <w:tcW w:w="1120" w:type="dxa"/>
            <w:vAlign w:val="bottom"/>
          </w:tcPr>
          <w:p>
            <w:pPr>
              <w:jc w:val="center"/>
              <w:ind w:left="250"/>
              <w:spacing w:after="0" w:line="170" w:lineRule="exact"/>
              <w:rPr>
                <w:sz w:val="20"/>
                <w:szCs w:val="20"/>
                <w:color w:val="auto"/>
              </w:rPr>
            </w:pPr>
            <w:r>
              <w:rPr>
                <w:rFonts w:ascii="Arial" w:cs="Arial" w:eastAsia="Arial" w:hAnsi="Arial"/>
                <w:sz w:val="18"/>
                <w:szCs w:val="18"/>
                <w:b w:val="1"/>
                <w:bCs w:val="1"/>
                <w:color w:val="auto"/>
                <w:w w:val="99"/>
              </w:rPr>
              <w:t>June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70"/>
              <w:spacing w:after="0" w:line="170" w:lineRule="exact"/>
              <w:rPr>
                <w:sz w:val="20"/>
                <w:szCs w:val="20"/>
                <w:color w:val="auto"/>
              </w:rPr>
            </w:pPr>
            <w:r>
              <w:rPr>
                <w:rFonts w:ascii="Arial" w:cs="Arial" w:eastAsia="Arial" w:hAnsi="Arial"/>
                <w:sz w:val="18"/>
                <w:szCs w:val="18"/>
                <w:b w:val="1"/>
                <w:bCs w:val="1"/>
                <w:color w:val="auto"/>
                <w:w w:val="99"/>
              </w:rPr>
              <w:t>June 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50"/>
              <w:spacing w:after="0" w:line="170" w:lineRule="exact"/>
              <w:rPr>
                <w:sz w:val="20"/>
                <w:szCs w:val="20"/>
                <w:color w:val="auto"/>
              </w:rPr>
            </w:pPr>
            <w:r>
              <w:rPr>
                <w:rFonts w:ascii="Arial" w:cs="Arial" w:eastAsia="Arial" w:hAnsi="Arial"/>
                <w:sz w:val="18"/>
                <w:szCs w:val="18"/>
                <w:b w:val="1"/>
                <w:bCs w:val="1"/>
                <w:color w:val="auto"/>
                <w:w w:val="99"/>
              </w:rPr>
              <w:t>June 2,</w:t>
            </w:r>
          </w:p>
        </w:tc>
      </w:tr>
      <w:tr>
        <w:trPr>
          <w:trHeight w:val="230"/>
        </w:trPr>
        <w:tc>
          <w:tcPr>
            <w:tcW w:w="5400" w:type="dxa"/>
            <w:vAlign w:val="bottom"/>
            <w:tcBorders>
              <w:bottom w:val="single" w:sz="8" w:color="0090DA"/>
            </w:tcBorders>
          </w:tcPr>
          <w:p>
            <w:pPr>
              <w:spacing w:after="0"/>
              <w:rPr>
                <w:sz w:val="19"/>
                <w:szCs w:val="19"/>
                <w:color w:val="auto"/>
              </w:rPr>
            </w:pPr>
          </w:p>
        </w:tc>
        <w:tc>
          <w:tcPr>
            <w:tcW w:w="1060" w:type="dxa"/>
            <w:vAlign w:val="bottom"/>
            <w:tcBorders>
              <w:bottom w:val="single" w:sz="8" w:color="0090DA"/>
            </w:tcBorders>
          </w:tcPr>
          <w:p>
            <w:pPr>
              <w:jc w:val="center"/>
              <w:ind w:left="290"/>
              <w:spacing w:after="0"/>
              <w:rPr>
                <w:sz w:val="20"/>
                <w:szCs w:val="20"/>
                <w:color w:val="auto"/>
              </w:rPr>
            </w:pPr>
            <w:r>
              <w:rPr>
                <w:rFonts w:ascii="Arial" w:cs="Arial" w:eastAsia="Arial" w:hAnsi="Arial"/>
                <w:sz w:val="18"/>
                <w:szCs w:val="18"/>
                <w:b w:val="1"/>
                <w:bCs w:val="1"/>
                <w:color w:val="auto"/>
                <w:w w:val="99"/>
              </w:rPr>
              <w:t>2023</w:t>
            </w:r>
          </w:p>
        </w:tc>
        <w:tc>
          <w:tcPr>
            <w:tcW w:w="36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left="27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Borders>
              <w:bottom w:val="single" w:sz="8" w:color="0090DA"/>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170"/>
              <w:spacing w:after="0"/>
              <w:rPr>
                <w:sz w:val="20"/>
                <w:szCs w:val="20"/>
                <w:color w:val="auto"/>
              </w:rPr>
            </w:pPr>
            <w:r>
              <w:rPr>
                <w:rFonts w:ascii="Arial" w:cs="Arial" w:eastAsia="Arial" w:hAnsi="Arial"/>
                <w:sz w:val="18"/>
                <w:szCs w:val="18"/>
                <w:b w:val="1"/>
                <w:bCs w:val="1"/>
                <w:color w:val="auto"/>
                <w:w w:val="99"/>
              </w:rPr>
              <w:t>2022</w:t>
            </w:r>
          </w:p>
        </w:tc>
      </w:tr>
      <w:tr>
        <w:trPr>
          <w:trHeight w:val="48"/>
        </w:trPr>
        <w:tc>
          <w:tcPr>
            <w:tcW w:w="5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Litigation contingency accrual</w:t>
            </w:r>
          </w:p>
        </w:tc>
        <w:tc>
          <w:tcPr>
            <w:tcW w:w="1060" w:type="dxa"/>
            <w:vAlign w:val="bottom"/>
            <w:shd w:val="clear" w:color="auto" w:fill="DBDBDB"/>
          </w:tcPr>
          <w:p>
            <w:pPr>
              <w:jc w:val="right"/>
              <w:ind w:right="85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1120" w:type="dxa"/>
            <w:vAlign w:val="bottom"/>
            <w:shd w:val="clear" w:color="auto" w:fill="DBDBDB"/>
          </w:tcPr>
          <w:p>
            <w:pPr>
              <w:jc w:val="right"/>
              <w:ind w:right="8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260" w:type="dxa"/>
            <w:vAlign w:val="bottom"/>
            <w:gridSpan w:val="2"/>
            <w:shd w:val="clear" w:color="auto" w:fill="DBDBDB"/>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1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auto"/>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40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0" w:type="dxa"/>
            <w:vAlign w:val="bottom"/>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64"/>
        </w:trPr>
        <w:tc>
          <w:tcPr>
            <w:tcW w:w="8360" w:type="dxa"/>
            <w:vAlign w:val="bottom"/>
            <w:gridSpan w:val="6"/>
          </w:tcPr>
          <w:p>
            <w:pPr>
              <w:spacing w:after="0"/>
              <w:rPr>
                <w:sz w:val="20"/>
                <w:szCs w:val="20"/>
                <w:color w:val="auto"/>
              </w:rPr>
            </w:pPr>
            <w:r>
              <w:rPr>
                <w:rFonts w:ascii="Arial" w:cs="Arial" w:eastAsia="Arial" w:hAnsi="Arial"/>
                <w:sz w:val="40"/>
                <w:szCs w:val="40"/>
                <w:b w:val="1"/>
                <w:bCs w:val="1"/>
                <w:color w:val="auto"/>
                <w:w w:val="99"/>
              </w:rPr>
              <w:t>Other Non-Operating Income (Expense), Net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9"/>
        </w:trPr>
        <w:tc>
          <w:tcPr>
            <w:tcW w:w="5400" w:type="dxa"/>
            <w:vAlign w:val="bottom"/>
          </w:tcPr>
          <w:p>
            <w:pPr>
              <w:spacing w:after="0"/>
              <w:rPr>
                <w:sz w:val="20"/>
                <w:szCs w:val="20"/>
                <w:color w:val="auto"/>
              </w:rPr>
            </w:pPr>
          </w:p>
        </w:tc>
        <w:tc>
          <w:tcPr>
            <w:tcW w:w="2540" w:type="dxa"/>
            <w:vAlign w:val="bottom"/>
            <w:tcBorders>
              <w:bottom w:val="single" w:sz="8" w:color="0090DA"/>
            </w:tcBorders>
            <w:gridSpan w:val="3"/>
          </w:tcPr>
          <w:p>
            <w:pPr>
              <w:jc w:val="right"/>
              <w:ind w:right="410"/>
              <w:spacing w:after="0"/>
              <w:rPr>
                <w:sz w:val="20"/>
                <w:szCs w:val="20"/>
                <w:color w:val="auto"/>
              </w:rPr>
            </w:pPr>
            <w:r>
              <w:rPr>
                <w:rFonts w:ascii="Arial" w:cs="Arial" w:eastAsia="Arial" w:hAnsi="Arial"/>
                <w:sz w:val="18"/>
                <w:szCs w:val="18"/>
                <w:b w:val="1"/>
                <w:bCs w:val="1"/>
                <w:color w:val="auto"/>
              </w:rPr>
              <w:t>Quarter ended</w:t>
            </w:r>
          </w:p>
        </w:tc>
        <w:tc>
          <w:tcPr>
            <w:tcW w:w="320" w:type="dxa"/>
            <w:vAlign w:val="bottom"/>
            <w:tcBorders>
              <w:bottom w:val="single" w:sz="8" w:color="0090DA"/>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2600" w:type="dxa"/>
            <w:vAlign w:val="bottom"/>
            <w:tcBorders>
              <w:bottom w:val="single" w:sz="8" w:color="0090DA"/>
            </w:tcBorders>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400" w:type="dxa"/>
            <w:vAlign w:val="bottom"/>
          </w:tcPr>
          <w:p>
            <w:pPr>
              <w:spacing w:after="0"/>
              <w:rPr>
                <w:sz w:val="14"/>
                <w:szCs w:val="14"/>
                <w:color w:val="auto"/>
              </w:rPr>
            </w:pPr>
          </w:p>
        </w:tc>
        <w:tc>
          <w:tcPr>
            <w:tcW w:w="1060" w:type="dxa"/>
            <w:vAlign w:val="bottom"/>
          </w:tcPr>
          <w:p>
            <w:pPr>
              <w:jc w:val="center"/>
              <w:ind w:left="270"/>
              <w:spacing w:after="0" w:line="169" w:lineRule="exact"/>
              <w:rPr>
                <w:sz w:val="20"/>
                <w:szCs w:val="20"/>
                <w:color w:val="auto"/>
              </w:rPr>
            </w:pPr>
            <w:r>
              <w:rPr>
                <w:rFonts w:ascii="Arial" w:cs="Arial" w:eastAsia="Arial" w:hAnsi="Arial"/>
                <w:sz w:val="18"/>
                <w:szCs w:val="18"/>
                <w:b w:val="1"/>
                <w:bCs w:val="1"/>
                <w:color w:val="auto"/>
                <w:w w:val="99"/>
              </w:rPr>
              <w:t>June 1,</w:t>
            </w:r>
          </w:p>
        </w:tc>
        <w:tc>
          <w:tcPr>
            <w:tcW w:w="360" w:type="dxa"/>
            <w:vAlign w:val="bottom"/>
          </w:tcPr>
          <w:p>
            <w:pPr>
              <w:spacing w:after="0"/>
              <w:rPr>
                <w:sz w:val="14"/>
                <w:szCs w:val="14"/>
                <w:color w:val="auto"/>
              </w:rPr>
            </w:pPr>
          </w:p>
        </w:tc>
        <w:tc>
          <w:tcPr>
            <w:tcW w:w="1120" w:type="dxa"/>
            <w:vAlign w:val="bottom"/>
          </w:tcPr>
          <w:p>
            <w:pPr>
              <w:jc w:val="center"/>
              <w:ind w:left="250"/>
              <w:spacing w:after="0" w:line="169" w:lineRule="exact"/>
              <w:rPr>
                <w:sz w:val="20"/>
                <w:szCs w:val="20"/>
                <w:color w:val="auto"/>
              </w:rPr>
            </w:pPr>
            <w:r>
              <w:rPr>
                <w:rFonts w:ascii="Arial" w:cs="Arial" w:eastAsia="Arial" w:hAnsi="Arial"/>
                <w:sz w:val="18"/>
                <w:szCs w:val="18"/>
                <w:b w:val="1"/>
                <w:bCs w:val="1"/>
                <w:color w:val="auto"/>
                <w:w w:val="99"/>
              </w:rPr>
              <w:t>June 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9"/>
              </w:rPr>
              <w:t>June 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9"/>
              </w:rPr>
              <w:t>June 2,</w:t>
            </w:r>
          </w:p>
        </w:tc>
      </w:tr>
      <w:tr>
        <w:trPr>
          <w:trHeight w:val="243"/>
        </w:trPr>
        <w:tc>
          <w:tcPr>
            <w:tcW w:w="5400" w:type="dxa"/>
            <w:vAlign w:val="bottom"/>
            <w:tcBorders>
              <w:bottom w:val="single" w:sz="8" w:color="0090DA"/>
            </w:tcBorders>
          </w:tcPr>
          <w:p>
            <w:pPr>
              <w:spacing w:after="0"/>
              <w:rPr>
                <w:sz w:val="21"/>
                <w:szCs w:val="21"/>
                <w:color w:val="auto"/>
              </w:rPr>
            </w:pPr>
          </w:p>
        </w:tc>
        <w:tc>
          <w:tcPr>
            <w:tcW w:w="1060" w:type="dxa"/>
            <w:vAlign w:val="bottom"/>
            <w:tcBorders>
              <w:bottom w:val="single" w:sz="8" w:color="0090DA"/>
            </w:tcBorders>
          </w:tcPr>
          <w:p>
            <w:pPr>
              <w:jc w:val="center"/>
              <w:ind w:left="290"/>
              <w:spacing w:after="0"/>
              <w:rPr>
                <w:sz w:val="20"/>
                <w:szCs w:val="20"/>
                <w:color w:val="auto"/>
              </w:rPr>
            </w:pPr>
            <w:r>
              <w:rPr>
                <w:rFonts w:ascii="Arial" w:cs="Arial" w:eastAsia="Arial" w:hAnsi="Arial"/>
                <w:sz w:val="18"/>
                <w:szCs w:val="18"/>
                <w:b w:val="1"/>
                <w:bCs w:val="1"/>
                <w:color w:val="auto"/>
                <w:w w:val="99"/>
              </w:rPr>
              <w:t>2023</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center"/>
              <w:ind w:left="27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Borders>
              <w:bottom w:val="single" w:sz="8" w:color="0090DA"/>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ind w:right="19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center"/>
              <w:ind w:right="170"/>
              <w:spacing w:after="0"/>
              <w:rPr>
                <w:sz w:val="20"/>
                <w:szCs w:val="20"/>
                <w:color w:val="auto"/>
              </w:rPr>
            </w:pPr>
            <w:r>
              <w:rPr>
                <w:rFonts w:ascii="Arial" w:cs="Arial" w:eastAsia="Arial" w:hAnsi="Arial"/>
                <w:sz w:val="18"/>
                <w:szCs w:val="18"/>
                <w:b w:val="1"/>
                <w:bCs w:val="1"/>
                <w:color w:val="auto"/>
                <w:w w:val="99"/>
              </w:rPr>
              <w:t>2022</w:t>
            </w:r>
          </w:p>
        </w:tc>
      </w:tr>
      <w:tr>
        <w:trPr>
          <w:trHeight w:val="34"/>
        </w:trPr>
        <w:tc>
          <w:tcPr>
            <w:tcW w:w="5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debt repurchases</w:t>
            </w:r>
          </w:p>
        </w:tc>
        <w:tc>
          <w:tcPr>
            <w:tcW w:w="1060" w:type="dxa"/>
            <w:vAlign w:val="bottom"/>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1D2D4"/>
          </w:tcPr>
          <w:p>
            <w:pPr>
              <w:jc w:val="right"/>
              <w:ind w:right="89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D1D2D4"/>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3"/>
            <w:shd w:val="clear" w:color="auto" w:fill="D1D2D4"/>
          </w:tcPr>
          <w:p>
            <w:pPr>
              <w:jc w:val="right"/>
              <w:ind w:right="140"/>
              <w:spacing w:after="0"/>
              <w:rPr>
                <w:sz w:val="20"/>
                <w:szCs w:val="20"/>
                <w:color w:val="auto"/>
              </w:rPr>
            </w:pPr>
            <w:r>
              <w:rPr>
                <w:rFonts w:ascii="Arial" w:cs="Arial" w:eastAsia="Arial" w:hAnsi="Arial"/>
                <w:sz w:val="18"/>
                <w:szCs w:val="18"/>
                <w:color w:val="auto"/>
              </w:rPr>
              <w:t>— $</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r>
      <w:tr>
        <w:trPr>
          <w:trHeight w:val="229"/>
        </w:trPr>
        <w:tc>
          <w:tcPr>
            <w:tcW w:w="54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D1D2D4"/>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48"/>
        </w:trPr>
        <w:tc>
          <w:tcPr>
            <w:tcW w:w="5400" w:type="dxa"/>
            <w:vAlign w:val="bottom"/>
            <w:tcBorders>
              <w:bottom w:val="single" w:sz="8" w:color="D1D2D4"/>
            </w:tcBorders>
            <w:shd w:val="clear" w:color="auto" w:fill="D1D2D4"/>
          </w:tcPr>
          <w:p>
            <w:pPr>
              <w:spacing w:after="0"/>
              <w:rPr>
                <w:sz w:val="21"/>
                <w:szCs w:val="21"/>
                <w:color w:val="auto"/>
              </w:rPr>
            </w:pPr>
          </w:p>
        </w:tc>
        <w:tc>
          <w:tcPr>
            <w:tcW w:w="1060" w:type="dxa"/>
            <w:vAlign w:val="bottom"/>
            <w:tcBorders>
              <w:bottom w:val="single" w:sz="8" w:color="auto"/>
            </w:tcBorders>
            <w:shd w:val="clear" w:color="auto" w:fill="D1D2D4"/>
          </w:tcPr>
          <w:p>
            <w:pPr>
              <w:jc w:val="right"/>
              <w:ind w:right="8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shd w:val="clear" w:color="auto" w:fill="D1D2D4"/>
          </w:tcPr>
          <w:p>
            <w:pPr>
              <w:jc w:val="right"/>
              <w:ind w:right="890"/>
              <w:spacing w:after="0"/>
              <w:rPr>
                <w:sz w:val="20"/>
                <w:szCs w:val="20"/>
                <w:color w:val="auto"/>
              </w:rPr>
            </w:pPr>
            <w:r>
              <w:rPr>
                <w:rFonts w:ascii="Arial" w:cs="Arial" w:eastAsia="Arial" w:hAnsi="Arial"/>
                <w:sz w:val="18"/>
                <w:szCs w:val="18"/>
                <w:color w:val="auto"/>
              </w:rPr>
              <w:t>— $</w:t>
            </w:r>
          </w:p>
        </w:tc>
        <w:tc>
          <w:tcPr>
            <w:tcW w:w="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D1D2D4"/>
            </w:tcBorders>
            <w:shd w:val="clear" w:color="auto" w:fill="D1D2D4"/>
          </w:tcPr>
          <w:p>
            <w:pPr>
              <w:spacing w:after="0"/>
              <w:rPr>
                <w:sz w:val="21"/>
                <w:szCs w:val="21"/>
                <w:color w:val="auto"/>
              </w:rPr>
            </w:pP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gridSpan w:val="2"/>
            <w:shd w:val="clear" w:color="auto" w:fill="D1D2D4"/>
          </w:tcPr>
          <w:p>
            <w:pPr>
              <w:jc w:val="right"/>
              <w:ind w:right="1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6"/>
        </w:trPr>
        <w:tc>
          <w:tcPr>
            <w:tcW w:w="5040" w:type="dxa"/>
            <w:vAlign w:val="bottom"/>
          </w:tcPr>
          <w:p>
            <w:pPr>
              <w:spacing w:after="0"/>
              <w:rPr>
                <w:sz w:val="22"/>
                <w:szCs w:val="22"/>
                <w:color w:val="auto"/>
              </w:rPr>
            </w:pPr>
          </w:p>
        </w:tc>
        <w:tc>
          <w:tcPr>
            <w:tcW w:w="280" w:type="dxa"/>
            <w:vAlign w:val="bottom"/>
            <w:tcBorders>
              <w:bottom w:val="single" w:sz="8" w:color="0090DA"/>
            </w:tcBorders>
          </w:tcPr>
          <w:p>
            <w:pPr>
              <w:spacing w:after="0"/>
              <w:rPr>
                <w:sz w:val="22"/>
                <w:szCs w:val="22"/>
                <w:color w:val="auto"/>
              </w:rPr>
            </w:pPr>
          </w:p>
        </w:tc>
        <w:tc>
          <w:tcPr>
            <w:tcW w:w="2780" w:type="dxa"/>
            <w:vAlign w:val="bottom"/>
            <w:tcBorders>
              <w:bottom w:val="single" w:sz="8" w:color="0090DA"/>
            </w:tcBorders>
            <w:gridSpan w:val="3"/>
          </w:tcPr>
          <w:p>
            <w:pPr>
              <w:jc w:val="right"/>
              <w:ind w:right="830"/>
              <w:spacing w:after="0"/>
              <w:rPr>
                <w:sz w:val="20"/>
                <w:szCs w:val="20"/>
                <w:color w:val="auto"/>
              </w:rPr>
            </w:pPr>
            <w:r>
              <w:rPr>
                <w:rFonts w:ascii="Arial" w:cs="Arial" w:eastAsia="Arial" w:hAnsi="Arial"/>
                <w:sz w:val="18"/>
                <w:szCs w:val="18"/>
                <w:b w:val="1"/>
                <w:bCs w:val="1"/>
                <w:color w:val="auto"/>
              </w:rPr>
              <w:t>Quarter ended</w:t>
            </w:r>
          </w:p>
        </w:tc>
        <w:tc>
          <w:tcPr>
            <w:tcW w:w="80" w:type="dxa"/>
            <w:vAlign w:val="bottom"/>
          </w:tcPr>
          <w:p>
            <w:pPr>
              <w:spacing w:after="0"/>
              <w:rPr>
                <w:sz w:val="22"/>
                <w:szCs w:val="22"/>
                <w:color w:val="auto"/>
              </w:rPr>
            </w:pPr>
          </w:p>
        </w:tc>
        <w:tc>
          <w:tcPr>
            <w:tcW w:w="300" w:type="dxa"/>
            <w:vAlign w:val="bottom"/>
            <w:tcBorders>
              <w:bottom w:val="single" w:sz="8" w:color="0090DA"/>
            </w:tcBorders>
          </w:tcPr>
          <w:p>
            <w:pPr>
              <w:spacing w:after="0"/>
              <w:rPr>
                <w:sz w:val="22"/>
                <w:szCs w:val="22"/>
                <w:color w:val="auto"/>
              </w:rPr>
            </w:pPr>
          </w:p>
        </w:tc>
        <w:tc>
          <w:tcPr>
            <w:tcW w:w="2760" w:type="dxa"/>
            <w:vAlign w:val="bottom"/>
            <w:tcBorders>
              <w:bottom w:val="single" w:sz="8" w:color="0090DA"/>
            </w:tcBorders>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17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350"/>
              <w:spacing w:after="0" w:line="173" w:lineRule="exact"/>
              <w:rPr>
                <w:sz w:val="20"/>
                <w:szCs w:val="20"/>
                <w:color w:val="auto"/>
              </w:rPr>
            </w:pPr>
            <w:r>
              <w:rPr>
                <w:rFonts w:ascii="Arial" w:cs="Arial" w:eastAsia="Arial" w:hAnsi="Arial"/>
                <w:sz w:val="18"/>
                <w:szCs w:val="18"/>
                <w:b w:val="1"/>
                <w:bCs w:val="1"/>
                <w:color w:val="auto"/>
              </w:rPr>
              <w:t>June 1,</w:t>
            </w:r>
          </w:p>
        </w:tc>
        <w:tc>
          <w:tcPr>
            <w:tcW w:w="300" w:type="dxa"/>
            <w:vAlign w:val="bottom"/>
          </w:tcPr>
          <w:p>
            <w:pPr>
              <w:spacing w:after="0"/>
              <w:rPr>
                <w:sz w:val="15"/>
                <w:szCs w:val="15"/>
                <w:color w:val="auto"/>
              </w:rPr>
            </w:pPr>
          </w:p>
        </w:tc>
        <w:tc>
          <w:tcPr>
            <w:tcW w:w="12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June 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5"/>
                <w:szCs w:val="15"/>
                <w:color w:val="auto"/>
              </w:rPr>
            </w:pPr>
          </w:p>
        </w:tc>
        <w:tc>
          <w:tcPr>
            <w:tcW w:w="1240" w:type="dxa"/>
            <w:vAlign w:val="bottom"/>
          </w:tcPr>
          <w:p>
            <w:pPr>
              <w:jc w:val="right"/>
              <w:ind w:right="370"/>
              <w:spacing w:after="0" w:line="173" w:lineRule="exact"/>
              <w:rPr>
                <w:sz w:val="20"/>
                <w:szCs w:val="20"/>
                <w:color w:val="auto"/>
              </w:rPr>
            </w:pPr>
            <w:r>
              <w:rPr>
                <w:rFonts w:ascii="Arial" w:cs="Arial" w:eastAsia="Arial" w:hAnsi="Arial"/>
                <w:sz w:val="18"/>
                <w:szCs w:val="18"/>
                <w:b w:val="1"/>
                <w:bCs w:val="1"/>
                <w:color w:val="auto"/>
              </w:rPr>
              <w:t>June 2,</w:t>
            </w:r>
          </w:p>
        </w:tc>
      </w:tr>
      <w:tr>
        <w:trPr>
          <w:trHeight w:val="239"/>
        </w:trPr>
        <w:tc>
          <w:tcPr>
            <w:tcW w:w="5040" w:type="dxa"/>
            <w:vAlign w:val="bottom"/>
            <w:tcBorders>
              <w:bottom w:val="single" w:sz="8" w:color="0090DA"/>
            </w:tcBorders>
          </w:tcPr>
          <w:p>
            <w:pPr>
              <w:spacing w:after="0"/>
              <w:rPr>
                <w:sz w:val="20"/>
                <w:szCs w:val="20"/>
                <w:color w:val="auto"/>
              </w:rPr>
            </w:pPr>
          </w:p>
        </w:tc>
        <w:tc>
          <w:tcPr>
            <w:tcW w:w="28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48"/>
        </w:trPr>
        <w:tc>
          <w:tcPr>
            <w:tcW w:w="5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30"/>
        </w:trPr>
        <w:tc>
          <w:tcPr>
            <w:tcW w:w="5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2,988</w:t>
            </w:r>
          </w:p>
        </w:tc>
        <w:tc>
          <w:tcPr>
            <w:tcW w:w="38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(4,200)</w:t>
            </w:r>
          </w:p>
        </w:tc>
        <w:tc>
          <w:tcPr>
            <w:tcW w:w="28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8,018</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28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(832)</w:t>
            </w:r>
          </w:p>
        </w:tc>
      </w:tr>
      <w:tr>
        <w:trPr>
          <w:trHeight w:val="243"/>
        </w:trPr>
        <w:tc>
          <w:tcPr>
            <w:tcW w:w="5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12.0 %</w:t>
            </w:r>
          </w:p>
        </w:tc>
        <w:tc>
          <w:tcPr>
            <w:tcW w:w="80" w:type="dxa"/>
            <w:vAlign w:val="bottom"/>
            <w:shd w:val="clear" w:color="auto" w:fill="D1D2D4"/>
          </w:tcPr>
          <w:p>
            <w:pPr>
              <w:spacing w:after="0"/>
              <w:rPr>
                <w:sz w:val="21"/>
                <w:szCs w:val="21"/>
                <w:color w:val="auto"/>
              </w:rPr>
            </w:pPr>
          </w:p>
        </w:tc>
        <w:tc>
          <w:tcPr>
            <w:tcW w:w="30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D1D2D4"/>
          </w:tcPr>
          <w:p>
            <w:pPr>
              <w:spacing w:after="0"/>
              <w:rPr>
                <w:sz w:val="21"/>
                <w:szCs w:val="21"/>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10.4 %</w:t>
            </w:r>
          </w:p>
        </w:tc>
      </w:tr>
    </w:tbl>
    <w:p>
      <w:pPr>
        <w:spacing w:after="0" w:line="31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changes in our effective tax rate for the third quarter and first nine months of 2023 as compared to the corresponding periods of 2022 were primarily due to pre-tax losses incurred in the first nine months of 2023. Despite a consolidated pre-tax loss on a worldwide basis, we have taxes payable in certain geographies due to minimum taxable income reportable in those geographies.</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 mix of income, the benefit from tax incentive arrangements was not material for the third quarter and first nine months of 2023. These arrangements reduced our tax provision by $361 million (benefiting our diluted earnings per share by $0.32) and $955 million ($0.85 per diluted share) for the third quarter and first nine months of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0090DA"/>
            </w:tcBorders>
            <w:gridSpan w:val="2"/>
          </w:tcPr>
          <w:p>
            <w:pPr>
              <w:jc w:val="right"/>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1154"/>
        </w:trPr>
        <w:tc>
          <w:tcPr>
            <w:tcW w:w="5400" w:type="dxa"/>
            <w:vAlign w:val="bottom"/>
          </w:tcPr>
          <w:p>
            <w:pPr>
              <w:spacing w:after="0"/>
              <w:rPr>
                <w:sz w:val="20"/>
                <w:szCs w:val="20"/>
                <w:color w:val="auto"/>
              </w:rPr>
            </w:pPr>
            <w:r>
              <w:rPr>
                <w:rFonts w:ascii="Arial" w:cs="Arial" w:eastAsia="Arial" w:hAnsi="Arial"/>
                <w:sz w:val="40"/>
                <w:szCs w:val="40"/>
                <w:b w:val="1"/>
                <w:bCs w:val="1"/>
                <w:color w:val="auto"/>
              </w:rPr>
              <w:t>Earnings Per Share</w:t>
            </w:r>
          </w:p>
        </w:tc>
        <w:tc>
          <w:tcPr>
            <w:tcW w:w="260" w:type="dxa"/>
            <w:vAlign w:val="bottom"/>
          </w:tcPr>
          <w:p>
            <w:pPr>
              <w:spacing w:after="0"/>
              <w:rPr>
                <w:sz w:val="24"/>
                <w:szCs w:val="24"/>
                <w:color w:val="auto"/>
              </w:rPr>
            </w:pPr>
          </w:p>
        </w:tc>
        <w:tc>
          <w:tcPr>
            <w:tcW w:w="2600" w:type="dxa"/>
            <w:vAlign w:val="bottom"/>
            <w:gridSpan w:val="3"/>
            <w:vMerge w:val="restart"/>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4"/>
            <w:vMerge w:val="restart"/>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60" w:type="dxa"/>
            <w:vAlign w:val="bottom"/>
            <w:tcBorders>
              <w:bottom w:val="single" w:sz="8" w:color="0090DA"/>
            </w:tcBorders>
          </w:tcPr>
          <w:p>
            <w:pPr>
              <w:spacing w:after="0"/>
              <w:rPr>
                <w:sz w:val="18"/>
                <w:szCs w:val="18"/>
                <w:color w:val="auto"/>
              </w:rPr>
            </w:pPr>
          </w:p>
        </w:tc>
        <w:tc>
          <w:tcPr>
            <w:tcW w:w="2600" w:type="dxa"/>
            <w:vAlign w:val="bottom"/>
            <w:tcBorders>
              <w:bottom w:val="single" w:sz="8" w:color="0090DA"/>
            </w:tcBorders>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90DA"/>
            </w:tcBorders>
          </w:tcPr>
          <w:p>
            <w:pPr>
              <w:spacing w:after="0"/>
              <w:rPr>
                <w:sz w:val="18"/>
                <w:szCs w:val="18"/>
                <w:color w:val="auto"/>
              </w:rPr>
            </w:pPr>
          </w:p>
        </w:tc>
        <w:tc>
          <w:tcPr>
            <w:tcW w:w="2620" w:type="dxa"/>
            <w:vAlign w:val="bottom"/>
            <w:tcBorders>
              <w:bottom w:val="single" w:sz="8" w:color="0090DA"/>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8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48"/>
        </w:trPr>
        <w:tc>
          <w:tcPr>
            <w:tcW w:w="5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28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(4,403)</w:t>
            </w:r>
          </w:p>
        </w:tc>
        <w:tc>
          <w:tcPr>
            <w:tcW w:w="260" w:type="dxa"/>
            <w:vAlign w:val="bottom"/>
            <w:gridSpan w:val="2"/>
            <w:shd w:val="clear" w:color="auto" w:fill="D1D2D4"/>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Dilutive effect of equity plans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61"/>
        </w:trPr>
        <w:tc>
          <w:tcPr>
            <w:tcW w:w="54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8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D1D2D4"/>
            </w:tcBorders>
            <w:shd w:val="clear" w:color="auto" w:fill="D1D2D4"/>
          </w:tcPr>
          <w:p>
            <w:pPr>
              <w:spacing w:after="0"/>
              <w:rPr>
                <w:sz w:val="22"/>
                <w:szCs w:val="22"/>
                <w:color w:val="auto"/>
              </w:rPr>
            </w:pPr>
          </w:p>
        </w:tc>
        <w:tc>
          <w:tcPr>
            <w:tcW w:w="26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Borders>
              <w:bottom w:val="single" w:sz="8" w:color="auto"/>
            </w:tcBorders>
            <w:shd w:val="clear" w:color="auto" w:fill="D1D2D4"/>
          </w:tcPr>
          <w:p>
            <w:pPr>
              <w:spacing w:after="0"/>
              <w:rPr>
                <w:sz w:val="22"/>
                <w:szCs w:val="22"/>
                <w:color w:val="auto"/>
              </w:rPr>
            </w:pP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160" w:type="dxa"/>
            <w:vAlign w:val="bottom"/>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80" w:type="dxa"/>
            <w:vAlign w:val="bottom"/>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118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3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(4.03)</w:t>
            </w:r>
          </w:p>
        </w:tc>
        <w:tc>
          <w:tcPr>
            <w:tcW w:w="260" w:type="dxa"/>
            <w:vAlign w:val="bottom"/>
            <w:gridSpan w:val="2"/>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30"/>
        </w:trPr>
        <w:tc>
          <w:tcPr>
            <w:tcW w:w="540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w:t>
            </w:r>
          </w:p>
        </w:tc>
        <w:tc>
          <w:tcPr>
            <w:tcW w:w="8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31 million and 33 million for the third quarter and first nine months of 2023, respectively, and were 4 million and 3 million for the third quarter and first nine months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561975</wp:posOffset>
            </wp:positionV>
            <wp:extent cx="659765" cy="179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7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91" w:lineRule="exact"/>
        <w:rPr>
          <w:sz w:val="20"/>
          <w:szCs w:val="20"/>
          <w:color w:val="auto"/>
        </w:rPr>
      </w:pPr>
    </w:p>
    <w:p>
      <w:pPr>
        <w:ind w:left="340" w:right="380" w:hanging="323"/>
        <w:spacing w:after="0" w:line="263"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9" w:lineRule="exact"/>
        <w:rPr>
          <w:sz w:val="20"/>
          <w:szCs w:val="20"/>
          <w:color w:val="auto"/>
        </w:rPr>
      </w:pPr>
    </w:p>
    <w:p>
      <w:pPr>
        <w:ind w:left="340" w:hanging="323"/>
        <w:spacing w:after="0" w:line="261"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w:t>
      </w:r>
    </w:p>
    <w:p>
      <w:pPr>
        <w:spacing w:after="0" w:line="21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00" w:type="dxa"/>
            <w:vAlign w:val="bottom"/>
            <w:tcBorders>
              <w:bottom w:val="single" w:sz="8" w:color="0090DA"/>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 ended</w:t>
            </w:r>
          </w:p>
        </w:tc>
        <w:tc>
          <w:tcPr>
            <w:tcW w:w="100" w:type="dxa"/>
            <w:vAlign w:val="bottom"/>
          </w:tcPr>
          <w:p>
            <w:pPr>
              <w:spacing w:after="0"/>
              <w:rPr>
                <w:sz w:val="21"/>
                <w:szCs w:val="21"/>
                <w:color w:val="auto"/>
              </w:rPr>
            </w:pPr>
          </w:p>
        </w:tc>
        <w:tc>
          <w:tcPr>
            <w:tcW w:w="260" w:type="dxa"/>
            <w:vAlign w:val="bottom"/>
            <w:tcBorders>
              <w:bottom w:val="single" w:sz="8" w:color="0090DA"/>
            </w:tcBorders>
          </w:tcPr>
          <w:p>
            <w:pPr>
              <w:spacing w:after="0"/>
              <w:rPr>
                <w:sz w:val="21"/>
                <w:szCs w:val="21"/>
                <w:color w:val="auto"/>
              </w:rPr>
            </w:pPr>
          </w:p>
        </w:tc>
        <w:tc>
          <w:tcPr>
            <w:tcW w:w="26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r>
      <w:tr>
        <w:trPr>
          <w:trHeight w:val="170"/>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30"/>
              <w:spacing w:after="0" w:line="170"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6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14"/>
                <w:szCs w:val="14"/>
                <w:color w:val="auto"/>
              </w:rPr>
            </w:pPr>
          </w:p>
        </w:tc>
        <w:tc>
          <w:tcPr>
            <w:tcW w:w="1180" w:type="dxa"/>
            <w:vAlign w:val="bottom"/>
          </w:tcPr>
          <w:p>
            <w:pPr>
              <w:jc w:val="right"/>
              <w:ind w:right="310"/>
              <w:spacing w:after="0" w:line="170" w:lineRule="exact"/>
              <w:rPr>
                <w:sz w:val="20"/>
                <w:szCs w:val="20"/>
                <w:color w:val="auto"/>
              </w:rPr>
            </w:pPr>
            <w:r>
              <w:rPr>
                <w:rFonts w:ascii="Arial" w:cs="Arial" w:eastAsia="Arial" w:hAnsi="Arial"/>
                <w:sz w:val="18"/>
                <w:szCs w:val="18"/>
                <w:b w:val="1"/>
                <w:bCs w:val="1"/>
                <w:color w:val="auto"/>
              </w:rPr>
              <w:t>June 2,</w:t>
            </w:r>
          </w:p>
        </w:tc>
      </w:tr>
      <w:tr>
        <w:trPr>
          <w:trHeight w:val="229"/>
        </w:trPr>
        <w:tc>
          <w:tcPr>
            <w:tcW w:w="5400" w:type="dxa"/>
            <w:vAlign w:val="bottom"/>
            <w:tcBorders>
              <w:bottom w:val="single" w:sz="8" w:color="0090DA"/>
            </w:tcBorders>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48"/>
        </w:trPr>
        <w:tc>
          <w:tcPr>
            <w:tcW w:w="5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3,895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4,510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10,762</w:t>
            </w:r>
          </w:p>
        </w:tc>
      </w:tr>
      <w:tr>
        <w:trPr>
          <w:trHeight w:val="243"/>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819</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2,419</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5,749</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EBU</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912</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3,932</w:t>
            </w:r>
          </w:p>
        </w:tc>
      </w:tr>
      <w:tr>
        <w:trPr>
          <w:trHeight w:val="230"/>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627</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1,814</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3,662</w:t>
            </w:r>
          </w:p>
        </w:tc>
      </w:tr>
      <w:tr>
        <w:trPr>
          <w:trHeight w:val="243"/>
        </w:trPr>
        <w:tc>
          <w:tcPr>
            <w:tcW w:w="5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400" w:type="dxa"/>
            <w:vAlign w:val="bottom"/>
            <w:shd w:val="clear" w:color="auto" w:fill="D1D2D4"/>
          </w:tcPr>
          <w:p>
            <w:pPr>
              <w:spacing w:after="0"/>
              <w:rPr>
                <w:sz w:val="21"/>
                <w:szCs w:val="21"/>
                <w:color w:val="auto"/>
              </w:rPr>
            </w:pP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3,752</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360" w:type="dxa"/>
            <w:vAlign w:val="bottom"/>
            <w:gridSpan w:val="2"/>
            <w:shd w:val="clear" w:color="auto" w:fill="D1D2D4"/>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r>
      <w:tr>
        <w:trPr>
          <w:trHeight w:val="20"/>
        </w:trPr>
        <w:tc>
          <w:tcPr>
            <w:tcW w:w="54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CNBU</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1,778</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4,864</w:t>
            </w:r>
          </w:p>
        </w:tc>
      </w:tr>
      <w:tr>
        <w:trPr>
          <w:trHeight w:val="243"/>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1,852</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EBU</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54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1D2D4"/>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4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(1,349)</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(2,061)</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8,619</w:t>
            </w:r>
          </w:p>
        </w:tc>
      </w:tr>
      <w:tr>
        <w:trPr>
          <w:trHeight w:val="237"/>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54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36"/>
        </w:trPr>
        <w:tc>
          <w:tcPr>
            <w:tcW w:w="5400" w:type="dxa"/>
            <w:vAlign w:val="bottom"/>
          </w:tcPr>
          <w:p>
            <w:pPr>
              <w:ind w:left="140"/>
              <w:spacing w:after="0"/>
              <w:rPr>
                <w:sz w:val="20"/>
                <w:szCs w:val="20"/>
                <w:color w:val="auto"/>
              </w:rPr>
            </w:pPr>
            <w:r>
              <w:rPr>
                <w:rFonts w:ascii="Arial" w:cs="Arial" w:eastAsia="Arial" w:hAnsi="Arial"/>
                <w:sz w:val="18"/>
                <w:szCs w:val="18"/>
                <w:color w:val="auto"/>
              </w:rPr>
              <w:t>Provision to write down inventories to net realizable value</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Lower costs from sale of inventory written down in prior periods</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D1D2D4"/>
          </w:tcPr>
          <w:p>
            <w:pPr>
              <w:spacing w:after="0"/>
              <w:rPr>
                <w:sz w:val="20"/>
                <w:szCs w:val="20"/>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54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D1D2D4"/>
          </w:tcPr>
          <w:p>
            <w:pPr>
              <w:spacing w:after="0"/>
              <w:rPr>
                <w:sz w:val="21"/>
                <w:szCs w:val="21"/>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D1D2D4"/>
          </w:tcPr>
          <w:p>
            <w:pPr>
              <w:spacing w:after="0"/>
              <w:rPr>
                <w:sz w:val="21"/>
                <w:szCs w:val="21"/>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Litigation contingency accrual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tcBorders>
              <w:bottom w:val="single" w:sz="8" w:color="D1D2D4"/>
            </w:tcBorders>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400" w:type="dxa"/>
            <w:vAlign w:val="bottom"/>
            <w:tcBorders>
              <w:bottom w:val="single" w:sz="8" w:color="D1D2D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D1D2D4"/>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540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spacing w:after="0"/>
              <w:rPr>
                <w:sz w:val="19"/>
                <w:szCs w:val="19"/>
                <w:color w:val="auto"/>
              </w:rPr>
            </w:pPr>
          </w:p>
        </w:tc>
        <w:tc>
          <w:tcPr>
            <w:tcW w:w="10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spacing w:after="0"/>
              <w:rPr>
                <w:sz w:val="19"/>
                <w:szCs w:val="19"/>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3,004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8,181</w:t>
            </w:r>
          </w:p>
        </w:tc>
      </w:tr>
      <w:tr>
        <w:trPr>
          <w:trHeight w:val="21"/>
        </w:trPr>
        <w:tc>
          <w:tcPr>
            <w:tcW w:w="5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650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40" w:type="dxa"/>
            <w:vAlign w:val="bottom"/>
            <w:gridSpan w:val="2"/>
          </w:tcPr>
          <w:p>
            <w:pPr>
              <w:spacing w:after="0"/>
              <w:rPr>
                <w:sz w:val="20"/>
                <w:szCs w:val="20"/>
                <w:color w:val="auto"/>
              </w:rPr>
            </w:pPr>
            <w:r>
              <w:rPr>
                <w:rFonts w:ascii="Arial" w:cs="Arial" w:eastAsia="Arial" w:hAnsi="Arial"/>
                <w:sz w:val="18"/>
                <w:szCs w:val="18"/>
                <w:color w:val="auto"/>
              </w:rPr>
              <w:t>Revenue for key market segments as an approximate percent of total revenue is presented in the table below:</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Nine months ended</w:t>
            </w:r>
          </w:p>
        </w:tc>
        <w:tc>
          <w:tcPr>
            <w:tcW w:w="274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June 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2,</w:t>
            </w:r>
          </w:p>
        </w:tc>
        <w:tc>
          <w:tcPr>
            <w:tcW w:w="0" w:type="dxa"/>
            <w:vAlign w:val="bottom"/>
          </w:tcPr>
          <w:p>
            <w:pPr>
              <w:spacing w:after="0"/>
              <w:rPr>
                <w:sz w:val="1"/>
                <w:szCs w:val="1"/>
                <w:color w:val="auto"/>
              </w:rPr>
            </w:pPr>
          </w:p>
        </w:tc>
      </w:tr>
      <w:tr>
        <w:trPr>
          <w:trHeight w:val="239"/>
        </w:trPr>
        <w:tc>
          <w:tcPr>
            <w:tcW w:w="6500" w:type="dxa"/>
            <w:vAlign w:val="bottom"/>
            <w:tcBorders>
              <w:bottom w:val="single" w:sz="8" w:color="0090DA"/>
            </w:tcBorders>
            <w:vMerge w:val="continue"/>
          </w:tcPr>
          <w:p>
            <w:pPr>
              <w:spacing w:after="0"/>
              <w:rPr>
                <w:sz w:val="20"/>
                <w:szCs w:val="20"/>
                <w:color w:val="auto"/>
              </w:rPr>
            </w:pPr>
          </w:p>
        </w:tc>
        <w:tc>
          <w:tcPr>
            <w:tcW w:w="274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0090DA"/>
            </w:tcBorders>
          </w:tcPr>
          <w:p>
            <w:pPr>
              <w:spacing w:after="0"/>
              <w:rPr>
                <w:sz w:val="20"/>
                <w:szCs w:val="20"/>
                <w:color w:val="auto"/>
              </w:rPr>
            </w:pPr>
          </w:p>
        </w:tc>
        <w:tc>
          <w:tcPr>
            <w:tcW w:w="1460" w:type="dxa"/>
            <w:vAlign w:val="bottom"/>
            <w:tcBorders>
              <w:bottom w:val="single" w:sz="8" w:color="0090DA"/>
            </w:tcBorders>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2740" w:type="dxa"/>
            <w:vAlign w:val="bottom"/>
            <w:shd w:val="clear" w:color="auto" w:fill="D1D2D4"/>
          </w:tcPr>
          <w:p>
            <w:pPr>
              <w:spacing w:after="0"/>
              <w:rPr>
                <w:sz w:val="21"/>
                <w:szCs w:val="21"/>
                <w:color w:val="auto"/>
              </w:rPr>
            </w:pPr>
          </w:p>
        </w:tc>
        <w:tc>
          <w:tcPr>
            <w:tcW w:w="5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7"/>
              </w:rPr>
              <w:t>25 %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Enterprise and cloud server</w:t>
            </w:r>
          </w:p>
        </w:tc>
        <w:tc>
          <w:tcPr>
            <w:tcW w:w="274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7"/>
              </w:rPr>
              <w:t>20 %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6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Client and graphics</w:t>
            </w:r>
          </w:p>
        </w:tc>
        <w:tc>
          <w:tcPr>
            <w:tcW w:w="2740" w:type="dxa"/>
            <w:vAlign w:val="bottom"/>
            <w:shd w:val="clear" w:color="auto" w:fill="D1D2D4"/>
          </w:tcPr>
          <w:p>
            <w:pPr>
              <w:spacing w:after="0"/>
              <w:rPr>
                <w:sz w:val="19"/>
                <w:szCs w:val="19"/>
                <w:color w:val="auto"/>
              </w:rPr>
            </w:pPr>
          </w:p>
        </w:tc>
        <w:tc>
          <w:tcPr>
            <w:tcW w:w="5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7"/>
              </w:rPr>
              <w:t>20 %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6"/>
        </w:trPr>
        <w:tc>
          <w:tcPr>
            <w:tcW w:w="6500" w:type="dxa"/>
            <w:vAlign w:val="bottom"/>
          </w:tcPr>
          <w:p>
            <w:pPr>
              <w:ind w:left="20"/>
              <w:spacing w:after="0"/>
              <w:rPr>
                <w:sz w:val="20"/>
                <w:szCs w:val="20"/>
                <w:color w:val="auto"/>
              </w:rPr>
            </w:pPr>
            <w:r>
              <w:rPr>
                <w:rFonts w:ascii="Arial" w:cs="Arial" w:eastAsia="Arial" w:hAnsi="Arial"/>
                <w:sz w:val="18"/>
                <w:szCs w:val="18"/>
                <w:color w:val="auto"/>
              </w:rPr>
              <w:t>Mobile</w:t>
            </w:r>
          </w:p>
        </w:tc>
        <w:tc>
          <w:tcPr>
            <w:tcW w:w="27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97"/>
              </w:rPr>
              <w:t>20 %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6"/>
        </w:trPr>
        <w:tc>
          <w:tcPr>
            <w:tcW w:w="65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SSDs and other storage</w:t>
            </w:r>
          </w:p>
        </w:tc>
        <w:tc>
          <w:tcPr>
            <w:tcW w:w="2740" w:type="dxa"/>
            <w:vAlign w:val="bottom"/>
            <w:shd w:val="clear" w:color="auto" w:fill="D1D2D4"/>
          </w:tcPr>
          <w:p>
            <w:pPr>
              <w:spacing w:after="0"/>
              <w:rPr>
                <w:sz w:val="20"/>
                <w:szCs w:val="20"/>
                <w:color w:val="auto"/>
              </w:rPr>
            </w:pPr>
          </w:p>
        </w:tc>
        <w:tc>
          <w:tcPr>
            <w:tcW w:w="5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7"/>
              </w:rPr>
              <w:t>15 %</w:t>
            </w:r>
          </w:p>
        </w:tc>
        <w:tc>
          <w:tcPr>
            <w:tcW w:w="14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634365</wp:posOffset>
            </wp:positionV>
            <wp:extent cx="65976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20"/>
        <w:spacing w:after="0" w:line="303"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1, 2022. All period references are to our fiscal periods unless otherwise indicated. Our fiscal year is the 52 or 53-week period ending on the Thursday closest to August 31. Fiscal years 2023 and 2022 each contain 52 weeks. All tabular dollar amounts are in millions, except per share amounts.</w:t>
      </w:r>
    </w:p>
    <w:p>
      <w:pPr>
        <w:spacing w:after="0" w:line="19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5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 xml:space="preserve">NAND: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NOR: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Industry Conditions</w:t>
      </w:r>
    </w:p>
    <w:p>
      <w:pPr>
        <w:spacing w:after="0" w:line="25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memory and storage industry environment deteriorated sharply in the fourth quarter of 2022 through the first nine months of 2023 due to weak demand in many end markets combined with global and macroeconomic challenges and reduced demand resulting from customer adjustments to lower elevated inventory levels. This led to significant reductions in average selling prices and bit shipments for both DRAM and NAND, resulting in declines in revenue across all our business segments and nearly all our end markets. Due to the challenging pricing environment, we recognized charges of $401 million and $1.43 billion to write down inventories to their estimated net realizable value in the third and second quarters of 2023, respectively. Further write-downs of inventories in future quarters could occur if pricing expectations deteriorate. The ongoing improvement of customer inventories and memory content growth are driving higher industry demand in the second half of calendar 2023, while production cuts across the industry continue to help reduce excess supply. As a result, pricing trends have started to improve. However, given the challenging pricing environment, elevated levels of inventories for suppliers and customers, and significant supply-demand mismatch, we expect industry profitability will remain challenged into 2024.</w:t>
      </w:r>
    </w:p>
    <w:p>
      <w:pPr>
        <w:spacing w:after="0" w:line="2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result of these conditions and increases in our inventory levels, we have reduced capital expenditures and also plan to further reduce wafer starts to approach 30% in both DRAM and NAND from peak capacity. We expect reduced wafer starts will continue well into 2024 as we remain focused on managing down our inventories and controlling our supply. We recognized period costs from fabrication facility underutilization of $132 million in the third quarter of 2023 due to wafer start reductions. We estimate approximately $200 million of period costs from underutilization due to wafer start reductions in the fourth quarter of 2023. We are also taking significant steps to reduce our costs and operating expenses. These actions include the 2023 Restructure Plan discussed below and additional reductions in external spending, including implementing productivity programs across the business, suspension of our 2023 bonus company-wide, reductions in select product programs, lower discretionary spending, and cuts to 2023 executive salaries across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China Cyberspace Administration Decision</w:t>
      </w:r>
    </w:p>
    <w:p>
      <w:pPr>
        <w:spacing w:after="0" w:line="2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31, 2023, China’s Cyberspace Administration (the “CAC”) notified us that it was conducting a cybersecurity review of our products sold in China. On May 21, 2023, we received notice that the CAC had concluded its review and decided that our products presented a cybersecurity risk. As such, the CAC determined that critical information infrastructure operators in China cannot purchase Micron products. There is no list of the companies that have been designated as critical information infrastructure operators published by the Chinese government or otherwise available to us. Therefore, the impact that the CAC decision will have on our business remains uncertain and fluid. For example, several of our customers, including mobile OEMs, have been contacted by certain critical information infrastructure operators or representatives of the government in China concerning the future use of our products.</w:t>
      </w: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revenue with companies headquartered in mainland China and Hong Kong, including direct sales as well as indirect sales through distributors, is approximately a quarter of our worldwide revenue and remains the principal exposure to the CAC decision. Although the impact of the CAC decision remains uncertain and fluid, we currently estimate that approximately half of that China-headquartered customer revenue, which equates to a low-double-digit percentage of our worldwide revenue, is at risk of being impacted. This significant headwind is impacting our outlook and slowing our recovery. We are working to mitigate this impact over time and expect increased quarter-to-quarter revenue variability. Our long-term goal is to retain our worldwide DRAM and NAND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421640</wp:posOffset>
            </wp:positionV>
            <wp:extent cx="65976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2023 Restructure Plan</w:t>
      </w:r>
    </w:p>
    <w:p>
      <w:pPr>
        <w:spacing w:after="0" w:line="2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initiated the 2023 Restructure Plan in response to challenging industry conditions. Under the plan, we expect our headcount reduction to approach 15% by the end of calendar 2023, through a combination of voluntary attrition and personnel reductions. In connection with the plan, we incurred restructure charges of $68 million and $167 million in the third quarter and first nine months of 2023, respectively, primarily related to employee severance costs. The 2023 Restructure Plan was substantially completed in the third quarter of 2023 and we expect to pay substantially all of the remaining $46 million of accrued severance in the fourth quarter of 2023. As a result of the 2023 Restructure Plan, we expect to realize cost savings of approximately $130 million per quarter (approximately 60% in cost of goods sold, 30% in R&amp;D, and 10% in SG&amp;A) starting in the fourth quarter of 2023. Further information on restructure activities can be found in “Item 1. Financial Statements – Notes to Consolidated Financial Statements – Restructure and Asset Impairments.”</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Third Quarter</w:t>
            </w:r>
          </w:p>
        </w:tc>
        <w:tc>
          <w:tcPr>
            <w:tcW w:w="17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rPr>
              <w:t>Second Quarter</w:t>
            </w:r>
          </w:p>
        </w:tc>
        <w:tc>
          <w:tcPr>
            <w:tcW w:w="16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Third Quarter</w:t>
            </w:r>
          </w:p>
        </w:tc>
        <w:tc>
          <w:tcPr>
            <w:tcW w:w="680" w:type="dxa"/>
            <w:vAlign w:val="bottom"/>
          </w:tcPr>
          <w:p>
            <w:pPr>
              <w:spacing w:after="0"/>
              <w:rPr>
                <w:sz w:val="21"/>
                <w:szCs w:val="21"/>
                <w:color w:val="auto"/>
              </w:rPr>
            </w:pPr>
          </w:p>
        </w:tc>
        <w:tc>
          <w:tcPr>
            <w:tcW w:w="19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94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92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0090DA"/>
            </w:tcBorders>
          </w:tcPr>
          <w:p>
            <w:pPr>
              <w:spacing w:after="0"/>
              <w:rPr>
                <w:sz w:val="19"/>
                <w:szCs w:val="19"/>
                <w:color w:val="auto"/>
              </w:rPr>
            </w:pPr>
          </w:p>
        </w:tc>
        <w:tc>
          <w:tcPr>
            <w:tcW w:w="180" w:type="dxa"/>
            <w:vAlign w:val="bottom"/>
            <w:tcBorders>
              <w:top w:val="single" w:sz="8" w:color="0090DA"/>
              <w:bottom w:val="single" w:sz="8" w:color="0090DA"/>
            </w:tcBorders>
          </w:tcPr>
          <w:p>
            <w:pPr>
              <w:spacing w:after="0"/>
              <w:rPr>
                <w:sz w:val="19"/>
                <w:szCs w:val="19"/>
                <w:color w:val="auto"/>
              </w:rPr>
            </w:pPr>
          </w:p>
        </w:tc>
        <w:tc>
          <w:tcPr>
            <w:tcW w:w="940" w:type="dxa"/>
            <w:vAlign w:val="bottom"/>
            <w:tcBorders>
              <w:top w:val="single" w:sz="8" w:color="0090DA"/>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0090DA"/>
              <w:bottom w:val="single" w:sz="8" w:color="0090DA"/>
            </w:tcBorders>
          </w:tcPr>
          <w:p>
            <w:pPr>
              <w:spacing w:after="0"/>
              <w:rPr>
                <w:sz w:val="19"/>
                <w:szCs w:val="19"/>
                <w:color w:val="auto"/>
              </w:rPr>
            </w:pPr>
          </w:p>
        </w:tc>
        <w:tc>
          <w:tcPr>
            <w:tcW w:w="180" w:type="dxa"/>
            <w:vAlign w:val="bottom"/>
            <w:tcBorders>
              <w:top w:val="single" w:sz="8" w:color="0090DA"/>
              <w:bottom w:val="single" w:sz="8" w:color="0090DA"/>
            </w:tcBorders>
          </w:tcPr>
          <w:p>
            <w:pPr>
              <w:spacing w:after="0"/>
              <w:rPr>
                <w:sz w:val="19"/>
                <w:szCs w:val="19"/>
                <w:color w:val="auto"/>
              </w:rPr>
            </w:pPr>
          </w:p>
        </w:tc>
        <w:tc>
          <w:tcPr>
            <w:tcW w:w="940" w:type="dxa"/>
            <w:vAlign w:val="bottom"/>
            <w:tcBorders>
              <w:top w:val="single" w:sz="8" w:color="0090DA"/>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top w:val="single" w:sz="8" w:color="0090DA"/>
              <w:bottom w:val="single" w:sz="8" w:color="0090DA"/>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3,752</w:t>
            </w:r>
          </w:p>
        </w:tc>
        <w:tc>
          <w:tcPr>
            <w:tcW w:w="26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3,693</w:t>
            </w:r>
          </w:p>
        </w:tc>
        <w:tc>
          <w:tcPr>
            <w:tcW w:w="2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8,642</w:t>
            </w:r>
          </w:p>
        </w:tc>
        <w:tc>
          <w:tcPr>
            <w:tcW w:w="28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11,530</w:t>
            </w:r>
          </w:p>
        </w:tc>
        <w:tc>
          <w:tcPr>
            <w:tcW w:w="26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24,115</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4,420</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118 %</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133 %</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109 %</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12,839</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7"/>
        </w:trPr>
        <w:tc>
          <w:tcPr>
            <w:tcW w:w="26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20"/>
                <w:szCs w:val="20"/>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D1D2D4"/>
          </w:tcPr>
          <w:p>
            <w:pPr>
              <w:spacing w:after="0"/>
              <w:rPr>
                <w:sz w:val="20"/>
                <w:szCs w:val="20"/>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D1D2D4"/>
          </w:tcPr>
          <w:p>
            <w:pPr>
              <w:spacing w:after="0"/>
              <w:rPr>
                <w:sz w:val="20"/>
                <w:szCs w:val="20"/>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D1D2D4"/>
          </w:tcPr>
          <w:p>
            <w:pPr>
              <w:spacing w:after="0"/>
              <w:rPr>
                <w:sz w:val="20"/>
                <w:szCs w:val="20"/>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D1D2D4"/>
          </w:tcPr>
          <w:p>
            <w:pPr>
              <w:spacing w:after="0"/>
              <w:rPr>
                <w:sz w:val="20"/>
                <w:szCs w:val="20"/>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4,035</w:t>
            </w:r>
          </w:p>
        </w:tc>
        <w:tc>
          <w:tcPr>
            <w:tcW w:w="280" w:type="dxa"/>
            <w:vAlign w:val="bottom"/>
            <w:shd w:val="clear" w:color="auto" w:fill="D1D2D4"/>
          </w:tcPr>
          <w:p>
            <w:pPr>
              <w:spacing w:after="0"/>
              <w:rPr>
                <w:sz w:val="20"/>
                <w:szCs w:val="20"/>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D1D2D4"/>
          </w:tcPr>
          <w:p>
            <w:pPr>
              <w:spacing w:after="0"/>
              <w:rPr>
                <w:sz w:val="20"/>
                <w:szCs w:val="20"/>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260" w:type="dxa"/>
            <w:vAlign w:val="bottom"/>
            <w:shd w:val="clear" w:color="auto" w:fill="D1D2D4"/>
          </w:tcPr>
          <w:p>
            <w:pPr>
              <w:spacing w:after="0"/>
              <w:rPr>
                <w:sz w:val="20"/>
                <w:szCs w:val="20"/>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1D2D4"/>
          </w:tcPr>
          <w:p>
            <w:pPr>
              <w:spacing w:after="0"/>
              <w:rPr>
                <w:sz w:val="20"/>
                <w:szCs w:val="20"/>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11,276</w:t>
            </w:r>
          </w:p>
        </w:tc>
        <w:tc>
          <w:tcPr>
            <w:tcW w:w="260" w:type="dxa"/>
            <w:vAlign w:val="bottom"/>
            <w:shd w:val="clear" w:color="auto" w:fill="D1D2D4"/>
          </w:tcPr>
          <w:p>
            <w:pPr>
              <w:spacing w:after="0"/>
              <w:rPr>
                <w:sz w:val="20"/>
                <w:szCs w:val="20"/>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21"/>
                <w:szCs w:val="21"/>
                <w:color w:val="auto"/>
              </w:rPr>
            </w:pP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758</w:t>
            </w:r>
          </w:p>
        </w:tc>
        <w:tc>
          <w:tcPr>
            <w:tcW w:w="260" w:type="dxa"/>
            <w:vAlign w:val="bottom"/>
            <w:shd w:val="clear" w:color="auto" w:fill="D1D2D4"/>
          </w:tcPr>
          <w:p>
            <w:pPr>
              <w:spacing w:after="0"/>
              <w:rPr>
                <w:sz w:val="21"/>
                <w:szCs w:val="21"/>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160" w:type="dxa"/>
            <w:vAlign w:val="bottom"/>
            <w:shd w:val="clear" w:color="auto" w:fill="D1D2D4"/>
          </w:tcPr>
          <w:p>
            <w:pPr>
              <w:spacing w:after="0"/>
              <w:rPr>
                <w:sz w:val="21"/>
                <w:szCs w:val="21"/>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D1D2D4"/>
          </w:tcPr>
          <w:p>
            <w:pPr>
              <w:spacing w:after="0"/>
              <w:rPr>
                <w:sz w:val="21"/>
                <w:szCs w:val="21"/>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D1D2D4"/>
          </w:tcPr>
          <w:p>
            <w:pPr>
              <w:spacing w:after="0"/>
              <w:rPr>
                <w:sz w:val="21"/>
                <w:szCs w:val="21"/>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D1D2D4"/>
          </w:tcPr>
          <w:p>
            <w:pPr>
              <w:spacing w:after="0"/>
              <w:rPr>
                <w:sz w:val="21"/>
                <w:szCs w:val="21"/>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9 %</w:t>
            </w:r>
          </w:p>
        </w:tc>
        <w:tc>
          <w:tcPr>
            <w:tcW w:w="180" w:type="dxa"/>
            <w:vAlign w:val="bottom"/>
            <w:shd w:val="clear" w:color="auto" w:fill="D1D2D4"/>
          </w:tcPr>
          <w:p>
            <w:pPr>
              <w:spacing w:after="0"/>
              <w:rPr>
                <w:sz w:val="21"/>
                <w:szCs w:val="21"/>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2,395</w:t>
            </w:r>
          </w:p>
        </w:tc>
        <w:tc>
          <w:tcPr>
            <w:tcW w:w="260" w:type="dxa"/>
            <w:vAlign w:val="bottom"/>
            <w:shd w:val="clear" w:color="auto" w:fill="D1D2D4"/>
          </w:tcPr>
          <w:p>
            <w:pPr>
              <w:spacing w:after="0"/>
              <w:rPr>
                <w:sz w:val="21"/>
                <w:szCs w:val="21"/>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180" w:type="dxa"/>
            <w:vAlign w:val="bottom"/>
            <w:shd w:val="clear" w:color="auto" w:fill="D1D2D4"/>
          </w:tcPr>
          <w:p>
            <w:pPr>
              <w:spacing w:after="0"/>
              <w:rPr>
                <w:sz w:val="21"/>
                <w:szCs w:val="21"/>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2,277</w:t>
            </w:r>
          </w:p>
        </w:tc>
        <w:tc>
          <w:tcPr>
            <w:tcW w:w="260" w:type="dxa"/>
            <w:vAlign w:val="bottom"/>
            <w:shd w:val="clear" w:color="auto" w:fill="D1D2D4"/>
          </w:tcPr>
          <w:p>
            <w:pPr>
              <w:spacing w:after="0"/>
              <w:rPr>
                <w:sz w:val="21"/>
                <w:szCs w:val="21"/>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5"/>
                <w:szCs w:val="15"/>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786</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Restructure and asset</w:t>
            </w:r>
          </w:p>
        </w:tc>
        <w:tc>
          <w:tcPr>
            <w:tcW w:w="200" w:type="dxa"/>
            <w:vAlign w:val="bottom"/>
            <w:shd w:val="clear" w:color="auto" w:fill="D1D2D4"/>
          </w:tcPr>
          <w:p>
            <w:pPr>
              <w:spacing w:after="0"/>
              <w:rPr>
                <w:sz w:val="15"/>
                <w:szCs w:val="15"/>
                <w:color w:val="auto"/>
              </w:rPr>
            </w:pPr>
          </w:p>
        </w:tc>
        <w:tc>
          <w:tcPr>
            <w:tcW w:w="680" w:type="dxa"/>
            <w:vAlign w:val="bottom"/>
            <w:vMerge w:val="restart"/>
            <w:shd w:val="clear" w:color="auto" w:fill="D1D2D4"/>
          </w:tcPr>
          <w:p>
            <w:pPr>
              <w:jc w:val="right"/>
              <w:ind w:right="1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D1D2D4"/>
          </w:tcPr>
          <w:p>
            <w:pPr>
              <w:spacing w:after="0"/>
              <w:rPr>
                <w:sz w:val="15"/>
                <w:szCs w:val="15"/>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16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200" w:type="dxa"/>
            <w:vAlign w:val="bottom"/>
            <w:shd w:val="clear" w:color="auto" w:fill="D1D2D4"/>
          </w:tcPr>
          <w:p>
            <w:pPr>
              <w:spacing w:after="0"/>
              <w:rPr>
                <w:sz w:val="15"/>
                <w:szCs w:val="15"/>
                <w:color w:val="auto"/>
              </w:rPr>
            </w:pPr>
          </w:p>
        </w:tc>
        <w:tc>
          <w:tcPr>
            <w:tcW w:w="920" w:type="dxa"/>
            <w:vAlign w:val="bottom"/>
            <w:gridSpan w:val="2"/>
            <w:vMerge w:val="restart"/>
            <w:shd w:val="clear" w:color="auto" w:fill="D1D2D4"/>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5"/>
                <w:szCs w:val="15"/>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D1D2D4"/>
          </w:tcPr>
          <w:p>
            <w:pPr>
              <w:spacing w:after="0"/>
              <w:rPr>
                <w:sz w:val="15"/>
                <w:szCs w:val="15"/>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2"/>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impairments</w:t>
            </w:r>
          </w:p>
        </w:tc>
        <w:tc>
          <w:tcPr>
            <w:tcW w:w="200" w:type="dxa"/>
            <w:vAlign w:val="bottom"/>
            <w:shd w:val="clear" w:color="auto" w:fill="D1D2D4"/>
          </w:tcPr>
          <w:p>
            <w:pPr>
              <w:spacing w:after="0"/>
              <w:rPr>
                <w:sz w:val="21"/>
                <w:szCs w:val="21"/>
                <w:color w:val="auto"/>
              </w:rPr>
            </w:pPr>
          </w:p>
        </w:tc>
        <w:tc>
          <w:tcPr>
            <w:tcW w:w="680" w:type="dxa"/>
            <w:vAlign w:val="bottom"/>
            <w:vMerge w:val="continue"/>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580" w:type="dxa"/>
            <w:vAlign w:val="bottom"/>
            <w:vMerge w:val="continue"/>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700" w:type="dxa"/>
            <w:vAlign w:val="bottom"/>
            <w:vMerge w:val="continue"/>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60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920" w:type="dxa"/>
            <w:vAlign w:val="bottom"/>
            <w:gridSpan w:val="2"/>
            <w:vMerge w:val="continue"/>
            <w:shd w:val="clear" w:color="auto" w:fill="D1D2D4"/>
          </w:tcPr>
          <w:p>
            <w:pPr>
              <w:spacing w:after="0"/>
              <w:rPr>
                <w:sz w:val="21"/>
                <w:szCs w:val="21"/>
                <w:color w:val="auto"/>
              </w:rPr>
            </w:pPr>
          </w:p>
        </w:tc>
        <w:tc>
          <w:tcPr>
            <w:tcW w:w="760" w:type="dxa"/>
            <w:vAlign w:val="bottom"/>
            <w:gridSpan w:val="2"/>
            <w:vMerge w:val="continue"/>
            <w:shd w:val="clear" w:color="auto" w:fill="D1D2D4"/>
          </w:tcPr>
          <w:p>
            <w:pPr>
              <w:spacing w:after="0"/>
              <w:rPr>
                <w:sz w:val="21"/>
                <w:szCs w:val="21"/>
                <w:color w:val="auto"/>
              </w:rPr>
            </w:pPr>
          </w:p>
        </w:tc>
        <w:tc>
          <w:tcPr>
            <w:tcW w:w="680" w:type="dxa"/>
            <w:vAlign w:val="bottom"/>
            <w:vMerge w:val="continue"/>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600" w:type="dxa"/>
            <w:vAlign w:val="bottom"/>
            <w:vMerge w:val="continue"/>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680" w:type="dxa"/>
            <w:vAlign w:val="bottom"/>
            <w:vMerge w:val="continue"/>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60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Other operating (income)</w:t>
            </w:r>
          </w:p>
        </w:tc>
        <w:tc>
          <w:tcPr>
            <w:tcW w:w="200" w:type="dxa"/>
            <w:vAlign w:val="bottom"/>
          </w:tcPr>
          <w:p>
            <w:pPr>
              <w:spacing w:after="0"/>
              <w:rPr>
                <w:sz w:val="15"/>
                <w:szCs w:val="15"/>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5"/>
                <w:szCs w:val="15"/>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60" w:type="dxa"/>
            <w:vAlign w:val="bottom"/>
            <w:tcBorders>
              <w:top w:val="single" w:sz="8" w:color="D1D2D4"/>
            </w:tcBorders>
            <w:shd w:val="clear" w:color="auto" w:fill="D1D2D4"/>
          </w:tcPr>
          <w:p>
            <w:pPr>
              <w:spacing w:after="0"/>
              <w:rPr>
                <w:sz w:val="19"/>
                <w:szCs w:val="19"/>
                <w:color w:val="auto"/>
              </w:rPr>
            </w:pPr>
          </w:p>
        </w:tc>
        <w:tc>
          <w:tcPr>
            <w:tcW w:w="58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(2,303)</w:t>
            </w:r>
          </w:p>
        </w:tc>
        <w:tc>
          <w:tcPr>
            <w:tcW w:w="26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auto"/>
            </w:tcBorders>
            <w:shd w:val="clear" w:color="auto" w:fill="D1D2D4"/>
          </w:tcPr>
          <w:p>
            <w:pPr>
              <w:spacing w:after="0"/>
              <w:rPr>
                <w:sz w:val="19"/>
                <w:szCs w:val="19"/>
                <w:color w:val="auto"/>
              </w:rPr>
            </w:pPr>
          </w:p>
        </w:tc>
        <w:tc>
          <w:tcPr>
            <w:tcW w:w="6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3,004</w:t>
            </w:r>
          </w:p>
        </w:tc>
        <w:tc>
          <w:tcPr>
            <w:tcW w:w="280" w:type="dxa"/>
            <w:vAlign w:val="bottom"/>
            <w:tcBorders>
              <w:top w:val="single" w:sz="8" w:color="D1D2D4"/>
            </w:tcBorders>
            <w:shd w:val="clear" w:color="auto" w:fill="D1D2D4"/>
          </w:tcPr>
          <w:p>
            <w:pPr>
              <w:spacing w:after="0"/>
              <w:rPr>
                <w:sz w:val="19"/>
                <w:szCs w:val="19"/>
                <w:color w:val="auto"/>
              </w:rPr>
            </w:pPr>
          </w:p>
        </w:tc>
        <w:tc>
          <w:tcPr>
            <w:tcW w:w="58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35 %</w:t>
            </w:r>
          </w:p>
        </w:tc>
        <w:tc>
          <w:tcPr>
            <w:tcW w:w="18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(4,273)</w:t>
            </w:r>
          </w:p>
        </w:tc>
        <w:tc>
          <w:tcPr>
            <w:tcW w:w="26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8,181</w:t>
            </w:r>
          </w:p>
        </w:tc>
        <w:tc>
          <w:tcPr>
            <w:tcW w:w="26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w:t>
            </w:r>
          </w:p>
        </w:tc>
        <w:tc>
          <w:tcPr>
            <w:tcW w:w="26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0"/>
        </w:trPr>
        <w:tc>
          <w:tcPr>
            <w:tcW w:w="2660" w:type="dxa"/>
            <w:vAlign w:val="bottom"/>
          </w:tcPr>
          <w:p>
            <w:pPr>
              <w:ind w:left="20"/>
              <w:spacing w:after="0" w:line="189" w:lineRule="exact"/>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rPr>
              <w:t>(expense), net</w:t>
            </w:r>
          </w:p>
        </w:tc>
        <w:tc>
          <w:tcPr>
            <w:tcW w:w="2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(832)</w:t>
            </w:r>
          </w:p>
        </w:tc>
        <w:tc>
          <w:tcPr>
            <w:tcW w:w="26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2660" w:type="dxa"/>
            <w:vAlign w:val="bottom"/>
          </w:tcPr>
          <w:p>
            <w:pPr>
              <w:ind w:left="20"/>
              <w:spacing w:after="0" w:line="189" w:lineRule="exact"/>
              <w:rPr>
                <w:sz w:val="20"/>
                <w:szCs w:val="20"/>
                <w:color w:val="auto"/>
              </w:rPr>
            </w:pPr>
            <w:r>
              <w:rPr>
                <w:rFonts w:ascii="Arial" w:cs="Arial" w:eastAsia="Arial" w:hAnsi="Arial"/>
                <w:sz w:val="18"/>
                <w:szCs w:val="18"/>
                <w:color w:val="auto"/>
              </w:rPr>
              <w:t>Equity in net income (loss) of</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60" w:type="dxa"/>
            <w:vAlign w:val="bottom"/>
          </w:tcPr>
          <w:p>
            <w:pPr>
              <w:ind w:left="180"/>
              <w:spacing w:after="0"/>
              <w:rPr>
                <w:sz w:val="20"/>
                <w:szCs w:val="20"/>
                <w:color w:val="auto"/>
              </w:rPr>
            </w:pPr>
            <w:r>
              <w:rPr>
                <w:rFonts w:ascii="Arial" w:cs="Arial" w:eastAsia="Arial" w:hAnsi="Arial"/>
                <w:sz w:val="18"/>
                <w:szCs w:val="18"/>
                <w:color w:val="auto"/>
              </w:rPr>
              <w:t>equity method investees</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2660" w:type="dxa"/>
            <w:vAlign w:val="bottom"/>
            <w:shd w:val="clear" w:color="auto" w:fill="D1D2D4"/>
          </w:tcPr>
          <w:p>
            <w:pPr>
              <w:ind w:left="40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D1D2D4"/>
          </w:tcPr>
          <w:p>
            <w:pPr>
              <w:spacing w:after="0"/>
              <w:rPr>
                <w:sz w:val="22"/>
                <w:szCs w:val="22"/>
                <w:color w:val="auto"/>
              </w:rPr>
            </w:pPr>
          </w:p>
        </w:tc>
        <w:tc>
          <w:tcPr>
            <w:tcW w:w="740" w:type="dxa"/>
            <w:vAlign w:val="bottom"/>
            <w:gridSpan w:val="2"/>
            <w:shd w:val="clear" w:color="auto" w:fill="D1D2D4"/>
          </w:tcPr>
          <w:p>
            <w:pPr>
              <w:jc w:val="right"/>
              <w:ind w:right="40"/>
              <w:spacing w:after="0"/>
              <w:rPr>
                <w:sz w:val="20"/>
                <w:szCs w:val="20"/>
                <w:color w:val="auto"/>
              </w:rPr>
            </w:pPr>
            <w:r>
              <w:rPr>
                <w:rFonts w:ascii="Arial" w:cs="Arial" w:eastAsia="Arial" w:hAnsi="Arial"/>
                <w:sz w:val="18"/>
                <w:szCs w:val="18"/>
                <w:color w:val="auto"/>
              </w:rPr>
              <w:t>(51)%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(2,312)</w:t>
            </w:r>
          </w:p>
        </w:tc>
        <w:tc>
          <w:tcPr>
            <w:tcW w:w="260" w:type="dxa"/>
            <w:vAlign w:val="bottom"/>
            <w:shd w:val="clear" w:color="auto" w:fill="D1D2D4"/>
          </w:tcPr>
          <w:p>
            <w:pPr>
              <w:spacing w:after="0"/>
              <w:rPr>
                <w:sz w:val="22"/>
                <w:szCs w:val="22"/>
                <w:color w:val="auto"/>
              </w:rPr>
            </w:pPr>
          </w:p>
        </w:tc>
        <w:tc>
          <w:tcPr>
            <w:tcW w:w="8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(63)%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2,626</w:t>
            </w:r>
          </w:p>
        </w:tc>
        <w:tc>
          <w:tcPr>
            <w:tcW w:w="280" w:type="dxa"/>
            <w:vAlign w:val="bottom"/>
            <w:shd w:val="clear" w:color="auto" w:fill="D1D2D4"/>
          </w:tcPr>
          <w:p>
            <w:pPr>
              <w:spacing w:after="0"/>
              <w:rPr>
                <w:sz w:val="22"/>
                <w:szCs w:val="22"/>
                <w:color w:val="auto"/>
              </w:rPr>
            </w:pPr>
          </w:p>
        </w:tc>
        <w:tc>
          <w:tcPr>
            <w:tcW w:w="76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30 %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(4,403)</w:t>
            </w:r>
          </w:p>
        </w:tc>
        <w:tc>
          <w:tcPr>
            <w:tcW w:w="260" w:type="dxa"/>
            <w:vAlign w:val="bottom"/>
            <w:shd w:val="clear" w:color="auto" w:fill="D1D2D4"/>
          </w:tcPr>
          <w:p>
            <w:pPr>
              <w:spacing w:after="0"/>
              <w:rPr>
                <w:sz w:val="22"/>
                <w:szCs w:val="22"/>
                <w:color w:val="auto"/>
              </w:rPr>
            </w:pPr>
          </w:p>
        </w:tc>
        <w:tc>
          <w:tcPr>
            <w:tcW w:w="78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(38)%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7,195</w:t>
            </w:r>
          </w:p>
        </w:tc>
        <w:tc>
          <w:tcPr>
            <w:tcW w:w="260" w:type="dxa"/>
            <w:vAlign w:val="bottom"/>
            <w:shd w:val="clear" w:color="auto" w:fill="D1D2D4"/>
          </w:tcPr>
          <w:p>
            <w:pPr>
              <w:spacing w:after="0"/>
              <w:rPr>
                <w:sz w:val="22"/>
                <w:szCs w:val="22"/>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266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1D2D4"/>
            </w:tcBorders>
          </w:tcPr>
          <w:p>
            <w:pPr>
              <w:spacing w:after="0" w:line="20" w:lineRule="exact"/>
              <w:rPr>
                <w:sz w:val="1"/>
                <w:szCs w:val="1"/>
                <w:color w:val="auto"/>
              </w:rPr>
            </w:pPr>
          </w:p>
        </w:tc>
        <w:tc>
          <w:tcPr>
            <w:tcW w:w="58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third quarter and first nine months of 2023 has been adversely impacted by the factors described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titled “Industry Conditions” above.</w:t>
      </w:r>
    </w:p>
    <w:p>
      <w:pPr>
        <w:spacing w:after="0" w:line="190" w:lineRule="exact"/>
        <w:rPr>
          <w:sz w:val="20"/>
          <w:szCs w:val="20"/>
          <w:color w:val="auto"/>
        </w:rPr>
      </w:pPr>
    </w:p>
    <w:p>
      <w:pPr>
        <w:ind w:right="760"/>
        <w:spacing w:after="0" w:line="275" w:lineRule="auto"/>
        <w:rPr>
          <w:sz w:val="20"/>
          <w:szCs w:val="20"/>
          <w:color w:val="auto"/>
        </w:rPr>
      </w:pPr>
      <w:r>
        <w:rPr>
          <w:rFonts w:ascii="Arial" w:cs="Arial" w:eastAsia="Arial" w:hAnsi="Arial"/>
          <w:sz w:val="18"/>
          <w:szCs w:val="18"/>
          <w:color w:val="auto"/>
        </w:rPr>
        <w:t>Total revenue for the third quarter of 2023 increased 2% as compared to the second quarter of 2023 primarily due to increases in bit shipments of both DRAM and NAND products partially offset by declines in average selling prices.</w:t>
      </w:r>
    </w:p>
    <w:p>
      <w:pPr>
        <w:spacing w:after="0" w:line="201" w:lineRule="exact"/>
        <w:rPr>
          <w:sz w:val="20"/>
          <w:szCs w:val="20"/>
          <w:color w:val="auto"/>
        </w:rPr>
      </w:pPr>
    </w:p>
    <w:p>
      <w:pPr>
        <w:ind w:left="660" w:right="18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DRAM products decreased 2% primarily due to an approximate 10 percent decline in average selling prices partially offset by an increase in bit shipments in the 10 percent range.</w:t>
      </w:r>
    </w:p>
    <w:p>
      <w:pPr>
        <w:ind w:left="660" w:right="3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NAND products increased 14% primarily due to an upper-30 percent range increase in bit shipments partially offset by a mid-teens percent range decline in average selling prices.</w:t>
      </w:r>
    </w:p>
    <w:p>
      <w:pPr>
        <w:spacing w:after="0" w:line="21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Total revenue for the third quarter of 2023 decreased 57% as compared to the third quarter of 2022 primarily due to decreases in sales of both DRAM and NAND products.</w:t>
      </w:r>
    </w:p>
    <w:p>
      <w:pPr>
        <w:spacing w:after="0" w:line="201" w:lineRule="exact"/>
        <w:rPr>
          <w:sz w:val="20"/>
          <w:szCs w:val="20"/>
          <w:color w:val="auto"/>
        </w:rPr>
      </w:pPr>
    </w:p>
    <w:p>
      <w:pPr>
        <w:ind w:left="660" w:right="40" w:hanging="328"/>
        <w:spacing w:after="0" w:line="257"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decreased 57% primarily due to a low-50s percent range decline in average selling prices and decreases in bit shipments in the low-teens percent range.</w:t>
      </w:r>
    </w:p>
    <w:p>
      <w:pPr>
        <w:ind w:left="660" w:hanging="328"/>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Sales of NAND products decreased 56% primarily due to a mid-50s percent range decline in average selling prices.</w:t>
      </w:r>
    </w:p>
    <w:p>
      <w:pPr>
        <w:spacing w:after="0" w:line="240"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Total revenue for the first nine months of 2023 decreased 52% as compared to the first nine months of 2022 primarily due to decreases in sales of both DRAM and NAND products.</w:t>
      </w:r>
    </w:p>
    <w:p>
      <w:pPr>
        <w:spacing w:after="0" w:line="201" w:lineRule="exact"/>
        <w:rPr>
          <w:sz w:val="20"/>
          <w:szCs w:val="20"/>
          <w:color w:val="auto"/>
        </w:rPr>
      </w:pPr>
    </w:p>
    <w:p>
      <w:pPr>
        <w:ind w:left="660" w:right="20" w:hanging="328"/>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DRAM products decreased 53% primarily due to a mid-40s percent range decline in average selling prices and decreases in bit shipments in the mid-teens percent range.</w:t>
      </w:r>
    </w:p>
    <w:p>
      <w:pPr>
        <w:ind w:left="660" w:right="4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NAND products decreased 51% primarily due to a mid-40s percent range decline in average selling prices and decreases in bit shipments in the 10 percent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417830</wp:posOffset>
            </wp:positionV>
            <wp:extent cx="65976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has been adversely impacted by the factors described in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Conditions” above. Our consolidated gross margin percentage improved to negative 18% for the third quarter of 2023 from negative 33% for the second quarter of 2023 primarily due to a lesser impact from charges to write down inventories to their estimated net realizable value, as detailed in “Inventory NRV write-downs” below, partially offset by the declines in average selling prices for both DRAM and NAND and higher facility underutilization costs. The inventory associated with $ 281 million of the inventory write-downs taken during the second quarter of 2023 has been sold through to customers as of the end of the third quarter of 2023.</w:t>
      </w:r>
    </w:p>
    <w:p>
      <w:pPr>
        <w:spacing w:after="0" w:line="21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consolidated gross margin percentage decreased to negative 18% for the third quarter of 2023 from 47% for the third quarter of 2022 primarily due to the charge to write down inventories, declines in average selling prices for both DRAM and NAND, and higher underutilization costs.</w:t>
      </w:r>
    </w:p>
    <w:p>
      <w:pPr>
        <w:spacing w:after="0" w:line="21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consolidated gross margin percentage decreased to negative 9% for the first nine months of 2023 from 47% for the first nine months of 2022 primarily due to the charges to write down inventories and declines in average selling prices for both DRAM and NAND.</w:t>
      </w:r>
    </w:p>
    <w:p>
      <w:pPr>
        <w:spacing w:after="0" w:line="19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u w:val="single" w:color="auto"/>
          <w:color w:val="auto"/>
        </w:rPr>
        <w:t>Inventory NRV write-downs:</w:t>
      </w:r>
      <w:r>
        <w:rPr>
          <w:rFonts w:ascii="Arial" w:cs="Arial" w:eastAsia="Arial" w:hAnsi="Arial"/>
          <w:sz w:val="18"/>
          <w:szCs w:val="18"/>
          <w:i w:val="1"/>
          <w:iCs w:val="1"/>
          <w:color w:val="auto"/>
        </w:rPr>
        <w:t xml:space="preserve"> </w:t>
      </w:r>
      <w:r>
        <w:rPr>
          <w:rFonts w:ascii="Arial" w:cs="Arial" w:eastAsia="Arial" w:hAnsi="Arial"/>
          <w:sz w:val="18"/>
          <w:szCs w:val="18"/>
          <w:color w:val="auto"/>
        </w:rPr>
        <w:t>Our consolidated gross margin was impacted by charges to write down inventories to their estimated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as a result of declines in average selling prices for both DRAM and NAND. As charges to write down inventories are recorded in advance of when inventories are sold, costs of goods sold in subsequent periods are lower than they otherwise would be.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rPr>
              <w:t>Third Quarter</w:t>
            </w: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Third Quarter</w:t>
            </w:r>
          </w:p>
        </w:tc>
        <w:tc>
          <w:tcPr>
            <w:tcW w:w="320" w:type="dxa"/>
            <w:vAlign w:val="bottom"/>
            <w:tcBorders>
              <w:bottom w:val="single" w:sz="8" w:color="0090DA"/>
            </w:tcBorders>
          </w:tcPr>
          <w:p>
            <w:pPr>
              <w:spacing w:after="0"/>
              <w:rPr>
                <w:sz w:val="20"/>
                <w:szCs w:val="20"/>
                <w:color w:val="auto"/>
              </w:rPr>
            </w:pPr>
          </w:p>
        </w:tc>
        <w:tc>
          <w:tcPr>
            <w:tcW w:w="254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0090DA"/>
            </w:tcBorders>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0090DA"/>
            </w:tcBorders>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60" w:type="dxa"/>
            <w:vAlign w:val="bottom"/>
            <w:shd w:val="clear" w:color="auto" w:fill="DDDDDD"/>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DDDDD"/>
          </w:tcPr>
          <w:p>
            <w:pPr>
              <w:jc w:val="center"/>
              <w:ind w:left="750"/>
              <w:spacing w:after="0"/>
              <w:rPr>
                <w:sz w:val="20"/>
                <w:szCs w:val="20"/>
                <w:color w:val="auto"/>
              </w:rPr>
            </w:pPr>
            <w:r>
              <w:rPr>
                <w:rFonts w:ascii="Arial" w:cs="Arial" w:eastAsia="Arial" w:hAnsi="Arial"/>
                <w:sz w:val="18"/>
                <w:szCs w:val="18"/>
                <w:color w:val="auto"/>
                <w:w w:val="99"/>
              </w:rPr>
              <w:t>(401)</w:t>
            </w:r>
          </w:p>
        </w:tc>
        <w:tc>
          <w:tcPr>
            <w:tcW w:w="32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DDDDD"/>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(1,831)</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3960" w:type="dxa"/>
            <w:vAlign w:val="bottom"/>
          </w:tcPr>
          <w:p>
            <w:pPr>
              <w:ind w:left="20"/>
              <w:spacing w:after="0" w:line="189" w:lineRule="exact"/>
              <w:rPr>
                <w:sz w:val="20"/>
                <w:szCs w:val="20"/>
                <w:color w:val="auto"/>
              </w:rPr>
            </w:pPr>
            <w:r>
              <w:rPr>
                <w:rFonts w:ascii="Arial" w:cs="Arial" w:eastAsia="Arial" w:hAnsi="Arial"/>
                <w:sz w:val="18"/>
                <w:szCs w:val="18"/>
                <w:color w:val="auto"/>
              </w:rPr>
              <w:t>Lower costs from sale of inventory written down</w:t>
            </w:r>
          </w:p>
        </w:tc>
        <w:tc>
          <w:tcPr>
            <w:tcW w:w="140" w:type="dxa"/>
            <w:vAlign w:val="bottom"/>
          </w:tcPr>
          <w:p>
            <w:pPr>
              <w:spacing w:after="0"/>
              <w:rPr>
                <w:sz w:val="16"/>
                <w:szCs w:val="16"/>
                <w:color w:val="auto"/>
              </w:rPr>
            </w:pPr>
          </w:p>
        </w:tc>
        <w:tc>
          <w:tcPr>
            <w:tcW w:w="1300" w:type="dxa"/>
            <w:vAlign w:val="bottom"/>
            <w:vMerge w:val="restart"/>
          </w:tcPr>
          <w:p>
            <w:pPr>
              <w:jc w:val="center"/>
              <w:ind w:left="750"/>
              <w:spacing w:after="0"/>
              <w:rPr>
                <w:sz w:val="20"/>
                <w:szCs w:val="20"/>
                <w:color w:val="auto"/>
              </w:rPr>
            </w:pPr>
            <w:r>
              <w:rPr>
                <w:rFonts w:ascii="Arial" w:cs="Arial" w:eastAsia="Arial" w:hAnsi="Arial"/>
                <w:sz w:val="18"/>
                <w:szCs w:val="18"/>
                <w:color w:val="auto"/>
                <w:w w:val="99"/>
              </w:rPr>
              <w:t>281</w:t>
            </w: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320" w:type="dxa"/>
            <w:vAlign w:val="bottom"/>
            <w:vMerge w:val="restart"/>
          </w:tcPr>
          <w:p>
            <w:pPr>
              <w:ind w:left="106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281</w:t>
            </w:r>
          </w:p>
        </w:tc>
        <w:tc>
          <w:tcPr>
            <w:tcW w:w="320" w:type="dxa"/>
            <w:vAlign w:val="bottom"/>
          </w:tcPr>
          <w:p>
            <w:pPr>
              <w:spacing w:after="0"/>
              <w:rPr>
                <w:sz w:val="16"/>
                <w:szCs w:val="16"/>
                <w:color w:val="auto"/>
              </w:rPr>
            </w:pPr>
          </w:p>
        </w:tc>
        <w:tc>
          <w:tcPr>
            <w:tcW w:w="1120" w:type="dxa"/>
            <w:vAlign w:val="bottom"/>
            <w:vMerge w:val="restart"/>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Borders>
              <w:bottom w:val="single" w:sz="8" w:color="DDDDDD"/>
            </w:tcBorders>
          </w:tcPr>
          <w:p>
            <w:pPr>
              <w:ind w:left="20"/>
              <w:spacing w:after="0"/>
              <w:rPr>
                <w:sz w:val="20"/>
                <w:szCs w:val="20"/>
                <w:color w:val="auto"/>
              </w:rPr>
            </w:pPr>
            <w:r>
              <w:rPr>
                <w:rFonts w:ascii="Arial" w:cs="Arial" w:eastAsia="Arial" w:hAnsi="Arial"/>
                <w:sz w:val="18"/>
                <w:szCs w:val="18"/>
                <w:color w:val="auto"/>
              </w:rPr>
              <w:t>in prior periods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DDDDD"/>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DDDDDD"/>
          </w:tcPr>
          <w:p>
            <w:pPr>
              <w:spacing w:after="0"/>
              <w:rPr>
                <w:sz w:val="21"/>
                <w:szCs w:val="21"/>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DDDDD"/>
          </w:tcPr>
          <w:p>
            <w:pPr>
              <w:jc w:val="center"/>
              <w:ind w:left="750"/>
              <w:spacing w:after="0"/>
              <w:rPr>
                <w:sz w:val="20"/>
                <w:szCs w:val="20"/>
                <w:color w:val="auto"/>
              </w:rPr>
            </w:pPr>
            <w:r>
              <w:rPr>
                <w:rFonts w:ascii="Arial" w:cs="Arial" w:eastAsia="Arial" w:hAnsi="Arial"/>
                <w:sz w:val="18"/>
                <w:szCs w:val="18"/>
                <w:color w:val="auto"/>
                <w:w w:val="99"/>
              </w:rPr>
              <w:t>(120)</w:t>
            </w:r>
          </w:p>
        </w:tc>
        <w:tc>
          <w:tcPr>
            <w:tcW w:w="32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DDDDD"/>
          </w:tcPr>
          <w:p>
            <w:pPr>
              <w:ind w:left="1060"/>
              <w:spacing w:after="0"/>
              <w:rPr>
                <w:sz w:val="20"/>
                <w:szCs w:val="20"/>
                <w:color w:val="auto"/>
              </w:rPr>
            </w:pPr>
            <w:r>
              <w:rPr>
                <w:rFonts w:ascii="Arial" w:cs="Arial" w:eastAsia="Arial" w:hAnsi="Arial"/>
                <w:sz w:val="18"/>
                <w:szCs w:val="18"/>
                <w:color w:val="auto"/>
              </w:rPr>
              <w:t>—</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(1,550)</w:t>
            </w:r>
          </w:p>
        </w:tc>
        <w:tc>
          <w:tcPr>
            <w:tcW w:w="320" w:type="dxa"/>
            <w:vAlign w:val="bottom"/>
            <w:shd w:val="clear" w:color="auto" w:fill="DDDDDD"/>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DDDDD"/>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Third Quarter</w:t>
            </w:r>
          </w:p>
        </w:tc>
        <w:tc>
          <w:tcPr>
            <w:tcW w:w="1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Second Quarter</w:t>
            </w:r>
          </w:p>
        </w:tc>
        <w:tc>
          <w:tcPr>
            <w:tcW w:w="15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99"/>
              </w:rPr>
              <w:t>Third Quarter</w:t>
            </w:r>
          </w:p>
        </w:tc>
        <w:tc>
          <w:tcPr>
            <w:tcW w:w="180" w:type="dxa"/>
            <w:vAlign w:val="bottom"/>
            <w:tcBorders>
              <w:bottom w:val="single" w:sz="8" w:color="0090DA"/>
            </w:tcBorders>
          </w:tcPr>
          <w:p>
            <w:pPr>
              <w:spacing w:after="0"/>
              <w:rPr>
                <w:sz w:val="20"/>
                <w:szCs w:val="20"/>
                <w:color w:val="auto"/>
              </w:rPr>
            </w:pPr>
          </w:p>
        </w:tc>
        <w:tc>
          <w:tcPr>
            <w:tcW w:w="680" w:type="dxa"/>
            <w:vAlign w:val="bottom"/>
            <w:tcBorders>
              <w:bottom w:val="single" w:sz="8" w:color="0090DA"/>
            </w:tcBorders>
          </w:tcPr>
          <w:p>
            <w:pPr>
              <w:spacing w:after="0"/>
              <w:rPr>
                <w:sz w:val="20"/>
                <w:szCs w:val="20"/>
                <w:color w:val="auto"/>
              </w:rPr>
            </w:pPr>
          </w:p>
        </w:tc>
        <w:tc>
          <w:tcPr>
            <w:tcW w:w="2060" w:type="dxa"/>
            <w:vAlign w:val="bottom"/>
            <w:tcBorders>
              <w:bottom w:val="single" w:sz="8" w:color="0090DA"/>
            </w:tcBorders>
            <w:gridSpan w:val="5"/>
          </w:tcPr>
          <w:p>
            <w:pPr>
              <w:jc w:val="right"/>
              <w:ind w:right="36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tcBorders>
              <w:bottom w:val="single" w:sz="8" w:color="0090DA"/>
            </w:tcBorders>
          </w:tcPr>
          <w:p>
            <w:pPr>
              <w:spacing w:after="0"/>
              <w:rPr>
                <w:sz w:val="20"/>
                <w:szCs w:val="20"/>
                <w:color w:val="auto"/>
              </w:rPr>
            </w:pPr>
          </w:p>
        </w:tc>
      </w:tr>
      <w:tr>
        <w:trPr>
          <w:trHeight w:val="223"/>
        </w:trPr>
        <w:tc>
          <w:tcPr>
            <w:tcW w:w="266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0090DA"/>
            </w:tcBorders>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1000" w:type="dxa"/>
            <w:vAlign w:val="bottom"/>
            <w:tcBorders>
              <w:bottom w:val="single" w:sz="8" w:color="0090DA"/>
            </w:tcBorders>
            <w:gridSpan w:val="2"/>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0090DA"/>
            </w:tcBorders>
          </w:tcPr>
          <w:p>
            <w:pPr>
              <w:spacing w:after="0"/>
              <w:rPr>
                <w:sz w:val="19"/>
                <w:szCs w:val="19"/>
                <w:color w:val="auto"/>
              </w:rPr>
            </w:pPr>
          </w:p>
        </w:tc>
        <w:tc>
          <w:tcPr>
            <w:tcW w:w="160" w:type="dxa"/>
            <w:vAlign w:val="bottom"/>
            <w:tcBorders>
              <w:bottom w:val="single" w:sz="8" w:color="0090DA"/>
            </w:tcBorders>
          </w:tcPr>
          <w:p>
            <w:pPr>
              <w:spacing w:after="0"/>
              <w:rPr>
                <w:sz w:val="19"/>
                <w:szCs w:val="19"/>
                <w:color w:val="auto"/>
              </w:rPr>
            </w:pPr>
          </w:p>
        </w:tc>
        <w:tc>
          <w:tcPr>
            <w:tcW w:w="102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0090DA"/>
            </w:tcBorders>
          </w:tcPr>
          <w:p>
            <w:pPr>
              <w:spacing w:after="0"/>
              <w:rPr>
                <w:sz w:val="19"/>
                <w:szCs w:val="19"/>
                <w:color w:val="auto"/>
              </w:rPr>
            </w:pPr>
          </w:p>
        </w:tc>
      </w:tr>
      <w:tr>
        <w:trPr>
          <w:trHeight w:val="48"/>
        </w:trPr>
        <w:tc>
          <w:tcPr>
            <w:tcW w:w="2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30"/>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w:t>
            </w:r>
          </w:p>
        </w:tc>
        <w:tc>
          <w:tcPr>
            <w:tcW w:w="320" w:type="dxa"/>
            <w:vAlign w:val="bottom"/>
            <w:shd w:val="clear" w:color="auto" w:fill="D1D2D4"/>
          </w:tcPr>
          <w:p>
            <w:pPr>
              <w:spacing w:after="0"/>
              <w:rPr>
                <w:sz w:val="19"/>
                <w:szCs w:val="19"/>
                <w:color w:val="auto"/>
              </w:rPr>
            </w:pPr>
          </w:p>
        </w:tc>
        <w:tc>
          <w:tcPr>
            <w:tcW w:w="6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37 %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1,375</w:t>
            </w:r>
          </w:p>
        </w:tc>
        <w:tc>
          <w:tcPr>
            <w:tcW w:w="320" w:type="dxa"/>
            <w:vAlign w:val="bottom"/>
            <w:shd w:val="clear" w:color="auto" w:fill="D1D2D4"/>
          </w:tcPr>
          <w:p>
            <w:pPr>
              <w:spacing w:after="0"/>
              <w:rPr>
                <w:sz w:val="19"/>
                <w:szCs w:val="19"/>
                <w:color w:val="auto"/>
              </w:rPr>
            </w:pPr>
          </w:p>
        </w:tc>
        <w:tc>
          <w:tcPr>
            <w:tcW w:w="74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37 %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3,895</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4,510</w:t>
            </w:r>
          </w:p>
        </w:tc>
        <w:tc>
          <w:tcPr>
            <w:tcW w:w="320" w:type="dxa"/>
            <w:vAlign w:val="bottom"/>
            <w:shd w:val="clear" w:color="auto" w:fill="D1D2D4"/>
          </w:tcPr>
          <w:p>
            <w:pPr>
              <w:spacing w:after="0"/>
              <w:rPr>
                <w:sz w:val="19"/>
                <w:szCs w:val="19"/>
                <w:color w:val="auto"/>
              </w:rPr>
            </w:pPr>
          </w:p>
        </w:tc>
        <w:tc>
          <w:tcPr>
            <w:tcW w:w="7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39 %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10,762</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36"/>
        </w:trPr>
        <w:tc>
          <w:tcPr>
            <w:tcW w:w="266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819</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22 %</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1,967</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23 %</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2,419</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21 %</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5,749</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6"/>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80" w:type="dxa"/>
            <w:vAlign w:val="bottom"/>
            <w:shd w:val="clear" w:color="auto" w:fill="D1D2D4"/>
          </w:tcPr>
          <w:p>
            <w:pPr>
              <w:spacing w:after="0"/>
              <w:rPr>
                <w:sz w:val="20"/>
                <w:szCs w:val="20"/>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912</w:t>
            </w:r>
          </w:p>
        </w:tc>
        <w:tc>
          <w:tcPr>
            <w:tcW w:w="320" w:type="dxa"/>
            <w:vAlign w:val="bottom"/>
            <w:shd w:val="clear" w:color="auto" w:fill="D1D2D4"/>
          </w:tcPr>
          <w:p>
            <w:pPr>
              <w:spacing w:after="0"/>
              <w:rPr>
                <w:sz w:val="20"/>
                <w:szCs w:val="20"/>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D1D2D4"/>
          </w:tcPr>
          <w:p>
            <w:pPr>
              <w:spacing w:after="0"/>
              <w:rPr>
                <w:sz w:val="20"/>
                <w:szCs w:val="20"/>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D1D2D4"/>
          </w:tcPr>
          <w:p>
            <w:pPr>
              <w:spacing w:after="0"/>
              <w:rPr>
                <w:sz w:val="20"/>
                <w:szCs w:val="20"/>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220" w:type="dxa"/>
            <w:vAlign w:val="bottom"/>
            <w:shd w:val="clear" w:color="auto" w:fill="D1D2D4"/>
          </w:tcPr>
          <w:p>
            <w:pPr>
              <w:spacing w:after="0"/>
              <w:rPr>
                <w:sz w:val="20"/>
                <w:szCs w:val="20"/>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1,435</w:t>
            </w:r>
          </w:p>
        </w:tc>
        <w:tc>
          <w:tcPr>
            <w:tcW w:w="320" w:type="dxa"/>
            <w:vAlign w:val="bottom"/>
            <w:shd w:val="clear" w:color="auto" w:fill="D1D2D4"/>
          </w:tcPr>
          <w:p>
            <w:pPr>
              <w:spacing w:after="0"/>
              <w:rPr>
                <w:sz w:val="20"/>
                <w:szCs w:val="20"/>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180" w:type="dxa"/>
            <w:vAlign w:val="bottom"/>
            <w:shd w:val="clear" w:color="auto" w:fill="D1D2D4"/>
          </w:tcPr>
          <w:p>
            <w:pPr>
              <w:spacing w:after="0"/>
              <w:rPr>
                <w:sz w:val="20"/>
                <w:szCs w:val="20"/>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2,777</w:t>
            </w:r>
          </w:p>
        </w:tc>
        <w:tc>
          <w:tcPr>
            <w:tcW w:w="320" w:type="dxa"/>
            <w:vAlign w:val="bottom"/>
            <w:shd w:val="clear" w:color="auto" w:fill="D1D2D4"/>
          </w:tcPr>
          <w:p>
            <w:pPr>
              <w:spacing w:after="0"/>
              <w:rPr>
                <w:sz w:val="20"/>
                <w:szCs w:val="20"/>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160" w:type="dxa"/>
            <w:vAlign w:val="bottom"/>
            <w:shd w:val="clear" w:color="auto" w:fill="D1D2D4"/>
          </w:tcPr>
          <w:p>
            <w:pPr>
              <w:spacing w:after="0"/>
              <w:rPr>
                <w:sz w:val="20"/>
                <w:szCs w:val="20"/>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3,932</w:t>
            </w:r>
          </w:p>
        </w:tc>
        <w:tc>
          <w:tcPr>
            <w:tcW w:w="320" w:type="dxa"/>
            <w:vAlign w:val="bottom"/>
            <w:shd w:val="clear" w:color="auto" w:fill="D1D2D4"/>
          </w:tcPr>
          <w:p>
            <w:pPr>
              <w:spacing w:after="0"/>
              <w:rPr>
                <w:sz w:val="20"/>
                <w:szCs w:val="20"/>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SBU</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17 %</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1,341</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1,814</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3,662</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43"/>
        </w:trPr>
        <w:tc>
          <w:tcPr>
            <w:tcW w:w="26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21"/>
                <w:szCs w:val="21"/>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D1D2D4"/>
          </w:tcPr>
          <w:p>
            <w:pPr>
              <w:spacing w:after="0"/>
              <w:rPr>
                <w:sz w:val="21"/>
                <w:szCs w:val="21"/>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auto"/>
            </w:tcBorders>
            <w:shd w:val="clear" w:color="auto" w:fill="D1D2D4"/>
          </w:tcPr>
          <w:p>
            <w:pPr>
              <w:spacing w:after="0"/>
              <w:rPr>
                <w:sz w:val="21"/>
                <w:szCs w:val="21"/>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21"/>
                <w:szCs w:val="21"/>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auto"/>
            </w:tcBorders>
            <w:shd w:val="clear" w:color="auto" w:fill="D1D2D4"/>
          </w:tcPr>
          <w:p>
            <w:pPr>
              <w:spacing w:after="0"/>
              <w:rPr>
                <w:sz w:val="21"/>
                <w:szCs w:val="21"/>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D1D2D4"/>
          </w:tcPr>
          <w:p>
            <w:pPr>
              <w:spacing w:after="0"/>
              <w:rPr>
                <w:sz w:val="21"/>
                <w:szCs w:val="21"/>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shd w:val="clear" w:color="auto" w:fill="D1D2D4"/>
          </w:tcPr>
          <w:p>
            <w:pPr>
              <w:spacing w:after="0"/>
              <w:rPr>
                <w:sz w:val="21"/>
                <w:szCs w:val="21"/>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D1D2D4"/>
          </w:tcPr>
          <w:p>
            <w:pPr>
              <w:spacing w:after="0"/>
              <w:rPr>
                <w:sz w:val="21"/>
                <w:szCs w:val="21"/>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auto"/>
            </w:tcBorders>
            <w:shd w:val="clear" w:color="auto" w:fill="D1D2D4"/>
          </w:tcPr>
          <w:p>
            <w:pPr>
              <w:spacing w:after="0"/>
              <w:rPr>
                <w:sz w:val="21"/>
                <w:szCs w:val="21"/>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D1D2D4"/>
          </w:tcPr>
          <w:p>
            <w:pPr>
              <w:spacing w:after="0"/>
              <w:rPr>
                <w:sz w:val="21"/>
                <w:szCs w:val="21"/>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26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3,752</w:t>
            </w:r>
          </w:p>
        </w:tc>
        <w:tc>
          <w:tcPr>
            <w:tcW w:w="3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3,693</w:t>
            </w:r>
          </w:p>
        </w:tc>
        <w:tc>
          <w:tcPr>
            <w:tcW w:w="3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8,642</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11,530</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24,115</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third quarter of 2023 as compared to the second quarter of 2023 were as follows:</w:t>
      </w:r>
    </w:p>
    <w:p>
      <w:pPr>
        <w:spacing w:after="0" w:line="252" w:lineRule="exact"/>
        <w:rPr>
          <w:sz w:val="20"/>
          <w:szCs w:val="20"/>
          <w:color w:val="auto"/>
        </w:rPr>
      </w:pPr>
    </w:p>
    <w:p>
      <w:pPr>
        <w:ind w:left="660" w:right="14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CNBU revenue increased 1% primarily due to higher bit shipments driven by growth in server and enterprise markets partially offset by declines in DRAM average selling prices.</w:t>
      </w:r>
    </w:p>
    <w:p>
      <w:pPr>
        <w:ind w:left="660" w:right="4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MBU revenue decreased 13% primarily due to declines in average selling prices for both DRAM and NAND and decreases in bit shipments due to timing of shipments between quarters.</w:t>
      </w: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EBU revenue increased 5% primarily due to higher sales in automotive and consumer markets partially offset by declines in average selling prices.</w:t>
      </w:r>
    </w:p>
    <w:p>
      <w:pPr>
        <w:ind w:left="660" w:right="56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SBU revenue increased 24% primarily due to increases in bit shipments across market segments partially offset by declines in average selling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Changes in revenue for each business unit for the third quarter and first nine months of 2023 as compared to the corresponding periods of 2022 were as follows:</w:t>
      </w:r>
    </w:p>
    <w:p>
      <w:pPr>
        <w:spacing w:after="0" w:line="201" w:lineRule="exact"/>
        <w:rPr>
          <w:sz w:val="20"/>
          <w:szCs w:val="20"/>
          <w:color w:val="auto"/>
        </w:rPr>
      </w:pPr>
    </w:p>
    <w:p>
      <w:pPr>
        <w:ind w:left="660" w:right="2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revenue decreased 64% and 58%, respectively, primarily due to declines in DRAM average selling prices and decreases in bit shipments.</w:t>
      </w:r>
    </w:p>
    <w:p>
      <w:pPr>
        <w:ind w:left="660" w:right="4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revenue decreased 58% in each period, primarily due to declines in average selling prices for both DRAM and NAND and decreases in NAND bit shipments.</w:t>
      </w:r>
    </w:p>
    <w:p>
      <w:pPr>
        <w:ind w:left="660" w:right="7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revenue decreased 36% and 29%, respectively, primarily due to declines in average selling prices and decreases in bit shipments.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revenue decreased 53% and 50%, respectively, primarily due to declines in average selling prices for NAND.</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Third Quarter</w:t>
            </w:r>
          </w:p>
        </w:tc>
        <w:tc>
          <w:tcPr>
            <w:tcW w:w="178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rPr>
              <w:t>Second Quarter</w:t>
            </w:r>
          </w:p>
        </w:tc>
        <w:tc>
          <w:tcPr>
            <w:tcW w:w="1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Third Quarter</w:t>
            </w:r>
          </w:p>
        </w:tc>
        <w:tc>
          <w:tcPr>
            <w:tcW w:w="660" w:type="dxa"/>
            <w:vAlign w:val="bottom"/>
          </w:tcPr>
          <w:p>
            <w:pPr>
              <w:spacing w:after="0"/>
              <w:rPr>
                <w:sz w:val="21"/>
                <w:szCs w:val="21"/>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21"/>
                <w:szCs w:val="21"/>
                <w:color w:val="auto"/>
              </w:rPr>
            </w:pPr>
          </w:p>
        </w:tc>
      </w:tr>
      <w:tr>
        <w:trPr>
          <w:trHeight w:val="223"/>
        </w:trPr>
        <w:tc>
          <w:tcPr>
            <w:tcW w:w="264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980" w:type="dxa"/>
            <w:vAlign w:val="bottom"/>
            <w:tcBorders>
              <w:bottom w:val="single" w:sz="8" w:color="0090DA"/>
            </w:tcBorders>
            <w:gridSpan w:val="2"/>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96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0090DA"/>
            </w:tcBorders>
          </w:tcPr>
          <w:p>
            <w:pPr>
              <w:spacing w:after="0"/>
              <w:rPr>
                <w:sz w:val="19"/>
                <w:szCs w:val="19"/>
                <w:color w:val="auto"/>
              </w:rPr>
            </w:pPr>
          </w:p>
        </w:tc>
        <w:tc>
          <w:tcPr>
            <w:tcW w:w="200" w:type="dxa"/>
            <w:vAlign w:val="bottom"/>
            <w:tcBorders>
              <w:top w:val="single" w:sz="8" w:color="0090DA"/>
              <w:bottom w:val="single" w:sz="8" w:color="0090DA"/>
            </w:tcBorders>
          </w:tcPr>
          <w:p>
            <w:pPr>
              <w:spacing w:after="0"/>
              <w:rPr>
                <w:sz w:val="19"/>
                <w:szCs w:val="19"/>
                <w:color w:val="auto"/>
              </w:rPr>
            </w:pPr>
          </w:p>
        </w:tc>
        <w:tc>
          <w:tcPr>
            <w:tcW w:w="960" w:type="dxa"/>
            <w:vAlign w:val="bottom"/>
            <w:tcBorders>
              <w:top w:val="single" w:sz="8" w:color="0090DA"/>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0090DA"/>
              <w:bottom w:val="single" w:sz="8" w:color="0090DA"/>
            </w:tcBorders>
          </w:tcPr>
          <w:p>
            <w:pPr>
              <w:spacing w:after="0"/>
              <w:rPr>
                <w:sz w:val="19"/>
                <w:szCs w:val="19"/>
                <w:color w:val="auto"/>
              </w:rPr>
            </w:pPr>
          </w:p>
        </w:tc>
        <w:tc>
          <w:tcPr>
            <w:tcW w:w="220" w:type="dxa"/>
            <w:vAlign w:val="bottom"/>
            <w:tcBorders>
              <w:top w:val="single" w:sz="8" w:color="0090DA"/>
              <w:bottom w:val="single" w:sz="8" w:color="0090DA"/>
            </w:tcBorders>
          </w:tcPr>
          <w:p>
            <w:pPr>
              <w:spacing w:after="0"/>
              <w:rPr>
                <w:sz w:val="19"/>
                <w:szCs w:val="19"/>
                <w:color w:val="auto"/>
              </w:rPr>
            </w:pPr>
          </w:p>
        </w:tc>
        <w:tc>
          <w:tcPr>
            <w:tcW w:w="940" w:type="dxa"/>
            <w:vAlign w:val="bottom"/>
            <w:tcBorders>
              <w:top w:val="single" w:sz="8" w:color="0090DA"/>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0090DA"/>
              <w:bottom w:val="single" w:sz="8" w:color="0090DA"/>
            </w:tcBorders>
          </w:tcPr>
          <w:p>
            <w:pPr>
              <w:spacing w:after="0"/>
              <w:rPr>
                <w:sz w:val="19"/>
                <w:szCs w:val="19"/>
                <w:color w:val="auto"/>
              </w:rPr>
            </w:pPr>
          </w:p>
        </w:tc>
      </w:tr>
      <w:tr>
        <w:trPr>
          <w:trHeight w:val="34"/>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2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D1D2D4"/>
          </w:tcPr>
          <w:p>
            <w:pPr>
              <w:spacing w:after="0"/>
              <w:rPr>
                <w:sz w:val="21"/>
                <w:szCs w:val="21"/>
                <w:color w:val="auto"/>
              </w:rPr>
            </w:pPr>
          </w:p>
        </w:tc>
        <w:tc>
          <w:tcPr>
            <w:tcW w:w="72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(24)%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D1D2D4"/>
          </w:tcPr>
          <w:p>
            <w:pPr>
              <w:spacing w:after="0"/>
              <w:rPr>
                <w:sz w:val="21"/>
                <w:szCs w:val="21"/>
                <w:color w:val="auto"/>
              </w:rPr>
            </w:pPr>
          </w:p>
        </w:tc>
        <w:tc>
          <w:tcPr>
            <w:tcW w:w="80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(3)%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1,778</w:t>
            </w:r>
          </w:p>
        </w:tc>
        <w:tc>
          <w:tcPr>
            <w:tcW w:w="320" w:type="dxa"/>
            <w:vAlign w:val="bottom"/>
            <w:shd w:val="clear" w:color="auto" w:fill="D1D2D4"/>
          </w:tcPr>
          <w:p>
            <w:pPr>
              <w:spacing w:after="0"/>
              <w:rPr>
                <w:sz w:val="21"/>
                <w:szCs w:val="21"/>
                <w:color w:val="auto"/>
              </w:rPr>
            </w:pPr>
          </w:p>
        </w:tc>
        <w:tc>
          <w:tcPr>
            <w:tcW w:w="740" w:type="dxa"/>
            <w:vAlign w:val="bottom"/>
            <w:gridSpan w:val="2"/>
            <w:shd w:val="clear" w:color="auto" w:fill="D1D2D4"/>
          </w:tcPr>
          <w:p>
            <w:pPr>
              <w:jc w:val="right"/>
              <w:ind w:right="80"/>
              <w:spacing w:after="0"/>
              <w:rPr>
                <w:sz w:val="20"/>
                <w:szCs w:val="20"/>
                <w:color w:val="auto"/>
              </w:rPr>
            </w:pPr>
            <w:r>
              <w:rPr>
                <w:rFonts w:ascii="Arial" w:cs="Arial" w:eastAsia="Arial" w:hAnsi="Arial"/>
                <w:sz w:val="18"/>
                <w:szCs w:val="18"/>
                <w:color w:val="auto"/>
              </w:rPr>
              <w:t>46 %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D1D2D4"/>
          </w:tcPr>
          <w:p>
            <w:pPr>
              <w:spacing w:after="0"/>
              <w:rPr>
                <w:sz w:val="21"/>
                <w:szCs w:val="21"/>
                <w:color w:val="auto"/>
              </w:rPr>
            </w:pPr>
          </w:p>
        </w:tc>
        <w:tc>
          <w:tcPr>
            <w:tcW w:w="800" w:type="dxa"/>
            <w:vAlign w:val="bottom"/>
            <w:gridSpan w:val="2"/>
            <w:shd w:val="clear" w:color="auto" w:fill="D1D2D4"/>
          </w:tcPr>
          <w:p>
            <w:pPr>
              <w:jc w:val="right"/>
              <w:ind w:right="100"/>
              <w:spacing w:after="0"/>
              <w:rPr>
                <w:sz w:val="20"/>
                <w:szCs w:val="20"/>
                <w:color w:val="auto"/>
              </w:rPr>
            </w:pPr>
            <w:r>
              <w:rPr>
                <w:rFonts w:ascii="Arial" w:cs="Arial" w:eastAsia="Arial" w:hAnsi="Arial"/>
                <w:sz w:val="18"/>
                <w:szCs w:val="18"/>
                <w:color w:val="auto"/>
              </w:rPr>
              <w:t>(4)% $</w:t>
            </w: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4,864</w:t>
            </w:r>
          </w:p>
        </w:tc>
        <w:tc>
          <w:tcPr>
            <w:tcW w:w="320" w:type="dxa"/>
            <w:vAlign w:val="bottom"/>
            <w:shd w:val="clear" w:color="auto" w:fill="D1D2D4"/>
          </w:tcPr>
          <w:p>
            <w:pPr>
              <w:spacing w:after="0"/>
              <w:rPr>
                <w:sz w:val="21"/>
                <w:szCs w:val="21"/>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1,852</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2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8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504</w:t>
            </w:r>
          </w:p>
        </w:tc>
        <w:tc>
          <w:tcPr>
            <w:tcW w:w="320" w:type="dxa"/>
            <w:vAlign w:val="bottom"/>
            <w:shd w:val="clear" w:color="auto" w:fill="D1D2D4"/>
          </w:tcPr>
          <w:p>
            <w:pPr>
              <w:spacing w:after="0"/>
              <w:rPr>
                <w:sz w:val="19"/>
                <w:szCs w:val="19"/>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35 %</w:t>
            </w:r>
          </w:p>
        </w:tc>
        <w:tc>
          <w:tcPr>
            <w:tcW w:w="20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12 %</w:t>
            </w:r>
          </w:p>
        </w:tc>
        <w:tc>
          <w:tcPr>
            <w:tcW w:w="22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1,347</w:t>
            </w:r>
          </w:p>
        </w:tc>
        <w:tc>
          <w:tcPr>
            <w:tcW w:w="32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34 %</w:t>
            </w:r>
          </w:p>
        </w:tc>
      </w:tr>
      <w:tr>
        <w:trPr>
          <w:trHeight w:val="236"/>
        </w:trPr>
        <w:tc>
          <w:tcPr>
            <w:tcW w:w="2640" w:type="dxa"/>
            <w:vAlign w:val="bottom"/>
          </w:tcPr>
          <w:p>
            <w:pPr>
              <w:ind w:left="20"/>
              <w:spacing w:after="0"/>
              <w:rPr>
                <w:sz w:val="20"/>
                <w:szCs w:val="20"/>
                <w:color w:val="auto"/>
              </w:rPr>
            </w:pPr>
            <w:r>
              <w:rPr>
                <w:rFonts w:ascii="Arial" w:cs="Arial" w:eastAsia="Arial" w:hAnsi="Arial"/>
                <w:sz w:val="18"/>
                <w:szCs w:val="18"/>
                <w:color w:val="auto"/>
              </w:rPr>
              <w:t>SBU</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221</w:t>
            </w:r>
          </w:p>
        </w:tc>
        <w:tc>
          <w:tcPr>
            <w:tcW w:w="3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(1,215)</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6"/>
        </w:trPr>
        <w:tc>
          <w:tcPr>
            <w:tcW w:w="26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shd w:val="clear" w:color="auto" w:fill="D1D2D4"/>
          </w:tcPr>
          <w:p>
            <w:pPr>
              <w:spacing w:after="0"/>
              <w:rPr>
                <w:sz w:val="20"/>
                <w:szCs w:val="20"/>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40 %</w:t>
            </w:r>
          </w:p>
        </w:tc>
        <w:tc>
          <w:tcPr>
            <w:tcW w:w="140" w:type="dxa"/>
            <w:vAlign w:val="bottom"/>
            <w:tcBorders>
              <w:bottom w:val="single" w:sz="8" w:color="auto"/>
            </w:tcBorders>
            <w:shd w:val="clear" w:color="auto" w:fill="D1D2D4"/>
          </w:tcPr>
          <w:p>
            <w:pPr>
              <w:spacing w:after="0"/>
              <w:rPr>
                <w:sz w:val="20"/>
                <w:szCs w:val="20"/>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D1D2D4"/>
          </w:tcPr>
          <w:p>
            <w:pPr>
              <w:spacing w:after="0"/>
              <w:rPr>
                <w:sz w:val="20"/>
                <w:szCs w:val="20"/>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Borders>
              <w:bottom w:val="single" w:sz="8" w:color="auto"/>
            </w:tcBorders>
            <w:shd w:val="clear" w:color="auto" w:fill="D1D2D4"/>
          </w:tcPr>
          <w:p>
            <w:pPr>
              <w:spacing w:after="0"/>
              <w:rPr>
                <w:sz w:val="20"/>
                <w:szCs w:val="20"/>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D1D2D4"/>
          </w:tcPr>
          <w:p>
            <w:pPr>
              <w:spacing w:after="0"/>
              <w:rPr>
                <w:sz w:val="20"/>
                <w:szCs w:val="20"/>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25 %</w:t>
            </w:r>
          </w:p>
        </w:tc>
        <w:tc>
          <w:tcPr>
            <w:tcW w:w="200" w:type="dxa"/>
            <w:vAlign w:val="bottom"/>
            <w:tcBorders>
              <w:bottom w:val="single" w:sz="8" w:color="auto"/>
            </w:tcBorders>
            <w:shd w:val="clear" w:color="auto" w:fill="D1D2D4"/>
          </w:tcPr>
          <w:p>
            <w:pPr>
              <w:spacing w:after="0"/>
              <w:rPr>
                <w:sz w:val="20"/>
                <w:szCs w:val="20"/>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Borders>
              <w:bottom w:val="single" w:sz="8" w:color="auto"/>
            </w:tcBorders>
            <w:shd w:val="clear" w:color="auto" w:fill="D1D2D4"/>
          </w:tcPr>
          <w:p>
            <w:pPr>
              <w:spacing w:after="0"/>
              <w:rPr>
                <w:sz w:val="20"/>
                <w:szCs w:val="20"/>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D1D2D4"/>
          </w:tcPr>
          <w:p>
            <w:pPr>
              <w:spacing w:after="0"/>
              <w:rPr>
                <w:sz w:val="20"/>
                <w:szCs w:val="20"/>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r>
      <w:tr>
        <w:trPr>
          <w:trHeight w:val="223"/>
        </w:trPr>
        <w:tc>
          <w:tcPr>
            <w:tcW w:w="26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(1,349)</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3,144</w:t>
            </w:r>
          </w:p>
        </w:tc>
        <w:tc>
          <w:tcPr>
            <w:tcW w:w="3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(2,061)</w:t>
            </w:r>
          </w:p>
        </w:tc>
        <w:tc>
          <w:tcPr>
            <w:tcW w:w="3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8,619</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Changes in operating income or loss for each business unit for the third quarter of 2023 as compared to the second quarter of 2023 were as follows:</w:t>
      </w:r>
    </w:p>
    <w:p>
      <w:pPr>
        <w:spacing w:after="0" w:line="201" w:lineRule="exact"/>
        <w:rPr>
          <w:sz w:val="20"/>
          <w:szCs w:val="20"/>
          <w:color w:val="auto"/>
        </w:rPr>
      </w:pPr>
    </w:p>
    <w:p>
      <w:pPr>
        <w:ind w:left="660" w:right="440" w:hanging="328"/>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operating loss increased primarily due to declines in average selling prices and higher manufacturing costs per bit due to increased facility underutilization.</w:t>
      </w:r>
    </w:p>
    <w:p>
      <w:pPr>
        <w:ind w:left="660" w:right="11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operating loss increased primarily due to declines in average selling prices for both DRAM and NAND and higher manufacturing costs per bit due to increased facility underutilization.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for both DRAM and NAND.</w:t>
      </w:r>
    </w:p>
    <w:p>
      <w:pPr>
        <w:spacing w:after="0" w:line="9" w:lineRule="exact"/>
        <w:rPr>
          <w:rFonts w:ascii="Arial" w:cs="Arial" w:eastAsia="Arial" w:hAnsi="Arial"/>
          <w:sz w:val="18"/>
          <w:szCs w:val="18"/>
          <w:color w:val="auto"/>
        </w:rPr>
      </w:pPr>
    </w:p>
    <w:p>
      <w:pPr>
        <w:ind w:left="660" w:right="58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operating loss increased primarily due to declines in average selling prices and higher manufacturing costs per bit due to increased facility underutilization.</w:t>
      </w:r>
    </w:p>
    <w:p>
      <w:pPr>
        <w:spacing w:after="0" w:line="213" w:lineRule="exact"/>
        <w:rPr>
          <w:sz w:val="20"/>
          <w:szCs w:val="20"/>
          <w:color w:val="auto"/>
        </w:rPr>
      </w:pPr>
    </w:p>
    <w:p>
      <w:pPr>
        <w:ind w:right="980"/>
        <w:spacing w:after="0" w:line="275" w:lineRule="auto"/>
        <w:rPr>
          <w:sz w:val="20"/>
          <w:szCs w:val="20"/>
          <w:color w:val="auto"/>
        </w:rPr>
      </w:pPr>
      <w:r>
        <w:rPr>
          <w:rFonts w:ascii="Arial" w:cs="Arial" w:eastAsia="Arial" w:hAnsi="Arial"/>
          <w:sz w:val="18"/>
          <w:szCs w:val="18"/>
          <w:color w:val="auto"/>
        </w:rPr>
        <w:t>Changes in operating income or loss for each business unit for the third quarter and first nine months of 2023 as compared to the corresponding periods of 2022 were as follows:</w:t>
      </w:r>
    </w:p>
    <w:p>
      <w:pPr>
        <w:spacing w:after="0" w:line="20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operating income (loss) declined primarily due to declines in average selling prices and lower bit shipments.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operating income (loss) declined primarily due to declines in average selling prices and lower NAND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operating income (loss) declined primarily due to declines in average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426085</wp:posOffset>
            </wp:positionV>
            <wp:extent cx="659765"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1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R&amp;D expenses for the third quarter of 2023 were 4% lower as compared to the second quarter of 2023 primarily due to lower volumes of development and prequalification wafers and decreases in employee compensation. R&amp;D expenses for the third quarter of 2023 were relatively unchanged compared to the third quarter of 2022 as decreases in employee compensation were offset by higher depreciation expense. R&amp;D expenses for the first nine months of 2023 were 5% higher as compared to the first nine months of 2022 primarily due to higher volumes of development and prequalification wafers and higher depreciation expense.</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third quarter of 2023 were 5% lower as compared to the second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primarily due to decreases in legal fees, employee compensation, and professional services. SG&amp;A expenses for the third quarter and first nine months of 2023 decreased 17% and 11%, respectively, as compared to the corresponding periods of 2022, primarily due to decreases in employee compensation, legal fees, professional services, and advertising.</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Interest Income (Expense),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(expense) for the third quarter of 2023 was relatively unchanged compared to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2023. Interest income (expense) improved for the third quarter and first nine months of 2023 as compared to the corresponding periods of 2022, primarily as a result of increases in interest income due to higher interest rates on our cash and investments, partially offset by increases in interest expense due to higher debt balances.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Third Quarter</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Second Quarter</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Third Quarter</w:t>
            </w:r>
          </w:p>
        </w:tc>
        <w:tc>
          <w:tcPr>
            <w:tcW w:w="340" w:type="dxa"/>
            <w:vAlign w:val="bottom"/>
            <w:tcBorders>
              <w:bottom w:val="single" w:sz="8" w:color="0090DA"/>
            </w:tcBorders>
          </w:tcPr>
          <w:p>
            <w:pPr>
              <w:spacing w:after="0"/>
              <w:rPr>
                <w:sz w:val="21"/>
                <w:szCs w:val="21"/>
                <w:color w:val="auto"/>
              </w:rPr>
            </w:pPr>
          </w:p>
        </w:tc>
        <w:tc>
          <w:tcPr>
            <w:tcW w:w="2680" w:type="dxa"/>
            <w:vAlign w:val="bottom"/>
            <w:tcBorders>
              <w:bottom w:val="single" w:sz="8" w:color="0090DA"/>
            </w:tcBorders>
            <w:gridSpan w:val="3"/>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3060" w:type="dxa"/>
            <w:vAlign w:val="bottom"/>
            <w:tcBorders>
              <w:bottom w:val="single" w:sz="8" w:color="0090DA"/>
            </w:tcBorders>
          </w:tcPr>
          <w:p>
            <w:pPr>
              <w:spacing w:after="0"/>
              <w:rPr>
                <w:sz w:val="19"/>
                <w:szCs w:val="19"/>
                <w:color w:val="auto"/>
              </w:rPr>
            </w:pPr>
          </w:p>
        </w:tc>
        <w:tc>
          <w:tcPr>
            <w:tcW w:w="800" w:type="dxa"/>
            <w:vAlign w:val="bottom"/>
            <w:tcBorders>
              <w:bottom w:val="single" w:sz="8" w:color="0090DA"/>
            </w:tcBorders>
          </w:tcPr>
          <w:p>
            <w:pPr>
              <w:spacing w:after="0"/>
              <w:rPr>
                <w:sz w:val="19"/>
                <w:szCs w:val="19"/>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0090DA"/>
            </w:tcBorders>
          </w:tcPr>
          <w:p>
            <w:pPr>
              <w:spacing w:after="0"/>
              <w:rPr>
                <w:sz w:val="19"/>
                <w:szCs w:val="19"/>
                <w:color w:val="auto"/>
              </w:rPr>
            </w:pPr>
          </w:p>
        </w:tc>
        <w:tc>
          <w:tcPr>
            <w:tcW w:w="13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0090DA"/>
            </w:tcBorders>
          </w:tcPr>
          <w:p>
            <w:pPr>
              <w:spacing w:after="0"/>
              <w:rPr>
                <w:sz w:val="19"/>
                <w:szCs w:val="19"/>
                <w:color w:val="auto"/>
              </w:rPr>
            </w:pPr>
          </w:p>
        </w:tc>
        <w:tc>
          <w:tcPr>
            <w:tcW w:w="11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34"/>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8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(1,753)</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2,988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(4,200)</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8,018</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8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(358)</w:t>
            </w:r>
          </w:p>
        </w:tc>
        <w:tc>
          <w:tcPr>
            <w:tcW w:w="34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(832)</w:t>
            </w:r>
          </w:p>
        </w:tc>
      </w:tr>
      <w:tr>
        <w:trPr>
          <w:trHeight w:val="229"/>
        </w:trPr>
        <w:tc>
          <w:tcPr>
            <w:tcW w:w="3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80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12.0 %</w:t>
            </w:r>
          </w:p>
        </w:tc>
        <w:tc>
          <w:tcPr>
            <w:tcW w:w="34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10.4 %</w:t>
            </w:r>
          </w:p>
        </w:tc>
      </w:tr>
    </w:tbl>
    <w:p>
      <w:pPr>
        <w:spacing w:after="0" w:line="3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changes in our effective tax rate for the third quarter and first nine months of 2023 as compared to the corresponding periods of 2022 were primarily due to pre-tax losses incurred in the first nine months of 2023. Despite a consolidated pre-tax loss on a worldwide basis, we have taxes payable in certain geographies due to minimum taxable income reportable in those geographies. The increase in our effective tax rate for the third quarter of 2023 as compared to the second quarter of 2023 was driven by discrete items related to tax return filings and changes in current and prior year uncertain tax positions.</w:t>
      </w:r>
    </w:p>
    <w:p>
      <w:pPr>
        <w:spacing w:after="0" w:line="219"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As a result of a loss before taxes and geographical mix of income, the benefit from tax incentive arrangements was not material for the first nine months of 2023. These arrangements reduced our tax provision by $361 million (benefiting our diluted earnings per share by $0.32) for the third quarter of 2022 and $955 million ($0.85 per diluted share) for the first nine months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on other items can be found in the following notes contained in “Item 1. Financial Statements – Notes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Other Non-Operating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7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$11.33 billion as of June 1, 2023, and $10.98 billion as of September 1, 2022.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June 1, 2023, $1.98 billion of our cash and marketable investments was held by our foreign subsidiaries.</w:t>
      </w:r>
    </w:p>
    <w:p>
      <w:pPr>
        <w:spacing w:after="0" w:line="22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continuously evaluate alternatives for efficiently funding our capital expenditures and ongoing operations. We expect, from time to time, to engage in a variety of financing transactions for such purposes, including the issuance of securities. As of June 1, 2023, $2.50 billion was available to draw under our Revolving Credit Facility. On March 27, 2023, we entered into amendments to the Term Loan Agreement and the agreements governing the Revolving Credit Facility and the 2024 Term Loan A to revise the leverage ratio covenant in each such agreement, as further described in “Item 1. Financial Statements – Notes to Consolidated Financial Statements – Debt.” Funding of certain significant capital projects is also dependent on the receipt of government incentives, which are subject to conditions and may not be obtained.</w:t>
      </w: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2023 for property, plant, and equipment, net of partner contributions, to be approximately $7.0 billion. Actual amounts for 2023 will vary depending on market conditions. As of June 1, 2023, we had purchase obligations of approximately $2.70 billion for the acquisition of property, plant, and equipment, of which approximately $1.74 billion is expected to be paid within one year. For a description of other contractual obligations, such as leases, debt, and commitments, see “Item 1. Financial Statements – Notes to Consolidated Financial Statements – Leases,” “ – Debt,” and “ – Commitments.”</w:t>
      </w:r>
    </w:p>
    <w:p>
      <w:pPr>
        <w:spacing w:after="0" w:line="22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support expected memory demand in the second half of the decade, we plan to add new DRAM wafer capacity. Following the enactment of the U.S. CHIPS and Science Act of 2022 (“CHIPS Act”),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is expected to begin in calendar 2023 with DRAM production targeted to start in calendar 2025 and first output in early calendar 2026. In addition, in October 2022, we announced plans to build a second leading-edge DRAM manufacturing fab in Clay, New York. We plan to start site preparation work in calendar 2023 and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w:t>
      </w:r>
    </w:p>
    <w:p>
      <w:pPr>
        <w:spacing w:after="0" w:line="223"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We are also advancing our global back-end assembly and test network in order to support our product portfolio and extend our ability to deliver on global customer demand in the future. We intend to make investments at our back-end facility in Xi’an, China, including a new building to provide space to add more product capability, to allow us over time to serve more of the demand from our customers in China from the Xi’an facility. We also intend to build a new assembly and test facility in Gujarat, India to address demand in the latter half of this decade.</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plan to allocate an amount equal to the net proceeds to fund eligible sustainability-focused projects involving renewable energy, green buildings, energy efficiency, water management, waste abatement, and a circular economy. Through November 1, 2022, the date of our 2022 Green Bond Report, we had allocated $676 million toward this commitment. We currently anticipate that 100% of net proceeds of the 2032 Green Bonds will be allocated and dispersed for eligible projects by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421640</wp:posOffset>
            </wp:positionV>
            <wp:extent cx="65976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June 1, 2023, we had repurchased an aggregate of $6.89 billion of the authorized amount. See “Item 1. Financial Statements – Notes to Consolidated Financial Statements – Equity.”</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28, 2023, our Board of Directors declared a quarterly dividend of $0.115 per share, payable in cash on July 25, 2023, to shareholders of record as of the close of business on July 10, 2023.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1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360" w:type="dxa"/>
            <w:vAlign w:val="bottom"/>
          </w:tcPr>
          <w:p>
            <w:pPr>
              <w:spacing w:after="0"/>
              <w:rPr>
                <w:sz w:val="21"/>
                <w:szCs w:val="21"/>
                <w:color w:val="auto"/>
              </w:rPr>
            </w:pPr>
          </w:p>
        </w:tc>
        <w:tc>
          <w:tcPr>
            <w:tcW w:w="300" w:type="dxa"/>
            <w:vAlign w:val="bottom"/>
            <w:tcBorders>
              <w:bottom w:val="single" w:sz="8" w:color="0090DA"/>
            </w:tcBorders>
          </w:tcPr>
          <w:p>
            <w:pPr>
              <w:spacing w:after="0"/>
              <w:rPr>
                <w:sz w:val="21"/>
                <w:szCs w:val="21"/>
                <w:color w:val="auto"/>
              </w:rPr>
            </w:pPr>
          </w:p>
        </w:tc>
        <w:tc>
          <w:tcPr>
            <w:tcW w:w="2580" w:type="dxa"/>
            <w:vAlign w:val="bottom"/>
            <w:tcBorders>
              <w:bottom w:val="single" w:sz="8" w:color="0090DA"/>
            </w:tcBorders>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8360" w:type="dxa"/>
            <w:vAlign w:val="bottom"/>
            <w:tcBorders>
              <w:bottom w:val="single" w:sz="8" w:color="0090DA"/>
            </w:tcBorders>
          </w:tcPr>
          <w:p>
            <w:pPr>
              <w:spacing w:after="0"/>
              <w:rPr>
                <w:sz w:val="19"/>
                <w:szCs w:val="19"/>
                <w:color w:val="auto"/>
              </w:rPr>
            </w:pPr>
          </w:p>
        </w:tc>
        <w:tc>
          <w:tcPr>
            <w:tcW w:w="3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11,404</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(7,761)</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5,095</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(2,140)</w:t>
            </w:r>
          </w:p>
        </w:tc>
      </w:tr>
      <w:tr>
        <w:trPr>
          <w:trHeight w:val="243"/>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1,031</w:t>
            </w:r>
          </w:p>
        </w:tc>
        <w:tc>
          <w:tcPr>
            <w:tcW w:w="34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 The decrease in cash provided by operating activities for the first nine months of 2023 as compared to the first nine months of 2022 was primarily due to a net loss in the current year adjusted for non-cash items and the effect of an increase in inventories and a decline in accounts payable and accrued expenses, partially offset by a decrease in receivables.</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nine months of 2023, net cash used for investing activities consisted primarily of $6.22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for property, plant, and equipment; inflows of $248 million of partner contributions for capital expenditures; and $696 million of net inflows from maturities, sales, and purchases of available-for-sale securities.</w:t>
      </w:r>
    </w:p>
    <w:p>
      <w:pPr>
        <w:spacing w:after="0" w:line="20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first nine months of 2022, net cash used for investing activities consisted primarily of $8.45 billion of expenditures for property, plant, and equipment; inflows of $104 million of partner contributions for capital expenditures; $888 million of net inflows from the sale of the Lehi, Utah fab; and $137 million of net outflows from purchases, sales, and maturities of available-for-sale securities.</w:t>
      </w:r>
    </w:p>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nine months of 2023, net cash provided by financing activities consisted primarily of $3.20 billion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our 2025, 2026, and 2027 Term Loan A borrowings, $1.27 billion from the issuance of the 2029 B Notes, $ 896 million from the issuance of the 2033 B Notes, $749 million from the issuance of the 2033 A Notes, and $599 million from the issuance of the 2028 Notes. See “Item 1. Financial Statements – Notes to Consolidated Financial Statements – Debt.” Cash used for financing activities included $706 million for repayments of debt, $425 million for the acquisition of 8.6 million shares of our common stock under our share repurchase authorization, $378 million for payments of dividends to shareholders, and $112 million of payments on equipment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first nine months of 2022, net cash used for financing activities included $2.01 billion for repayments of debt primarily to redeem the 2023 Notes and 2024 Notes, $1.65 billion for the acquisition of 22.2 million shares of our common stock under our share repurchase authorization, $335 million for payments of dividends to shareholders, and $132 million of payments on equipment purchase contracts. Cash used for financing activities was partially offset by aggregate proceeds of $2.00 billion from the issuance of the unsecured 2032 Green Bonds, 2041 Notes, and 2051 Notes.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7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1, 2022. Except for the significant accounting estimate associated with inventories as discussed below, there have been no changes to our critical accounting estimates since our Annual Report on Form 10-K for the year ended September 1, 2022.</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first-in, first-out (“FIFO”)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Cost includes depreciation, labor, material, and overhead costs, including product and process technology costs. Determining net realizable value of inventories involves significant judgments, including projecting future average selling prices, future sales volumes, and estimated costs to complete.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 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decrease in forecasted average selling prices would have increased the estimated inventory net realizable value write-down in the third quarter of 2023 by approximately $500 million.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22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cost or net realizable value analysis and categorize all inventories (including DRAM, NAND, and other memory) as a single group.</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588010</wp:posOffset>
            </wp:positionV>
            <wp:extent cx="65976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exposed to interest rate risk related to our indebtedness. As of June 1, 2023 and September 1, 2022, we had fixed-rate debt with an aggregate carrying value of $7.52 billion and $4.03 billion, respectively, and as a result, the fair value of our debt fluctuates with changes in market interest rates. In the first nine months of 2023, we issued $3.50 billion principal amount of new fixed-rate debt. We estimate that, as of June 1, 2023 and September 1, 2022, a hypothetical 1% decrease in market interest rates would increase the fair value of our fixed-rate debt by approximately $495 million and $275 million, respectively.</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of June 1, 2023 and September 1, 2022, we had floating-rate debt as well as fixed-rate debt that is swapped to floating-rate debt with an aggregate principal amount of $4.66 billion and $2.09 billion, respectively. In the first nine months of 2023, we borrowed $3.20 billion principal amount of new floating-rate debt. We estimate that, as of June 1, 2023 and September 1, 2022, a hypothetical 1% increase in the interest rates of this floating-rate debt would result in an increase in annual interest expense of approximately $47 million and $21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September 1, 2022.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During the third quarter of 2023,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1, 2022, and the sections titled “Part I. Financial Information – Item 1. Financial Statements – Notes to Consolidated Financial Statements – Contingencies” and “Item 1A. Risk Factors” in this Quarterly Report on Form 10-Q, as well as in our Quarterly Reports on Form 10-Q for the first and second quarters of 2023.</w:t>
      </w:r>
    </w:p>
    <w:p>
      <w:pPr>
        <w:spacing w:after="0" w:line="217"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3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range of factors that may adversely affect our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or maintaining certain performance or other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ESG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3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impacts of government actions and 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ESG considerations.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amount and frequency of our common stock repurchases and payment of cash dividends and resulting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426085</wp:posOffset>
            </wp:positionV>
            <wp:extent cx="65976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example, average selling prices for both DRAM and NAND declined approximately 50% for the third quarter of 2023 as compared to the fourth quarter of 2022. Since 2017, annual percentage changes in DRAM average selling prices have ranged from approximately plus 35% to minus 35%. Since 2017, annual percentage changes in NAND average selling prices have ranged from nearly flat to approximately minus 50%. In current and recent periods, average selling prices for our products have been below our manufacturing costs and we may experience such circumstances in the future. Average selling prices for our products that decline faster than our costs have recently had an adverse effect on our business and results of operations, and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Our gross margins may be adversely affected by a range of factors.</w:t>
      </w:r>
    </w:p>
    <w:p>
      <w:pPr>
        <w:spacing w:after="0" w:line="26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21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manufacturing costs per gigabit due to fab underutilization.</w:t>
      </w:r>
    </w:p>
    <w:p>
      <w:pPr>
        <w:spacing w:after="0" w:line="2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See “Part I. Financial Information – Item 2. Management’s Discussion and Analysis of Financial Condition and Results of Operations – Overview – Industry Conditions” for information regarding our current underutilization. A significant portion of our manufacturing costs are fixed and do not vary proportionally with changes in production output. As a result, lower utilization and corresponding increases in our per gigabit manufacturing costs have resulted in higher inventory carrying costs, and have had, and may continue to have, an adverse effect our gross margins, business, results of operations, or financial condition.</w:t>
      </w:r>
    </w:p>
    <w:p>
      <w:pPr>
        <w:spacing w:after="0" w:line="21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For example, in the first nine months of 2023, we recorded aggregate charges of $1.83 billion to write down the carrying value of our inventories to their estimated net realizable value. In addition, due to the customized nature of certain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Our inability to prevent deterioration of or improve gross margins could have a material adverse effect on our business, results of operations,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Corporation;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1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In addition, the Chinese government may restrict us from fully participating in the China market or may prevent us from competing effectively with Chinese companies. For example, following the May 21, 2023 conclusion of its cybersecurity review of our products sold in China, the CAC determined that critical information infrastructure operators in China cannot purchase Micron products, which we expect will negatively impact our revenue with companies headquartered in mainland China and Hong Kong, including direct sales as well as indirect sales through distributors. Some revenue with customers headquartered outside of China could also be impacted. As we try to mitigate possible impacts due to the CAC decision, revenue may come at lower prices or gross margins due to product or customer mix changes, which may impact our business results. Further actions by China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433705</wp:posOffset>
            </wp:positionV>
            <wp:extent cx="65976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Downturns in the worldwide economy,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22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9"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 and products.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4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6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412750</wp:posOffset>
            </wp:positionV>
            <wp:extent cx="65976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color w:val="0090DA"/>
        </w:rPr>
        <w:t>We face geopolitical and other risks associated with our international operations that could materially adversely affect our business, results of operations, or financial condition.</w:t>
      </w:r>
    </w:p>
    <w:p>
      <w:pPr>
        <w:spacing w:after="0" w:line="166"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2022, nearly half of our revenue was from sales to customers who have headquarters located outside the United States, while over 80% of our revenue in 2022 was from products shipped to customer locations outside the United States.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right="10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4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w:t>
      </w:r>
    </w:p>
    <w:p>
      <w:pPr>
        <w:spacing w:after="0" w:line="20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Following the May 21, 2023 conclusion of its cybersecurity review of our products sold in China, the CAC determined that critical information infrastructure operators in China cannot purchase Micron products, which we expect will negatively impact our revenue with companies headquartered in mainland China and Hong Kong, including direct sales as well as indirect sales through distributors. Some revenue with customers headquartered outside of China could also be impacted. As we try to mitigate possible impacts due to the CAC decision, revenue may come at lower prices or gross margins due to product or customer mix changes, which may impact our business results. Further actions by China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Political, economic, or other actions may adversely affect our operations in Taiwan. A majority of our DRAM production output in 2022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166"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421005</wp:posOffset>
            </wp:positionV>
            <wp:extent cx="659765" cy="180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2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effects of the COVID-19 pandemic could adversely affect our business, results of operations, and financial condition.</w:t>
      </w:r>
    </w:p>
    <w:p>
      <w:pPr>
        <w:spacing w:after="0" w:line="26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effects of the public health crisis caused by the COVID-19 pandemic and the measures to limit COVID-19’s impact on our business, results of operations, and financial condition are uncertain and difficult to predict, but may include, and in some cases, have included and may continue to include:</w:t>
      </w:r>
    </w:p>
    <w:p>
      <w:pPr>
        <w:spacing w:after="0" w:line="21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supply chains, construction projects, or our operations or those of our subcontractors;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or unavailability of inputs necessary for the operation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Impacts to customer demand, resulting in industry oversupply and declines in pricing for our products.</w:t>
      </w:r>
    </w:p>
    <w:p>
      <w:pPr>
        <w:spacing w:after="0" w:line="24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These effects and other impacts of the pandemic, alone or taken together, could have a material adverse effect on our business, results of operations, or financial condition.</w:t>
      </w:r>
    </w:p>
    <w:p>
      <w:pPr>
        <w:spacing w:after="0" w:line="191"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18"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28" w:lineRule="exact"/>
        <w:rPr>
          <w:sz w:val="20"/>
          <w:szCs w:val="20"/>
          <w:color w:val="auto"/>
        </w:rPr>
      </w:pPr>
    </w:p>
    <w:p>
      <w:pPr>
        <w:ind w:left="660" w:right="10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ind w:left="660" w:right="5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42" w:lineRule="exact"/>
        <w:rPr>
          <w:sz w:val="20"/>
          <w:szCs w:val="20"/>
          <w:color w:val="auto"/>
        </w:rPr>
      </w:pPr>
    </w:p>
    <w:p>
      <w:pPr>
        <w:ind w:right="720"/>
        <w:spacing w:after="0" w:line="301"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422910</wp:posOffset>
            </wp:positionV>
            <wp:extent cx="65976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like COVID-19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7"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or other third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34"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ind w:right="40"/>
        <w:spacing w:after="0" w:line="254"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6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employees. Competition for experienced employees in our industry can be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not be able to achieve expected returns from capacity expansions.</w:t>
      </w:r>
    </w:p>
    <w:p>
      <w:pPr>
        <w:spacing w:after="0" w:line="262"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color w:val="auto"/>
        </w:rPr>
        <w:t>We have announced our intent to expand our DRAM production capacity in the United States and we also make capital investments in projects outside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CHIPS Act and foreign, state, and local grants;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customer demand to utilize our increased capacity.</w:t>
      </w:r>
    </w:p>
    <w:p>
      <w:pPr>
        <w:spacing w:after="0" w:line="24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433705</wp:posOffset>
            </wp:positionV>
            <wp:extent cx="65976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or other obligations and are subject to reduction, termination, clawback, or could impose certain limitations on our business.</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or other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Acquisitions and/or alliances involve numerous risks.</w:t>
      </w:r>
    </w:p>
    <w:p>
      <w:pPr>
        <w:spacing w:after="0" w:line="26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20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21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color w:val="0090DA"/>
        </w:rPr>
        <w:t>We have incurred restructure charges and may incur restructure charges in future periods and may not realize expected savings or other benefits from restructure activities.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2023, we initiated a restructure plan in response to current market conditions. See “Part I. Financial Information – Item 1. Financial Statements – Notes to Consolidated Financial Statements – Restructure and Asset Impairments” and “Part I. Financial Information – Item 2. Management’s Discussion and Analysis of Financial Condition and Results of Operations – Overview.”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1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ESG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12" w:lineRule="exact"/>
        <w:rPr>
          <w:sz w:val="20"/>
          <w:szCs w:val="20"/>
          <w:color w:val="auto"/>
        </w:rPr>
      </w:pPr>
    </w:p>
    <w:p>
      <w:pPr>
        <w:ind w:right="980"/>
        <w:spacing w:after="0" w:line="301" w:lineRule="auto"/>
        <w:rPr>
          <w:sz w:val="20"/>
          <w:szCs w:val="20"/>
          <w:color w:val="auto"/>
        </w:rPr>
      </w:pPr>
      <w:r>
        <w:rPr>
          <w:rFonts w:ascii="Arial" w:cs="Arial" w:eastAsia="Arial" w:hAnsi="Arial"/>
          <w:sz w:val="18"/>
          <w:szCs w:val="18"/>
          <w:b w:val="1"/>
          <w:bCs w:val="1"/>
          <w:color w:val="0090DA"/>
        </w:rPr>
        <w:t>Failure to meet ESG expectations or standards or achieve our ESG goals could adversely affect our business, results of operations, financial condition, or stock price.</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recent years, there has been an increased focus from stakeholders on ESG matters, including greenhouse gas emissions and climate-related risks, renewable energy, water stewardship, waste management, diversity, equality and inclusion, responsible sourcing and supply chain, human rights, and social responsibility. Given our commitment to ESG,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412750</wp:posOffset>
            </wp:positionV>
            <wp:extent cx="659765" cy="180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on our ability to sell and manufacture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ESG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ESG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4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ESG goals, commitments, and targets could have an adverse effect on our business, results of operations, financial condition, or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63" w:lineRule="exact"/>
        <w:rPr>
          <w:sz w:val="20"/>
          <w:szCs w:val="20"/>
          <w:color w:val="auto"/>
        </w:rPr>
      </w:pPr>
    </w:p>
    <w:p>
      <w:pPr>
        <w:ind w:right="840"/>
        <w:spacing w:after="0" w:line="301"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1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1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2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211" w:lineRule="exact"/>
        <w:rPr>
          <w:sz w:val="20"/>
          <w:szCs w:val="20"/>
          <w:color w:val="auto"/>
        </w:rPr>
      </w:pPr>
    </w:p>
    <w:p>
      <w:pPr>
        <w:ind w:left="660" w:right="52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2"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1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21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21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411480</wp:posOffset>
            </wp:positionV>
            <wp:extent cx="65976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63"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color w:val="0090DA"/>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 For example, following the May 21, 2023 conclusion of its cybersecurity review of our products sold in China, the CAC determined that critical information infrastructure operators in China cannot purchase Micron products, which we expect will negatively impact our revenue with companies headquartered in mainland China and Hong Kong, including direct sales as well as indirect sales through distributors. Some revenue with customers headquartered outside of China could also be impacted. As we try to mitigate possible impacts due to the CAC decision, revenue may come at lower prices or gross margins due to product or customer mix changes, which may impact our business results. Further actions by China could impact additional revenue inside or outside China, or our operations in China, or our ability to ship products to our customers, any of which could have a material adverse effect on our business, results of operations, or financial condition.</w:t>
      </w:r>
    </w:p>
    <w:p>
      <w:pPr>
        <w:spacing w:after="0" w:line="2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2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Tax-related matters could have a material adverse effect on our business, results of operations, or financial condition.</w:t>
      </w:r>
    </w:p>
    <w:p>
      <w:pPr>
        <w:spacing w:after="0" w:line="2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$1 billion. The impact of this tax will depend on our facts in each year, anticipated guidance from the U.S. Department of the Treasury, and other developing global tax legislation. We are in the process of assessing whether the book minimum tax would impact our effective tax rate. Further changes in the tax laws of foreign jurisdictions could arise as a result of the base erosion and profit shifting project undertaken by the Organisation for Economic Co-operation and Development (“OECD”). In December 2022, the European Union (“EU”) member states reached an agreement to implement the minimum tax component (“Pillar Two”) of the OECD’s tax reform initiative. The directive is expected to be enacted into the national law of the EU member states by December 31, 2023. If similar directives under Pillar Two are adopted by taxing authorities in other countries where we do business, such changes could have a material adverse effect on our business, results of operations, or financial condition.</w:t>
      </w:r>
    </w:p>
    <w:p>
      <w:pPr>
        <w:spacing w:after="0" w:line="218"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ESG considerations, which may have a material adverse effect on our business, results of operations, or financial condition.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manufacture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New ESG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4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401320</wp:posOffset>
            </wp:positionV>
            <wp:extent cx="65976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63"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2023 for property, plant, and equipment, net of partner contributions, will be approximately $7.0 billion.</w:t>
      </w: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prevailing interest rates, and general capital market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June 1, 2023, we had debt with a carrying value of $ 13.25 billion and may incur additional debt, including under our $2.50 billion Revolving Credit Facility. Our debt obligations could adversely impact us as follows:</w:t>
      </w:r>
    </w:p>
    <w:p>
      <w:pPr>
        <w:spacing w:after="0" w:line="211" w:lineRule="exact"/>
        <w:rPr>
          <w:sz w:val="20"/>
          <w:szCs w:val="20"/>
          <w:color w:val="auto"/>
        </w:rPr>
      </w:pPr>
    </w:p>
    <w:p>
      <w:pPr>
        <w:ind w:left="660" w:right="420" w:hanging="328"/>
        <w:spacing w:after="0" w:line="25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In light of industry conditions, in the second quarter of 2023, we amended the financial covenants in our Revolving Credit Facility and term loan agreements. See “Part I. Financial Information - Item 1. Financial Statements – Notes to Consolidated Financial Statements – Debt.”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99" w:lineRule="exact"/>
        <w:rPr>
          <w:sz w:val="20"/>
          <w:szCs w:val="20"/>
          <w:color w:val="auto"/>
        </w:rPr>
      </w:pPr>
    </w:p>
    <w:p>
      <w:pPr>
        <w:ind w:right="500"/>
        <w:spacing w:after="0" w:line="301"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2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411480</wp:posOffset>
            </wp:positionV>
            <wp:extent cx="659765"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frequency, and execution of our share repurchases pursuant to our share repurchase authorization may fluctuate based on our operating results, cash flows, and priorities for the use of cash for other purposes. Our expenditures for share repurchases were $ 2.43 billion in 2022, $ 1.20 billion in 2021, $176 million in 2020, and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1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During the quarter ended June 1, 2023, we did not repurchase any common stock under the authorization and as of June 1, 2023, $3.11 billion of the authorization remained available for the repurchase of our common stock.</w:t>
      </w:r>
    </w:p>
    <w:p>
      <w:pPr>
        <w:spacing w:after="0" w:line="21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415925</wp:posOffset>
            </wp:positionV>
            <wp:extent cx="659765"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97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38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40" w:type="dxa"/>
            <w:vAlign w:val="bottom"/>
          </w:tcPr>
          <w:p>
            <w:pPr>
              <w:spacing w:after="0"/>
              <w:rPr>
                <w:sz w:val="17"/>
                <w:szCs w:val="17"/>
                <w:color w:val="auto"/>
              </w:rPr>
            </w:pPr>
          </w:p>
        </w:tc>
        <w:tc>
          <w:tcPr>
            <w:tcW w:w="1700" w:type="dxa"/>
            <w:vAlign w:val="bottom"/>
          </w:tcPr>
          <w:p>
            <w:pPr>
              <w:ind w:left="60"/>
              <w:spacing w:after="0"/>
              <w:rPr>
                <w:sz w:val="20"/>
                <w:szCs w:val="20"/>
                <w:color w:val="auto"/>
              </w:rPr>
            </w:pPr>
            <w:r>
              <w:rPr>
                <w:rFonts w:ascii="Arial" w:cs="Arial" w:eastAsia="Arial" w:hAnsi="Arial"/>
                <w:sz w:val="18"/>
                <w:szCs w:val="18"/>
                <w:b w:val="1"/>
                <w:bCs w:val="1"/>
                <w:color w:val="auto"/>
              </w:rPr>
              <w:t>Filed</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rPr>
              <w:t>Period</w:t>
            </w:r>
          </w:p>
        </w:tc>
        <w:tc>
          <w:tcPr>
            <w:tcW w:w="110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9"/>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380" w:type="dxa"/>
            <w:vAlign w:val="bottom"/>
            <w:tcBorders>
              <w:bottom w:val="single" w:sz="8" w:color="auto"/>
            </w:tcBorders>
            <w:gridSpan w:val="17"/>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HerewithForm</w:t>
            </w: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Ending</w:t>
            </w: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Appendix</w:t>
            </w: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3"/>
        </w:trPr>
        <w:tc>
          <w:tcPr>
            <w:tcW w:w="1020" w:type="dxa"/>
            <w:vAlign w:val="bottom"/>
            <w:shd w:val="clear" w:color="auto" w:fill="D1D2D4"/>
          </w:tcPr>
          <w:p>
            <w:pPr>
              <w:ind w:left="20"/>
              <w:spacing w:after="0" w:line="182" w:lineRule="exact"/>
              <w:rPr>
                <w:sz w:val="20"/>
                <w:szCs w:val="20"/>
                <w:color w:val="auto"/>
              </w:rPr>
            </w:pPr>
            <w:r>
              <w:rPr>
                <w:rFonts w:ascii="Arial" w:cs="Arial" w:eastAsia="Arial" w:hAnsi="Arial"/>
                <w:sz w:val="18"/>
                <w:szCs w:val="18"/>
                <w:color w:val="auto"/>
              </w:rPr>
              <w:t>4.1</w:t>
            </w:r>
          </w:p>
        </w:tc>
        <w:tc>
          <w:tcPr>
            <w:tcW w:w="5380" w:type="dxa"/>
            <w:vAlign w:val="bottom"/>
            <w:gridSpan w:val="17"/>
            <w:shd w:val="clear" w:color="auto" w:fill="D1D2D4"/>
          </w:tcPr>
          <w:p>
            <w:pPr>
              <w:spacing w:after="0" w:line="182" w:lineRule="exact"/>
              <w:rPr>
                <w:rFonts w:ascii="Arial" w:cs="Arial" w:eastAsia="Arial" w:hAnsi="Arial"/>
                <w:sz w:val="18"/>
                <w:szCs w:val="18"/>
                <w:color w:val="auto"/>
              </w:rPr>
            </w:pPr>
            <w:hyperlink r:id="rId113">
              <w:r>
                <w:rPr>
                  <w:rFonts w:ascii="Arial" w:cs="Arial" w:eastAsia="Arial" w:hAnsi="Arial"/>
                  <w:sz w:val="18"/>
                  <w:szCs w:val="18"/>
                  <w:color w:val="auto"/>
                </w:rPr>
                <w:t>Indenture, dated February 6, 2019, by and between Micron</w:t>
              </w:r>
            </w:hyperlink>
          </w:p>
        </w:tc>
        <w:tc>
          <w:tcPr>
            <w:tcW w:w="40" w:type="dxa"/>
            <w:vAlign w:val="bottom"/>
            <w:shd w:val="clear" w:color="auto" w:fill="D1D2D4"/>
          </w:tcPr>
          <w:p>
            <w:pPr>
              <w:spacing w:after="0"/>
              <w:rPr>
                <w:sz w:val="15"/>
                <w:szCs w:val="15"/>
                <w:color w:val="auto"/>
              </w:rPr>
            </w:pPr>
          </w:p>
        </w:tc>
        <w:tc>
          <w:tcPr>
            <w:tcW w:w="1700" w:type="dxa"/>
            <w:vAlign w:val="bottom"/>
            <w:shd w:val="clear" w:color="auto" w:fill="D1D2D4"/>
          </w:tcPr>
          <w:p>
            <w:pPr>
              <w:ind w:left="1080"/>
              <w:spacing w:after="0" w:line="182" w:lineRule="exact"/>
              <w:rPr>
                <w:sz w:val="20"/>
                <w:szCs w:val="20"/>
                <w:color w:val="auto"/>
              </w:rPr>
            </w:pPr>
            <w:r>
              <w:rPr>
                <w:rFonts w:ascii="Arial" w:cs="Arial" w:eastAsia="Arial" w:hAnsi="Arial"/>
                <w:sz w:val="18"/>
                <w:szCs w:val="18"/>
                <w:color w:val="auto"/>
              </w:rPr>
              <w:t>8-K</w:t>
            </w:r>
          </w:p>
        </w:tc>
        <w:tc>
          <w:tcPr>
            <w:tcW w:w="960" w:type="dxa"/>
            <w:vAlign w:val="bottom"/>
            <w:shd w:val="clear" w:color="auto" w:fill="D1D2D4"/>
          </w:tcPr>
          <w:p>
            <w:pPr>
              <w:spacing w:after="0"/>
              <w:rPr>
                <w:sz w:val="15"/>
                <w:szCs w:val="15"/>
                <w:color w:val="auto"/>
              </w:rPr>
            </w:pPr>
          </w:p>
        </w:tc>
        <w:tc>
          <w:tcPr>
            <w:tcW w:w="1100" w:type="dxa"/>
            <w:vAlign w:val="bottom"/>
            <w:shd w:val="clear" w:color="auto" w:fill="D1D2D4"/>
          </w:tcPr>
          <w:p>
            <w:pPr>
              <w:ind w:left="160"/>
              <w:spacing w:after="0" w:line="182" w:lineRule="exact"/>
              <w:rPr>
                <w:sz w:val="20"/>
                <w:szCs w:val="20"/>
                <w:color w:val="auto"/>
              </w:rPr>
            </w:pPr>
            <w:r>
              <w:rPr>
                <w:rFonts w:ascii="Arial" w:cs="Arial" w:eastAsia="Arial" w:hAnsi="Arial"/>
                <w:sz w:val="18"/>
                <w:szCs w:val="18"/>
                <w:color w:val="auto"/>
              </w:rPr>
              <w:t>4.1</w:t>
            </w:r>
          </w:p>
        </w:tc>
        <w:tc>
          <w:tcPr>
            <w:tcW w:w="1040" w:type="dxa"/>
            <w:vAlign w:val="bottom"/>
            <w:shd w:val="clear" w:color="auto" w:fill="D1D2D4"/>
          </w:tcPr>
          <w:p>
            <w:pPr>
              <w:ind w:left="120"/>
              <w:spacing w:after="0" w:line="182"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56"/>
        </w:trPr>
        <w:tc>
          <w:tcPr>
            <w:tcW w:w="1020" w:type="dxa"/>
            <w:vAlign w:val="bottom"/>
            <w:tcBorders>
              <w:top w:val="single" w:sz="8" w:color="D1D2D4"/>
            </w:tcBorders>
            <w:shd w:val="clear" w:color="auto" w:fill="D1D2D4"/>
          </w:tcPr>
          <w:p>
            <w:pPr>
              <w:spacing w:after="0"/>
              <w:rPr>
                <w:sz w:val="13"/>
                <w:szCs w:val="13"/>
                <w:color w:val="auto"/>
              </w:rPr>
            </w:pPr>
          </w:p>
        </w:tc>
        <w:tc>
          <w:tcPr>
            <w:tcW w:w="4700" w:type="dxa"/>
            <w:vAlign w:val="bottom"/>
            <w:tcBorders>
              <w:top w:val="single" w:sz="8" w:color="auto"/>
            </w:tcBorders>
            <w:gridSpan w:val="10"/>
            <w:shd w:val="clear" w:color="auto" w:fill="D1D2D4"/>
          </w:tcPr>
          <w:p>
            <w:pPr>
              <w:spacing w:after="0" w:line="156" w:lineRule="exact"/>
              <w:rPr>
                <w:rFonts w:ascii="Arial" w:cs="Arial" w:eastAsia="Arial" w:hAnsi="Arial"/>
                <w:sz w:val="18"/>
                <w:szCs w:val="18"/>
                <w:color w:val="auto"/>
              </w:rPr>
            </w:pPr>
            <w:hyperlink r:id="rId113">
              <w:r>
                <w:rPr>
                  <w:rFonts w:ascii="Arial" w:cs="Arial" w:eastAsia="Arial" w:hAnsi="Arial"/>
                  <w:sz w:val="18"/>
                  <w:szCs w:val="18"/>
                  <w:color w:val="auto"/>
                </w:rPr>
                <w:t>Technology, Inc. and U.S. Bank Trust Company, National</w:t>
              </w:r>
            </w:hyperlink>
          </w:p>
        </w:tc>
        <w:tc>
          <w:tcPr>
            <w:tcW w:w="40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1100" w:type="dxa"/>
            <w:vAlign w:val="bottom"/>
            <w:tcBorders>
              <w:top w:val="single" w:sz="8" w:color="D1D2D4"/>
            </w:tcBorders>
            <w:shd w:val="clear" w:color="auto" w:fill="D1D2D4"/>
          </w:tcPr>
          <w:p>
            <w:pPr>
              <w:spacing w:after="0"/>
              <w:rPr>
                <w:sz w:val="13"/>
                <w:szCs w:val="13"/>
                <w:color w:val="auto"/>
              </w:rPr>
            </w:pPr>
          </w:p>
        </w:tc>
        <w:tc>
          <w:tcPr>
            <w:tcW w:w="104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D1D2D4"/>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D1D2D4"/>
          </w:tcPr>
          <w:p>
            <w:pPr>
              <w:spacing w:after="0" w:line="20" w:lineRule="exact"/>
              <w:rPr>
                <w:sz w:val="1"/>
                <w:szCs w:val="1"/>
                <w:color w:val="auto"/>
              </w:rPr>
            </w:pPr>
          </w:p>
        </w:tc>
        <w:tc>
          <w:tcPr>
            <w:tcW w:w="420" w:type="dxa"/>
            <w:vAlign w:val="bottom"/>
            <w:gridSpan w:val="2"/>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8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40" w:type="dxa"/>
            <w:vAlign w:val="bottom"/>
            <w:shd w:val="clear" w:color="auto" w:fill="D1D2D4"/>
          </w:tcPr>
          <w:p>
            <w:pPr>
              <w:spacing w:after="0" w:line="20" w:lineRule="exact"/>
              <w:rPr>
                <w:sz w:val="1"/>
                <w:szCs w:val="1"/>
                <w:color w:val="auto"/>
              </w:rPr>
            </w:pPr>
          </w:p>
        </w:tc>
        <w:tc>
          <w:tcPr>
            <w:tcW w:w="20" w:type="dxa"/>
            <w:vAlign w:val="bottom"/>
            <w:shd w:val="clear" w:color="auto" w:fill="D1D2D4"/>
          </w:tcPr>
          <w:p>
            <w:pPr>
              <w:spacing w:after="0" w:line="20" w:lineRule="exact"/>
              <w:rPr>
                <w:sz w:val="1"/>
                <w:szCs w:val="1"/>
                <w:color w:val="auto"/>
              </w:rPr>
            </w:pPr>
          </w:p>
        </w:tc>
        <w:tc>
          <w:tcPr>
            <w:tcW w:w="100" w:type="dxa"/>
            <w:vAlign w:val="bottom"/>
            <w:shd w:val="clear" w:color="auto" w:fill="D1D2D4"/>
          </w:tcPr>
          <w:p>
            <w:pPr>
              <w:spacing w:after="0" w:line="20" w:lineRule="exact"/>
              <w:rPr>
                <w:sz w:val="1"/>
                <w:szCs w:val="1"/>
                <w:color w:val="auto"/>
              </w:rPr>
            </w:pPr>
          </w:p>
        </w:tc>
        <w:tc>
          <w:tcPr>
            <w:tcW w:w="40" w:type="dxa"/>
            <w:vAlign w:val="bottom"/>
            <w:shd w:val="clear" w:color="auto" w:fill="D1D2D4"/>
          </w:tcPr>
          <w:p>
            <w:pPr>
              <w:spacing w:after="0" w:line="20" w:lineRule="exact"/>
              <w:rPr>
                <w:sz w:val="1"/>
                <w:szCs w:val="1"/>
                <w:color w:val="auto"/>
              </w:rPr>
            </w:pPr>
          </w:p>
        </w:tc>
        <w:tc>
          <w:tcPr>
            <w:tcW w:w="1700" w:type="dxa"/>
            <w:vAlign w:val="bottom"/>
            <w:shd w:val="clear" w:color="auto" w:fill="D1D2D4"/>
          </w:tcPr>
          <w:p>
            <w:pPr>
              <w:spacing w:after="0" w:line="20" w:lineRule="exact"/>
              <w:rPr>
                <w:sz w:val="1"/>
                <w:szCs w:val="1"/>
                <w:color w:val="auto"/>
              </w:rPr>
            </w:pPr>
          </w:p>
        </w:tc>
        <w:tc>
          <w:tcPr>
            <w:tcW w:w="960" w:type="dxa"/>
            <w:vAlign w:val="bottom"/>
            <w:shd w:val="clear" w:color="auto" w:fill="D1D2D4"/>
          </w:tcPr>
          <w:p>
            <w:pPr>
              <w:spacing w:after="0" w:line="20" w:lineRule="exact"/>
              <w:rPr>
                <w:sz w:val="1"/>
                <w:szCs w:val="1"/>
                <w:color w:val="auto"/>
              </w:rPr>
            </w:pPr>
          </w:p>
        </w:tc>
        <w:tc>
          <w:tcPr>
            <w:tcW w:w="1100" w:type="dxa"/>
            <w:vAlign w:val="bottom"/>
            <w:shd w:val="clear" w:color="auto" w:fill="D1D2D4"/>
          </w:tcPr>
          <w:p>
            <w:pPr>
              <w:spacing w:after="0" w:line="20" w:lineRule="exact"/>
              <w:rPr>
                <w:sz w:val="1"/>
                <w:szCs w:val="1"/>
                <w:color w:val="auto"/>
              </w:rPr>
            </w:pPr>
          </w:p>
        </w:tc>
        <w:tc>
          <w:tcPr>
            <w:tcW w:w="1040" w:type="dxa"/>
            <w:vAlign w:val="bottom"/>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shd w:val="clear" w:color="auto" w:fill="D1D2D4"/>
          </w:tcPr>
          <w:p>
            <w:pPr>
              <w:spacing w:after="0"/>
              <w:rPr>
                <w:sz w:val="14"/>
                <w:szCs w:val="14"/>
                <w:color w:val="auto"/>
              </w:rPr>
            </w:pPr>
          </w:p>
        </w:tc>
        <w:tc>
          <w:tcPr>
            <w:tcW w:w="5380" w:type="dxa"/>
            <w:vAlign w:val="bottom"/>
            <w:gridSpan w:val="17"/>
            <w:shd w:val="clear" w:color="auto" w:fill="D1D2D4"/>
          </w:tcPr>
          <w:p>
            <w:pPr>
              <w:spacing w:after="0" w:line="169" w:lineRule="exact"/>
              <w:rPr>
                <w:rFonts w:ascii="Arial" w:cs="Arial" w:eastAsia="Arial" w:hAnsi="Arial"/>
                <w:sz w:val="18"/>
                <w:szCs w:val="18"/>
                <w:color w:val="auto"/>
              </w:rPr>
            </w:pPr>
            <w:hyperlink r:id="rId113">
              <w:r>
                <w:rPr>
                  <w:rFonts w:ascii="Arial" w:cs="Arial" w:eastAsia="Arial" w:hAnsi="Arial"/>
                  <w:sz w:val="18"/>
                  <w:szCs w:val="18"/>
                  <w:color w:val="auto"/>
                </w:rPr>
                <w:t>Association (as successor in interest to U.S. Bank National</w:t>
              </w:r>
            </w:hyperlink>
          </w:p>
        </w:tc>
        <w:tc>
          <w:tcPr>
            <w:tcW w:w="40" w:type="dxa"/>
            <w:vAlign w:val="bottom"/>
            <w:shd w:val="clear" w:color="auto" w:fill="D1D2D4"/>
          </w:tcPr>
          <w:p>
            <w:pPr>
              <w:spacing w:after="0"/>
              <w:rPr>
                <w:sz w:val="14"/>
                <w:szCs w:val="14"/>
                <w:color w:val="auto"/>
              </w:rPr>
            </w:pPr>
          </w:p>
        </w:tc>
        <w:tc>
          <w:tcPr>
            <w:tcW w:w="170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1100" w:type="dxa"/>
            <w:vAlign w:val="bottom"/>
            <w:shd w:val="clear" w:color="auto" w:fill="D1D2D4"/>
          </w:tcPr>
          <w:p>
            <w:pPr>
              <w:spacing w:after="0"/>
              <w:rPr>
                <w:sz w:val="14"/>
                <w:szCs w:val="14"/>
                <w:color w:val="auto"/>
              </w:rPr>
            </w:pPr>
          </w:p>
        </w:tc>
        <w:tc>
          <w:tcPr>
            <w:tcW w:w="10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20" w:type="dxa"/>
            <w:vAlign w:val="bottom"/>
            <w:tcBorders>
              <w:top w:val="single" w:sz="8" w:color="D1D2D4"/>
              <w:bottom w:val="single" w:sz="8" w:color="D1D2D4"/>
            </w:tcBorders>
            <w:shd w:val="clear" w:color="auto" w:fill="D1D2D4"/>
          </w:tcPr>
          <w:p>
            <w:pPr>
              <w:spacing w:after="0"/>
              <w:rPr>
                <w:sz w:val="15"/>
                <w:szCs w:val="15"/>
                <w:color w:val="auto"/>
              </w:rPr>
            </w:pPr>
          </w:p>
        </w:tc>
        <w:tc>
          <w:tcPr>
            <w:tcW w:w="1920" w:type="dxa"/>
            <w:vAlign w:val="bottom"/>
            <w:tcBorders>
              <w:top w:val="single" w:sz="8" w:color="auto"/>
              <w:bottom w:val="single" w:sz="8" w:color="auto"/>
            </w:tcBorders>
            <w:gridSpan w:val="3"/>
            <w:shd w:val="clear" w:color="auto" w:fill="D1D2D4"/>
          </w:tcPr>
          <w:p>
            <w:pPr>
              <w:spacing w:after="0" w:line="156" w:lineRule="exact"/>
              <w:rPr>
                <w:rFonts w:ascii="Arial" w:cs="Arial" w:eastAsia="Arial" w:hAnsi="Arial"/>
                <w:sz w:val="18"/>
                <w:szCs w:val="18"/>
                <w:color w:val="auto"/>
                <w:w w:val="98"/>
              </w:rPr>
            </w:pPr>
            <w:hyperlink r:id="rId113">
              <w:r>
                <w:rPr>
                  <w:rFonts w:ascii="Arial" w:cs="Arial" w:eastAsia="Arial" w:hAnsi="Arial"/>
                  <w:sz w:val="18"/>
                  <w:szCs w:val="18"/>
                  <w:color w:val="auto"/>
                  <w:w w:val="98"/>
                </w:rPr>
                <w:t>Association), as Trustee</w:t>
              </w:r>
            </w:hyperlink>
          </w:p>
        </w:tc>
        <w:tc>
          <w:tcPr>
            <w:tcW w:w="2760" w:type="dxa"/>
            <w:vAlign w:val="bottom"/>
            <w:tcBorders>
              <w:top w:val="single" w:sz="8" w:color="auto"/>
              <w:bottom w:val="single" w:sz="8" w:color="D1D2D4"/>
            </w:tcBorders>
            <w:gridSpan w:val="6"/>
            <w:shd w:val="clear" w:color="auto" w:fill="D1D2D4"/>
          </w:tcPr>
          <w:p>
            <w:pPr>
              <w:spacing w:after="0"/>
              <w:rPr>
                <w:sz w:val="15"/>
                <w:szCs w:val="15"/>
                <w:color w:val="auto"/>
              </w:rPr>
            </w:pPr>
          </w:p>
        </w:tc>
        <w:tc>
          <w:tcPr>
            <w:tcW w:w="420" w:type="dxa"/>
            <w:vAlign w:val="bottom"/>
            <w:tcBorders>
              <w:top w:val="single" w:sz="8" w:color="D1D2D4"/>
              <w:bottom w:val="single" w:sz="8" w:color="D1D2D4"/>
            </w:tcBorders>
            <w:gridSpan w:val="2"/>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10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shd w:val="clear" w:color="auto" w:fill="D1D2D4"/>
          </w:tcPr>
          <w:p>
            <w:pPr>
              <w:spacing w:after="0"/>
              <w:rPr>
                <w:sz w:val="15"/>
                <w:szCs w:val="15"/>
                <w:color w:val="auto"/>
              </w:rPr>
            </w:pPr>
          </w:p>
        </w:tc>
        <w:tc>
          <w:tcPr>
            <w:tcW w:w="170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1100" w:type="dxa"/>
            <w:vAlign w:val="bottom"/>
            <w:tcBorders>
              <w:top w:val="single" w:sz="8" w:color="D1D2D4"/>
              <w:bottom w:val="single" w:sz="8" w:color="D1D2D4"/>
            </w:tcBorders>
            <w:shd w:val="clear" w:color="auto" w:fill="D1D2D4"/>
          </w:tcPr>
          <w:p>
            <w:pPr>
              <w:spacing w:after="0"/>
              <w:rPr>
                <w:sz w:val="15"/>
                <w:szCs w:val="15"/>
                <w:color w:val="auto"/>
              </w:rPr>
            </w:pPr>
          </w:p>
        </w:tc>
        <w:tc>
          <w:tcPr>
            <w:tcW w:w="104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380" w:type="dxa"/>
            <w:vAlign w:val="bottom"/>
            <w:tcBorders>
              <w:bottom w:val="single" w:sz="8" w:color="auto"/>
            </w:tcBorders>
            <w:gridSpan w:val="17"/>
          </w:tcPr>
          <w:p>
            <w:pPr>
              <w:spacing w:after="0" w:line="189" w:lineRule="exact"/>
              <w:rPr>
                <w:rFonts w:ascii="Arial" w:cs="Arial" w:eastAsia="Arial" w:hAnsi="Arial"/>
                <w:sz w:val="18"/>
                <w:szCs w:val="18"/>
                <w:color w:val="auto"/>
                <w:w w:val="99"/>
              </w:rPr>
            </w:pPr>
            <w:hyperlink r:id="rId114">
              <w:r>
                <w:rPr>
                  <w:rFonts w:ascii="Arial" w:cs="Arial" w:eastAsia="Arial" w:hAnsi="Arial"/>
                  <w:sz w:val="18"/>
                  <w:szCs w:val="18"/>
                  <w:color w:val="auto"/>
                  <w:w w:val="99"/>
                </w:rPr>
                <w:t>Seventh Supplemental Indenture, dated as of April 11, 2023, by and</w:t>
              </w:r>
            </w:hyperlink>
          </w:p>
        </w:tc>
        <w:tc>
          <w:tcPr>
            <w:tcW w:w="40" w:type="dxa"/>
            <w:vAlign w:val="bottom"/>
          </w:tcPr>
          <w:p>
            <w:pPr>
              <w:spacing w:after="0"/>
              <w:rPr>
                <w:sz w:val="16"/>
                <w:szCs w:val="16"/>
                <w:color w:val="auto"/>
              </w:rPr>
            </w:pPr>
          </w:p>
        </w:tc>
        <w:tc>
          <w:tcPr>
            <w:tcW w:w="170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960" w:type="dxa"/>
            <w:vAlign w:val="bottom"/>
          </w:tcPr>
          <w:p>
            <w:pPr>
              <w:spacing w:after="0"/>
              <w:rPr>
                <w:sz w:val="16"/>
                <w:szCs w:val="16"/>
                <w:color w:val="auto"/>
              </w:rPr>
            </w:pPr>
          </w:p>
        </w:tc>
        <w:tc>
          <w:tcPr>
            <w:tcW w:w="1100" w:type="dxa"/>
            <w:vAlign w:val="bottom"/>
          </w:tcPr>
          <w:p>
            <w:pPr>
              <w:ind w:left="160"/>
              <w:spacing w:after="0" w:line="189" w:lineRule="exact"/>
              <w:rPr>
                <w:sz w:val="20"/>
                <w:szCs w:val="20"/>
                <w:color w:val="auto"/>
              </w:rPr>
            </w:pPr>
            <w:r>
              <w:rPr>
                <w:rFonts w:ascii="Arial" w:cs="Arial" w:eastAsia="Arial" w:hAnsi="Arial"/>
                <w:sz w:val="18"/>
                <w:szCs w:val="18"/>
                <w:color w:val="auto"/>
              </w:rPr>
              <w:t>4.2</w:t>
            </w:r>
          </w:p>
        </w:tc>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380" w:type="dxa"/>
            <w:vAlign w:val="bottom"/>
            <w:gridSpan w:val="17"/>
          </w:tcPr>
          <w:p>
            <w:pPr>
              <w:spacing w:after="0" w:line="156" w:lineRule="exact"/>
              <w:rPr>
                <w:rFonts w:ascii="Arial" w:cs="Arial" w:eastAsia="Arial" w:hAnsi="Arial"/>
                <w:sz w:val="18"/>
                <w:szCs w:val="18"/>
                <w:color w:val="auto"/>
              </w:rPr>
            </w:pPr>
            <w:hyperlink r:id="rId114">
              <w:r>
                <w:rPr>
                  <w:rFonts w:ascii="Arial" w:cs="Arial" w:eastAsia="Arial" w:hAnsi="Arial"/>
                  <w:sz w:val="18"/>
                  <w:szCs w:val="18"/>
                  <w:color w:val="auto"/>
                </w:rPr>
                <w:t>between Micron Technology, Inc. and U.S. Bank Trust Company,</w:t>
              </w:r>
            </w:hyperlink>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120" w:type="dxa"/>
            <w:vAlign w:val="bottom"/>
            <w:tcBorders>
              <w:top w:val="single" w:sz="8" w:color="auto"/>
            </w:tcBorders>
            <w:gridSpan w:val="12"/>
          </w:tcPr>
          <w:p>
            <w:pPr>
              <w:spacing w:after="0" w:line="169" w:lineRule="exact"/>
              <w:rPr>
                <w:rFonts w:ascii="Arial" w:cs="Arial" w:eastAsia="Arial" w:hAnsi="Arial"/>
                <w:sz w:val="18"/>
                <w:szCs w:val="18"/>
                <w:color w:val="auto"/>
              </w:rPr>
            </w:pPr>
            <w:hyperlink r:id="rId114">
              <w:r>
                <w:rPr>
                  <w:rFonts w:ascii="Arial" w:cs="Arial" w:eastAsia="Arial" w:hAnsi="Arial"/>
                  <w:sz w:val="18"/>
                  <w:szCs w:val="18"/>
                  <w:color w:val="auto"/>
                </w:rPr>
                <w:t>National Association, as Trustee</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380" w:type="dxa"/>
            <w:vAlign w:val="bottom"/>
            <w:gridSpan w:val="17"/>
            <w:shd w:val="clear" w:color="auto" w:fill="D1D2D4"/>
          </w:tcPr>
          <w:p>
            <w:pPr>
              <w:spacing w:after="0" w:line="189" w:lineRule="exact"/>
              <w:rPr>
                <w:rFonts w:ascii="Arial" w:cs="Arial" w:eastAsia="Arial" w:hAnsi="Arial"/>
                <w:sz w:val="18"/>
                <w:szCs w:val="18"/>
                <w:color w:val="auto"/>
              </w:rPr>
            </w:pPr>
            <w:hyperlink r:id="rId114">
              <w:r>
                <w:rPr>
                  <w:rFonts w:ascii="Arial" w:cs="Arial" w:eastAsia="Arial" w:hAnsi="Arial"/>
                  <w:sz w:val="18"/>
                  <w:szCs w:val="18"/>
                  <w:color w:val="auto"/>
                </w:rPr>
                <w:t>Form of Note for Micron Technology, Inc.’s 5.375% Senior Notes</w:t>
              </w:r>
            </w:hyperlink>
          </w:p>
        </w:tc>
        <w:tc>
          <w:tcPr>
            <w:tcW w:w="40" w:type="dxa"/>
            <w:vAlign w:val="bottom"/>
            <w:shd w:val="clear" w:color="auto" w:fill="D1D2D4"/>
          </w:tcPr>
          <w:p>
            <w:pPr>
              <w:spacing w:after="0"/>
              <w:rPr>
                <w:sz w:val="16"/>
                <w:szCs w:val="16"/>
                <w:color w:val="auto"/>
              </w:rPr>
            </w:pPr>
          </w:p>
        </w:tc>
        <w:tc>
          <w:tcPr>
            <w:tcW w:w="1700" w:type="dxa"/>
            <w:vAlign w:val="bottom"/>
            <w:shd w:val="clear" w:color="auto" w:fill="D1D2D4"/>
          </w:tcPr>
          <w:p>
            <w:pPr>
              <w:ind w:left="1080"/>
              <w:spacing w:after="0" w:line="189" w:lineRule="exact"/>
              <w:rPr>
                <w:sz w:val="20"/>
                <w:szCs w:val="20"/>
                <w:color w:val="auto"/>
              </w:rPr>
            </w:pPr>
            <w:r>
              <w:rPr>
                <w:rFonts w:ascii="Arial" w:cs="Arial" w:eastAsia="Arial" w:hAnsi="Arial"/>
                <w:sz w:val="18"/>
                <w:szCs w:val="18"/>
                <w:color w:val="auto"/>
              </w:rPr>
              <w:t>8-K</w:t>
            </w:r>
          </w:p>
        </w:tc>
        <w:tc>
          <w:tcPr>
            <w:tcW w:w="960" w:type="dxa"/>
            <w:vAlign w:val="bottom"/>
            <w:shd w:val="clear" w:color="auto" w:fill="D1D2D4"/>
          </w:tcPr>
          <w:p>
            <w:pPr>
              <w:spacing w:after="0"/>
              <w:rPr>
                <w:sz w:val="16"/>
                <w:szCs w:val="16"/>
                <w:color w:val="auto"/>
              </w:rPr>
            </w:pPr>
          </w:p>
        </w:tc>
        <w:tc>
          <w:tcPr>
            <w:tcW w:w="1100" w:type="dxa"/>
            <w:vAlign w:val="bottom"/>
            <w:shd w:val="clear" w:color="auto" w:fill="D1D2D4"/>
          </w:tcPr>
          <w:p>
            <w:pPr>
              <w:ind w:left="160"/>
              <w:spacing w:after="0" w:line="189" w:lineRule="exact"/>
              <w:rPr>
                <w:sz w:val="20"/>
                <w:szCs w:val="20"/>
                <w:color w:val="auto"/>
              </w:rPr>
            </w:pPr>
            <w:r>
              <w:rPr>
                <w:rFonts w:ascii="Arial" w:cs="Arial" w:eastAsia="Arial" w:hAnsi="Arial"/>
                <w:sz w:val="18"/>
                <w:szCs w:val="18"/>
                <w:color w:val="auto"/>
              </w:rPr>
              <w:t>4.3</w:t>
            </w:r>
          </w:p>
        </w:tc>
        <w:tc>
          <w:tcPr>
            <w:tcW w:w="1040" w:type="dxa"/>
            <w:vAlign w:val="bottom"/>
            <w:shd w:val="clear" w:color="auto" w:fill="D1D2D4"/>
          </w:tcPr>
          <w:p>
            <w:pPr>
              <w:ind w:left="12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55"/>
        </w:trPr>
        <w:tc>
          <w:tcPr>
            <w:tcW w:w="1020" w:type="dxa"/>
            <w:vAlign w:val="bottom"/>
            <w:tcBorders>
              <w:top w:val="single" w:sz="8" w:color="D1D2D4"/>
            </w:tcBorders>
            <w:shd w:val="clear" w:color="auto" w:fill="D1D2D4"/>
          </w:tcPr>
          <w:p>
            <w:pPr>
              <w:spacing w:after="0"/>
              <w:rPr>
                <w:sz w:val="13"/>
                <w:szCs w:val="13"/>
                <w:color w:val="auto"/>
              </w:rPr>
            </w:pPr>
          </w:p>
        </w:tc>
        <w:tc>
          <w:tcPr>
            <w:tcW w:w="5100" w:type="dxa"/>
            <w:vAlign w:val="bottom"/>
            <w:tcBorders>
              <w:top w:val="single" w:sz="8" w:color="auto"/>
            </w:tcBorders>
            <w:gridSpan w:val="11"/>
            <w:shd w:val="clear" w:color="auto" w:fill="D1D2D4"/>
          </w:tcPr>
          <w:p>
            <w:pPr>
              <w:spacing w:after="0" w:line="156" w:lineRule="exact"/>
              <w:rPr>
                <w:rFonts w:ascii="Arial" w:cs="Arial" w:eastAsia="Arial" w:hAnsi="Arial"/>
                <w:sz w:val="18"/>
                <w:szCs w:val="18"/>
                <w:color w:val="auto"/>
              </w:rPr>
            </w:pPr>
            <w:hyperlink r:id="rId114">
              <w:r>
                <w:rPr>
                  <w:rFonts w:ascii="Arial" w:cs="Arial" w:eastAsia="Arial" w:hAnsi="Arial"/>
                  <w:sz w:val="18"/>
                  <w:szCs w:val="18"/>
                  <w:color w:val="auto"/>
                </w:rPr>
                <w:t>due 2028</w:t>
              </w:r>
            </w:hyperlink>
          </w:p>
        </w:tc>
        <w:tc>
          <w:tcPr>
            <w:tcW w:w="100" w:type="dxa"/>
            <w:vAlign w:val="bottom"/>
            <w:tcBorders>
              <w:top w:val="single" w:sz="8" w:color="D1D2D4"/>
            </w:tcBorders>
            <w:gridSpan w:val="2"/>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shd w:val="clear" w:color="auto" w:fill="D1D2D4"/>
          </w:tcPr>
          <w:p>
            <w:pPr>
              <w:spacing w:after="0"/>
              <w:rPr>
                <w:sz w:val="13"/>
                <w:szCs w:val="13"/>
                <w:color w:val="auto"/>
              </w:rPr>
            </w:pPr>
          </w:p>
        </w:tc>
        <w:tc>
          <w:tcPr>
            <w:tcW w:w="170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1100" w:type="dxa"/>
            <w:vAlign w:val="bottom"/>
            <w:tcBorders>
              <w:top w:val="single" w:sz="8" w:color="D1D2D4"/>
            </w:tcBorders>
            <w:shd w:val="clear" w:color="auto" w:fill="D1D2D4"/>
          </w:tcPr>
          <w:p>
            <w:pPr>
              <w:spacing w:after="0"/>
              <w:rPr>
                <w:sz w:val="13"/>
                <w:szCs w:val="13"/>
                <w:color w:val="auto"/>
              </w:rPr>
            </w:pPr>
          </w:p>
        </w:tc>
        <w:tc>
          <w:tcPr>
            <w:tcW w:w="104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20" w:type="dxa"/>
            <w:vAlign w:val="bottom"/>
            <w:tcBorders>
              <w:top w:val="single" w:sz="8" w:color="D1D2D4"/>
            </w:tcBorders>
            <w:shd w:val="clear" w:color="auto" w:fill="D1D2D4"/>
          </w:tcPr>
          <w:p>
            <w:pPr>
              <w:spacing w:after="0"/>
              <w:rPr>
                <w:sz w:val="2"/>
                <w:szCs w:val="2"/>
                <w:color w:val="auto"/>
              </w:rPr>
            </w:pPr>
          </w:p>
        </w:tc>
        <w:tc>
          <w:tcPr>
            <w:tcW w:w="740" w:type="dxa"/>
            <w:vAlign w:val="bottom"/>
            <w:tcBorders>
              <w:top w:val="single" w:sz="8" w:color="auto"/>
            </w:tcBorders>
            <w:shd w:val="clear" w:color="auto" w:fill="D1D2D4"/>
          </w:tcPr>
          <w:p>
            <w:pPr>
              <w:spacing w:after="0"/>
              <w:rPr>
                <w:sz w:val="2"/>
                <w:szCs w:val="2"/>
                <w:color w:val="auto"/>
              </w:rPr>
            </w:pPr>
          </w:p>
        </w:tc>
        <w:tc>
          <w:tcPr>
            <w:tcW w:w="860" w:type="dxa"/>
            <w:vAlign w:val="bottom"/>
            <w:tcBorders>
              <w:top w:val="single" w:sz="8" w:color="D1D2D4"/>
            </w:tcBorders>
            <w:shd w:val="clear" w:color="auto" w:fill="D1D2D4"/>
          </w:tcPr>
          <w:p>
            <w:pPr>
              <w:spacing w:after="0"/>
              <w:rPr>
                <w:sz w:val="2"/>
                <w:szCs w:val="2"/>
                <w:color w:val="auto"/>
              </w:rPr>
            </w:pPr>
          </w:p>
        </w:tc>
        <w:tc>
          <w:tcPr>
            <w:tcW w:w="320" w:type="dxa"/>
            <w:vAlign w:val="bottom"/>
            <w:tcBorders>
              <w:top w:val="single" w:sz="8" w:color="D1D2D4"/>
            </w:tcBorders>
            <w:shd w:val="clear" w:color="auto" w:fill="D1D2D4"/>
          </w:tcPr>
          <w:p>
            <w:pPr>
              <w:spacing w:after="0"/>
              <w:rPr>
                <w:sz w:val="2"/>
                <w:szCs w:val="2"/>
                <w:color w:val="auto"/>
              </w:rPr>
            </w:pPr>
          </w:p>
        </w:tc>
        <w:tc>
          <w:tcPr>
            <w:tcW w:w="640" w:type="dxa"/>
            <w:vAlign w:val="bottom"/>
            <w:tcBorders>
              <w:top w:val="single" w:sz="8" w:color="D1D2D4"/>
            </w:tcBorders>
            <w:shd w:val="clear" w:color="auto" w:fill="D1D2D4"/>
          </w:tcPr>
          <w:p>
            <w:pPr>
              <w:spacing w:after="0"/>
              <w:rPr>
                <w:sz w:val="2"/>
                <w:szCs w:val="2"/>
                <w:color w:val="auto"/>
              </w:rPr>
            </w:pPr>
          </w:p>
        </w:tc>
        <w:tc>
          <w:tcPr>
            <w:tcW w:w="1640" w:type="dxa"/>
            <w:vAlign w:val="bottom"/>
            <w:tcBorders>
              <w:top w:val="single" w:sz="8" w:color="D1D2D4"/>
            </w:tcBorders>
            <w:shd w:val="clear" w:color="auto" w:fill="D1D2D4"/>
          </w:tcPr>
          <w:p>
            <w:pPr>
              <w:spacing w:after="0"/>
              <w:rPr>
                <w:sz w:val="2"/>
                <w:szCs w:val="2"/>
                <w:color w:val="auto"/>
              </w:rPr>
            </w:pPr>
          </w:p>
        </w:tc>
        <w:tc>
          <w:tcPr>
            <w:tcW w:w="60" w:type="dxa"/>
            <w:vAlign w:val="bottom"/>
            <w:tcBorders>
              <w:top w:val="single" w:sz="8" w:color="D1D2D4"/>
            </w:tcBorders>
            <w:shd w:val="clear" w:color="auto" w:fill="D1D2D4"/>
          </w:tcPr>
          <w:p>
            <w:pPr>
              <w:spacing w:after="0"/>
              <w:rPr>
                <w:sz w:val="2"/>
                <w:szCs w:val="2"/>
                <w:color w:val="auto"/>
              </w:rPr>
            </w:pPr>
          </w:p>
        </w:tc>
        <w:tc>
          <w:tcPr>
            <w:tcW w:w="100" w:type="dxa"/>
            <w:vAlign w:val="bottom"/>
            <w:tcBorders>
              <w:top w:val="single" w:sz="8" w:color="D1D2D4"/>
            </w:tcBorders>
            <w:shd w:val="clear" w:color="auto" w:fill="D1D2D4"/>
          </w:tcPr>
          <w:p>
            <w:pPr>
              <w:spacing w:after="0"/>
              <w:rPr>
                <w:sz w:val="2"/>
                <w:szCs w:val="2"/>
                <w:color w:val="auto"/>
              </w:rPr>
            </w:pPr>
          </w:p>
        </w:tc>
        <w:tc>
          <w:tcPr>
            <w:tcW w:w="140" w:type="dxa"/>
            <w:vAlign w:val="bottom"/>
            <w:tcBorders>
              <w:top w:val="single" w:sz="8" w:color="D1D2D4"/>
            </w:tcBorders>
            <w:shd w:val="clear" w:color="auto" w:fill="D1D2D4"/>
          </w:tcPr>
          <w:p>
            <w:pPr>
              <w:spacing w:after="0"/>
              <w:rPr>
                <w:sz w:val="2"/>
                <w:szCs w:val="2"/>
                <w:color w:val="auto"/>
              </w:rPr>
            </w:pPr>
          </w:p>
        </w:tc>
        <w:tc>
          <w:tcPr>
            <w:tcW w:w="1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8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40" w:type="dxa"/>
            <w:vAlign w:val="bottom"/>
            <w:tcBorders>
              <w:top w:val="single" w:sz="8" w:color="D1D2D4"/>
            </w:tcBorders>
            <w:shd w:val="clear" w:color="auto" w:fill="D1D2D4"/>
          </w:tcPr>
          <w:p>
            <w:pPr>
              <w:spacing w:after="0"/>
              <w:rPr>
                <w:sz w:val="2"/>
                <w:szCs w:val="2"/>
                <w:color w:val="auto"/>
              </w:rPr>
            </w:pPr>
          </w:p>
        </w:tc>
        <w:tc>
          <w:tcPr>
            <w:tcW w:w="20" w:type="dxa"/>
            <w:vAlign w:val="bottom"/>
            <w:tcBorders>
              <w:top w:val="single" w:sz="8" w:color="D1D2D4"/>
            </w:tcBorders>
            <w:shd w:val="clear" w:color="auto" w:fill="D1D2D4"/>
          </w:tcPr>
          <w:p>
            <w:pPr>
              <w:spacing w:after="0"/>
              <w:rPr>
                <w:sz w:val="2"/>
                <w:szCs w:val="2"/>
                <w:color w:val="auto"/>
              </w:rPr>
            </w:pPr>
          </w:p>
        </w:tc>
        <w:tc>
          <w:tcPr>
            <w:tcW w:w="100" w:type="dxa"/>
            <w:vAlign w:val="bottom"/>
            <w:tcBorders>
              <w:top w:val="single" w:sz="8" w:color="D1D2D4"/>
            </w:tcBorders>
            <w:shd w:val="clear" w:color="auto" w:fill="D1D2D4"/>
          </w:tcPr>
          <w:p>
            <w:pPr>
              <w:spacing w:after="0"/>
              <w:rPr>
                <w:sz w:val="2"/>
                <w:szCs w:val="2"/>
                <w:color w:val="auto"/>
              </w:rPr>
            </w:pPr>
          </w:p>
        </w:tc>
        <w:tc>
          <w:tcPr>
            <w:tcW w:w="40" w:type="dxa"/>
            <w:vAlign w:val="bottom"/>
            <w:tcBorders>
              <w:top w:val="single" w:sz="8" w:color="D1D2D4"/>
            </w:tcBorders>
            <w:shd w:val="clear" w:color="auto" w:fill="D1D2D4"/>
          </w:tcPr>
          <w:p>
            <w:pPr>
              <w:spacing w:after="0"/>
              <w:rPr>
                <w:sz w:val="2"/>
                <w:szCs w:val="2"/>
                <w:color w:val="auto"/>
              </w:rPr>
            </w:pPr>
          </w:p>
        </w:tc>
        <w:tc>
          <w:tcPr>
            <w:tcW w:w="1700" w:type="dxa"/>
            <w:vAlign w:val="bottom"/>
            <w:tcBorders>
              <w:top w:val="single" w:sz="8" w:color="D1D2D4"/>
            </w:tcBorders>
            <w:shd w:val="clear" w:color="auto" w:fill="D1D2D4"/>
          </w:tcPr>
          <w:p>
            <w:pPr>
              <w:spacing w:after="0"/>
              <w:rPr>
                <w:sz w:val="2"/>
                <w:szCs w:val="2"/>
                <w:color w:val="auto"/>
              </w:rPr>
            </w:pPr>
          </w:p>
        </w:tc>
        <w:tc>
          <w:tcPr>
            <w:tcW w:w="960" w:type="dxa"/>
            <w:vAlign w:val="bottom"/>
            <w:tcBorders>
              <w:top w:val="single" w:sz="8" w:color="D1D2D4"/>
            </w:tcBorders>
            <w:shd w:val="clear" w:color="auto" w:fill="D1D2D4"/>
          </w:tcPr>
          <w:p>
            <w:pPr>
              <w:spacing w:after="0"/>
              <w:rPr>
                <w:sz w:val="2"/>
                <w:szCs w:val="2"/>
                <w:color w:val="auto"/>
              </w:rPr>
            </w:pPr>
          </w:p>
        </w:tc>
        <w:tc>
          <w:tcPr>
            <w:tcW w:w="1100" w:type="dxa"/>
            <w:vAlign w:val="bottom"/>
            <w:tcBorders>
              <w:top w:val="single" w:sz="8" w:color="D1D2D4"/>
            </w:tcBorders>
            <w:shd w:val="clear" w:color="auto" w:fill="D1D2D4"/>
          </w:tcPr>
          <w:p>
            <w:pPr>
              <w:spacing w:after="0"/>
              <w:rPr>
                <w:sz w:val="2"/>
                <w:szCs w:val="2"/>
                <w:color w:val="auto"/>
              </w:rPr>
            </w:pPr>
          </w:p>
        </w:tc>
        <w:tc>
          <w:tcPr>
            <w:tcW w:w="1040" w:type="dxa"/>
            <w:vAlign w:val="bottom"/>
            <w:tcBorders>
              <w:top w:val="single" w:sz="8" w:color="D1D2D4"/>
            </w:tcBorders>
            <w:shd w:val="clear" w:color="auto" w:fill="D1D2D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380" w:type="dxa"/>
            <w:vAlign w:val="bottom"/>
            <w:gridSpan w:val="17"/>
          </w:tcPr>
          <w:p>
            <w:pPr>
              <w:spacing w:after="0" w:line="189" w:lineRule="exact"/>
              <w:rPr>
                <w:rFonts w:ascii="Arial" w:cs="Arial" w:eastAsia="Arial" w:hAnsi="Arial"/>
                <w:sz w:val="18"/>
                <w:szCs w:val="18"/>
                <w:color w:val="auto"/>
              </w:rPr>
            </w:pPr>
            <w:hyperlink r:id="rId114">
              <w:r>
                <w:rPr>
                  <w:rFonts w:ascii="Arial" w:cs="Arial" w:eastAsia="Arial" w:hAnsi="Arial"/>
                  <w:sz w:val="18"/>
                  <w:szCs w:val="18"/>
                  <w:color w:val="auto"/>
                </w:rPr>
                <w:t>Form of Note for Micron Technology, Inc.’s 5.875% Senior Notes</w:t>
              </w:r>
            </w:hyperlink>
          </w:p>
        </w:tc>
        <w:tc>
          <w:tcPr>
            <w:tcW w:w="40" w:type="dxa"/>
            <w:vAlign w:val="bottom"/>
          </w:tcPr>
          <w:p>
            <w:pPr>
              <w:spacing w:after="0"/>
              <w:rPr>
                <w:sz w:val="16"/>
                <w:szCs w:val="16"/>
                <w:color w:val="auto"/>
              </w:rPr>
            </w:pPr>
          </w:p>
        </w:tc>
        <w:tc>
          <w:tcPr>
            <w:tcW w:w="170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960" w:type="dxa"/>
            <w:vAlign w:val="bottom"/>
          </w:tcPr>
          <w:p>
            <w:pPr>
              <w:spacing w:after="0"/>
              <w:rPr>
                <w:sz w:val="16"/>
                <w:szCs w:val="16"/>
                <w:color w:val="auto"/>
              </w:rPr>
            </w:pPr>
          </w:p>
        </w:tc>
        <w:tc>
          <w:tcPr>
            <w:tcW w:w="1100" w:type="dxa"/>
            <w:vAlign w:val="bottom"/>
          </w:tcPr>
          <w:p>
            <w:pPr>
              <w:ind w:left="160"/>
              <w:spacing w:after="0" w:line="189" w:lineRule="exact"/>
              <w:rPr>
                <w:sz w:val="20"/>
                <w:szCs w:val="20"/>
                <w:color w:val="auto"/>
              </w:rPr>
            </w:pPr>
            <w:r>
              <w:rPr>
                <w:rFonts w:ascii="Arial" w:cs="Arial" w:eastAsia="Arial" w:hAnsi="Arial"/>
                <w:sz w:val="18"/>
                <w:szCs w:val="18"/>
                <w:color w:val="auto"/>
              </w:rPr>
              <w:t>4.4</w:t>
            </w:r>
          </w:p>
        </w:tc>
        <w:tc>
          <w:tcPr>
            <w:tcW w:w="1040" w:type="dxa"/>
            <w:vAlign w:val="bottom"/>
          </w:tcPr>
          <w:p>
            <w:pPr>
              <w:ind w:left="120"/>
              <w:spacing w:after="0" w:line="189" w:lineRule="exact"/>
              <w:rPr>
                <w:sz w:val="20"/>
                <w:szCs w:val="20"/>
                <w:color w:val="auto"/>
              </w:rPr>
            </w:pPr>
            <w:r>
              <w:rPr>
                <w:rFonts w:ascii="Arial" w:cs="Arial" w:eastAsia="Arial" w:hAnsi="Arial"/>
                <w:sz w:val="18"/>
                <w:szCs w:val="18"/>
                <w:color w:val="auto"/>
              </w:rPr>
              <w:t>4/11/23</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100" w:type="dxa"/>
            <w:vAlign w:val="bottom"/>
            <w:tcBorders>
              <w:top w:val="single" w:sz="8" w:color="auto"/>
            </w:tcBorders>
            <w:gridSpan w:val="11"/>
          </w:tcPr>
          <w:p>
            <w:pPr>
              <w:spacing w:after="0" w:line="156" w:lineRule="exact"/>
              <w:rPr>
                <w:rFonts w:ascii="Arial" w:cs="Arial" w:eastAsia="Arial" w:hAnsi="Arial"/>
                <w:sz w:val="18"/>
                <w:szCs w:val="18"/>
                <w:color w:val="auto"/>
              </w:rPr>
            </w:pPr>
            <w:hyperlink r:id="rId114">
              <w:r>
                <w:rPr>
                  <w:rFonts w:ascii="Arial" w:cs="Arial" w:eastAsia="Arial" w:hAnsi="Arial"/>
                  <w:sz w:val="18"/>
                  <w:szCs w:val="18"/>
                  <w:color w:val="auto"/>
                </w:rPr>
                <w:t>due 2033</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538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Amendment No. 2 to Credit Agreement, dated as of June 7, 2023,</w:t>
            </w:r>
          </w:p>
        </w:tc>
        <w:tc>
          <w:tcPr>
            <w:tcW w:w="40" w:type="dxa"/>
            <w:vAlign w:val="bottom"/>
            <w:shd w:val="clear" w:color="auto" w:fill="D1D2D4"/>
          </w:tcPr>
          <w:p>
            <w:pPr>
              <w:spacing w:after="0"/>
              <w:rPr>
                <w:sz w:val="16"/>
                <w:szCs w:val="16"/>
                <w:color w:val="auto"/>
              </w:rPr>
            </w:pP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16"/>
                <w:szCs w:val="16"/>
                <w:color w:val="auto"/>
              </w:rPr>
            </w:pPr>
          </w:p>
        </w:tc>
        <w:tc>
          <w:tcPr>
            <w:tcW w:w="110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20" w:type="dxa"/>
            <w:vAlign w:val="bottom"/>
            <w:tcBorders>
              <w:top w:val="single" w:sz="8" w:color="D1D2D4"/>
              <w:bottom w:val="single" w:sz="8" w:color="D1D2D4"/>
            </w:tcBorders>
            <w:shd w:val="clear" w:color="auto" w:fill="D1D2D4"/>
          </w:tcPr>
          <w:p>
            <w:pPr>
              <w:spacing w:after="0"/>
              <w:rPr>
                <w:sz w:val="16"/>
                <w:szCs w:val="16"/>
                <w:color w:val="auto"/>
              </w:rPr>
            </w:pPr>
          </w:p>
        </w:tc>
        <w:tc>
          <w:tcPr>
            <w:tcW w:w="5220" w:type="dxa"/>
            <w:vAlign w:val="bottom"/>
            <w:tcBorders>
              <w:top w:val="single" w:sz="8" w:color="auto"/>
              <w:bottom w:val="single" w:sz="8" w:color="auto"/>
            </w:tcBorders>
            <w:gridSpan w:val="14"/>
            <w:shd w:val="clear" w:color="auto" w:fill="D1D2D4"/>
          </w:tcPr>
          <w:p>
            <w:pPr>
              <w:spacing w:after="0" w:line="169" w:lineRule="exact"/>
              <w:rPr>
                <w:sz w:val="20"/>
                <w:szCs w:val="20"/>
                <w:color w:val="auto"/>
              </w:rPr>
            </w:pPr>
            <w:r>
              <w:rPr>
                <w:rFonts w:ascii="Arial" w:cs="Arial" w:eastAsia="Arial" w:hAnsi="Arial"/>
                <w:sz w:val="18"/>
                <w:szCs w:val="18"/>
                <w:color w:val="auto"/>
                <w:w w:val="98"/>
              </w:rPr>
              <w:t>by HSBC Bank USA, National Association, as administrative agent</w:t>
            </w:r>
          </w:p>
        </w:tc>
        <w:tc>
          <w:tcPr>
            <w:tcW w:w="40" w:type="dxa"/>
            <w:vAlign w:val="bottom"/>
            <w:tcBorders>
              <w:top w:val="single" w:sz="8" w:color="D1D2D4"/>
              <w:bottom w:val="single" w:sz="8" w:color="auto"/>
            </w:tcBorders>
            <w:shd w:val="clear" w:color="auto" w:fill="D1D2D4"/>
          </w:tcPr>
          <w:p>
            <w:pPr>
              <w:spacing w:after="0"/>
              <w:rPr>
                <w:sz w:val="16"/>
                <w:szCs w:val="16"/>
                <w:color w:val="auto"/>
              </w:rPr>
            </w:pPr>
          </w:p>
        </w:tc>
        <w:tc>
          <w:tcPr>
            <w:tcW w:w="20" w:type="dxa"/>
            <w:vAlign w:val="bottom"/>
            <w:tcBorders>
              <w:top w:val="single" w:sz="8" w:color="D1D2D4"/>
              <w:bottom w:val="single" w:sz="8" w:color="auto"/>
            </w:tcBorders>
            <w:shd w:val="clear" w:color="auto" w:fill="D1D2D4"/>
          </w:tcPr>
          <w:p>
            <w:pPr>
              <w:spacing w:after="0"/>
              <w:rPr>
                <w:sz w:val="16"/>
                <w:szCs w:val="16"/>
                <w:color w:val="auto"/>
              </w:rPr>
            </w:pPr>
          </w:p>
        </w:tc>
        <w:tc>
          <w:tcPr>
            <w:tcW w:w="100" w:type="dxa"/>
            <w:vAlign w:val="bottom"/>
            <w:tcBorders>
              <w:top w:val="single" w:sz="8" w:color="D1D2D4"/>
              <w:bottom w:val="single" w:sz="8" w:color="D1D2D4"/>
            </w:tcBorders>
            <w:shd w:val="clear" w:color="auto" w:fill="D1D2D4"/>
          </w:tcPr>
          <w:p>
            <w:pPr>
              <w:spacing w:after="0"/>
              <w:rPr>
                <w:sz w:val="16"/>
                <w:szCs w:val="16"/>
                <w:color w:val="auto"/>
              </w:rPr>
            </w:pPr>
          </w:p>
        </w:tc>
        <w:tc>
          <w:tcPr>
            <w:tcW w:w="40" w:type="dxa"/>
            <w:vAlign w:val="bottom"/>
            <w:tcBorders>
              <w:top w:val="single" w:sz="8" w:color="D1D2D4"/>
              <w:bottom w:val="single" w:sz="8" w:color="D1D2D4"/>
            </w:tcBorders>
            <w:shd w:val="clear" w:color="auto" w:fill="D1D2D4"/>
          </w:tcPr>
          <w:p>
            <w:pPr>
              <w:spacing w:after="0"/>
              <w:rPr>
                <w:sz w:val="16"/>
                <w:szCs w:val="16"/>
                <w:color w:val="auto"/>
              </w:rPr>
            </w:pPr>
          </w:p>
        </w:tc>
        <w:tc>
          <w:tcPr>
            <w:tcW w:w="170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1100" w:type="dxa"/>
            <w:vAlign w:val="bottom"/>
            <w:tcBorders>
              <w:top w:val="single" w:sz="8" w:color="D1D2D4"/>
              <w:bottom w:val="single" w:sz="8" w:color="D1D2D4"/>
            </w:tcBorders>
            <w:shd w:val="clear" w:color="auto" w:fill="D1D2D4"/>
          </w:tcPr>
          <w:p>
            <w:pPr>
              <w:spacing w:after="0"/>
              <w:rPr>
                <w:sz w:val="16"/>
                <w:szCs w:val="16"/>
                <w:color w:val="auto"/>
              </w:rPr>
            </w:pPr>
          </w:p>
        </w:tc>
        <w:tc>
          <w:tcPr>
            <w:tcW w:w="104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10.2</w:t>
            </w:r>
          </w:p>
        </w:tc>
        <w:tc>
          <w:tcPr>
            <w:tcW w:w="7120" w:type="dxa"/>
            <w:vAlign w:val="bottom"/>
            <w:tcBorders>
              <w:top w:val="single" w:sz="8" w:color="D1D2D4"/>
            </w:tcBorders>
            <w:gridSpan w:val="19"/>
          </w:tcPr>
          <w:p>
            <w:pPr>
              <w:spacing w:after="0" w:line="189" w:lineRule="exact"/>
              <w:rPr>
                <w:sz w:val="20"/>
                <w:szCs w:val="20"/>
                <w:color w:val="auto"/>
              </w:rPr>
            </w:pPr>
            <w:r>
              <w:rPr>
                <w:rFonts w:ascii="Arial" w:cs="Arial" w:eastAsia="Arial" w:hAnsi="Arial"/>
                <w:sz w:val="18"/>
                <w:szCs w:val="18"/>
                <w:color w:val="auto"/>
              </w:rPr>
              <w:t>Amendment No. 2 to Term Loan Credit Agreement, dated as of June X</w:t>
            </w:r>
          </w:p>
        </w:tc>
        <w:tc>
          <w:tcPr>
            <w:tcW w:w="960" w:type="dxa"/>
            <w:vAlign w:val="bottom"/>
            <w:tcBorders>
              <w:top w:val="single" w:sz="8" w:color="D1D2D4"/>
            </w:tcBorders>
          </w:tcPr>
          <w:p>
            <w:pPr>
              <w:spacing w:after="0"/>
              <w:rPr>
                <w:sz w:val="16"/>
                <w:szCs w:val="16"/>
                <w:color w:val="auto"/>
              </w:rPr>
            </w:pPr>
          </w:p>
        </w:tc>
        <w:tc>
          <w:tcPr>
            <w:tcW w:w="1100" w:type="dxa"/>
            <w:vAlign w:val="bottom"/>
            <w:tcBorders>
              <w:top w:val="single" w:sz="8" w:color="D1D2D4"/>
            </w:tcBorders>
          </w:tcPr>
          <w:p>
            <w:pPr>
              <w:spacing w:after="0"/>
              <w:rPr>
                <w:sz w:val="16"/>
                <w:szCs w:val="16"/>
                <w:color w:val="auto"/>
              </w:rPr>
            </w:pPr>
          </w:p>
        </w:tc>
        <w:tc>
          <w:tcPr>
            <w:tcW w:w="104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5380" w:type="dxa"/>
            <w:vAlign w:val="bottom"/>
            <w:tcBorders>
              <w:top w:val="single" w:sz="8" w:color="auto"/>
            </w:tcBorders>
            <w:gridSpan w:val="17"/>
          </w:tcPr>
          <w:p>
            <w:pPr>
              <w:spacing w:after="0" w:line="156" w:lineRule="exact"/>
              <w:rPr>
                <w:sz w:val="20"/>
                <w:szCs w:val="20"/>
                <w:color w:val="auto"/>
              </w:rPr>
            </w:pPr>
            <w:r>
              <w:rPr>
                <w:rFonts w:ascii="Arial" w:cs="Arial" w:eastAsia="Arial" w:hAnsi="Arial"/>
                <w:sz w:val="18"/>
                <w:szCs w:val="18"/>
                <w:color w:val="auto"/>
              </w:rPr>
              <w:t>7, 2023, by Wells Fargo Bank, National Association, as</w:t>
            </w:r>
          </w:p>
        </w:tc>
        <w:tc>
          <w:tcPr>
            <w:tcW w:w="40" w:type="dxa"/>
            <w:vAlign w:val="bottom"/>
            <w:tcBorders>
              <w:top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3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8"/>
                <w:szCs w:val="18"/>
                <w:color w:val="auto"/>
              </w:rPr>
              <w:t>administrative agent</w:t>
            </w:r>
          </w:p>
        </w:tc>
        <w:tc>
          <w:tcPr>
            <w:tcW w:w="840" w:type="dxa"/>
            <w:vAlign w:val="bottom"/>
            <w:gridSpan w:val="6"/>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38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40" w:type="dxa"/>
            <w:vAlign w:val="bottom"/>
            <w:shd w:val="clear" w:color="auto" w:fill="D1D2D4"/>
          </w:tcPr>
          <w:p>
            <w:pPr>
              <w:spacing w:after="0"/>
              <w:rPr>
                <w:sz w:val="18"/>
                <w:szCs w:val="18"/>
                <w:color w:val="auto"/>
              </w:rPr>
            </w:pP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60" w:type="dxa"/>
            <w:vAlign w:val="bottom"/>
            <w:tcBorders>
              <w:top w:val="single" w:sz="8" w:color="auto"/>
            </w:tcBorders>
            <w:gridSpan w:val="6"/>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120" w:type="dxa"/>
            <w:vAlign w:val="bottom"/>
            <w:tcBorders>
              <w:top w:val="single" w:sz="8" w:color="D1D2D4"/>
            </w:tcBorders>
            <w:gridSpan w:val="11"/>
          </w:tcPr>
          <w:p>
            <w:pPr>
              <w:spacing w:after="0"/>
              <w:rPr>
                <w:sz w:val="16"/>
                <w:szCs w:val="16"/>
                <w:color w:val="auto"/>
              </w:rPr>
            </w:pPr>
          </w:p>
        </w:tc>
        <w:tc>
          <w:tcPr>
            <w:tcW w:w="40" w:type="dxa"/>
            <w:vAlign w:val="bottom"/>
            <w:tcBorders>
              <w:top w:val="single" w:sz="8" w:color="D1D2D4"/>
            </w:tcBorders>
          </w:tcPr>
          <w:p>
            <w:pPr>
              <w:spacing w:after="0"/>
              <w:rPr>
                <w:sz w:val="16"/>
                <w:szCs w:val="16"/>
                <w:color w:val="auto"/>
              </w:rPr>
            </w:pPr>
          </w:p>
        </w:tc>
        <w:tc>
          <w:tcPr>
            <w:tcW w:w="170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tcBorders>
              <w:top w:val="single" w:sz="8" w:color="D1D2D4"/>
            </w:tcBorders>
          </w:tcPr>
          <w:p>
            <w:pPr>
              <w:spacing w:after="0"/>
              <w:rPr>
                <w:sz w:val="16"/>
                <w:szCs w:val="16"/>
                <w:color w:val="auto"/>
              </w:rPr>
            </w:pPr>
          </w:p>
        </w:tc>
        <w:tc>
          <w:tcPr>
            <w:tcW w:w="1100" w:type="dxa"/>
            <w:vAlign w:val="bottom"/>
            <w:tcBorders>
              <w:top w:val="single" w:sz="8" w:color="D1D2D4"/>
            </w:tcBorders>
          </w:tcPr>
          <w:p>
            <w:pPr>
              <w:spacing w:after="0"/>
              <w:rPr>
                <w:sz w:val="16"/>
                <w:szCs w:val="16"/>
                <w:color w:val="auto"/>
              </w:rPr>
            </w:pPr>
          </w:p>
        </w:tc>
        <w:tc>
          <w:tcPr>
            <w:tcW w:w="104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38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40" w:type="dxa"/>
            <w:vAlign w:val="bottom"/>
            <w:shd w:val="clear" w:color="auto" w:fill="D1D2D4"/>
          </w:tcPr>
          <w:p>
            <w:pPr>
              <w:spacing w:after="0"/>
              <w:rPr>
                <w:sz w:val="18"/>
                <w:szCs w:val="18"/>
                <w:color w:val="auto"/>
              </w:rPr>
            </w:pP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60" w:type="dxa"/>
            <w:vAlign w:val="bottom"/>
            <w:tcBorders>
              <w:top w:val="single" w:sz="8" w:color="auto"/>
            </w:tcBorders>
            <w:gridSpan w:val="15"/>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120" w:type="dxa"/>
            <w:vAlign w:val="bottom"/>
            <w:tcBorders>
              <w:top w:val="single" w:sz="8" w:color="D1D2D4"/>
            </w:tcBorders>
            <w:gridSpan w:val="2"/>
          </w:tcPr>
          <w:p>
            <w:pPr>
              <w:spacing w:after="0"/>
              <w:rPr>
                <w:sz w:val="16"/>
                <w:szCs w:val="16"/>
                <w:color w:val="auto"/>
              </w:rPr>
            </w:pPr>
          </w:p>
        </w:tc>
        <w:tc>
          <w:tcPr>
            <w:tcW w:w="40" w:type="dxa"/>
            <w:vAlign w:val="bottom"/>
            <w:tcBorders>
              <w:top w:val="single" w:sz="8" w:color="D1D2D4"/>
            </w:tcBorders>
          </w:tcPr>
          <w:p>
            <w:pPr>
              <w:spacing w:after="0"/>
              <w:rPr>
                <w:sz w:val="16"/>
                <w:szCs w:val="16"/>
                <w:color w:val="auto"/>
              </w:rPr>
            </w:pPr>
          </w:p>
        </w:tc>
        <w:tc>
          <w:tcPr>
            <w:tcW w:w="170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tcBorders>
              <w:top w:val="single" w:sz="8" w:color="D1D2D4"/>
            </w:tcBorders>
          </w:tcPr>
          <w:p>
            <w:pPr>
              <w:spacing w:after="0"/>
              <w:rPr>
                <w:sz w:val="16"/>
                <w:szCs w:val="16"/>
                <w:color w:val="auto"/>
              </w:rPr>
            </w:pPr>
          </w:p>
        </w:tc>
        <w:tc>
          <w:tcPr>
            <w:tcW w:w="1100" w:type="dxa"/>
            <w:vAlign w:val="bottom"/>
            <w:tcBorders>
              <w:top w:val="single" w:sz="8" w:color="D1D2D4"/>
            </w:tcBorders>
          </w:tcPr>
          <w:p>
            <w:pPr>
              <w:spacing w:after="0"/>
              <w:rPr>
                <w:sz w:val="16"/>
                <w:szCs w:val="16"/>
                <w:color w:val="auto"/>
              </w:rPr>
            </w:pPr>
          </w:p>
        </w:tc>
        <w:tc>
          <w:tcPr>
            <w:tcW w:w="104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2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101.INS</w:t>
            </w:r>
          </w:p>
        </w:tc>
        <w:tc>
          <w:tcPr>
            <w:tcW w:w="5380" w:type="dxa"/>
            <w:vAlign w:val="bottom"/>
            <w:gridSpan w:val="17"/>
            <w:shd w:val="clear" w:color="auto" w:fill="D1D2D4"/>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w:t>
            </w:r>
          </w:p>
        </w:tc>
        <w:tc>
          <w:tcPr>
            <w:tcW w:w="40" w:type="dxa"/>
            <w:vAlign w:val="bottom"/>
            <w:shd w:val="clear" w:color="auto" w:fill="D1D2D4"/>
          </w:tcPr>
          <w:p>
            <w:pPr>
              <w:spacing w:after="0"/>
              <w:rPr>
                <w:sz w:val="16"/>
                <w:szCs w:val="16"/>
                <w:color w:val="auto"/>
              </w:rPr>
            </w:pP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16"/>
                <w:szCs w:val="16"/>
                <w:color w:val="auto"/>
              </w:rPr>
            </w:pPr>
          </w:p>
        </w:tc>
        <w:tc>
          <w:tcPr>
            <w:tcW w:w="110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D1D2D4"/>
          </w:tcPr>
          <w:p>
            <w:pPr>
              <w:spacing w:after="0"/>
              <w:rPr>
                <w:sz w:val="15"/>
                <w:szCs w:val="15"/>
                <w:color w:val="auto"/>
              </w:rPr>
            </w:pPr>
          </w:p>
        </w:tc>
        <w:tc>
          <w:tcPr>
            <w:tcW w:w="5380" w:type="dxa"/>
            <w:vAlign w:val="bottom"/>
            <w:gridSpan w:val="17"/>
            <w:shd w:val="clear" w:color="auto" w:fill="D1D2D4"/>
          </w:tcPr>
          <w:p>
            <w:pPr>
              <w:spacing w:after="0" w:line="176" w:lineRule="exact"/>
              <w:rPr>
                <w:sz w:val="20"/>
                <w:szCs w:val="20"/>
                <w:color w:val="auto"/>
              </w:rPr>
            </w:pPr>
            <w:r>
              <w:rPr>
                <w:rFonts w:ascii="Arial" w:cs="Arial" w:eastAsia="Arial" w:hAnsi="Arial"/>
                <w:sz w:val="18"/>
                <w:szCs w:val="18"/>
                <w:color w:val="auto"/>
              </w:rPr>
              <w:t>appear in the Interactive Data File because its XBRL tags are</w:t>
            </w:r>
          </w:p>
        </w:tc>
        <w:tc>
          <w:tcPr>
            <w:tcW w:w="40" w:type="dxa"/>
            <w:vAlign w:val="bottom"/>
            <w:shd w:val="clear" w:color="auto" w:fill="D1D2D4"/>
          </w:tcPr>
          <w:p>
            <w:pPr>
              <w:spacing w:after="0"/>
              <w:rPr>
                <w:sz w:val="15"/>
                <w:szCs w:val="15"/>
                <w:color w:val="auto"/>
              </w:rPr>
            </w:pPr>
          </w:p>
        </w:tc>
        <w:tc>
          <w:tcPr>
            <w:tcW w:w="170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020" w:type="dxa"/>
            <w:vAlign w:val="bottom"/>
            <w:shd w:val="clear" w:color="auto" w:fill="D1D2D4"/>
          </w:tcPr>
          <w:p>
            <w:pPr>
              <w:spacing w:after="0"/>
              <w:rPr>
                <w:sz w:val="19"/>
                <w:szCs w:val="19"/>
                <w:color w:val="auto"/>
              </w:rPr>
            </w:pPr>
          </w:p>
        </w:tc>
        <w:tc>
          <w:tcPr>
            <w:tcW w:w="538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40" w:type="dxa"/>
            <w:vAlign w:val="bottom"/>
            <w:shd w:val="clear" w:color="auto" w:fill="D1D2D4"/>
          </w:tcPr>
          <w:p>
            <w:pPr>
              <w:spacing w:after="0"/>
              <w:rPr>
                <w:sz w:val="19"/>
                <w:szCs w:val="19"/>
                <w:color w:val="auto"/>
              </w:rPr>
            </w:pPr>
          </w:p>
        </w:tc>
        <w:tc>
          <w:tcPr>
            <w:tcW w:w="170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20"/>
                <w:szCs w:val="20"/>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38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 w:type="dxa"/>
            <w:vAlign w:val="bottom"/>
            <w:shd w:val="clear" w:color="auto" w:fill="D1D2D4"/>
          </w:tcPr>
          <w:p>
            <w:pPr>
              <w:spacing w:after="0"/>
              <w:rPr>
                <w:sz w:val="20"/>
                <w:szCs w:val="20"/>
                <w:color w:val="auto"/>
              </w:rPr>
            </w:pP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20"/>
                <w:szCs w:val="20"/>
                <w:color w:val="auto"/>
              </w:rPr>
            </w:pPr>
          </w:p>
        </w:tc>
        <w:tc>
          <w:tcPr>
            <w:tcW w:w="110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101.DEF</w:t>
            </w:r>
          </w:p>
        </w:tc>
        <w:tc>
          <w:tcPr>
            <w:tcW w:w="53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0" w:type="dxa"/>
            <w:vAlign w:val="bottom"/>
          </w:tcPr>
          <w:p>
            <w:pPr>
              <w:spacing w:after="0"/>
              <w:rPr>
                <w:sz w:val="19"/>
                <w:szCs w:val="19"/>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38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 w:type="dxa"/>
            <w:vAlign w:val="bottom"/>
            <w:shd w:val="clear" w:color="auto" w:fill="D1D2D4"/>
          </w:tcPr>
          <w:p>
            <w:pPr>
              <w:spacing w:after="0"/>
              <w:rPr>
                <w:sz w:val="21"/>
                <w:szCs w:val="21"/>
                <w:color w:val="auto"/>
              </w:rPr>
            </w:pP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c>
          <w:tcPr>
            <w:tcW w:w="104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color w:val="auto"/>
              </w:rPr>
              <w:t>101.PRE</w:t>
            </w:r>
          </w:p>
        </w:tc>
        <w:tc>
          <w:tcPr>
            <w:tcW w:w="538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40" w:type="dxa"/>
            <w:vAlign w:val="bottom"/>
          </w:tcPr>
          <w:p>
            <w:pPr>
              <w:spacing w:after="0"/>
              <w:rPr>
                <w:sz w:val="19"/>
                <w:szCs w:val="19"/>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2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104</w:t>
            </w:r>
          </w:p>
        </w:tc>
        <w:tc>
          <w:tcPr>
            <w:tcW w:w="5380" w:type="dxa"/>
            <w:vAlign w:val="bottom"/>
            <w:gridSpan w:val="17"/>
            <w:shd w:val="clear" w:color="auto" w:fill="D1D2D4"/>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40" w:type="dxa"/>
            <w:vAlign w:val="bottom"/>
            <w:shd w:val="clear" w:color="auto" w:fill="D1D2D4"/>
          </w:tcPr>
          <w:p>
            <w:pPr>
              <w:spacing w:after="0"/>
              <w:rPr>
                <w:sz w:val="15"/>
                <w:szCs w:val="15"/>
                <w:color w:val="auto"/>
              </w:rPr>
            </w:pPr>
          </w:p>
        </w:tc>
        <w:tc>
          <w:tcPr>
            <w:tcW w:w="1700" w:type="dxa"/>
            <w:vAlign w:val="bottom"/>
            <w:shd w:val="clear" w:color="auto" w:fill="D1D2D4"/>
          </w:tcPr>
          <w:p>
            <w:pPr>
              <w:ind w:left="60"/>
              <w:spacing w:after="0" w:line="176" w:lineRule="exact"/>
              <w:rPr>
                <w:sz w:val="20"/>
                <w:szCs w:val="20"/>
                <w:color w:val="auto"/>
              </w:rPr>
            </w:pPr>
            <w:r>
              <w:rPr>
                <w:rFonts w:ascii="Arial" w:cs="Arial" w:eastAsia="Arial" w:hAnsi="Arial"/>
                <w:sz w:val="18"/>
                <w:szCs w:val="18"/>
                <w:color w:val="auto"/>
              </w:rPr>
              <w:t>X</w:t>
            </w:r>
          </w:p>
        </w:tc>
        <w:tc>
          <w:tcPr>
            <w:tcW w:w="960" w:type="dxa"/>
            <w:vAlign w:val="bottom"/>
            <w:shd w:val="clear" w:color="auto" w:fill="D1D2D4"/>
          </w:tcPr>
          <w:p>
            <w:pPr>
              <w:spacing w:after="0"/>
              <w:rPr>
                <w:sz w:val="15"/>
                <w:szCs w:val="15"/>
                <w:color w:val="auto"/>
              </w:rPr>
            </w:pPr>
          </w:p>
        </w:tc>
        <w:tc>
          <w:tcPr>
            <w:tcW w:w="110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020" w:type="dxa"/>
            <w:vAlign w:val="bottom"/>
            <w:shd w:val="clear" w:color="auto" w:fill="D1D2D4"/>
          </w:tcPr>
          <w:p>
            <w:pPr>
              <w:spacing w:after="0"/>
              <w:rPr>
                <w:sz w:val="21"/>
                <w:szCs w:val="21"/>
                <w:color w:val="auto"/>
              </w:rPr>
            </w:pPr>
          </w:p>
        </w:tc>
        <w:tc>
          <w:tcPr>
            <w:tcW w:w="5380" w:type="dxa"/>
            <w:vAlign w:val="bottom"/>
            <w:gridSpan w:val="17"/>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40" w:type="dxa"/>
            <w:vAlign w:val="bottom"/>
            <w:shd w:val="clear" w:color="auto" w:fill="D1D2D4"/>
          </w:tcPr>
          <w:p>
            <w:pPr>
              <w:spacing w:after="0"/>
              <w:rPr>
                <w:sz w:val="21"/>
                <w:szCs w:val="21"/>
                <w:color w:val="auto"/>
              </w:rPr>
            </w:pPr>
          </w:p>
        </w:tc>
        <w:tc>
          <w:tcPr>
            <w:tcW w:w="1700" w:type="dxa"/>
            <w:vAlign w:val="bottom"/>
            <w:shd w:val="clear" w:color="auto" w:fill="D1D2D4"/>
          </w:tcPr>
          <w:p>
            <w:pPr>
              <w:spacing w:after="0"/>
              <w:rPr>
                <w:sz w:val="21"/>
                <w:szCs w:val="21"/>
                <w:color w:val="auto"/>
              </w:rPr>
            </w:pPr>
          </w:p>
        </w:tc>
        <w:tc>
          <w:tcPr>
            <w:tcW w:w="960" w:type="dxa"/>
            <w:vAlign w:val="bottom"/>
            <w:shd w:val="clear" w:color="auto" w:fill="D1D2D4"/>
          </w:tcPr>
          <w:p>
            <w:pPr>
              <w:spacing w:after="0"/>
              <w:rPr>
                <w:sz w:val="21"/>
                <w:szCs w:val="21"/>
                <w:color w:val="auto"/>
              </w:rPr>
            </w:pPr>
          </w:p>
        </w:tc>
        <w:tc>
          <w:tcPr>
            <w:tcW w:w="1100" w:type="dxa"/>
            <w:vAlign w:val="bottom"/>
            <w:shd w:val="clear" w:color="auto" w:fill="D1D2D4"/>
          </w:tcPr>
          <w:p>
            <w:pPr>
              <w:spacing w:after="0"/>
              <w:rPr>
                <w:sz w:val="21"/>
                <w:szCs w:val="21"/>
                <w:color w:val="auto"/>
              </w:rPr>
            </w:pPr>
          </w:p>
        </w:tc>
        <w:tc>
          <w:tcPr>
            <w:tcW w:w="104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22225</wp:posOffset>
            </wp:positionV>
            <wp:extent cx="35750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16" w:lineRule="exact"/>
        <w:rPr>
          <w:sz w:val="20"/>
          <w:szCs w:val="20"/>
          <w:color w:val="auto"/>
        </w:rPr>
      </w:pPr>
    </w:p>
    <w:p>
      <w:pPr>
        <w:ind w:left="20"/>
        <w:spacing w:after="0"/>
        <w:tabs>
          <w:tab w:leader="none" w:pos="820" w:val="left"/>
          <w:tab w:leader="none" w:pos="514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17780</wp:posOffset>
            </wp:positionV>
            <wp:extent cx="35750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575050" cy="8255"/>
                    </a:xfrm>
                    <a:prstGeom prst="rect">
                      <a:avLst/>
                    </a:prstGeom>
                    <a:noFill/>
                  </pic:spPr>
                </pic:pic>
              </a:graphicData>
            </a:graphic>
          </wp:anchor>
        </w:drawing>
      </w:r>
    </w:p>
    <w:p>
      <w:pPr>
        <w:spacing w:after="0" w:line="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17780</wp:posOffset>
            </wp:positionV>
            <wp:extent cx="35750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Scott Allen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528320</wp:posOffset>
            </wp:positionV>
            <wp:extent cx="659765"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65976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060"/>
        <w:spacing w:after="0"/>
        <w:rPr>
          <w:sz w:val="20"/>
          <w:szCs w:val="20"/>
          <w:color w:val="auto"/>
        </w:rPr>
      </w:pPr>
      <w:r>
        <w:rPr>
          <w:rFonts w:ascii="Arial" w:cs="Arial" w:eastAsia="Arial" w:hAnsi="Arial"/>
          <w:sz w:val="16"/>
          <w:szCs w:val="16"/>
          <w:b w:val="1"/>
          <w:bCs w:val="1"/>
          <w:color w:val="auto"/>
        </w:rPr>
        <w:t>65</w:t>
      </w:r>
    </w:p>
    <w:p>
      <w:pPr>
        <w:sectPr>
          <w:pgSz w:w="11900" w:h="16838" w:orient="portrait"/>
          <w:cols w:equalWidth="0" w:num="1">
            <w:col w:w="11240"/>
          </w:cols>
          <w:pgMar w:left="320" w:top="121" w:right="339" w:bottom="1440" w:gutter="0" w:footer="0" w:header="0"/>
        </w:sectPr>
      </w:pPr>
    </w:p>
    <w:bookmarkStart w:id="65" w:name="page66"/>
    <w:bookmarkEnd w:id="65"/>
    <w:p>
      <w:pPr>
        <w:jc w:val="right"/>
        <w:ind w:right="20"/>
        <w:spacing w:after="0"/>
        <w:rPr>
          <w:sz w:val="20"/>
          <w:szCs w:val="20"/>
          <w:color w:val="auto"/>
        </w:rPr>
      </w:pPr>
      <w:r>
        <w:rPr>
          <w:rFonts w:ascii="Arial" w:cs="Arial" w:eastAsia="Arial" w:hAnsi="Arial"/>
          <w:sz w:val="20"/>
          <w:szCs w:val="20"/>
          <w:b w:val="1"/>
          <w:bCs w:val="1"/>
          <w:color w:val="auto"/>
        </w:rPr>
        <w:t>EXHIBIT 10.1</w:t>
      </w:r>
    </w:p>
    <w:p>
      <w:pPr>
        <w:spacing w:after="0" w:line="266"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AMENDMENT NO. 2 TO CREDIT AGREEMENT</w:t>
      </w:r>
    </w:p>
    <w:p>
      <w:pPr>
        <w:spacing w:after="0" w:line="253"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color w:val="auto"/>
        </w:rPr>
        <w:t>AMENDMENT NO. 2 TO CREDIT AGREEMENT, dated as of June 7, 2023 (this “</w:t>
      </w:r>
      <w:r>
        <w:rPr>
          <w:rFonts w:ascii="Arial" w:cs="Arial" w:eastAsia="Arial" w:hAnsi="Arial"/>
          <w:sz w:val="20"/>
          <w:szCs w:val="20"/>
          <w:u w:val="single" w:color="auto"/>
          <w:color w:val="auto"/>
        </w:rPr>
        <w:t>Amendment</w:t>
      </w:r>
      <w:r>
        <w:rPr>
          <w:rFonts w:ascii="Arial" w:cs="Arial" w:eastAsia="Arial" w:hAnsi="Arial"/>
          <w:sz w:val="20"/>
          <w:szCs w:val="20"/>
          <w:color w:val="auto"/>
        </w:rPr>
        <w:t>”) by HSBC Bank USA, National Association, as administrative agent under the Existing Credit Agreement (as defined below) (in such capacity and including any successors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 xml:space="preserve"> :</w:t>
      </w:r>
    </w:p>
    <w:p>
      <w:pPr>
        <w:spacing w:after="0" w:line="229" w:lineRule="exact"/>
        <w:rPr>
          <w:sz w:val="20"/>
          <w:szCs w:val="20"/>
          <w:color w:val="auto"/>
        </w:rPr>
      </w:pPr>
    </w:p>
    <w:p>
      <w:pPr>
        <w:jc w:val="both"/>
        <w:ind w:right="20" w:firstLine="1296"/>
        <w:spacing w:after="0" w:line="238" w:lineRule="auto"/>
        <w:rPr>
          <w:sz w:val="20"/>
          <w:szCs w:val="20"/>
          <w:color w:val="auto"/>
        </w:rPr>
      </w:pPr>
      <w:r>
        <w:rPr>
          <w:rFonts w:ascii="Arial" w:cs="Arial" w:eastAsia="Arial" w:hAnsi="Arial"/>
          <w:sz w:val="20"/>
          <w:szCs w:val="20"/>
          <w:color w:val="auto"/>
        </w:rPr>
        <w:t>WHEREAS, reference is hereby made to the Credit Agreement, dated as of May 14, 2021 (as amended by Amendment No. 1 to Credit Agreement, dated as of March 27, 2023 and as further amended, restated, amended and restated, supplemented or otherwise modified from time to time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xml:space="preserve">” and as further amended by this Amendment, the “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 xml:space="preserve"> ”), among Micron Technology, Inc. (the “</w:t>
      </w:r>
      <w:r>
        <w:rPr>
          <w:rFonts w:ascii="Arial" w:cs="Arial" w:eastAsia="Arial" w:hAnsi="Arial"/>
          <w:sz w:val="20"/>
          <w:szCs w:val="20"/>
          <w:u w:val="single" w:color="auto"/>
          <w:color w:val="auto"/>
        </w:rPr>
        <w:t>Borrower</w:t>
      </w:r>
      <w:r>
        <w:rPr>
          <w:rFonts w:ascii="Arial" w:cs="Arial" w:eastAsia="Arial" w:hAnsi="Arial"/>
          <w:sz w:val="20"/>
          <w:szCs w:val="20"/>
          <w:color w:val="auto"/>
        </w:rPr>
        <w:t>”), the Administrative Agent, the other agents party thereto and each of the financial institutions from time to time party thereto;</w:t>
      </w:r>
    </w:p>
    <w:p>
      <w:pPr>
        <w:spacing w:after="0" w:line="210"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WHEREAS, certain loans, commitments or other extensions of credit under the Existing Credit Agreement bear or are permitted to bear interest, or incur or are permitted to incur fees, commissions or other amounts, based on the London Interbank Offered Rate as administered by the ICE Benchmark Administration (“</w:t>
      </w:r>
      <w:r>
        <w:rPr>
          <w:rFonts w:ascii="Arial" w:cs="Arial" w:eastAsia="Arial" w:hAnsi="Arial"/>
          <w:sz w:val="20"/>
          <w:szCs w:val="20"/>
          <w:u w:val="single" w:color="auto"/>
          <w:color w:val="auto"/>
        </w:rPr>
        <w:t>LIBOR</w:t>
      </w:r>
      <w:r>
        <w:rPr>
          <w:rFonts w:ascii="Arial" w:cs="Arial" w:eastAsia="Arial" w:hAnsi="Arial"/>
          <w:sz w:val="20"/>
          <w:szCs w:val="20"/>
          <w:color w:val="auto"/>
        </w:rPr>
        <w:t>”) in accordance with the terms of the Existing Credit Agreement;</w:t>
      </w:r>
    </w:p>
    <w:p>
      <w:pPr>
        <w:spacing w:after="0" w:line="20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20"/>
          <w:szCs w:val="20"/>
          <w:color w:val="auto"/>
        </w:rPr>
        <w:t>WHEREAS, a Benchmark Transition Event (as defined in the Existing Credit Agreement) has occurred with respect to LIBOR and LIBOR will be replaced with an alternative benchmark rate for purposes of the Existing Credit Agreement on the Benchmark Replacement Date (as defined in the Existing Credit Agreement) in accordance with the benchmark replacement provisions set forth in the Existing Credit Agreement, and pursuant thereto the Administrative Agent is exercising its right to make certain Benchmark Replacement Conforming Changes (as defined in the Existing Credit Agreement) in connection with the implementation of the applicable benchmark replacement as set forth herein, without any further action or consent of any other party; and</w:t>
      </w:r>
    </w:p>
    <w:p>
      <w:pPr>
        <w:spacing w:after="0" w:line="212"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WHEREAS, the amendments and modifications set forth in this Amendment constitute Benchmark Replacement Conforming Changes (as defined in the Existing Credit Agreement) for purposes of the Existing Credit Agreement;</w:t>
      </w:r>
    </w:p>
    <w:p>
      <w:pPr>
        <w:spacing w:after="0" w:line="215"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following shall be effective:</w:t>
      </w:r>
    </w:p>
    <w:p>
      <w:pPr>
        <w:spacing w:after="0" w:line="205"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u w:val="single" w:color="auto"/>
          <w:color w:val="auto"/>
        </w:rPr>
        <w:t>Article I.</w:t>
      </w:r>
      <w:r>
        <w:rPr>
          <w:sz w:val="20"/>
          <w:szCs w:val="20"/>
          <w:color w:val="auto"/>
        </w:rPr>
        <w:tab/>
      </w:r>
      <w:r>
        <w:rPr>
          <w:rFonts w:ascii="Arial" w:cs="Arial" w:eastAsia="Arial" w:hAnsi="Arial"/>
          <w:sz w:val="19"/>
          <w:szCs w:val="19"/>
          <w:b w:val="1"/>
          <w:bCs w:val="1"/>
          <w:u w:val="single" w:color="auto"/>
          <w:color w:val="auto"/>
        </w:rPr>
        <w:t>Amendment</w:t>
      </w:r>
      <w:r>
        <w:rPr>
          <w:rFonts w:ascii="Arial" w:cs="Arial" w:eastAsia="Arial" w:hAnsi="Arial"/>
          <w:sz w:val="19"/>
          <w:szCs w:val="19"/>
          <w:color w:val="auto"/>
        </w:rPr>
        <w:t>.</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Section 1.01 Notwithstanding anything to the contrary contained in the Existing Credit Agreement or in any other Loan Document, the Existing Credit Agreement is hereby amended and modified to give effect to the provisions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on and as of July 1, 2023 (the “</w:t>
      </w:r>
      <w:r>
        <w:rPr>
          <w:rFonts w:ascii="Arial" w:cs="Arial" w:eastAsia="Arial" w:hAnsi="Arial"/>
          <w:sz w:val="20"/>
          <w:szCs w:val="20"/>
          <w:b w:val="1"/>
          <w:bCs w:val="1"/>
          <w:u w:val="single" w:color="auto"/>
          <w:color w:val="auto"/>
        </w:rPr>
        <w:t>Amendment No. 2 Effective Date</w:t>
      </w:r>
      <w:r>
        <w:rPr>
          <w:rFonts w:ascii="Arial" w:cs="Arial" w:eastAsia="Arial" w:hAnsi="Arial"/>
          <w:sz w:val="20"/>
          <w:szCs w:val="20"/>
          <w:color w:val="auto"/>
        </w:rPr>
        <w:t>”).</w:t>
      </w:r>
    </w:p>
    <w:p>
      <w:pPr>
        <w:sectPr>
          <w:pgSz w:w="11900" w:h="16838" w:orient="portrait"/>
          <w:cols w:equalWidth="0" w:num="1">
            <w:col w:w="11260"/>
          </w:cols>
          <w:pgMar w:left="320" w:top="1408" w:right="319" w:bottom="1440" w:gutter="0" w:footer="0" w:header="0"/>
        </w:sectPr>
      </w:pPr>
    </w:p>
    <w:bookmarkStart w:id="66" w:name="page67"/>
    <w:bookmarkEnd w:id="66"/>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Exhibit B</w:t>
      </w:r>
      <w:r>
        <w:rPr>
          <w:rFonts w:ascii="Arial" w:cs="Arial" w:eastAsia="Arial" w:hAnsi="Arial"/>
          <w:sz w:val="20"/>
          <w:szCs w:val="20"/>
          <w:color w:val="auto"/>
        </w:rPr>
        <w:t>. Exhibit B to the Existing Credit Agreement is hereby deleted in its entirety and replaced with Exhibit B attached as Exhibit B.</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Exhibit F</w:t>
      </w:r>
      <w:r>
        <w:rPr>
          <w:rFonts w:ascii="Arial" w:cs="Arial" w:eastAsia="Arial" w:hAnsi="Arial"/>
          <w:sz w:val="20"/>
          <w:szCs w:val="20"/>
          <w:color w:val="auto"/>
        </w:rPr>
        <w:t>. Exhibit F to the Existing Credit Agreement is hereby deleted in its entirety and replaced with Exhibit F attached as Exhibit C.</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u w:val="single" w:color="auto"/>
          <w:color w:val="auto"/>
        </w:rPr>
        <w:t>Article II. Notice</w:t>
      </w:r>
      <w:r>
        <w:rPr>
          <w:rFonts w:ascii="Arial" w:cs="Arial" w:eastAsia="Arial" w:hAnsi="Arial"/>
          <w:sz w:val="20"/>
          <w:szCs w:val="20"/>
          <w:color w:val="auto"/>
        </w:rPr>
        <w:t>. To the extent that the Administrative Agent is required (pursuant to any Loan Document or otherwise) to</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notice to the Borrower, any Lender or any other party party to the Existing Credit Agreement of (i) a Benchmark Transition Event (as defined in the Existing Credit Agreement) with respect to LIBOR, (ii) a Benchmark Replacement Date (as defined in the Existing Credit Agreement), (iii) the implementation of Term SOFR as a Benchmark Replacement (as defined in the Existing Credit Agreement) or (iv) any Benchmark Replacement Conforming Changes (as defined in the Existing Credit Agreement) in connection with the adoption and implementation of Term SOFR or the use and administration thereof, this Amendment shall constitute such notice.</w:t>
      </w:r>
    </w:p>
    <w:p>
      <w:pPr>
        <w:spacing w:after="0" w:line="212"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u w:val="single" w:color="auto"/>
          <w:color w:val="auto"/>
        </w:rPr>
        <w:t>Article III.</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Survival</w:t>
      </w:r>
      <w:r>
        <w:rPr>
          <w:rFonts w:ascii="Arial" w:cs="Arial" w:eastAsia="Arial" w:hAnsi="Arial"/>
          <w:sz w:val="20"/>
          <w:szCs w:val="20"/>
          <w:color w:val="auto"/>
        </w:rPr>
        <w:t>. Except as expressly provided in this Amendment, all of the terms, provisions, covenants, agreements, representations and warranties and conditions of the Existing Credit Agreement and the other Loan Documents shall be and remain in full force and effect as written, unmodified hereby. In the event of any conflict between the terms, provisions, covenants, representations and warranties and conditions of this Amendment, on the one hand, and the Existing Credit Agreement or any other applicable Loan Document, on the other hand, this Amendment shall control.</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Amendment that is invalid, illegal or unenforceable in any jurisdiction shall, solely as to that jurisdiction, be ineffective solely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laws of the jurisdiction that governs the Existing Credit Agreement in accordance with the terms thereof.</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Submission To Jurisdiction; Waivers</w:t>
      </w:r>
      <w:r>
        <w:rPr>
          <w:rFonts w:ascii="Arial" w:cs="Arial" w:eastAsia="Arial" w:hAnsi="Arial"/>
          <w:sz w:val="20"/>
          <w:szCs w:val="20"/>
          <w:color w:val="auto"/>
        </w:rPr>
        <w:t xml:space="preserve">. Reference is hereby made to </w:t>
      </w:r>
      <w:r>
        <w:rPr>
          <w:rFonts w:ascii="Arial" w:cs="Arial" w:eastAsia="Arial" w:hAnsi="Arial"/>
          <w:sz w:val="20"/>
          <w:szCs w:val="20"/>
          <w:u w:val="single" w:color="auto"/>
          <w:color w:val="auto"/>
        </w:rPr>
        <w:t>Section 9.12</w:t>
      </w:r>
      <w:r>
        <w:rPr>
          <w:rFonts w:ascii="Arial" w:cs="Arial" w:eastAsia="Arial" w:hAnsi="Arial"/>
          <w:sz w:val="20"/>
          <w:szCs w:val="20"/>
          <w:color w:val="auto"/>
        </w:rPr>
        <w:t xml:space="preserve"> of the Amended Credit Agreement, the provisions of which are hereby incorporated by reference in this Amendment as if fully set forth herein.</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Entire Agreement; Capitalized Terms</w:t>
      </w:r>
      <w:r>
        <w:rPr>
          <w:rFonts w:ascii="Arial" w:cs="Arial" w:eastAsia="Arial" w:hAnsi="Arial"/>
          <w:sz w:val="20"/>
          <w:szCs w:val="20"/>
          <w:color w:val="auto"/>
        </w:rPr>
        <w:t xml:space="preserve">. This Amendment and the Existing Credit Agreement (as amended hereby) constitute the entire agreement among the parties to the Existing Credit Agreement with respect to the subject matter hereof and supersede all other prior agreements and understandings, both written and verbal, among such parties or any of them with respect to the subject matter hereof. Any exhibits or annexes attached hereto (including, without limitation, </w:t>
      </w:r>
      <w:r>
        <w:rPr>
          <w:rFonts w:ascii="Arial" w:cs="Arial" w:eastAsia="Arial" w:hAnsi="Arial"/>
          <w:sz w:val="20"/>
          <w:szCs w:val="20"/>
          <w:u w:val="single" w:color="auto"/>
          <w:color w:val="auto"/>
        </w:rPr>
        <w:t>Exhibit A</w:t>
      </w:r>
      <w:r>
        <w:rPr>
          <w:rFonts w:ascii="Arial" w:cs="Arial" w:eastAsia="Arial" w:hAnsi="Arial"/>
          <w:sz w:val="20"/>
          <w:szCs w:val="20"/>
          <w:color w:val="auto"/>
        </w:rPr>
        <w:t>) are hereby incorporated herein by reference and made a</w:t>
      </w:r>
    </w:p>
    <w:p>
      <w:pPr>
        <w:sectPr>
          <w:pgSz w:w="11900" w:h="16838" w:orient="portrait"/>
          <w:cols w:equalWidth="0" w:num="1">
            <w:col w:w="11240"/>
          </w:cols>
          <w:pgMar w:left="320" w:top="1440" w:right="339" w:bottom="1440" w:gutter="0" w:footer="0" w:header="0"/>
        </w:sectPr>
      </w:pPr>
    </w:p>
    <w:bookmarkStart w:id="67" w:name="page68"/>
    <w:bookmarkEnd w:id="67"/>
    <w:p>
      <w:pPr>
        <w:jc w:val="both"/>
        <w:spacing w:after="0" w:line="247" w:lineRule="auto"/>
        <w:rPr>
          <w:sz w:val="20"/>
          <w:szCs w:val="20"/>
          <w:color w:val="auto"/>
        </w:rPr>
      </w:pPr>
      <w:r>
        <w:rPr>
          <w:rFonts w:ascii="Arial" w:cs="Arial" w:eastAsia="Arial" w:hAnsi="Arial"/>
          <w:sz w:val="20"/>
          <w:szCs w:val="20"/>
          <w:color w:val="auto"/>
        </w:rPr>
        <w:t xml:space="preserve">part hereof. Capitalized terms used and not defined herein shall have the meanings assigned to such terms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Binding Effect, Beneficiaries</w:t>
      </w:r>
      <w:r>
        <w:rPr>
          <w:rFonts w:ascii="Arial" w:cs="Arial" w:eastAsia="Arial" w:hAnsi="Arial"/>
          <w:sz w:val="20"/>
          <w:szCs w:val="20"/>
          <w:color w:val="auto"/>
        </w:rPr>
        <w:t>. This Amendment shall be binding upon and inure to the benefit of the parties to the Existing Credit Agreement and each other applicable Loan Document and their respective heirs, executors, administrators, successors, legal representatives and assigns, and no other party shall derive any rights or benefits herefrom.</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Construction</w:t>
      </w:r>
      <w:r>
        <w:rPr>
          <w:rFonts w:ascii="Arial" w:cs="Arial" w:eastAsia="Arial" w:hAnsi="Arial"/>
          <w:sz w:val="20"/>
          <w:szCs w:val="20"/>
          <w:color w:val="auto"/>
        </w:rPr>
        <w:t>. This Amendment shall be construed without regard to any presumption or other rule requiring construction against the party drafting this Amendment.</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relating to this Amendment shall be delivered in the manner and subject to the provisions set forth in the Existing Credit Agreement.</w:t>
      </w:r>
    </w:p>
    <w:p>
      <w:pPr>
        <w:spacing w:after="0" w:line="22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Electronic Execution</w:t>
      </w:r>
      <w:r>
        <w:rPr>
          <w:rFonts w:ascii="Arial" w:cs="Arial" w:eastAsia="Arial" w:hAnsi="Arial"/>
          <w:sz w:val="20"/>
          <w:szCs w:val="20"/>
          <w:color w:val="auto"/>
        </w:rPr>
        <w:t>. Delivery of an executed counterpart of a signature page of this Amendment by facsimile or in electronic (e.g.,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used herein are for convenience of reference only, are not part of this Amendment and shall not affect the construction of, or be taken into consideration in interpreting, this Amendment.</w:t>
      </w:r>
    </w:p>
    <w:p>
      <w:pPr>
        <w:spacing w:after="0" w:line="21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Reference to and Effect on the Existing Credit Agreement</w:t>
      </w:r>
      <w:r>
        <w:rPr>
          <w:rFonts w:ascii="Arial" w:cs="Arial" w:eastAsia="Arial" w:hAnsi="Arial"/>
          <w:sz w:val="20"/>
          <w:szCs w:val="20"/>
          <w:color w:val="auto"/>
        </w:rPr>
        <w:t>. On and after the Amendment No. 2 Effective Date, each reference in the Existing Credit Agreement and the use therein of “hereunder”, “herein” or words of like import referring to the Existing Credit Agreement, and each reference in the other Loan Documents to “Credit Agreement” and the use therein of “thereunder”, “thereof” or words of like import referring to the Existing Credit Agreement, shall, in each case, mean and be a reference to the Existing Credit Agreement as amended by this Amendment. Except as specifically amended by this Amendment, the Existing Credit Agreement and the other Loan Documents shall remain in full force and effect (with the same priority, as applicable) and are hereby ratified and confirmed and this Amendment shall not be considered a novation. The execution, delivery and performance of this Amendment shall not constitute a waiver of any provision of, or operate as a waiver of any right, power or remedy of the Administrative Agent or any Lender or any other party under, the Existing Credit Agreement as amended by this Amendment or otherwise. This Amendment shall be deemed to be a Loan Document.</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Transition to Adjusted Term SOFR</w:t>
      </w:r>
      <w:r>
        <w:rPr>
          <w:rFonts w:ascii="Arial" w:cs="Arial" w:eastAsia="Arial" w:hAnsi="Arial"/>
          <w:sz w:val="20"/>
          <w:szCs w:val="20"/>
          <w:color w:val="auto"/>
        </w:rPr>
        <w:t>. Notwithstanding any other provision herein or in the Existing Credit Agreement, the interest on any Loans (outstanding as of the Amendment No. 2 Effective Date) will continue to be determined by reference to the LIBOR provisions that apply prior to the Amendment No. 2 Effective Date, until the end of the then current Interest Period (as defined in the Existing Credit Agreement as in existence prior to giving effect to this Amendment) on such Loans, and after the Amendment No. 2 Effective Date interest shall be determined after giving effect to this Amendment.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240"/>
          </w:cols>
          <w:pgMar w:left="320" w:top="1418" w:right="339" w:bottom="1440" w:gutter="0" w:footer="0" w:header="0"/>
        </w:sectPr>
      </w:pPr>
    </w:p>
    <w:bookmarkStart w:id="68" w:name="page69"/>
    <w:bookmarkEnd w:id="68"/>
    <w:p>
      <w:pPr>
        <w:ind w:firstLine="648"/>
        <w:spacing w:after="0" w:line="251" w:lineRule="auto"/>
        <w:rPr>
          <w:sz w:val="20"/>
          <w:szCs w:val="20"/>
          <w:color w:val="auto"/>
        </w:rPr>
      </w:pPr>
      <w:r>
        <w:rPr>
          <w:rFonts w:ascii="Arial" w:cs="Arial" w:eastAsia="Arial" w:hAnsi="Arial"/>
          <w:sz w:val="22"/>
          <w:szCs w:val="22"/>
          <w:color w:val="auto"/>
        </w:rPr>
        <w:t>IN WITNESS WHEREOF, the Administrative Agent has caused this Amendment to be duly executed as of the date first above written.</w:t>
      </w:r>
    </w:p>
    <w:p>
      <w:pPr>
        <w:spacing w:after="0" w:line="20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HSBC BANK USA, NATIONAL ASSOCIATION,</w:t>
      </w:r>
    </w:p>
    <w:p>
      <w:pPr>
        <w:ind w:left="154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67"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Daniel Gonzalez</w:t>
      </w:r>
    </w:p>
    <w:p>
      <w:pPr>
        <w:spacing w:after="0" w:line="20" w:lineRule="exact"/>
        <w:rPr>
          <w:sz w:val="20"/>
          <w:szCs w:val="20"/>
          <w:color w:val="auto"/>
        </w:rPr>
      </w:pPr>
    </w:p>
    <w:p>
      <w:pPr>
        <w:ind w:left="1680"/>
        <w:spacing w:after="0"/>
        <w:rPr>
          <w:sz w:val="20"/>
          <w:szCs w:val="20"/>
          <w:color w:val="auto"/>
        </w:rPr>
      </w:pPr>
      <w:r>
        <w:rPr>
          <w:rFonts w:ascii="Arial" w:cs="Arial" w:eastAsia="Arial" w:hAnsi="Arial"/>
          <w:sz w:val="20"/>
          <w:szCs w:val="20"/>
          <w:color w:val="auto"/>
        </w:rPr>
        <w:t>Name: Daniel Gonzalez</w:t>
      </w:r>
    </w:p>
    <w:p>
      <w:pPr>
        <w:ind w:left="154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[Signature Page to Amendment No. 2 to Credit Agreement]</w:t>
      </w:r>
    </w:p>
    <w:p>
      <w:pPr>
        <w:sectPr>
          <w:pgSz w:w="11900" w:h="16838" w:orient="portrait"/>
          <w:cols w:equalWidth="0" w:num="1">
            <w:col w:w="11080"/>
          </w:cols>
          <w:pgMar w:left="320" w:top="1413" w:right="49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Credit Agreement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1413" w:right="1440" w:bottom="1440" w:gutter="0" w:footer="0" w:header="0"/>
        </w:sectPr>
      </w:pPr>
    </w:p>
    <w:bookmarkStart w:id="70" w:name="page71"/>
    <w:bookmarkEnd w:id="70"/>
    <w:p>
      <w:pPr>
        <w:jc w:val="right"/>
        <w:ind w:left="2860"/>
        <w:spacing w:after="0" w:line="302" w:lineRule="auto"/>
        <w:rPr>
          <w:sz w:val="20"/>
          <w:szCs w:val="20"/>
          <w:color w:val="auto"/>
        </w:rPr>
      </w:pPr>
      <w:r>
        <w:rPr>
          <w:rFonts w:ascii="Arial" w:cs="Arial" w:eastAsia="Arial" w:hAnsi="Arial"/>
          <w:sz w:val="20"/>
          <w:szCs w:val="20"/>
          <w:b w:val="1"/>
          <w:bCs w:val="1"/>
          <w:color w:val="auto"/>
        </w:rPr>
        <w:t xml:space="preserve">Conformed through Amendment No. 1 to Credit Agreement, dated as of March 27, 2023 </w:t>
      </w:r>
      <w:r>
        <w:rPr>
          <w:rFonts w:ascii="Arial" w:cs="Arial" w:eastAsia="Arial" w:hAnsi="Arial"/>
          <w:sz w:val="20"/>
          <w:szCs w:val="20"/>
          <w:b w:val="1"/>
          <w:bCs w:val="1"/>
          <w:u w:val="single" w:color="auto"/>
          <w:color w:val="0000FF"/>
        </w:rPr>
        <w:t>and Amendment No. 2 to Credit Agreement, dated as of June 7, 2023</w:t>
      </w:r>
    </w:p>
    <w:p>
      <w:pPr>
        <w:spacing w:after="0" w:line="155"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CREDIT AGREEMENT</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among</w:t>
      </w: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MICRON TECHNOLOGY, INC.,</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as Borrower</w:t>
      </w:r>
    </w:p>
    <w:p>
      <w:pPr>
        <w:spacing w:after="0" w:line="20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THE LENDERS PARTY HERETO,</w:t>
      </w:r>
    </w:p>
    <w:p>
      <w:pPr>
        <w:spacing w:after="0" w:line="220"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HSBC BANK USA, NATIONAL ASSOCIATION,</w:t>
      </w:r>
    </w:p>
    <w:p>
      <w:pPr>
        <w:spacing w:after="0" w:line="2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as Administrative Agent</w:t>
      </w:r>
    </w:p>
    <w:p>
      <w:pPr>
        <w:spacing w:after="0" w:line="20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Dated as of May 14, 2021</w:t>
      </w:r>
    </w:p>
    <w:p>
      <w:pPr>
        <w:spacing w:after="0" w:line="220"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 xml:space="preserve">as amended by the Amendment No. 1 to Credit Agreement, dated as of March 27, 2023 </w:t>
      </w:r>
      <w:r>
        <w:rPr>
          <w:rFonts w:ascii="Arial" w:cs="Arial" w:eastAsia="Arial" w:hAnsi="Arial"/>
          <w:sz w:val="21"/>
          <w:szCs w:val="21"/>
          <w:color w:val="0000FF"/>
        </w:rPr>
        <w:t>and Amendment No. 2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-10160</wp:posOffset>
            </wp:positionV>
            <wp:extent cx="15557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555750" cy="8255"/>
                    </a:xfrm>
                    <a:prstGeom prst="rect">
                      <a:avLst/>
                    </a:prstGeom>
                    <a:noFill/>
                  </pic:spPr>
                </pic:pic>
              </a:graphicData>
            </a:graphic>
          </wp:anchor>
        </w:drawing>
      </w:r>
    </w:p>
    <w:p>
      <w:pPr>
        <w:spacing w:after="0" w:line="11" w:lineRule="exact"/>
        <w:rPr>
          <w:sz w:val="20"/>
          <w:szCs w:val="20"/>
          <w:color w:val="auto"/>
        </w:rPr>
      </w:pPr>
    </w:p>
    <w:p>
      <w:pPr>
        <w:jc w:val="center"/>
        <w:ind w:right="220"/>
        <w:spacing w:after="0"/>
        <w:rPr>
          <w:sz w:val="20"/>
          <w:szCs w:val="20"/>
          <w:color w:val="auto"/>
        </w:rPr>
      </w:pPr>
      <w:r>
        <w:rPr>
          <w:rFonts w:ascii="Arial" w:cs="Arial" w:eastAsia="Arial" w:hAnsi="Arial"/>
          <w:sz w:val="22"/>
          <w:szCs w:val="22"/>
          <w:u w:val="single" w:color="auto"/>
          <w:color w:val="0000FF"/>
        </w:rPr>
        <w:t>Credit Agreement, dated as of June 7, 2023</w:t>
      </w:r>
    </w:p>
    <w:p>
      <w:pPr>
        <w:spacing w:after="0" w:line="20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HSBC SECURITIES (USA) INC.</w:t>
      </w:r>
    </w:p>
    <w:p>
      <w:pPr>
        <w:spacing w:after="0" w:line="23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as Sole Bookrunner</w:t>
      </w:r>
    </w:p>
    <w:p>
      <w:pPr>
        <w:spacing w:after="0" w:line="220" w:lineRule="exact"/>
        <w:rPr>
          <w:sz w:val="20"/>
          <w:szCs w:val="20"/>
          <w:color w:val="auto"/>
        </w:rPr>
      </w:pPr>
    </w:p>
    <w:p>
      <w:pPr>
        <w:jc w:val="center"/>
        <w:ind w:right="220"/>
        <w:spacing w:after="0" w:line="251" w:lineRule="auto"/>
        <w:rPr>
          <w:sz w:val="20"/>
          <w:szCs w:val="20"/>
          <w:color w:val="auto"/>
        </w:rPr>
      </w:pPr>
      <w:r>
        <w:rPr>
          <w:rFonts w:ascii="Arial" w:cs="Arial" w:eastAsia="Arial" w:hAnsi="Arial"/>
          <w:sz w:val="22"/>
          <w:szCs w:val="22"/>
          <w:color w:val="auto"/>
        </w:rPr>
        <w:t>HSBC SECURITIES (USA) INC., BNP PARIBAS SECURITIES CORP., CREDIT AGRICOLE CORPORATE AND INVESTMENT BANK, DBS BANK LTD.,</w:t>
      </w:r>
    </w:p>
    <w:p>
      <w:pPr>
        <w:spacing w:after="0" w:line="25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INDUSTRIAL AND COMMERCIAL BANK OF CHINA LIMITED, NEW YORK BRANCH,</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MIZUHO BANK, LTD.,</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MUFG BANK, LTD.,</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WELLS FARGO SECURITIES, LLC</w:t>
      </w:r>
    </w:p>
    <w:p>
      <w:pPr>
        <w:spacing w:after="0" w:line="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as Joint Lead Arrangers</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CREDIT AGRICOLE CORPORATE AND INVESTMENT BANK</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as Sustainability Structuring Agent</w:t>
      </w:r>
    </w:p>
    <w:p>
      <w:pPr>
        <w:sectPr>
          <w:pgSz w:w="11900" w:h="16838" w:orient="portrait"/>
          <w:cols w:equalWidth="0" w:num="1">
            <w:col w:w="11020"/>
          </w:cols>
          <w:pgMar w:left="540" w:top="14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gridSpan w:val="3"/>
          </w:tcPr>
          <w:p>
            <w:pPr>
              <w:spacing w:after="0"/>
              <w:rPr>
                <w:sz w:val="20"/>
                <w:szCs w:val="20"/>
                <w:color w:val="auto"/>
              </w:rPr>
            </w:pPr>
            <w:r>
              <w:rPr>
                <w:rFonts w:ascii="Arial" w:cs="Arial" w:eastAsia="Arial" w:hAnsi="Arial"/>
                <w:sz w:val="22"/>
                <w:szCs w:val="22"/>
                <w:color w:val="auto"/>
                <w:w w:val="99"/>
              </w:rPr>
              <w:t>TABLE OF CONTENTS</w:t>
            </w:r>
          </w:p>
        </w:tc>
        <w:tc>
          <w:tcPr>
            <w:tcW w:w="280" w:type="dxa"/>
            <w:vAlign w:val="bottom"/>
          </w:tcPr>
          <w:p>
            <w:pPr>
              <w:spacing w:after="0"/>
              <w:rPr>
                <w:sz w:val="21"/>
                <w:szCs w:val="21"/>
                <w:color w:val="auto"/>
              </w:rPr>
            </w:pPr>
          </w:p>
        </w:tc>
      </w:tr>
      <w:tr>
        <w:trPr>
          <w:trHeight w:val="870"/>
        </w:trPr>
        <w:tc>
          <w:tcPr>
            <w:tcW w:w="2260" w:type="dxa"/>
            <w:vAlign w:val="bottom"/>
            <w:gridSpan w:val="3"/>
          </w:tcPr>
          <w:p>
            <w:pPr>
              <w:spacing w:after="0"/>
              <w:rPr>
                <w:sz w:val="20"/>
                <w:szCs w:val="20"/>
                <w:color w:val="auto"/>
              </w:rPr>
            </w:pPr>
            <w:r>
              <w:rPr>
                <w:rFonts w:ascii="Arial" w:cs="Arial" w:eastAsia="Arial" w:hAnsi="Arial"/>
                <w:sz w:val="22"/>
                <w:szCs w:val="22"/>
                <w:b w:val="1"/>
                <w:bCs w:val="1"/>
                <w:color w:val="auto"/>
                <w:w w:val="72"/>
              </w:rPr>
              <w:t>Section 1 Definitions...............</w:t>
            </w:r>
          </w:p>
        </w:tc>
        <w:tc>
          <w:tcPr>
            <w:tcW w:w="780" w:type="dxa"/>
            <w:vAlign w:val="bottom"/>
          </w:tcPr>
          <w:p>
            <w:pPr>
              <w:spacing w:after="0"/>
              <w:rPr>
                <w:sz w:val="24"/>
                <w:szCs w:val="24"/>
                <w:color w:val="auto"/>
              </w:rPr>
            </w:pPr>
          </w:p>
        </w:tc>
        <w:tc>
          <w:tcPr>
            <w:tcW w:w="680" w:type="dxa"/>
            <w:vAlign w:val="bottom"/>
            <w:gridSpan w:val="2"/>
          </w:tcPr>
          <w:p>
            <w:pPr>
              <w:jc w:val="right"/>
              <w:ind w:right="470"/>
              <w:spacing w:after="0"/>
              <w:rPr>
                <w:sz w:val="20"/>
                <w:szCs w:val="20"/>
                <w:color w:val="auto"/>
              </w:rPr>
            </w:pPr>
            <w:r>
              <w:rPr>
                <w:rFonts w:ascii="Arial" w:cs="Arial" w:eastAsia="Arial" w:hAnsi="Arial"/>
                <w:sz w:val="22"/>
                <w:szCs w:val="22"/>
                <w:b w:val="1"/>
                <w:bCs w:val="1"/>
                <w:color w:val="auto"/>
                <w:w w:val="81"/>
              </w:rPr>
              <w:t>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43"/>
        </w:trPr>
        <w:tc>
          <w:tcPr>
            <w:tcW w:w="720" w:type="dxa"/>
            <w:vAlign w:val="bottom"/>
          </w:tcPr>
          <w:p>
            <w:pPr>
              <w:ind w:left="340"/>
              <w:spacing w:after="0"/>
              <w:rPr>
                <w:sz w:val="20"/>
                <w:szCs w:val="20"/>
                <w:color w:val="auto"/>
              </w:rPr>
            </w:pPr>
            <w:r>
              <w:rPr>
                <w:rFonts w:ascii="Arial" w:cs="Arial" w:eastAsia="Arial" w:hAnsi="Arial"/>
                <w:sz w:val="22"/>
                <w:szCs w:val="22"/>
                <w:color w:val="auto"/>
                <w:w w:val="97"/>
              </w:rPr>
              <w:t>1.1.</w:t>
            </w:r>
          </w:p>
        </w:tc>
        <w:tc>
          <w:tcPr>
            <w:tcW w:w="1540" w:type="dxa"/>
            <w:vAlign w:val="bottom"/>
            <w:gridSpan w:val="2"/>
          </w:tcPr>
          <w:p>
            <w:pPr>
              <w:ind w:left="40"/>
              <w:spacing w:after="0"/>
              <w:rPr>
                <w:sz w:val="20"/>
                <w:szCs w:val="20"/>
                <w:color w:val="auto"/>
              </w:rPr>
            </w:pPr>
            <w:r>
              <w:rPr>
                <w:rFonts w:ascii="Arial" w:cs="Arial" w:eastAsia="Arial" w:hAnsi="Arial"/>
                <w:sz w:val="19"/>
                <w:szCs w:val="19"/>
                <w:color w:val="auto"/>
                <w:w w:val="72"/>
              </w:rPr>
              <w:t>Defined Terms...............</w:t>
            </w:r>
          </w:p>
        </w:tc>
        <w:tc>
          <w:tcPr>
            <w:tcW w:w="7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22"/>
                <w:szCs w:val="22"/>
                <w:color w:val="auto"/>
                <w:w w:val="81"/>
              </w:rPr>
              <w:t>1</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1.2.</w:t>
            </w:r>
          </w:p>
        </w:tc>
        <w:tc>
          <w:tcPr>
            <w:tcW w:w="3400" w:type="dxa"/>
            <w:vAlign w:val="bottom"/>
            <w:gridSpan w:val="7"/>
          </w:tcPr>
          <w:p>
            <w:pPr>
              <w:ind w:left="40"/>
              <w:spacing w:after="0"/>
              <w:rPr>
                <w:sz w:val="20"/>
                <w:szCs w:val="20"/>
                <w:color w:val="auto"/>
              </w:rPr>
            </w:pPr>
            <w:r>
              <w:rPr>
                <w:rFonts w:ascii="Arial" w:cs="Arial" w:eastAsia="Arial" w:hAnsi="Arial"/>
                <w:sz w:val="22"/>
                <w:szCs w:val="22"/>
                <w:color w:val="auto"/>
                <w:w w:val="90"/>
              </w:rPr>
              <w:t>Other Definitional Provisions...............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31</w:t>
            </w: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1.3.</w:t>
            </w:r>
          </w:p>
        </w:tc>
        <w:tc>
          <w:tcPr>
            <w:tcW w:w="2320" w:type="dxa"/>
            <w:vAlign w:val="bottom"/>
            <w:gridSpan w:val="3"/>
          </w:tcPr>
          <w:p>
            <w:pPr>
              <w:ind w:left="40"/>
              <w:spacing w:after="0"/>
              <w:rPr>
                <w:sz w:val="20"/>
                <w:szCs w:val="20"/>
                <w:color w:val="auto"/>
              </w:rPr>
            </w:pPr>
            <w:r>
              <w:rPr>
                <w:rFonts w:ascii="Arial" w:cs="Arial" w:eastAsia="Arial" w:hAnsi="Arial"/>
                <w:sz w:val="22"/>
                <w:szCs w:val="22"/>
                <w:color w:val="auto"/>
                <w:w w:val="82"/>
              </w:rPr>
              <w:t>Delivery of Notices...............</w:t>
            </w:r>
          </w:p>
        </w:tc>
        <w:tc>
          <w:tcPr>
            <w:tcW w:w="680" w:type="dxa"/>
            <w:vAlign w:val="bottom"/>
            <w:gridSpan w:val="2"/>
          </w:tcPr>
          <w:p>
            <w:pPr>
              <w:jc w:val="right"/>
              <w:spacing w:after="0"/>
              <w:rPr>
                <w:sz w:val="20"/>
                <w:szCs w:val="20"/>
                <w:color w:val="auto"/>
              </w:rPr>
            </w:pPr>
            <w:r>
              <w:rPr>
                <w:rFonts w:ascii="Arial" w:cs="Arial" w:eastAsia="Arial" w:hAnsi="Arial"/>
                <w:sz w:val="22"/>
                <w:szCs w:val="22"/>
                <w:color w:val="auto"/>
              </w:rPr>
              <w:t>32</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1.4.</w:t>
            </w:r>
          </w:p>
        </w:tc>
        <w:tc>
          <w:tcPr>
            <w:tcW w:w="1540" w:type="dxa"/>
            <w:vAlign w:val="bottom"/>
            <w:gridSpan w:val="2"/>
          </w:tcPr>
          <w:p>
            <w:pPr>
              <w:ind w:left="40"/>
              <w:spacing w:after="0"/>
              <w:rPr>
                <w:sz w:val="20"/>
                <w:szCs w:val="20"/>
                <w:color w:val="auto"/>
              </w:rPr>
            </w:pPr>
            <w:r>
              <w:rPr>
                <w:rFonts w:ascii="Arial" w:cs="Arial" w:eastAsia="Arial" w:hAnsi="Arial"/>
                <w:sz w:val="22"/>
                <w:szCs w:val="22"/>
                <w:color w:val="auto"/>
                <w:w w:val="82"/>
              </w:rPr>
              <w:t>Divisions...............</w:t>
            </w:r>
          </w:p>
        </w:tc>
        <w:tc>
          <w:tcPr>
            <w:tcW w:w="780" w:type="dxa"/>
            <w:vAlign w:val="bottom"/>
          </w:tcPr>
          <w:p>
            <w:pPr>
              <w:jc w:val="right"/>
              <w:ind w:right="174"/>
              <w:spacing w:after="0"/>
              <w:rPr>
                <w:sz w:val="20"/>
                <w:szCs w:val="20"/>
                <w:color w:val="auto"/>
              </w:rPr>
            </w:pPr>
            <w:r>
              <w:rPr>
                <w:rFonts w:ascii="Arial" w:cs="Arial" w:eastAsia="Arial" w:hAnsi="Arial"/>
                <w:sz w:val="22"/>
                <w:szCs w:val="22"/>
                <w:color w:val="auto"/>
              </w:rPr>
              <w:t>32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381"/>
        </w:trPr>
        <w:tc>
          <w:tcPr>
            <w:tcW w:w="2260" w:type="dxa"/>
            <w:vAlign w:val="bottom"/>
            <w:gridSpan w:val="3"/>
          </w:tcPr>
          <w:p>
            <w:pPr>
              <w:spacing w:after="0"/>
              <w:rPr>
                <w:sz w:val="20"/>
                <w:szCs w:val="20"/>
                <w:color w:val="auto"/>
              </w:rPr>
            </w:pPr>
            <w:r>
              <w:rPr>
                <w:rFonts w:ascii="Arial" w:cs="Arial" w:eastAsia="Arial" w:hAnsi="Arial"/>
                <w:sz w:val="22"/>
                <w:szCs w:val="22"/>
                <w:b w:val="1"/>
                <w:bCs w:val="1"/>
                <w:color w:val="auto"/>
                <w:w w:val="70"/>
              </w:rPr>
              <w:t>Section 2 The Credits...............</w:t>
            </w:r>
          </w:p>
        </w:tc>
        <w:tc>
          <w:tcPr>
            <w:tcW w:w="780" w:type="dxa"/>
            <w:vAlign w:val="bottom"/>
          </w:tcPr>
          <w:p>
            <w:pPr>
              <w:spacing w:after="0"/>
              <w:rPr>
                <w:sz w:val="24"/>
                <w:szCs w:val="24"/>
                <w:color w:val="auto"/>
              </w:rPr>
            </w:pPr>
          </w:p>
        </w:tc>
        <w:tc>
          <w:tcPr>
            <w:tcW w:w="680" w:type="dxa"/>
            <w:vAlign w:val="bottom"/>
            <w:gridSpan w:val="2"/>
          </w:tcPr>
          <w:p>
            <w:pPr>
              <w:jc w:val="right"/>
              <w:ind w:right="270"/>
              <w:spacing w:after="0"/>
              <w:rPr>
                <w:sz w:val="20"/>
                <w:szCs w:val="20"/>
                <w:color w:val="auto"/>
              </w:rPr>
            </w:pPr>
            <w:r>
              <w:rPr>
                <w:rFonts w:ascii="Arial" w:cs="Arial" w:eastAsia="Arial" w:hAnsi="Arial"/>
                <w:sz w:val="22"/>
                <w:szCs w:val="22"/>
                <w:b w:val="1"/>
                <w:bCs w:val="1"/>
                <w:color w:val="auto"/>
              </w:rPr>
              <w:t>32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43"/>
        </w:trPr>
        <w:tc>
          <w:tcPr>
            <w:tcW w:w="720" w:type="dxa"/>
            <w:vAlign w:val="bottom"/>
          </w:tcPr>
          <w:p>
            <w:pPr>
              <w:ind w:left="340"/>
              <w:spacing w:after="0"/>
              <w:rPr>
                <w:sz w:val="20"/>
                <w:szCs w:val="20"/>
                <w:color w:val="auto"/>
              </w:rPr>
            </w:pPr>
            <w:r>
              <w:rPr>
                <w:rFonts w:ascii="Arial" w:cs="Arial" w:eastAsia="Arial" w:hAnsi="Arial"/>
                <w:sz w:val="22"/>
                <w:szCs w:val="22"/>
                <w:color w:val="auto"/>
                <w:w w:val="97"/>
              </w:rPr>
              <w:t>2.1.</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97"/>
              </w:rPr>
              <w:t>Revolving Commitments...............</w:t>
            </w:r>
          </w:p>
        </w:tc>
        <w:tc>
          <w:tcPr>
            <w:tcW w:w="480" w:type="dxa"/>
            <w:vAlign w:val="bottom"/>
            <w:gridSpan w:val="2"/>
          </w:tcPr>
          <w:p>
            <w:pPr>
              <w:jc w:val="right"/>
              <w:ind w:right="134"/>
              <w:spacing w:after="0"/>
              <w:rPr>
                <w:sz w:val="20"/>
                <w:szCs w:val="20"/>
                <w:color w:val="auto"/>
              </w:rPr>
            </w:pPr>
            <w:r>
              <w:rPr>
                <w:rFonts w:ascii="Arial" w:cs="Arial" w:eastAsia="Arial" w:hAnsi="Arial"/>
                <w:sz w:val="22"/>
                <w:szCs w:val="22"/>
                <w:color w:val="auto"/>
                <w:w w:val="89"/>
              </w:rPr>
              <w:t>32</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2.2.</w:t>
            </w:r>
          </w:p>
        </w:tc>
        <w:tc>
          <w:tcPr>
            <w:tcW w:w="3400" w:type="dxa"/>
            <w:vAlign w:val="bottom"/>
            <w:gridSpan w:val="7"/>
          </w:tcPr>
          <w:p>
            <w:pPr>
              <w:ind w:left="40"/>
              <w:spacing w:after="0"/>
              <w:rPr>
                <w:sz w:val="20"/>
                <w:szCs w:val="20"/>
                <w:color w:val="auto"/>
              </w:rPr>
            </w:pPr>
            <w:r>
              <w:rPr>
                <w:rFonts w:ascii="Arial" w:cs="Arial" w:eastAsia="Arial" w:hAnsi="Arial"/>
                <w:sz w:val="22"/>
                <w:szCs w:val="22"/>
                <w:color w:val="auto"/>
                <w:w w:val="83"/>
              </w:rPr>
              <w:t>Revolving Loans and Borrowing...............</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712"/>
              <w:spacing w:after="0"/>
              <w:rPr>
                <w:sz w:val="20"/>
                <w:szCs w:val="20"/>
                <w:color w:val="auto"/>
              </w:rPr>
            </w:pPr>
            <w:r>
              <w:rPr>
                <w:rFonts w:ascii="Arial" w:cs="Arial" w:eastAsia="Arial" w:hAnsi="Arial"/>
                <w:sz w:val="22"/>
                <w:szCs w:val="22"/>
                <w:color w:val="auto"/>
                <w:w w:val="89"/>
              </w:rPr>
              <w:t>32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2.3.</w:t>
            </w:r>
          </w:p>
        </w:tc>
        <w:tc>
          <w:tcPr>
            <w:tcW w:w="3400" w:type="dxa"/>
            <w:vAlign w:val="bottom"/>
            <w:gridSpan w:val="7"/>
          </w:tcPr>
          <w:p>
            <w:pPr>
              <w:ind w:left="40"/>
              <w:spacing w:after="0"/>
              <w:rPr>
                <w:sz w:val="20"/>
                <w:szCs w:val="20"/>
                <w:color w:val="auto"/>
              </w:rPr>
            </w:pPr>
            <w:r>
              <w:rPr>
                <w:rFonts w:ascii="Arial" w:cs="Arial" w:eastAsia="Arial" w:hAnsi="Arial"/>
                <w:sz w:val="22"/>
                <w:szCs w:val="22"/>
                <w:color w:val="auto"/>
                <w:w w:val="97"/>
              </w:rPr>
              <w:t>Requests for Revolving Borrowings</w:t>
            </w:r>
          </w:p>
        </w:tc>
        <w:tc>
          <w:tcPr>
            <w:tcW w:w="580" w:type="dxa"/>
            <w:vAlign w:val="bottom"/>
            <w:gridSpan w:val="2"/>
          </w:tcPr>
          <w:p>
            <w:pPr>
              <w:jc w:val="right"/>
              <w:spacing w:after="0"/>
              <w:rPr>
                <w:sz w:val="20"/>
                <w:szCs w:val="20"/>
                <w:color w:val="auto"/>
              </w:rPr>
            </w:pPr>
            <w:r>
              <w:rPr>
                <w:rFonts w:ascii="Arial" w:cs="Arial" w:eastAsia="Arial" w:hAnsi="Arial"/>
                <w:sz w:val="19"/>
                <w:szCs w:val="19"/>
                <w:color w:val="auto"/>
                <w:w w:val="70"/>
              </w:rPr>
              <w:t>...............</w:t>
            </w:r>
          </w:p>
        </w:tc>
        <w:tc>
          <w:tcPr>
            <w:tcW w:w="2060" w:type="dxa"/>
            <w:vAlign w:val="bottom"/>
          </w:tcPr>
          <w:p>
            <w:pPr>
              <w:jc w:val="right"/>
              <w:ind w:right="1392"/>
              <w:spacing w:after="0"/>
              <w:rPr>
                <w:sz w:val="20"/>
                <w:szCs w:val="20"/>
                <w:color w:val="auto"/>
              </w:rPr>
            </w:pPr>
            <w:r>
              <w:rPr>
                <w:rFonts w:ascii="Arial" w:cs="Arial" w:eastAsia="Arial" w:hAnsi="Arial"/>
                <w:sz w:val="22"/>
                <w:szCs w:val="22"/>
                <w:color w:val="auto"/>
              </w:rPr>
              <w:t>33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2.4.</w:t>
            </w:r>
          </w:p>
        </w:tc>
        <w:tc>
          <w:tcPr>
            <w:tcW w:w="2320" w:type="dxa"/>
            <w:vAlign w:val="bottom"/>
            <w:gridSpan w:val="3"/>
          </w:tcPr>
          <w:p>
            <w:pPr>
              <w:ind w:left="40"/>
              <w:spacing w:after="0"/>
              <w:rPr>
                <w:sz w:val="20"/>
                <w:szCs w:val="20"/>
                <w:color w:val="auto"/>
              </w:rPr>
            </w:pPr>
            <w:r>
              <w:rPr>
                <w:rFonts w:ascii="Arial" w:cs="Arial" w:eastAsia="Arial" w:hAnsi="Arial"/>
                <w:sz w:val="22"/>
                <w:szCs w:val="22"/>
                <w:color w:val="auto"/>
                <w:w w:val="75"/>
              </w:rPr>
              <w:t>Documentary Credits...............</w:t>
            </w:r>
          </w:p>
        </w:tc>
        <w:tc>
          <w:tcPr>
            <w:tcW w:w="960" w:type="dxa"/>
            <w:vAlign w:val="bottom"/>
            <w:gridSpan w:val="3"/>
          </w:tcPr>
          <w:p>
            <w:pPr>
              <w:jc w:val="right"/>
              <w:ind w:right="80"/>
              <w:spacing w:after="0"/>
              <w:rPr>
                <w:sz w:val="20"/>
                <w:szCs w:val="20"/>
                <w:color w:val="auto"/>
              </w:rPr>
            </w:pPr>
            <w:r>
              <w:rPr>
                <w:rFonts w:ascii="Arial" w:cs="Arial" w:eastAsia="Arial" w:hAnsi="Arial"/>
                <w:sz w:val="22"/>
                <w:szCs w:val="22"/>
                <w:color w:val="auto"/>
              </w:rPr>
              <w:t>33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2.5.</w:t>
            </w:r>
          </w:p>
        </w:tc>
        <w:tc>
          <w:tcPr>
            <w:tcW w:w="3400" w:type="dxa"/>
            <w:vAlign w:val="bottom"/>
            <w:gridSpan w:val="7"/>
          </w:tcPr>
          <w:p>
            <w:pPr>
              <w:ind w:left="40"/>
              <w:spacing w:after="0"/>
              <w:rPr>
                <w:sz w:val="20"/>
                <w:szCs w:val="20"/>
                <w:color w:val="auto"/>
              </w:rPr>
            </w:pPr>
            <w:r>
              <w:rPr>
                <w:rFonts w:ascii="Arial" w:cs="Arial" w:eastAsia="Arial" w:hAnsi="Arial"/>
                <w:sz w:val="22"/>
                <w:szCs w:val="22"/>
                <w:color w:val="auto"/>
                <w:w w:val="80"/>
              </w:rPr>
              <w:t>Funding of Revolving Borrowings...............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592"/>
              <w:spacing w:after="0"/>
              <w:rPr>
                <w:sz w:val="20"/>
                <w:szCs w:val="20"/>
                <w:color w:val="auto"/>
              </w:rPr>
            </w:pPr>
            <w:r>
              <w:rPr>
                <w:rFonts w:ascii="Arial" w:cs="Arial" w:eastAsia="Arial" w:hAnsi="Arial"/>
                <w:sz w:val="22"/>
                <w:szCs w:val="22"/>
                <w:color w:val="auto"/>
              </w:rPr>
              <w:t>37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6820" w:type="dxa"/>
            <w:vAlign w:val="bottom"/>
            <w:gridSpan w:val="12"/>
          </w:tcPr>
          <w:p>
            <w:pPr>
              <w:ind w:left="340"/>
              <w:spacing w:after="0"/>
              <w:rPr>
                <w:sz w:val="20"/>
                <w:szCs w:val="20"/>
                <w:color w:val="auto"/>
              </w:rPr>
            </w:pPr>
            <w:r>
              <w:rPr>
                <w:rFonts w:ascii="Arial" w:cs="Arial" w:eastAsia="Arial" w:hAnsi="Arial"/>
                <w:sz w:val="22"/>
                <w:szCs w:val="22"/>
                <w:color w:val="auto"/>
                <w:w w:val="96"/>
              </w:rPr>
              <w:t>2.6. Termination and Reduction of Revolving Commitments...............</w:t>
            </w:r>
          </w:p>
        </w:tc>
        <w:tc>
          <w:tcPr>
            <w:tcW w:w="2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70"/>
        </w:trPr>
        <w:tc>
          <w:tcPr>
            <w:tcW w:w="720" w:type="dxa"/>
            <w:vAlign w:val="bottom"/>
          </w:tcPr>
          <w:p>
            <w:pPr>
              <w:ind w:left="340"/>
              <w:spacing w:after="0"/>
              <w:rPr>
                <w:sz w:val="20"/>
                <w:szCs w:val="20"/>
                <w:color w:val="auto"/>
              </w:rPr>
            </w:pPr>
            <w:r>
              <w:rPr>
                <w:rFonts w:ascii="Arial" w:cs="Arial" w:eastAsia="Arial" w:hAnsi="Arial"/>
                <w:sz w:val="22"/>
                <w:szCs w:val="22"/>
                <w:color w:val="auto"/>
                <w:w w:val="97"/>
              </w:rPr>
              <w:t>2.7.</w:t>
            </w:r>
          </w:p>
        </w:tc>
        <w:tc>
          <w:tcPr>
            <w:tcW w:w="3980" w:type="dxa"/>
            <w:vAlign w:val="bottom"/>
            <w:gridSpan w:val="9"/>
          </w:tcPr>
          <w:p>
            <w:pPr>
              <w:ind w:left="40"/>
              <w:spacing w:after="0"/>
              <w:rPr>
                <w:sz w:val="20"/>
                <w:szCs w:val="20"/>
                <w:color w:val="auto"/>
              </w:rPr>
            </w:pPr>
            <w:r>
              <w:rPr>
                <w:rFonts w:ascii="Arial" w:cs="Arial" w:eastAsia="Arial" w:hAnsi="Arial"/>
                <w:sz w:val="22"/>
                <w:szCs w:val="22"/>
                <w:color w:val="auto"/>
                <w:w w:val="82"/>
              </w:rPr>
              <w:t>Repayment of Loans; Evidence of Debt...............</w:t>
            </w:r>
          </w:p>
        </w:tc>
        <w:tc>
          <w:tcPr>
            <w:tcW w:w="2060" w:type="dxa"/>
            <w:vAlign w:val="bottom"/>
          </w:tcPr>
          <w:p>
            <w:pPr>
              <w:jc w:val="right"/>
              <w:ind w:right="992"/>
              <w:spacing w:after="0"/>
              <w:rPr>
                <w:sz w:val="20"/>
                <w:szCs w:val="20"/>
                <w:color w:val="auto"/>
              </w:rPr>
            </w:pPr>
            <w:r>
              <w:rPr>
                <w:rFonts w:ascii="Arial" w:cs="Arial" w:eastAsia="Arial" w:hAnsi="Arial"/>
                <w:sz w:val="22"/>
                <w:szCs w:val="22"/>
                <w:color w:val="auto"/>
              </w:rPr>
              <w:t>38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2.8.</w:t>
            </w:r>
          </w:p>
        </w:tc>
        <w:tc>
          <w:tcPr>
            <w:tcW w:w="3760" w:type="dxa"/>
            <w:vAlign w:val="bottom"/>
            <w:gridSpan w:val="8"/>
          </w:tcPr>
          <w:p>
            <w:pPr>
              <w:ind w:left="40"/>
              <w:spacing w:after="0"/>
              <w:rPr>
                <w:sz w:val="20"/>
                <w:szCs w:val="20"/>
                <w:color w:val="auto"/>
              </w:rPr>
            </w:pPr>
            <w:r>
              <w:rPr>
                <w:rFonts w:ascii="Arial" w:cs="Arial" w:eastAsia="Arial" w:hAnsi="Arial"/>
                <w:sz w:val="22"/>
                <w:szCs w:val="22"/>
                <w:color w:val="auto"/>
                <w:w w:val="86"/>
              </w:rPr>
              <w:t>Interest Rates and Payment Dates...............</w:t>
            </w:r>
          </w:p>
        </w:tc>
        <w:tc>
          <w:tcPr>
            <w:tcW w:w="220" w:type="dxa"/>
            <w:vAlign w:val="bottom"/>
          </w:tcPr>
          <w:p>
            <w:pPr>
              <w:spacing w:after="0"/>
              <w:rPr>
                <w:sz w:val="22"/>
                <w:szCs w:val="22"/>
                <w:color w:val="auto"/>
              </w:rPr>
            </w:pPr>
          </w:p>
        </w:tc>
        <w:tc>
          <w:tcPr>
            <w:tcW w:w="2060" w:type="dxa"/>
            <w:vAlign w:val="bottom"/>
          </w:tcPr>
          <w:p>
            <w:pPr>
              <w:jc w:val="right"/>
              <w:ind w:right="1452"/>
              <w:spacing w:after="0"/>
              <w:rPr>
                <w:sz w:val="20"/>
                <w:szCs w:val="20"/>
                <w:color w:val="auto"/>
              </w:rPr>
            </w:pPr>
            <w:r>
              <w:rPr>
                <w:rFonts w:ascii="Arial" w:cs="Arial" w:eastAsia="Arial" w:hAnsi="Arial"/>
                <w:sz w:val="22"/>
                <w:szCs w:val="22"/>
                <w:color w:val="auto"/>
              </w:rPr>
              <w:t>39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2.9.</w:t>
            </w:r>
          </w:p>
        </w:tc>
        <w:tc>
          <w:tcPr>
            <w:tcW w:w="3400" w:type="dxa"/>
            <w:vAlign w:val="bottom"/>
            <w:gridSpan w:val="7"/>
          </w:tcPr>
          <w:p>
            <w:pPr>
              <w:ind w:left="40"/>
              <w:spacing w:after="0"/>
              <w:rPr>
                <w:sz w:val="20"/>
                <w:szCs w:val="20"/>
                <w:color w:val="auto"/>
              </w:rPr>
            </w:pPr>
            <w:r>
              <w:rPr>
                <w:rFonts w:ascii="Arial" w:cs="Arial" w:eastAsia="Arial" w:hAnsi="Arial"/>
                <w:sz w:val="22"/>
                <w:szCs w:val="22"/>
                <w:color w:val="auto"/>
                <w:w w:val="79"/>
              </w:rPr>
              <w:t>Computation of Interest and Fees...............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552"/>
              <w:spacing w:after="0"/>
              <w:rPr>
                <w:sz w:val="20"/>
                <w:szCs w:val="20"/>
                <w:color w:val="auto"/>
              </w:rPr>
            </w:pPr>
            <w:r>
              <w:rPr>
                <w:rFonts w:ascii="Arial" w:cs="Arial" w:eastAsia="Arial" w:hAnsi="Arial"/>
                <w:sz w:val="22"/>
                <w:szCs w:val="22"/>
                <w:color w:val="auto"/>
              </w:rPr>
              <w:t>39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6"/>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2.10.</w:t>
            </w:r>
          </w:p>
        </w:tc>
        <w:tc>
          <w:tcPr>
            <w:tcW w:w="3640" w:type="dxa"/>
            <w:vAlign w:val="bottom"/>
            <w:gridSpan w:val="7"/>
          </w:tcPr>
          <w:p>
            <w:pPr>
              <w:ind w:left="40"/>
              <w:spacing w:after="0"/>
              <w:rPr>
                <w:sz w:val="20"/>
                <w:szCs w:val="20"/>
                <w:color w:val="auto"/>
              </w:rPr>
            </w:pPr>
            <w:r>
              <w:rPr>
                <w:rFonts w:ascii="Arial" w:cs="Arial" w:eastAsia="Arial" w:hAnsi="Arial"/>
                <w:sz w:val="22"/>
                <w:szCs w:val="22"/>
                <w:color w:val="auto"/>
                <w:w w:val="86"/>
              </w:rPr>
              <w:t>Benchmark Replacement Setting...............</w:t>
            </w:r>
          </w:p>
        </w:tc>
        <w:tc>
          <w:tcPr>
            <w:tcW w:w="220" w:type="dxa"/>
            <w:vAlign w:val="bottom"/>
          </w:tcPr>
          <w:p>
            <w:pPr>
              <w:spacing w:after="0"/>
              <w:rPr>
                <w:sz w:val="22"/>
                <w:szCs w:val="22"/>
                <w:color w:val="auto"/>
              </w:rPr>
            </w:pPr>
          </w:p>
        </w:tc>
        <w:tc>
          <w:tcPr>
            <w:tcW w:w="2060" w:type="dxa"/>
            <w:vAlign w:val="bottom"/>
          </w:tcPr>
          <w:p>
            <w:pPr>
              <w:jc w:val="right"/>
              <w:ind w:right="1472"/>
              <w:spacing w:after="0"/>
              <w:rPr>
                <w:sz w:val="20"/>
                <w:szCs w:val="20"/>
                <w:color w:val="auto"/>
              </w:rPr>
            </w:pPr>
            <w:r>
              <w:rPr>
                <w:rFonts w:ascii="Arial" w:cs="Arial" w:eastAsia="Arial" w:hAnsi="Arial"/>
                <w:sz w:val="22"/>
                <w:szCs w:val="22"/>
                <w:color w:val="auto"/>
              </w:rPr>
              <w:t>40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6"/>
        </w:trPr>
        <w:tc>
          <w:tcPr>
            <w:tcW w:w="3040" w:type="dxa"/>
            <w:vAlign w:val="bottom"/>
            <w:gridSpan w:val="4"/>
          </w:tcPr>
          <w:p>
            <w:pPr>
              <w:ind w:left="340"/>
              <w:spacing w:after="0"/>
              <w:rPr>
                <w:sz w:val="20"/>
                <w:szCs w:val="20"/>
                <w:color w:val="auto"/>
              </w:rPr>
            </w:pPr>
            <w:r>
              <w:rPr>
                <w:rFonts w:ascii="Arial" w:cs="Arial" w:eastAsia="Arial" w:hAnsi="Arial"/>
                <w:sz w:val="22"/>
                <w:szCs w:val="22"/>
                <w:color w:val="auto"/>
                <w:w w:val="75"/>
              </w:rPr>
              <w:t>2.11. Prepayment of Loans...............</w:t>
            </w:r>
          </w:p>
        </w:tc>
        <w:tc>
          <w:tcPr>
            <w:tcW w:w="1080" w:type="dxa"/>
            <w:vAlign w:val="bottom"/>
            <w:gridSpan w:val="4"/>
          </w:tcPr>
          <w:p>
            <w:pPr>
              <w:jc w:val="right"/>
              <w:spacing w:after="0"/>
              <w:rPr>
                <w:sz w:val="20"/>
                <w:szCs w:val="20"/>
                <w:color w:val="auto"/>
              </w:rPr>
            </w:pPr>
            <w:r>
              <w:rPr>
                <w:rFonts w:ascii="Arial" w:cs="Arial" w:eastAsia="Arial" w:hAnsi="Arial"/>
                <w:sz w:val="22"/>
                <w:szCs w:val="22"/>
                <w:color w:val="auto"/>
              </w:rPr>
              <w:t>42</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2.12.</w:t>
            </w:r>
          </w:p>
        </w:tc>
        <w:tc>
          <w:tcPr>
            <w:tcW w:w="3860" w:type="dxa"/>
            <w:vAlign w:val="bottom"/>
            <w:gridSpan w:val="8"/>
          </w:tcPr>
          <w:p>
            <w:pPr>
              <w:ind w:left="40"/>
              <w:spacing w:after="0"/>
              <w:rPr>
                <w:sz w:val="20"/>
                <w:szCs w:val="20"/>
                <w:color w:val="auto"/>
              </w:rPr>
            </w:pPr>
            <w:r>
              <w:rPr>
                <w:rFonts w:ascii="Arial" w:cs="Arial" w:eastAsia="Arial" w:hAnsi="Arial"/>
                <w:sz w:val="22"/>
                <w:szCs w:val="22"/>
                <w:color w:val="auto"/>
                <w:w w:val="83"/>
              </w:rPr>
              <w:t>Conversion and Continuation Options...............</w:t>
            </w:r>
          </w:p>
        </w:tc>
        <w:tc>
          <w:tcPr>
            <w:tcW w:w="2060" w:type="dxa"/>
            <w:vAlign w:val="bottom"/>
          </w:tcPr>
          <w:p>
            <w:pPr>
              <w:jc w:val="right"/>
              <w:ind w:right="1052"/>
              <w:spacing w:after="0"/>
              <w:rPr>
                <w:sz w:val="20"/>
                <w:szCs w:val="20"/>
                <w:color w:val="auto"/>
              </w:rPr>
            </w:pPr>
            <w:r>
              <w:rPr>
                <w:rFonts w:ascii="Arial" w:cs="Arial" w:eastAsia="Arial" w:hAnsi="Arial"/>
                <w:sz w:val="22"/>
                <w:szCs w:val="22"/>
                <w:color w:val="auto"/>
              </w:rPr>
              <w:t>42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25"/>
        </w:trPr>
        <w:tc>
          <w:tcPr>
            <w:tcW w:w="840" w:type="dxa"/>
            <w:vAlign w:val="bottom"/>
            <w:gridSpan w:val="2"/>
          </w:tcPr>
          <w:p>
            <w:pPr>
              <w:ind w:left="340"/>
              <w:spacing w:after="0" w:line="225" w:lineRule="exact"/>
              <w:rPr>
                <w:sz w:val="20"/>
                <w:szCs w:val="20"/>
                <w:color w:val="auto"/>
              </w:rPr>
            </w:pPr>
            <w:r>
              <w:rPr>
                <w:rFonts w:ascii="Arial" w:cs="Arial" w:eastAsia="Arial" w:hAnsi="Arial"/>
                <w:sz w:val="22"/>
                <w:szCs w:val="22"/>
                <w:color w:val="auto"/>
                <w:w w:val="98"/>
              </w:rPr>
              <w:t>2.13.</w:t>
            </w:r>
          </w:p>
        </w:tc>
        <w:tc>
          <w:tcPr>
            <w:tcW w:w="1420" w:type="dxa"/>
            <w:vAlign w:val="bottom"/>
          </w:tcPr>
          <w:p>
            <w:pPr>
              <w:ind w:left="40"/>
              <w:spacing w:after="0" w:line="225" w:lineRule="exact"/>
              <w:rPr>
                <w:sz w:val="20"/>
                <w:szCs w:val="20"/>
                <w:color w:val="auto"/>
              </w:rPr>
            </w:pPr>
            <w:r>
              <w:rPr>
                <w:rFonts w:ascii="Arial" w:cs="Arial" w:eastAsia="Arial" w:hAnsi="Arial"/>
                <w:sz w:val="22"/>
                <w:szCs w:val="22"/>
                <w:color w:val="auto"/>
              </w:rPr>
              <w:t>Limitations on</w:t>
            </w:r>
          </w:p>
        </w:tc>
        <w:tc>
          <w:tcPr>
            <w:tcW w:w="900" w:type="dxa"/>
            <w:vAlign w:val="bottom"/>
            <w:gridSpan w:val="2"/>
          </w:tcPr>
          <w:p>
            <w:pPr>
              <w:jc w:val="right"/>
              <w:spacing w:after="0" w:line="225" w:lineRule="exact"/>
              <w:rPr>
                <w:sz w:val="20"/>
                <w:szCs w:val="20"/>
                <w:color w:val="auto"/>
              </w:rPr>
            </w:pPr>
            <w:r>
              <w:rPr>
                <w:rFonts w:ascii="Arial" w:cs="Arial" w:eastAsia="Arial" w:hAnsi="Arial"/>
                <w:sz w:val="20"/>
                <w:szCs w:val="20"/>
                <w:color w:val="FF0000"/>
                <w:strike w:val="1"/>
                <w:w w:val="96"/>
              </w:rPr>
              <w:t>Eurodollar</w:t>
            </w:r>
          </w:p>
        </w:tc>
        <w:tc>
          <w:tcPr>
            <w:tcW w:w="1540" w:type="dxa"/>
            <w:vAlign w:val="bottom"/>
            <w:gridSpan w:val="5"/>
          </w:tcPr>
          <w:p>
            <w:pPr>
              <w:jc w:val="center"/>
              <w:spacing w:after="0"/>
              <w:rPr>
                <w:sz w:val="20"/>
                <w:szCs w:val="20"/>
                <w:color w:val="auto"/>
              </w:rPr>
            </w:pPr>
            <w:r>
              <w:rPr>
                <w:rFonts w:ascii="Arial" w:cs="Arial" w:eastAsia="Arial" w:hAnsi="Arial"/>
                <w:sz w:val="18"/>
                <w:szCs w:val="18"/>
                <w:b w:val="1"/>
                <w:bCs w:val="1"/>
                <w:color w:val="0000FF"/>
                <w:w w:val="72"/>
              </w:rPr>
              <w:t xml:space="preserve">SOFR </w:t>
            </w:r>
            <w:r>
              <w:rPr>
                <w:rFonts w:ascii="Arial" w:cs="Arial" w:eastAsia="Arial" w:hAnsi="Arial"/>
                <w:sz w:val="18"/>
                <w:szCs w:val="18"/>
                <w:color w:val="000000"/>
                <w:w w:val="72"/>
              </w:rPr>
              <w:t>T</w:t>
            </w:r>
            <w:r>
              <w:rPr>
                <w:rFonts w:ascii="Arial" w:cs="Arial" w:eastAsia="Arial" w:hAnsi="Arial"/>
                <w:sz w:val="19"/>
                <w:szCs w:val="19"/>
                <w:color w:val="000000"/>
                <w:w w:val="72"/>
              </w:rPr>
              <w:t>ranches...............</w:t>
            </w:r>
          </w:p>
        </w:tc>
        <w:tc>
          <w:tcPr>
            <w:tcW w:w="2060" w:type="dxa"/>
            <w:vAlign w:val="bottom"/>
          </w:tcPr>
          <w:p>
            <w:pPr>
              <w:jc w:val="right"/>
              <w:ind w:right="852"/>
              <w:spacing w:after="0" w:line="225" w:lineRule="exact"/>
              <w:rPr>
                <w:sz w:val="20"/>
                <w:szCs w:val="20"/>
                <w:color w:val="auto"/>
              </w:rPr>
            </w:pPr>
            <w:r>
              <w:rPr>
                <w:rFonts w:ascii="Arial" w:cs="Arial" w:eastAsia="Arial" w:hAnsi="Arial"/>
                <w:sz w:val="22"/>
                <w:szCs w:val="22"/>
                <w:color w:val="auto"/>
              </w:rPr>
              <w:t>43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84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8"/>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2.14.</w:t>
            </w:r>
          </w:p>
        </w:tc>
        <w:tc>
          <w:tcPr>
            <w:tcW w:w="3160" w:type="dxa"/>
            <w:vAlign w:val="bottom"/>
            <w:gridSpan w:val="5"/>
          </w:tcPr>
          <w:p>
            <w:pPr>
              <w:ind w:left="40"/>
              <w:spacing w:after="0"/>
              <w:rPr>
                <w:sz w:val="20"/>
                <w:szCs w:val="20"/>
                <w:color w:val="auto"/>
              </w:rPr>
            </w:pPr>
            <w:r>
              <w:rPr>
                <w:rFonts w:ascii="Arial" w:cs="Arial" w:eastAsia="Arial" w:hAnsi="Arial"/>
                <w:sz w:val="22"/>
                <w:szCs w:val="22"/>
                <w:color w:val="auto"/>
                <w:w w:val="94"/>
              </w:rPr>
              <w:t>Pro Rata Treatment, etc...............</w:t>
            </w:r>
          </w:p>
        </w:tc>
        <w:tc>
          <w:tcPr>
            <w:tcW w:w="480" w:type="dxa"/>
            <w:vAlign w:val="bottom"/>
            <w:gridSpan w:val="2"/>
          </w:tcPr>
          <w:p>
            <w:pPr>
              <w:jc w:val="right"/>
              <w:ind w:right="74"/>
              <w:spacing w:after="0"/>
              <w:rPr>
                <w:sz w:val="20"/>
                <w:szCs w:val="20"/>
                <w:color w:val="auto"/>
              </w:rPr>
            </w:pPr>
            <w:r>
              <w:rPr>
                <w:rFonts w:ascii="Arial" w:cs="Arial" w:eastAsia="Arial" w:hAnsi="Arial"/>
                <w:sz w:val="22"/>
                <w:szCs w:val="22"/>
                <w:color w:val="auto"/>
              </w:rPr>
              <w:t>43</w:t>
            </w:r>
          </w:p>
        </w:tc>
        <w:tc>
          <w:tcPr>
            <w:tcW w:w="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2.15.</w:t>
            </w:r>
          </w:p>
        </w:tc>
        <w:tc>
          <w:tcPr>
            <w:tcW w:w="2200" w:type="dxa"/>
            <w:vAlign w:val="bottom"/>
            <w:gridSpan w:val="2"/>
          </w:tcPr>
          <w:p>
            <w:pPr>
              <w:ind w:left="40"/>
              <w:spacing w:after="0"/>
              <w:rPr>
                <w:sz w:val="20"/>
                <w:szCs w:val="20"/>
                <w:color w:val="auto"/>
              </w:rPr>
            </w:pPr>
            <w:r>
              <w:rPr>
                <w:rFonts w:ascii="Arial" w:cs="Arial" w:eastAsia="Arial" w:hAnsi="Arial"/>
                <w:sz w:val="21"/>
                <w:szCs w:val="21"/>
                <w:color w:val="auto"/>
                <w:w w:val="73"/>
              </w:rPr>
              <w:t>Requirements of Law................</w:t>
            </w:r>
          </w:p>
        </w:tc>
        <w:tc>
          <w:tcPr>
            <w:tcW w:w="1080" w:type="dxa"/>
            <w:vAlign w:val="bottom"/>
            <w:gridSpan w:val="4"/>
          </w:tcPr>
          <w:p>
            <w:pPr>
              <w:jc w:val="right"/>
              <w:spacing w:after="0"/>
              <w:rPr>
                <w:sz w:val="20"/>
                <w:szCs w:val="20"/>
                <w:color w:val="auto"/>
              </w:rPr>
            </w:pPr>
            <w:r>
              <w:rPr>
                <w:rFonts w:ascii="Arial" w:cs="Arial" w:eastAsia="Arial" w:hAnsi="Arial"/>
                <w:sz w:val="22"/>
                <w:szCs w:val="22"/>
                <w:color w:val="auto"/>
              </w:rPr>
              <w:t>44</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0"/>
        </w:trPr>
        <w:tc>
          <w:tcPr>
            <w:tcW w:w="2260" w:type="dxa"/>
            <w:vAlign w:val="bottom"/>
            <w:gridSpan w:val="3"/>
          </w:tcPr>
          <w:p>
            <w:pPr>
              <w:ind w:left="340"/>
              <w:spacing w:after="0"/>
              <w:rPr>
                <w:sz w:val="20"/>
                <w:szCs w:val="20"/>
                <w:color w:val="auto"/>
              </w:rPr>
            </w:pPr>
            <w:r>
              <w:rPr>
                <w:rFonts w:ascii="Arial" w:cs="Arial" w:eastAsia="Arial" w:hAnsi="Arial"/>
                <w:sz w:val="22"/>
                <w:szCs w:val="22"/>
                <w:color w:val="auto"/>
                <w:w w:val="91"/>
              </w:rPr>
              <w:t>2.16. Taxes...............</w:t>
            </w:r>
          </w:p>
        </w:tc>
        <w:tc>
          <w:tcPr>
            <w:tcW w:w="780" w:type="dxa"/>
            <w:vAlign w:val="bottom"/>
          </w:tcPr>
          <w:p>
            <w:pPr>
              <w:jc w:val="right"/>
              <w:ind w:right="354"/>
              <w:spacing w:after="0"/>
              <w:rPr>
                <w:sz w:val="20"/>
                <w:szCs w:val="20"/>
                <w:color w:val="auto"/>
              </w:rPr>
            </w:pPr>
            <w:r>
              <w:rPr>
                <w:rFonts w:ascii="Arial" w:cs="Arial" w:eastAsia="Arial" w:hAnsi="Arial"/>
                <w:sz w:val="22"/>
                <w:szCs w:val="22"/>
                <w:color w:val="auto"/>
              </w:rPr>
              <w:t>45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56"/>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2.17.</w:t>
            </w:r>
          </w:p>
        </w:tc>
        <w:tc>
          <w:tcPr>
            <w:tcW w:w="1420" w:type="dxa"/>
            <w:vAlign w:val="bottom"/>
          </w:tcPr>
          <w:p>
            <w:pPr>
              <w:ind w:left="40"/>
              <w:spacing w:after="0"/>
              <w:rPr>
                <w:sz w:val="20"/>
                <w:szCs w:val="20"/>
                <w:color w:val="auto"/>
              </w:rPr>
            </w:pPr>
            <w:r>
              <w:rPr>
                <w:rFonts w:ascii="Arial" w:cs="Arial" w:eastAsia="Arial" w:hAnsi="Arial"/>
                <w:sz w:val="22"/>
                <w:szCs w:val="22"/>
                <w:color w:val="auto"/>
                <w:w w:val="72"/>
              </w:rPr>
              <w:t>Indemnity...............</w:t>
            </w:r>
          </w:p>
        </w:tc>
        <w:tc>
          <w:tcPr>
            <w:tcW w:w="780" w:type="dxa"/>
            <w:vAlign w:val="bottom"/>
          </w:tcPr>
          <w:p>
            <w:pPr>
              <w:jc w:val="right"/>
              <w:spacing w:after="0"/>
              <w:rPr>
                <w:sz w:val="20"/>
                <w:szCs w:val="20"/>
                <w:color w:val="auto"/>
              </w:rPr>
            </w:pPr>
            <w:r>
              <w:rPr>
                <w:rFonts w:ascii="Arial" w:cs="Arial" w:eastAsia="Arial" w:hAnsi="Arial"/>
                <w:sz w:val="22"/>
                <w:szCs w:val="22"/>
                <w:color w:val="auto"/>
              </w:rPr>
              <w:t>48</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2.18.</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94"/>
              </w:rPr>
              <w:t>Change of Lending Office...............</w:t>
            </w:r>
          </w:p>
        </w:tc>
        <w:tc>
          <w:tcPr>
            <w:tcW w:w="360" w:type="dxa"/>
            <w:vAlign w:val="bottom"/>
          </w:tcPr>
          <w:p>
            <w:pPr>
              <w:jc w:val="right"/>
              <w:spacing w:after="0"/>
              <w:rPr>
                <w:sz w:val="20"/>
                <w:szCs w:val="20"/>
                <w:color w:val="auto"/>
              </w:rPr>
            </w:pPr>
            <w:r>
              <w:rPr>
                <w:rFonts w:ascii="Arial" w:cs="Arial" w:eastAsia="Arial" w:hAnsi="Arial"/>
                <w:sz w:val="22"/>
                <w:szCs w:val="22"/>
                <w:color w:val="auto"/>
              </w:rPr>
              <w:t>49</w:t>
            </w: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6"/>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2.19.</w:t>
            </w:r>
          </w:p>
        </w:tc>
        <w:tc>
          <w:tcPr>
            <w:tcW w:w="1420" w:type="dxa"/>
            <w:vAlign w:val="bottom"/>
          </w:tcPr>
          <w:p>
            <w:pPr>
              <w:ind w:left="40"/>
              <w:spacing w:after="0"/>
              <w:rPr>
                <w:sz w:val="20"/>
                <w:szCs w:val="20"/>
                <w:color w:val="auto"/>
              </w:rPr>
            </w:pPr>
            <w:r>
              <w:rPr>
                <w:rFonts w:ascii="Arial" w:cs="Arial" w:eastAsia="Arial" w:hAnsi="Arial"/>
                <w:sz w:val="22"/>
                <w:szCs w:val="22"/>
                <w:color w:val="auto"/>
                <w:w w:val="96"/>
              </w:rPr>
              <w:t>Fees...............</w:t>
            </w:r>
          </w:p>
        </w:tc>
        <w:tc>
          <w:tcPr>
            <w:tcW w:w="780" w:type="dxa"/>
            <w:vAlign w:val="bottom"/>
          </w:tcPr>
          <w:p>
            <w:pPr>
              <w:jc w:val="right"/>
              <w:ind w:right="434"/>
              <w:spacing w:after="0"/>
              <w:rPr>
                <w:sz w:val="20"/>
                <w:szCs w:val="20"/>
                <w:color w:val="auto"/>
              </w:rPr>
            </w:pPr>
            <w:r>
              <w:rPr>
                <w:rFonts w:ascii="Arial" w:cs="Arial" w:eastAsia="Arial" w:hAnsi="Arial"/>
                <w:sz w:val="22"/>
                <w:szCs w:val="22"/>
                <w:color w:val="auto"/>
                <w:w w:val="89"/>
              </w:rPr>
              <w:t>49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2.20.</w:t>
            </w:r>
          </w:p>
        </w:tc>
        <w:tc>
          <w:tcPr>
            <w:tcW w:w="2200" w:type="dxa"/>
            <w:vAlign w:val="bottom"/>
            <w:gridSpan w:val="2"/>
          </w:tcPr>
          <w:p>
            <w:pPr>
              <w:ind w:left="40"/>
              <w:spacing w:after="0"/>
              <w:rPr>
                <w:sz w:val="20"/>
                <w:szCs w:val="20"/>
                <w:color w:val="auto"/>
              </w:rPr>
            </w:pPr>
            <w:r>
              <w:rPr>
                <w:rFonts w:ascii="Arial" w:cs="Arial" w:eastAsia="Arial" w:hAnsi="Arial"/>
                <w:sz w:val="22"/>
                <w:szCs w:val="22"/>
                <w:color w:val="auto"/>
                <w:w w:val="90"/>
              </w:rPr>
              <w:t>Nature of Fees...............</w:t>
            </w:r>
          </w:p>
        </w:tc>
        <w:tc>
          <w:tcPr>
            <w:tcW w:w="680" w:type="dxa"/>
            <w:vAlign w:val="bottom"/>
            <w:gridSpan w:val="2"/>
          </w:tcPr>
          <w:p>
            <w:pPr>
              <w:jc w:val="right"/>
              <w:ind w:right="190"/>
              <w:spacing w:after="0"/>
              <w:rPr>
                <w:sz w:val="20"/>
                <w:szCs w:val="20"/>
                <w:color w:val="auto"/>
              </w:rPr>
            </w:pPr>
            <w:r>
              <w:rPr>
                <w:rFonts w:ascii="Arial" w:cs="Arial" w:eastAsia="Arial" w:hAnsi="Arial"/>
                <w:sz w:val="22"/>
                <w:szCs w:val="22"/>
                <w:color w:val="auto"/>
              </w:rPr>
              <w:t>50</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6"/>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2.21.</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80"/>
              </w:rPr>
              <w:t>Incremental Revolving Facilities...............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jc w:val="right"/>
              <w:ind w:right="1592"/>
              <w:spacing w:after="0"/>
              <w:rPr>
                <w:sz w:val="20"/>
                <w:szCs w:val="20"/>
                <w:color w:val="auto"/>
              </w:rPr>
            </w:pPr>
            <w:r>
              <w:rPr>
                <w:rFonts w:ascii="Arial" w:cs="Arial" w:eastAsia="Arial" w:hAnsi="Arial"/>
                <w:sz w:val="22"/>
                <w:szCs w:val="22"/>
                <w:color w:val="auto"/>
              </w:rPr>
              <w:t>50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0"/>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2.22.</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97"/>
              </w:rPr>
              <w:t>Replacement of Lenders...............</w:t>
            </w:r>
          </w:p>
        </w:tc>
        <w:tc>
          <w:tcPr>
            <w:tcW w:w="360" w:type="dxa"/>
            <w:vAlign w:val="bottom"/>
          </w:tcPr>
          <w:p>
            <w:pPr>
              <w:jc w:val="right"/>
              <w:ind w:right="14"/>
              <w:spacing w:after="0"/>
              <w:rPr>
                <w:sz w:val="20"/>
                <w:szCs w:val="20"/>
                <w:color w:val="auto"/>
              </w:rPr>
            </w:pPr>
            <w:r>
              <w:rPr>
                <w:rFonts w:ascii="Arial" w:cs="Arial" w:eastAsia="Arial" w:hAnsi="Arial"/>
                <w:sz w:val="22"/>
                <w:szCs w:val="22"/>
                <w:color w:val="auto"/>
                <w:w w:val="89"/>
              </w:rPr>
              <w:t>51</w:t>
            </w:r>
          </w:p>
        </w:tc>
        <w:tc>
          <w:tcPr>
            <w:tcW w:w="2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2.23.</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88"/>
              </w:rPr>
              <w:t>Extensions of Commitments...............</w:t>
            </w:r>
          </w:p>
        </w:tc>
        <w:tc>
          <w:tcPr>
            <w:tcW w:w="580" w:type="dxa"/>
            <w:vAlign w:val="bottom"/>
            <w:gridSpan w:val="2"/>
          </w:tcPr>
          <w:p>
            <w:pPr>
              <w:jc w:val="right"/>
              <w:spacing w:after="0"/>
              <w:rPr>
                <w:sz w:val="20"/>
                <w:szCs w:val="20"/>
                <w:color w:val="auto"/>
              </w:rPr>
            </w:pPr>
            <w:r>
              <w:rPr>
                <w:rFonts w:ascii="Arial" w:cs="Arial" w:eastAsia="Arial" w:hAnsi="Arial"/>
                <w:sz w:val="22"/>
                <w:szCs w:val="22"/>
                <w:color w:val="auto"/>
              </w:rPr>
              <w:t>52</w:t>
            </w: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2.24.</w:t>
            </w:r>
          </w:p>
        </w:tc>
        <w:tc>
          <w:tcPr>
            <w:tcW w:w="2200" w:type="dxa"/>
            <w:vAlign w:val="bottom"/>
            <w:gridSpan w:val="2"/>
          </w:tcPr>
          <w:p>
            <w:pPr>
              <w:ind w:left="40"/>
              <w:spacing w:after="0"/>
              <w:rPr>
                <w:sz w:val="20"/>
                <w:szCs w:val="20"/>
                <w:color w:val="auto"/>
              </w:rPr>
            </w:pPr>
            <w:r>
              <w:rPr>
                <w:rFonts w:ascii="Arial" w:cs="Arial" w:eastAsia="Arial" w:hAnsi="Arial"/>
                <w:sz w:val="22"/>
                <w:szCs w:val="22"/>
                <w:color w:val="auto"/>
                <w:w w:val="77"/>
              </w:rPr>
              <w:t>Defaulting Lenders...............</w:t>
            </w:r>
          </w:p>
        </w:tc>
        <w:tc>
          <w:tcPr>
            <w:tcW w:w="960" w:type="dxa"/>
            <w:vAlign w:val="bottom"/>
            <w:gridSpan w:val="3"/>
          </w:tcPr>
          <w:p>
            <w:pPr>
              <w:jc w:val="right"/>
              <w:ind w:right="180"/>
              <w:spacing w:after="0"/>
              <w:rPr>
                <w:sz w:val="20"/>
                <w:szCs w:val="20"/>
                <w:color w:val="auto"/>
              </w:rPr>
            </w:pPr>
            <w:r>
              <w:rPr>
                <w:rFonts w:ascii="Arial" w:cs="Arial" w:eastAsia="Arial" w:hAnsi="Arial"/>
                <w:sz w:val="22"/>
                <w:szCs w:val="22"/>
                <w:color w:val="auto"/>
              </w:rPr>
              <w:t>53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5"/>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2.25.</w:t>
            </w:r>
          </w:p>
        </w:tc>
        <w:tc>
          <w:tcPr>
            <w:tcW w:w="3280" w:type="dxa"/>
            <w:vAlign w:val="bottom"/>
            <w:gridSpan w:val="6"/>
          </w:tcPr>
          <w:p>
            <w:pPr>
              <w:ind w:left="40"/>
              <w:spacing w:after="0"/>
              <w:rPr>
                <w:sz w:val="20"/>
                <w:szCs w:val="20"/>
                <w:color w:val="auto"/>
              </w:rPr>
            </w:pPr>
            <w:r>
              <w:rPr>
                <w:rFonts w:ascii="Arial" w:cs="Arial" w:eastAsia="Arial" w:hAnsi="Arial"/>
                <w:sz w:val="22"/>
                <w:szCs w:val="22"/>
                <w:color w:val="auto"/>
                <w:w w:val="92"/>
              </w:rPr>
              <w:t>Sustainability Adjustments...............</w:t>
            </w:r>
          </w:p>
        </w:tc>
        <w:tc>
          <w:tcPr>
            <w:tcW w:w="580" w:type="dxa"/>
            <w:vAlign w:val="bottom"/>
            <w:gridSpan w:val="2"/>
          </w:tcPr>
          <w:p>
            <w:pPr>
              <w:jc w:val="right"/>
              <w:ind w:right="72"/>
              <w:spacing w:after="0"/>
              <w:rPr>
                <w:sz w:val="20"/>
                <w:szCs w:val="20"/>
                <w:color w:val="auto"/>
              </w:rPr>
            </w:pPr>
            <w:r>
              <w:rPr>
                <w:rFonts w:ascii="Arial" w:cs="Arial" w:eastAsia="Arial" w:hAnsi="Arial"/>
                <w:sz w:val="22"/>
                <w:szCs w:val="22"/>
                <w:color w:val="auto"/>
              </w:rPr>
              <w:t>54</w:t>
            </w:r>
          </w:p>
        </w:tc>
        <w:tc>
          <w:tcPr>
            <w:tcW w:w="2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800" w:type="dxa"/>
            <w:vAlign w:val="bottom"/>
            <w:gridSpan w:val="4"/>
          </w:tcPr>
          <w:p>
            <w:pPr>
              <w:spacing w:after="0"/>
              <w:rPr>
                <w:sz w:val="20"/>
                <w:szCs w:val="20"/>
                <w:color w:val="auto"/>
              </w:rPr>
            </w:pPr>
            <w:r>
              <w:rPr>
                <w:rFonts w:ascii="Arial" w:cs="Arial" w:eastAsia="Arial" w:hAnsi="Arial"/>
                <w:sz w:val="22"/>
                <w:szCs w:val="22"/>
                <w:b w:val="1"/>
                <w:bCs w:val="1"/>
                <w:color w:val="auto"/>
                <w:w w:val="89"/>
              </w:rPr>
              <w:t>Section 3 Representations and Warranties...............</w:t>
            </w:r>
          </w:p>
        </w:tc>
        <w:tc>
          <w:tcPr>
            <w:tcW w:w="1360" w:type="dxa"/>
            <w:vAlign w:val="bottom"/>
          </w:tcPr>
          <w:p>
            <w:pPr>
              <w:jc w:val="right"/>
              <w:ind w:right="572"/>
              <w:spacing w:after="0"/>
              <w:rPr>
                <w:sz w:val="20"/>
                <w:szCs w:val="20"/>
                <w:color w:val="auto"/>
              </w:rPr>
            </w:pPr>
            <w:r>
              <w:rPr>
                <w:rFonts w:ascii="Arial" w:cs="Arial" w:eastAsia="Arial" w:hAnsi="Arial"/>
                <w:sz w:val="22"/>
                <w:szCs w:val="22"/>
                <w:b w:val="1"/>
                <w:bCs w:val="1"/>
                <w:color w:val="auto"/>
              </w:rPr>
              <w:t>56</w:t>
            </w:r>
          </w:p>
        </w:tc>
        <w:tc>
          <w:tcPr>
            <w:tcW w:w="240" w:type="dxa"/>
            <w:vAlign w:val="bottom"/>
          </w:tcPr>
          <w:p>
            <w:pPr>
              <w:spacing w:after="0"/>
              <w:rPr>
                <w:sz w:val="24"/>
                <w:szCs w:val="24"/>
                <w:color w:val="auto"/>
              </w:rPr>
            </w:pPr>
          </w:p>
        </w:tc>
      </w:tr>
      <w:tr>
        <w:trPr>
          <w:trHeight w:val="343"/>
        </w:trPr>
        <w:tc>
          <w:tcPr>
            <w:tcW w:w="720" w:type="dxa"/>
            <w:vAlign w:val="bottom"/>
          </w:tcPr>
          <w:p>
            <w:pPr>
              <w:ind w:left="340"/>
              <w:spacing w:after="0"/>
              <w:rPr>
                <w:sz w:val="20"/>
                <w:szCs w:val="20"/>
                <w:color w:val="auto"/>
              </w:rPr>
            </w:pPr>
            <w:r>
              <w:rPr>
                <w:rFonts w:ascii="Arial" w:cs="Arial" w:eastAsia="Arial" w:hAnsi="Arial"/>
                <w:sz w:val="22"/>
                <w:szCs w:val="22"/>
                <w:color w:val="auto"/>
                <w:w w:val="97"/>
              </w:rPr>
              <w:t>3.1.</w:t>
            </w:r>
          </w:p>
        </w:tc>
        <w:tc>
          <w:tcPr>
            <w:tcW w:w="4080" w:type="dxa"/>
            <w:vAlign w:val="bottom"/>
            <w:gridSpan w:val="3"/>
          </w:tcPr>
          <w:p>
            <w:pPr>
              <w:ind w:left="40"/>
              <w:spacing w:after="0"/>
              <w:rPr>
                <w:sz w:val="20"/>
                <w:szCs w:val="20"/>
                <w:color w:val="auto"/>
              </w:rPr>
            </w:pPr>
            <w:r>
              <w:rPr>
                <w:rFonts w:ascii="Arial" w:cs="Arial" w:eastAsia="Arial" w:hAnsi="Arial"/>
                <w:sz w:val="22"/>
                <w:szCs w:val="22"/>
                <w:color w:val="auto"/>
                <w:w w:val="97"/>
              </w:rPr>
              <w:t>Existence; Compliance with Law................</w:t>
            </w:r>
          </w:p>
        </w:tc>
        <w:tc>
          <w:tcPr>
            <w:tcW w:w="1360" w:type="dxa"/>
            <w:vAlign w:val="bottom"/>
          </w:tcPr>
          <w:p>
            <w:pPr>
              <w:jc w:val="right"/>
              <w:ind w:right="1012"/>
              <w:spacing w:after="0"/>
              <w:rPr>
                <w:sz w:val="20"/>
                <w:szCs w:val="20"/>
                <w:color w:val="auto"/>
              </w:rPr>
            </w:pPr>
            <w:r>
              <w:rPr>
                <w:rFonts w:ascii="Arial" w:cs="Arial" w:eastAsia="Arial" w:hAnsi="Arial"/>
                <w:sz w:val="22"/>
                <w:szCs w:val="22"/>
                <w:color w:val="auto"/>
                <w:w w:val="89"/>
              </w:rPr>
              <w:t>56</w:t>
            </w:r>
          </w:p>
        </w:tc>
        <w:tc>
          <w:tcPr>
            <w:tcW w:w="240" w:type="dxa"/>
            <w:vAlign w:val="bottom"/>
          </w:tcPr>
          <w:p>
            <w:pPr>
              <w:spacing w:after="0"/>
              <w:rPr>
                <w:sz w:val="24"/>
                <w:szCs w:val="24"/>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3.2.</w:t>
            </w:r>
          </w:p>
        </w:tc>
        <w:tc>
          <w:tcPr>
            <w:tcW w:w="5440" w:type="dxa"/>
            <w:vAlign w:val="bottom"/>
            <w:gridSpan w:val="4"/>
          </w:tcPr>
          <w:p>
            <w:pPr>
              <w:ind w:left="40"/>
              <w:spacing w:after="0"/>
              <w:rPr>
                <w:sz w:val="20"/>
                <w:szCs w:val="20"/>
                <w:color w:val="auto"/>
              </w:rPr>
            </w:pPr>
            <w:r>
              <w:rPr>
                <w:rFonts w:ascii="Arial" w:cs="Arial" w:eastAsia="Arial" w:hAnsi="Arial"/>
                <w:sz w:val="22"/>
                <w:szCs w:val="22"/>
                <w:color w:val="auto"/>
                <w:w w:val="97"/>
              </w:rPr>
              <w:t>Power; Authorizations; Enforceable Obligations...............</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57</w:t>
            </w: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3.3.</w:t>
            </w:r>
          </w:p>
        </w:tc>
        <w:tc>
          <w:tcPr>
            <w:tcW w:w="2180" w:type="dxa"/>
            <w:vAlign w:val="bottom"/>
          </w:tcPr>
          <w:p>
            <w:pPr>
              <w:ind w:left="40"/>
              <w:spacing w:after="0"/>
              <w:rPr>
                <w:sz w:val="20"/>
                <w:szCs w:val="20"/>
                <w:color w:val="auto"/>
              </w:rPr>
            </w:pPr>
            <w:r>
              <w:rPr>
                <w:rFonts w:ascii="Arial" w:cs="Arial" w:eastAsia="Arial" w:hAnsi="Arial"/>
                <w:sz w:val="22"/>
                <w:szCs w:val="22"/>
                <w:color w:val="auto"/>
                <w:w w:val="96"/>
              </w:rPr>
              <w:t>No Legal Bar...............</w:t>
            </w:r>
          </w:p>
        </w:tc>
        <w:tc>
          <w:tcPr>
            <w:tcW w:w="640" w:type="dxa"/>
            <w:vAlign w:val="bottom"/>
          </w:tcPr>
          <w:p>
            <w:pPr>
              <w:jc w:val="right"/>
              <w:ind w:right="292"/>
              <w:spacing w:after="0"/>
              <w:rPr>
                <w:sz w:val="20"/>
                <w:szCs w:val="20"/>
                <w:color w:val="auto"/>
              </w:rPr>
            </w:pPr>
            <w:r>
              <w:rPr>
                <w:rFonts w:ascii="Arial" w:cs="Arial" w:eastAsia="Arial" w:hAnsi="Arial"/>
                <w:sz w:val="22"/>
                <w:szCs w:val="22"/>
                <w:color w:val="auto"/>
                <w:w w:val="89"/>
              </w:rPr>
              <w:t>57</w:t>
            </w: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3540" w:type="dxa"/>
            <w:vAlign w:val="bottom"/>
            <w:gridSpan w:val="3"/>
          </w:tcPr>
          <w:p>
            <w:pPr>
              <w:ind w:left="340"/>
              <w:spacing w:after="0"/>
              <w:rPr>
                <w:sz w:val="20"/>
                <w:szCs w:val="20"/>
                <w:color w:val="auto"/>
              </w:rPr>
            </w:pPr>
            <w:r>
              <w:rPr>
                <w:rFonts w:ascii="Arial" w:cs="Arial" w:eastAsia="Arial" w:hAnsi="Arial"/>
                <w:sz w:val="22"/>
                <w:szCs w:val="22"/>
                <w:color w:val="auto"/>
                <w:w w:val="86"/>
              </w:rPr>
              <w:t>3.4. Accuracy of Information...............</w:t>
            </w:r>
          </w:p>
        </w:tc>
        <w:tc>
          <w:tcPr>
            <w:tcW w:w="1260" w:type="dxa"/>
            <w:vAlign w:val="bottom"/>
          </w:tcPr>
          <w:p>
            <w:pPr>
              <w:jc w:val="right"/>
              <w:ind w:right="532"/>
              <w:spacing w:after="0"/>
              <w:rPr>
                <w:sz w:val="20"/>
                <w:szCs w:val="20"/>
                <w:color w:val="auto"/>
              </w:rPr>
            </w:pPr>
            <w:r>
              <w:rPr>
                <w:rFonts w:ascii="Arial" w:cs="Arial" w:eastAsia="Arial" w:hAnsi="Arial"/>
                <w:sz w:val="22"/>
                <w:szCs w:val="22"/>
                <w:color w:val="auto"/>
              </w:rPr>
              <w:t>57</w:t>
            </w: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3.5.</w:t>
            </w:r>
          </w:p>
        </w:tc>
        <w:tc>
          <w:tcPr>
            <w:tcW w:w="2820" w:type="dxa"/>
            <w:vAlign w:val="bottom"/>
            <w:gridSpan w:val="2"/>
          </w:tcPr>
          <w:p>
            <w:pPr>
              <w:ind w:left="40"/>
              <w:spacing w:after="0"/>
              <w:rPr>
                <w:sz w:val="20"/>
                <w:szCs w:val="20"/>
                <w:color w:val="auto"/>
              </w:rPr>
            </w:pPr>
            <w:r>
              <w:rPr>
                <w:rFonts w:ascii="Arial" w:cs="Arial" w:eastAsia="Arial" w:hAnsi="Arial"/>
                <w:sz w:val="22"/>
                <w:szCs w:val="22"/>
                <w:color w:val="auto"/>
                <w:w w:val="78"/>
              </w:rPr>
              <w:t>No Material Adverse Effect...............</w:t>
            </w:r>
          </w:p>
        </w:tc>
        <w:tc>
          <w:tcPr>
            <w:tcW w:w="1260" w:type="dxa"/>
            <w:vAlign w:val="bottom"/>
          </w:tcPr>
          <w:p>
            <w:pPr>
              <w:jc w:val="right"/>
              <w:ind w:right="252"/>
              <w:spacing w:after="0"/>
              <w:rPr>
                <w:sz w:val="20"/>
                <w:szCs w:val="20"/>
                <w:color w:val="auto"/>
              </w:rPr>
            </w:pPr>
            <w:r>
              <w:rPr>
                <w:rFonts w:ascii="Arial" w:cs="Arial" w:eastAsia="Arial" w:hAnsi="Arial"/>
                <w:sz w:val="22"/>
                <w:szCs w:val="22"/>
                <w:color w:val="auto"/>
              </w:rPr>
              <w:t>57</w:t>
            </w:r>
          </w:p>
        </w:tc>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0"/>
        </w:trPr>
        <w:tc>
          <w:tcPr>
            <w:tcW w:w="3540" w:type="dxa"/>
            <w:vAlign w:val="bottom"/>
            <w:gridSpan w:val="3"/>
          </w:tcPr>
          <w:p>
            <w:pPr>
              <w:ind w:left="340"/>
              <w:spacing w:after="0"/>
              <w:rPr>
                <w:sz w:val="20"/>
                <w:szCs w:val="20"/>
                <w:color w:val="auto"/>
              </w:rPr>
            </w:pPr>
            <w:r>
              <w:rPr>
                <w:rFonts w:ascii="Arial" w:cs="Arial" w:eastAsia="Arial" w:hAnsi="Arial"/>
                <w:sz w:val="22"/>
                <w:szCs w:val="22"/>
                <w:color w:val="auto"/>
                <w:w w:val="94"/>
              </w:rPr>
              <w:t>3.6. Title to Assets; Liens...............</w:t>
            </w:r>
          </w:p>
        </w:tc>
        <w:tc>
          <w:tcPr>
            <w:tcW w:w="1260" w:type="dxa"/>
            <w:vAlign w:val="bottom"/>
          </w:tcPr>
          <w:p>
            <w:pPr>
              <w:jc w:val="right"/>
              <w:ind w:right="832"/>
              <w:spacing w:after="0"/>
              <w:rPr>
                <w:sz w:val="20"/>
                <w:szCs w:val="20"/>
                <w:color w:val="auto"/>
              </w:rPr>
            </w:pPr>
            <w:r>
              <w:rPr>
                <w:rFonts w:ascii="Arial" w:cs="Arial" w:eastAsia="Arial" w:hAnsi="Arial"/>
                <w:sz w:val="22"/>
                <w:szCs w:val="22"/>
                <w:color w:val="auto"/>
              </w:rPr>
              <w:t>57</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3.7.</w:t>
            </w:r>
          </w:p>
        </w:tc>
        <w:tc>
          <w:tcPr>
            <w:tcW w:w="2820" w:type="dxa"/>
            <w:vAlign w:val="bottom"/>
            <w:gridSpan w:val="2"/>
          </w:tcPr>
          <w:p>
            <w:pPr>
              <w:ind w:left="40"/>
              <w:spacing w:after="0"/>
              <w:rPr>
                <w:sz w:val="20"/>
                <w:szCs w:val="20"/>
                <w:color w:val="auto"/>
              </w:rPr>
            </w:pPr>
            <w:r>
              <w:rPr>
                <w:rFonts w:ascii="Arial" w:cs="Arial" w:eastAsia="Arial" w:hAnsi="Arial"/>
                <w:sz w:val="22"/>
                <w:szCs w:val="22"/>
                <w:color w:val="auto"/>
                <w:w w:val="96"/>
              </w:rPr>
              <w:t>Intellectual Property...............</w:t>
            </w:r>
          </w:p>
        </w:tc>
        <w:tc>
          <w:tcPr>
            <w:tcW w:w="1260" w:type="dxa"/>
            <w:vAlign w:val="bottom"/>
          </w:tcPr>
          <w:p>
            <w:pPr>
              <w:jc w:val="right"/>
              <w:ind w:right="912"/>
              <w:spacing w:after="0"/>
              <w:rPr>
                <w:sz w:val="20"/>
                <w:szCs w:val="20"/>
                <w:color w:val="auto"/>
              </w:rPr>
            </w:pPr>
            <w:r>
              <w:rPr>
                <w:rFonts w:ascii="Arial" w:cs="Arial" w:eastAsia="Arial" w:hAnsi="Arial"/>
                <w:sz w:val="22"/>
                <w:szCs w:val="22"/>
                <w:color w:val="auto"/>
                <w:w w:val="89"/>
              </w:rPr>
              <w:t>58</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ectPr>
          <w:pgSz w:w="11900" w:h="16838" w:orient="portrait"/>
          <w:cols w:equalWidth="0" w:num="1">
            <w:col w:w="10139"/>
          </w:cols>
          <w:pgMar w:left="320" w:top="1399"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3.8.</w:t>
            </w:r>
          </w:p>
        </w:tc>
        <w:tc>
          <w:tcPr>
            <w:tcW w:w="1760" w:type="dxa"/>
            <w:vAlign w:val="bottom"/>
            <w:gridSpan w:val="2"/>
          </w:tcPr>
          <w:p>
            <w:pPr>
              <w:ind w:left="40"/>
              <w:spacing w:after="0"/>
              <w:rPr>
                <w:sz w:val="20"/>
                <w:szCs w:val="20"/>
                <w:color w:val="auto"/>
              </w:rPr>
            </w:pPr>
            <w:r>
              <w:rPr>
                <w:rFonts w:ascii="Arial" w:cs="Arial" w:eastAsia="Arial" w:hAnsi="Arial"/>
                <w:sz w:val="19"/>
                <w:szCs w:val="19"/>
                <w:color w:val="auto"/>
                <w:w w:val="77"/>
              </w:rPr>
              <w:t>Use of Proceeds...............</w:t>
            </w:r>
          </w:p>
        </w:tc>
        <w:tc>
          <w:tcPr>
            <w:tcW w:w="2080" w:type="dxa"/>
            <w:vAlign w:val="bottom"/>
            <w:gridSpan w:val="2"/>
          </w:tcPr>
          <w:p>
            <w:pPr>
              <w:jc w:val="right"/>
              <w:ind w:right="952"/>
              <w:spacing w:after="0"/>
              <w:rPr>
                <w:sz w:val="20"/>
                <w:szCs w:val="20"/>
                <w:color w:val="auto"/>
              </w:rPr>
            </w:pPr>
            <w:r>
              <w:rPr>
                <w:rFonts w:ascii="Arial" w:cs="Arial" w:eastAsia="Arial" w:hAnsi="Arial"/>
                <w:sz w:val="22"/>
                <w:szCs w:val="22"/>
                <w:color w:val="auto"/>
              </w:rPr>
              <w:t>58</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3.9.</w:t>
            </w:r>
          </w:p>
        </w:tc>
        <w:tc>
          <w:tcPr>
            <w:tcW w:w="1760" w:type="dxa"/>
            <w:vAlign w:val="bottom"/>
            <w:gridSpan w:val="2"/>
          </w:tcPr>
          <w:p>
            <w:pPr>
              <w:ind w:left="40"/>
              <w:spacing w:after="0"/>
              <w:rPr>
                <w:sz w:val="20"/>
                <w:szCs w:val="20"/>
                <w:color w:val="auto"/>
              </w:rPr>
            </w:pPr>
            <w:r>
              <w:rPr>
                <w:rFonts w:ascii="Arial" w:cs="Arial" w:eastAsia="Arial" w:hAnsi="Arial"/>
                <w:sz w:val="22"/>
                <w:szCs w:val="22"/>
                <w:color w:val="auto"/>
                <w:w w:val="94"/>
              </w:rPr>
              <w:t>Litigation...............</w:t>
            </w:r>
          </w:p>
        </w:tc>
        <w:tc>
          <w:tcPr>
            <w:tcW w:w="920" w:type="dxa"/>
            <w:vAlign w:val="bottom"/>
          </w:tcPr>
          <w:p>
            <w:pPr>
              <w:jc w:val="right"/>
              <w:ind w:right="532"/>
              <w:spacing w:after="0"/>
              <w:rPr>
                <w:sz w:val="20"/>
                <w:szCs w:val="20"/>
                <w:color w:val="auto"/>
              </w:rPr>
            </w:pPr>
            <w:r>
              <w:rPr>
                <w:rFonts w:ascii="Arial" w:cs="Arial" w:eastAsia="Arial" w:hAnsi="Arial"/>
                <w:sz w:val="22"/>
                <w:szCs w:val="22"/>
                <w:color w:val="auto"/>
              </w:rPr>
              <w:t>58</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560" w:type="dxa"/>
            <w:vAlign w:val="bottom"/>
            <w:gridSpan w:val="5"/>
          </w:tcPr>
          <w:p>
            <w:pPr>
              <w:ind w:left="340"/>
              <w:spacing w:after="0"/>
              <w:rPr>
                <w:sz w:val="20"/>
                <w:szCs w:val="20"/>
                <w:color w:val="auto"/>
              </w:rPr>
            </w:pPr>
            <w:r>
              <w:rPr>
                <w:rFonts w:ascii="Arial" w:cs="Arial" w:eastAsia="Arial" w:hAnsi="Arial"/>
                <w:sz w:val="22"/>
                <w:szCs w:val="22"/>
                <w:color w:val="auto"/>
                <w:w w:val="97"/>
              </w:rPr>
              <w:t>3.10. Federal Reserve Regulations...............</w:t>
            </w:r>
          </w:p>
        </w:tc>
        <w:tc>
          <w:tcPr>
            <w:tcW w:w="940" w:type="dxa"/>
            <w:vAlign w:val="bottom"/>
          </w:tcPr>
          <w:p>
            <w:pPr>
              <w:jc w:val="right"/>
              <w:ind w:right="572"/>
              <w:spacing w:after="0"/>
              <w:rPr>
                <w:sz w:val="20"/>
                <w:szCs w:val="20"/>
                <w:color w:val="auto"/>
              </w:rPr>
            </w:pPr>
            <w:r>
              <w:rPr>
                <w:rFonts w:ascii="Arial" w:cs="Arial" w:eastAsia="Arial" w:hAnsi="Arial"/>
                <w:sz w:val="22"/>
                <w:szCs w:val="22"/>
                <w:color w:val="auto"/>
                <w:w w:val="97"/>
              </w:rPr>
              <w:t>58</w:t>
            </w:r>
          </w:p>
        </w:tc>
        <w:tc>
          <w:tcPr>
            <w:tcW w:w="920" w:type="dxa"/>
            <w:vAlign w:val="bottom"/>
          </w:tcPr>
          <w:p>
            <w:pPr>
              <w:spacing w:after="0"/>
              <w:rPr>
                <w:sz w:val="23"/>
                <w:szCs w:val="23"/>
                <w:color w:val="auto"/>
              </w:rPr>
            </w:pPr>
          </w:p>
        </w:tc>
      </w:tr>
      <w:tr>
        <w:trPr>
          <w:trHeight w:val="256"/>
        </w:trPr>
        <w:tc>
          <w:tcPr>
            <w:tcW w:w="2480" w:type="dxa"/>
            <w:vAlign w:val="bottom"/>
            <w:gridSpan w:val="3"/>
          </w:tcPr>
          <w:p>
            <w:pPr>
              <w:ind w:left="340"/>
              <w:spacing w:after="0"/>
              <w:rPr>
                <w:sz w:val="20"/>
                <w:szCs w:val="20"/>
                <w:color w:val="auto"/>
              </w:rPr>
            </w:pPr>
            <w:r>
              <w:rPr>
                <w:rFonts w:ascii="Arial" w:cs="Arial" w:eastAsia="Arial" w:hAnsi="Arial"/>
                <w:sz w:val="22"/>
                <w:szCs w:val="22"/>
                <w:color w:val="auto"/>
                <w:w w:val="89"/>
              </w:rPr>
              <w:t>3.11. Solvency...............</w:t>
            </w:r>
          </w:p>
        </w:tc>
        <w:tc>
          <w:tcPr>
            <w:tcW w:w="920" w:type="dxa"/>
            <w:vAlign w:val="bottom"/>
          </w:tcPr>
          <w:p>
            <w:pPr>
              <w:jc w:val="right"/>
              <w:ind w:right="432"/>
              <w:spacing w:after="0"/>
              <w:rPr>
                <w:sz w:val="20"/>
                <w:szCs w:val="20"/>
                <w:color w:val="auto"/>
              </w:rPr>
            </w:pPr>
            <w:r>
              <w:rPr>
                <w:rFonts w:ascii="Arial" w:cs="Arial" w:eastAsia="Arial" w:hAnsi="Arial"/>
                <w:sz w:val="22"/>
                <w:szCs w:val="22"/>
                <w:color w:val="auto"/>
              </w:rPr>
              <w:t>58</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2340" w:type="dxa"/>
            <w:vAlign w:val="bottom"/>
            <w:gridSpan w:val="2"/>
          </w:tcPr>
          <w:p>
            <w:pPr>
              <w:ind w:left="340"/>
              <w:spacing w:after="0"/>
              <w:rPr>
                <w:sz w:val="20"/>
                <w:szCs w:val="20"/>
                <w:color w:val="auto"/>
              </w:rPr>
            </w:pPr>
            <w:r>
              <w:rPr>
                <w:rFonts w:ascii="Arial" w:cs="Arial" w:eastAsia="Arial" w:hAnsi="Arial"/>
                <w:sz w:val="22"/>
                <w:szCs w:val="22"/>
                <w:color w:val="auto"/>
                <w:w w:val="95"/>
              </w:rPr>
              <w:t>3.12. Taxes...............</w:t>
            </w:r>
          </w:p>
        </w:tc>
        <w:tc>
          <w:tcPr>
            <w:tcW w:w="1060" w:type="dxa"/>
            <w:vAlign w:val="bottom"/>
            <w:gridSpan w:val="2"/>
          </w:tcPr>
          <w:p>
            <w:pPr>
              <w:jc w:val="right"/>
              <w:ind w:right="712"/>
              <w:spacing w:after="0"/>
              <w:rPr>
                <w:sz w:val="20"/>
                <w:szCs w:val="20"/>
                <w:color w:val="auto"/>
              </w:rPr>
            </w:pPr>
            <w:r>
              <w:rPr>
                <w:rFonts w:ascii="Arial" w:cs="Arial" w:eastAsia="Arial" w:hAnsi="Arial"/>
                <w:sz w:val="22"/>
                <w:szCs w:val="22"/>
                <w:color w:val="auto"/>
                <w:w w:val="89"/>
              </w:rPr>
              <w:t>58</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2480" w:type="dxa"/>
            <w:vAlign w:val="bottom"/>
            <w:gridSpan w:val="3"/>
          </w:tcPr>
          <w:p>
            <w:pPr>
              <w:ind w:left="340"/>
              <w:spacing w:after="0"/>
              <w:rPr>
                <w:sz w:val="20"/>
                <w:szCs w:val="20"/>
                <w:color w:val="auto"/>
              </w:rPr>
            </w:pPr>
            <w:r>
              <w:rPr>
                <w:rFonts w:ascii="Arial" w:cs="Arial" w:eastAsia="Arial" w:hAnsi="Arial"/>
                <w:sz w:val="22"/>
                <w:szCs w:val="22"/>
                <w:color w:val="auto"/>
                <w:w w:val="96"/>
              </w:rPr>
              <w:t>3.13. ERISA................</w:t>
            </w:r>
          </w:p>
        </w:tc>
        <w:tc>
          <w:tcPr>
            <w:tcW w:w="920" w:type="dxa"/>
            <w:vAlign w:val="bottom"/>
          </w:tcPr>
          <w:p>
            <w:pPr>
              <w:jc w:val="right"/>
              <w:ind w:right="572"/>
              <w:spacing w:after="0"/>
              <w:rPr>
                <w:sz w:val="20"/>
                <w:szCs w:val="20"/>
                <w:color w:val="auto"/>
              </w:rPr>
            </w:pPr>
            <w:r>
              <w:rPr>
                <w:rFonts w:ascii="Arial" w:cs="Arial" w:eastAsia="Arial" w:hAnsi="Arial"/>
                <w:sz w:val="22"/>
                <w:szCs w:val="22"/>
                <w:color w:val="auto"/>
                <w:w w:val="89"/>
              </w:rPr>
              <w:t>58</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5500" w:type="dxa"/>
            <w:vAlign w:val="bottom"/>
            <w:gridSpan w:val="6"/>
          </w:tcPr>
          <w:p>
            <w:pPr>
              <w:ind w:left="340"/>
              <w:spacing w:after="0"/>
              <w:rPr>
                <w:sz w:val="20"/>
                <w:szCs w:val="20"/>
                <w:color w:val="auto"/>
              </w:rPr>
            </w:pPr>
            <w:r>
              <w:rPr>
                <w:rFonts w:ascii="Arial" w:cs="Arial" w:eastAsia="Arial" w:hAnsi="Arial"/>
                <w:sz w:val="22"/>
                <w:szCs w:val="22"/>
                <w:color w:val="auto"/>
                <w:w w:val="90"/>
              </w:rPr>
              <w:t>3.14. Environmental Matters; Hazardous Material...............</w:t>
            </w:r>
          </w:p>
        </w:tc>
        <w:tc>
          <w:tcPr>
            <w:tcW w:w="920" w:type="dxa"/>
            <w:vAlign w:val="bottom"/>
          </w:tcPr>
          <w:p>
            <w:pPr>
              <w:jc w:val="right"/>
              <w:ind w:right="152"/>
              <w:spacing w:after="0"/>
              <w:rPr>
                <w:sz w:val="20"/>
                <w:szCs w:val="20"/>
                <w:color w:val="auto"/>
              </w:rPr>
            </w:pPr>
            <w:r>
              <w:rPr>
                <w:rFonts w:ascii="Arial" w:cs="Arial" w:eastAsia="Arial" w:hAnsi="Arial"/>
                <w:sz w:val="22"/>
                <w:szCs w:val="22"/>
                <w:color w:val="auto"/>
              </w:rPr>
              <w:t>59</w:t>
            </w:r>
          </w:p>
        </w:tc>
      </w:tr>
      <w:tr>
        <w:trPr>
          <w:trHeight w:val="270"/>
        </w:trPr>
        <w:tc>
          <w:tcPr>
            <w:tcW w:w="5500" w:type="dxa"/>
            <w:vAlign w:val="bottom"/>
            <w:gridSpan w:val="6"/>
          </w:tcPr>
          <w:p>
            <w:pPr>
              <w:ind w:left="340"/>
              <w:spacing w:after="0"/>
              <w:rPr>
                <w:sz w:val="20"/>
                <w:szCs w:val="20"/>
                <w:color w:val="auto"/>
              </w:rPr>
            </w:pPr>
            <w:r>
              <w:rPr>
                <w:rFonts w:ascii="Arial" w:cs="Arial" w:eastAsia="Arial" w:hAnsi="Arial"/>
                <w:sz w:val="22"/>
                <w:szCs w:val="22"/>
                <w:color w:val="auto"/>
                <w:w w:val="88"/>
              </w:rPr>
              <w:t>3.15. Investment Company Act; Other Regulations...............</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59</w:t>
            </w:r>
          </w:p>
        </w:tc>
      </w:tr>
      <w:tr>
        <w:trPr>
          <w:trHeight w:val="257"/>
        </w:trPr>
        <w:tc>
          <w:tcPr>
            <w:tcW w:w="2480" w:type="dxa"/>
            <w:vAlign w:val="bottom"/>
            <w:gridSpan w:val="3"/>
          </w:tcPr>
          <w:p>
            <w:pPr>
              <w:ind w:left="340"/>
              <w:spacing w:after="0"/>
              <w:rPr>
                <w:sz w:val="20"/>
                <w:szCs w:val="20"/>
                <w:color w:val="auto"/>
              </w:rPr>
            </w:pPr>
            <w:r>
              <w:rPr>
                <w:rFonts w:ascii="Arial" w:cs="Arial" w:eastAsia="Arial" w:hAnsi="Arial"/>
                <w:sz w:val="22"/>
                <w:szCs w:val="22"/>
                <w:color w:val="auto"/>
                <w:w w:val="75"/>
              </w:rPr>
              <w:t>3.16. Labor Matters...............</w:t>
            </w:r>
          </w:p>
        </w:tc>
        <w:tc>
          <w:tcPr>
            <w:tcW w:w="920" w:type="dxa"/>
            <w:vAlign w:val="bottom"/>
          </w:tcPr>
          <w:p>
            <w:pPr>
              <w:jc w:val="right"/>
              <w:spacing w:after="0"/>
              <w:rPr>
                <w:sz w:val="20"/>
                <w:szCs w:val="20"/>
                <w:color w:val="auto"/>
              </w:rPr>
            </w:pPr>
            <w:r>
              <w:rPr>
                <w:rFonts w:ascii="Arial" w:cs="Arial" w:eastAsia="Arial" w:hAnsi="Arial"/>
                <w:sz w:val="22"/>
                <w:szCs w:val="22"/>
                <w:color w:val="auto"/>
              </w:rPr>
              <w:t>59</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4560" w:type="dxa"/>
            <w:vAlign w:val="bottom"/>
            <w:gridSpan w:val="5"/>
          </w:tcPr>
          <w:p>
            <w:pPr>
              <w:ind w:left="340"/>
              <w:spacing w:after="0"/>
              <w:rPr>
                <w:sz w:val="20"/>
                <w:szCs w:val="20"/>
                <w:color w:val="auto"/>
              </w:rPr>
            </w:pPr>
            <w:r>
              <w:rPr>
                <w:rFonts w:ascii="Arial" w:cs="Arial" w:eastAsia="Arial" w:hAnsi="Arial"/>
                <w:sz w:val="22"/>
                <w:szCs w:val="22"/>
                <w:color w:val="auto"/>
                <w:w w:val="84"/>
              </w:rPr>
              <w:t>3.17. Anti-Corruption Laws and Sanctions...............</w:t>
            </w:r>
          </w:p>
        </w:tc>
        <w:tc>
          <w:tcPr>
            <w:tcW w:w="940" w:type="dxa"/>
            <w:vAlign w:val="bottom"/>
          </w:tcPr>
          <w:p>
            <w:pPr>
              <w:jc w:val="right"/>
              <w:spacing w:after="0"/>
              <w:rPr>
                <w:sz w:val="20"/>
                <w:szCs w:val="20"/>
                <w:color w:val="auto"/>
              </w:rPr>
            </w:pPr>
            <w:r>
              <w:rPr>
                <w:rFonts w:ascii="Arial" w:cs="Arial" w:eastAsia="Arial" w:hAnsi="Arial"/>
                <w:sz w:val="22"/>
                <w:szCs w:val="22"/>
                <w:color w:val="auto"/>
              </w:rPr>
              <w:t>59</w:t>
            </w:r>
          </w:p>
        </w:tc>
        <w:tc>
          <w:tcPr>
            <w:tcW w:w="920" w:type="dxa"/>
            <w:vAlign w:val="bottom"/>
          </w:tcPr>
          <w:p>
            <w:pPr>
              <w:spacing w:after="0"/>
              <w:rPr>
                <w:sz w:val="22"/>
                <w:szCs w:val="22"/>
                <w:color w:val="auto"/>
              </w:rPr>
            </w:pPr>
          </w:p>
        </w:tc>
      </w:tr>
      <w:tr>
        <w:trPr>
          <w:trHeight w:val="257"/>
        </w:trPr>
        <w:tc>
          <w:tcPr>
            <w:tcW w:w="4560" w:type="dxa"/>
            <w:vAlign w:val="bottom"/>
            <w:gridSpan w:val="5"/>
          </w:tcPr>
          <w:p>
            <w:pPr>
              <w:ind w:left="340"/>
              <w:spacing w:after="0"/>
              <w:rPr>
                <w:sz w:val="20"/>
                <w:szCs w:val="20"/>
                <w:color w:val="auto"/>
              </w:rPr>
            </w:pPr>
            <w:r>
              <w:rPr>
                <w:rFonts w:ascii="Arial" w:cs="Arial" w:eastAsia="Arial" w:hAnsi="Arial"/>
                <w:sz w:val="22"/>
                <w:szCs w:val="22"/>
                <w:color w:val="auto"/>
                <w:w w:val="97"/>
              </w:rPr>
              <w:t>3.18. Affected Financial Institutions...............</w:t>
            </w:r>
          </w:p>
        </w:tc>
        <w:tc>
          <w:tcPr>
            <w:tcW w:w="940" w:type="dxa"/>
            <w:vAlign w:val="bottom"/>
          </w:tcPr>
          <w:p>
            <w:pPr>
              <w:jc w:val="right"/>
              <w:ind w:right="592"/>
              <w:spacing w:after="0"/>
              <w:rPr>
                <w:sz w:val="20"/>
                <w:szCs w:val="20"/>
                <w:color w:val="auto"/>
              </w:rPr>
            </w:pPr>
            <w:r>
              <w:rPr>
                <w:rFonts w:ascii="Arial" w:cs="Arial" w:eastAsia="Arial" w:hAnsi="Arial"/>
                <w:sz w:val="22"/>
                <w:szCs w:val="22"/>
                <w:color w:val="auto"/>
                <w:w w:val="89"/>
              </w:rPr>
              <w:t>59</w:t>
            </w:r>
          </w:p>
        </w:tc>
        <w:tc>
          <w:tcPr>
            <w:tcW w:w="920" w:type="dxa"/>
            <w:vAlign w:val="bottom"/>
          </w:tcPr>
          <w:p>
            <w:pPr>
              <w:spacing w:after="0"/>
              <w:rPr>
                <w:sz w:val="22"/>
                <w:szCs w:val="22"/>
                <w:color w:val="auto"/>
              </w:rPr>
            </w:pPr>
          </w:p>
        </w:tc>
      </w:tr>
      <w:tr>
        <w:trPr>
          <w:trHeight w:val="257"/>
        </w:trPr>
        <w:tc>
          <w:tcPr>
            <w:tcW w:w="2480" w:type="dxa"/>
            <w:vAlign w:val="bottom"/>
            <w:gridSpan w:val="3"/>
          </w:tcPr>
          <w:p>
            <w:pPr>
              <w:ind w:left="340"/>
              <w:spacing w:after="0"/>
              <w:rPr>
                <w:sz w:val="20"/>
                <w:szCs w:val="20"/>
                <w:color w:val="auto"/>
              </w:rPr>
            </w:pPr>
            <w:r>
              <w:rPr>
                <w:rFonts w:ascii="Arial" w:cs="Arial" w:eastAsia="Arial" w:hAnsi="Arial"/>
                <w:sz w:val="22"/>
                <w:szCs w:val="22"/>
                <w:color w:val="auto"/>
                <w:w w:val="84"/>
              </w:rPr>
              <w:t>3.19. Disclosure...............</w:t>
            </w:r>
          </w:p>
        </w:tc>
        <w:tc>
          <w:tcPr>
            <w:tcW w:w="920" w:type="dxa"/>
            <w:vAlign w:val="bottom"/>
          </w:tcPr>
          <w:p>
            <w:pPr>
              <w:jc w:val="right"/>
              <w:ind w:right="272"/>
              <w:spacing w:after="0"/>
              <w:rPr>
                <w:sz w:val="20"/>
                <w:szCs w:val="20"/>
                <w:color w:val="auto"/>
              </w:rPr>
            </w:pPr>
            <w:r>
              <w:rPr>
                <w:rFonts w:ascii="Arial" w:cs="Arial" w:eastAsia="Arial" w:hAnsi="Arial"/>
                <w:sz w:val="22"/>
                <w:szCs w:val="22"/>
                <w:color w:val="auto"/>
              </w:rPr>
              <w:t>59</w:t>
            </w: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2480" w:type="dxa"/>
            <w:vAlign w:val="bottom"/>
            <w:gridSpan w:val="3"/>
          </w:tcPr>
          <w:p>
            <w:pPr>
              <w:ind w:left="340"/>
              <w:spacing w:after="0"/>
              <w:rPr>
                <w:sz w:val="20"/>
                <w:szCs w:val="20"/>
                <w:color w:val="auto"/>
              </w:rPr>
            </w:pPr>
            <w:r>
              <w:rPr>
                <w:rFonts w:ascii="Arial" w:cs="Arial" w:eastAsia="Arial" w:hAnsi="Arial"/>
                <w:sz w:val="22"/>
                <w:szCs w:val="22"/>
                <w:color w:val="auto"/>
                <w:w w:val="77"/>
              </w:rPr>
              <w:t>3.20. ERISA Event...............</w:t>
            </w:r>
          </w:p>
        </w:tc>
        <w:tc>
          <w:tcPr>
            <w:tcW w:w="920" w:type="dxa"/>
            <w:vAlign w:val="bottom"/>
          </w:tcPr>
          <w:p>
            <w:pPr>
              <w:jc w:val="right"/>
              <w:ind w:right="32"/>
              <w:spacing w:after="0"/>
              <w:rPr>
                <w:sz w:val="20"/>
                <w:szCs w:val="20"/>
                <w:color w:val="auto"/>
              </w:rPr>
            </w:pPr>
            <w:r>
              <w:rPr>
                <w:rFonts w:ascii="Arial" w:cs="Arial" w:eastAsia="Arial" w:hAnsi="Arial"/>
                <w:sz w:val="22"/>
                <w:szCs w:val="22"/>
                <w:color w:val="auto"/>
              </w:rPr>
              <w:t>59</w:t>
            </w: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81"/>
        </w:trPr>
        <w:tc>
          <w:tcPr>
            <w:tcW w:w="3400" w:type="dxa"/>
            <w:vAlign w:val="bottom"/>
            <w:gridSpan w:val="4"/>
          </w:tcPr>
          <w:p>
            <w:pPr>
              <w:spacing w:after="0"/>
              <w:rPr>
                <w:sz w:val="20"/>
                <w:szCs w:val="20"/>
                <w:color w:val="auto"/>
              </w:rPr>
            </w:pPr>
            <w:r>
              <w:rPr>
                <w:rFonts w:ascii="Arial" w:cs="Arial" w:eastAsia="Arial" w:hAnsi="Arial"/>
                <w:sz w:val="22"/>
                <w:szCs w:val="22"/>
                <w:b w:val="1"/>
                <w:bCs w:val="1"/>
                <w:color w:val="auto"/>
                <w:w w:val="78"/>
              </w:rPr>
              <w:t>Section 4 Conditions Precedent................</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rPr>
              <w:t>60</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3"/>
        </w:trPr>
        <w:tc>
          <w:tcPr>
            <w:tcW w:w="720" w:type="dxa"/>
            <w:vAlign w:val="bottom"/>
          </w:tcPr>
          <w:p>
            <w:pPr>
              <w:ind w:left="340"/>
              <w:spacing w:after="0"/>
              <w:rPr>
                <w:sz w:val="20"/>
                <w:szCs w:val="20"/>
                <w:color w:val="auto"/>
              </w:rPr>
            </w:pPr>
            <w:r>
              <w:rPr>
                <w:rFonts w:ascii="Arial" w:cs="Arial" w:eastAsia="Arial" w:hAnsi="Arial"/>
                <w:sz w:val="22"/>
                <w:szCs w:val="22"/>
                <w:color w:val="auto"/>
                <w:w w:val="97"/>
              </w:rPr>
              <w:t>4.1.</w:t>
            </w:r>
          </w:p>
        </w:tc>
        <w:tc>
          <w:tcPr>
            <w:tcW w:w="3840" w:type="dxa"/>
            <w:vAlign w:val="bottom"/>
            <w:gridSpan w:val="4"/>
          </w:tcPr>
          <w:p>
            <w:pPr>
              <w:ind w:left="40"/>
              <w:spacing w:after="0"/>
              <w:rPr>
                <w:sz w:val="20"/>
                <w:szCs w:val="20"/>
                <w:color w:val="auto"/>
              </w:rPr>
            </w:pPr>
            <w:r>
              <w:rPr>
                <w:rFonts w:ascii="Arial" w:cs="Arial" w:eastAsia="Arial" w:hAnsi="Arial"/>
                <w:sz w:val="22"/>
                <w:szCs w:val="22"/>
                <w:color w:val="auto"/>
                <w:w w:val="97"/>
              </w:rPr>
              <w:t>Conditions to the Closing Date...............</w:t>
            </w:r>
          </w:p>
        </w:tc>
        <w:tc>
          <w:tcPr>
            <w:tcW w:w="940" w:type="dxa"/>
            <w:vAlign w:val="bottom"/>
          </w:tcPr>
          <w:p>
            <w:pPr>
              <w:jc w:val="right"/>
              <w:ind w:right="572"/>
              <w:spacing w:after="0"/>
              <w:rPr>
                <w:sz w:val="20"/>
                <w:szCs w:val="20"/>
                <w:color w:val="auto"/>
              </w:rPr>
            </w:pPr>
            <w:r>
              <w:rPr>
                <w:rFonts w:ascii="Arial" w:cs="Arial" w:eastAsia="Arial" w:hAnsi="Arial"/>
                <w:sz w:val="22"/>
                <w:szCs w:val="22"/>
                <w:color w:val="auto"/>
                <w:w w:val="97"/>
              </w:rPr>
              <w:t>60</w:t>
            </w:r>
          </w:p>
        </w:tc>
        <w:tc>
          <w:tcPr>
            <w:tcW w:w="920" w:type="dxa"/>
            <w:vAlign w:val="bottom"/>
          </w:tcPr>
          <w:p>
            <w:pPr>
              <w:spacing w:after="0"/>
              <w:rPr>
                <w:sz w:val="24"/>
                <w:szCs w:val="24"/>
                <w:color w:val="auto"/>
              </w:rPr>
            </w:pP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4.2.</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97"/>
              </w:rPr>
              <w:t>Each Credit Event...............</w:t>
            </w:r>
          </w:p>
        </w:tc>
        <w:tc>
          <w:tcPr>
            <w:tcW w:w="1160" w:type="dxa"/>
            <w:vAlign w:val="bottom"/>
          </w:tcPr>
          <w:p>
            <w:pPr>
              <w:jc w:val="right"/>
              <w:ind w:right="812"/>
              <w:spacing w:after="0"/>
              <w:rPr>
                <w:sz w:val="20"/>
                <w:szCs w:val="20"/>
                <w:color w:val="auto"/>
              </w:rPr>
            </w:pPr>
            <w:r>
              <w:rPr>
                <w:rFonts w:ascii="Arial" w:cs="Arial" w:eastAsia="Arial" w:hAnsi="Arial"/>
                <w:sz w:val="22"/>
                <w:szCs w:val="22"/>
                <w:color w:val="auto"/>
                <w:w w:val="89"/>
              </w:rPr>
              <w:t>61</w:t>
            </w: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80"/>
        </w:trPr>
        <w:tc>
          <w:tcPr>
            <w:tcW w:w="3400" w:type="dxa"/>
            <w:vAlign w:val="bottom"/>
            <w:gridSpan w:val="4"/>
          </w:tcPr>
          <w:p>
            <w:pPr>
              <w:spacing w:after="0"/>
              <w:rPr>
                <w:sz w:val="20"/>
                <w:szCs w:val="20"/>
                <w:color w:val="auto"/>
              </w:rPr>
            </w:pPr>
            <w:r>
              <w:rPr>
                <w:rFonts w:ascii="Arial" w:cs="Arial" w:eastAsia="Arial" w:hAnsi="Arial"/>
                <w:sz w:val="22"/>
                <w:szCs w:val="22"/>
                <w:b w:val="1"/>
                <w:bCs w:val="1"/>
                <w:color w:val="auto"/>
                <w:w w:val="78"/>
              </w:rPr>
              <w:t>Section 5 Affirmative Covenants...............</w:t>
            </w:r>
          </w:p>
        </w:tc>
        <w:tc>
          <w:tcPr>
            <w:tcW w:w="1160" w:type="dxa"/>
            <w:vAlign w:val="bottom"/>
          </w:tcPr>
          <w:p>
            <w:pPr>
              <w:jc w:val="right"/>
              <w:spacing w:after="0"/>
              <w:rPr>
                <w:sz w:val="20"/>
                <w:szCs w:val="20"/>
                <w:color w:val="auto"/>
              </w:rPr>
            </w:pPr>
            <w:r>
              <w:rPr>
                <w:rFonts w:ascii="Arial" w:cs="Arial" w:eastAsia="Arial" w:hAnsi="Arial"/>
                <w:sz w:val="22"/>
                <w:szCs w:val="22"/>
                <w:b w:val="1"/>
                <w:bCs w:val="1"/>
                <w:color w:val="auto"/>
              </w:rPr>
              <w:t>61</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0"/>
        </w:trPr>
        <w:tc>
          <w:tcPr>
            <w:tcW w:w="720" w:type="dxa"/>
            <w:vAlign w:val="bottom"/>
          </w:tcPr>
          <w:p>
            <w:pPr>
              <w:ind w:left="340"/>
              <w:spacing w:after="0"/>
              <w:rPr>
                <w:sz w:val="20"/>
                <w:szCs w:val="20"/>
                <w:color w:val="auto"/>
              </w:rPr>
            </w:pPr>
            <w:r>
              <w:rPr>
                <w:rFonts w:ascii="Arial" w:cs="Arial" w:eastAsia="Arial" w:hAnsi="Arial"/>
                <w:sz w:val="22"/>
                <w:szCs w:val="22"/>
                <w:color w:val="auto"/>
                <w:w w:val="97"/>
              </w:rPr>
              <w:t>5.1.</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77"/>
              </w:rPr>
              <w:t>Financial Statements, etc...............</w:t>
            </w:r>
          </w:p>
        </w:tc>
        <w:tc>
          <w:tcPr>
            <w:tcW w:w="1160" w:type="dxa"/>
            <w:vAlign w:val="bottom"/>
          </w:tcPr>
          <w:p>
            <w:pPr>
              <w:jc w:val="right"/>
              <w:ind w:right="132"/>
              <w:spacing w:after="0"/>
              <w:rPr>
                <w:sz w:val="20"/>
                <w:szCs w:val="20"/>
                <w:color w:val="auto"/>
              </w:rPr>
            </w:pPr>
            <w:r>
              <w:rPr>
                <w:rFonts w:ascii="Arial" w:cs="Arial" w:eastAsia="Arial" w:hAnsi="Arial"/>
                <w:sz w:val="22"/>
                <w:szCs w:val="22"/>
                <w:color w:val="auto"/>
              </w:rPr>
              <w:t>61</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720" w:type="dxa"/>
            <w:vAlign w:val="bottom"/>
          </w:tcPr>
          <w:p>
            <w:pPr>
              <w:ind w:left="340"/>
              <w:spacing w:after="0"/>
              <w:rPr>
                <w:sz w:val="20"/>
                <w:szCs w:val="20"/>
                <w:color w:val="auto"/>
              </w:rPr>
            </w:pPr>
            <w:r>
              <w:rPr>
                <w:rFonts w:ascii="Arial" w:cs="Arial" w:eastAsia="Arial" w:hAnsi="Arial"/>
                <w:sz w:val="22"/>
                <w:szCs w:val="22"/>
                <w:color w:val="auto"/>
                <w:w w:val="97"/>
              </w:rPr>
              <w:t>5.2.</w:t>
            </w:r>
          </w:p>
        </w:tc>
        <w:tc>
          <w:tcPr>
            <w:tcW w:w="3840" w:type="dxa"/>
            <w:vAlign w:val="bottom"/>
            <w:gridSpan w:val="4"/>
          </w:tcPr>
          <w:p>
            <w:pPr>
              <w:ind w:left="40"/>
              <w:spacing w:after="0"/>
              <w:rPr>
                <w:sz w:val="20"/>
                <w:szCs w:val="20"/>
                <w:color w:val="auto"/>
              </w:rPr>
            </w:pPr>
            <w:r>
              <w:rPr>
                <w:rFonts w:ascii="Arial" w:cs="Arial" w:eastAsia="Arial" w:hAnsi="Arial"/>
                <w:sz w:val="22"/>
                <w:szCs w:val="22"/>
                <w:color w:val="auto"/>
                <w:w w:val="89"/>
              </w:rPr>
              <w:t>Compliance Certificate; Reporting...............</w:t>
            </w:r>
          </w:p>
        </w:tc>
        <w:tc>
          <w:tcPr>
            <w:tcW w:w="940" w:type="dxa"/>
            <w:vAlign w:val="bottom"/>
          </w:tcPr>
          <w:p>
            <w:pPr>
              <w:jc w:val="right"/>
              <w:ind w:right="272"/>
              <w:spacing w:after="0"/>
              <w:rPr>
                <w:sz w:val="20"/>
                <w:szCs w:val="20"/>
                <w:color w:val="auto"/>
              </w:rPr>
            </w:pPr>
            <w:r>
              <w:rPr>
                <w:rFonts w:ascii="Arial" w:cs="Arial" w:eastAsia="Arial" w:hAnsi="Arial"/>
                <w:sz w:val="22"/>
                <w:szCs w:val="22"/>
                <w:color w:val="auto"/>
              </w:rPr>
              <w:t>61</w:t>
            </w:r>
          </w:p>
        </w:tc>
        <w:tc>
          <w:tcPr>
            <w:tcW w:w="920" w:type="dxa"/>
            <w:vAlign w:val="bottom"/>
          </w:tcPr>
          <w:p>
            <w:pPr>
              <w:spacing w:after="0"/>
              <w:rPr>
                <w:sz w:val="23"/>
                <w:szCs w:val="23"/>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5.3.</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76"/>
              </w:rPr>
              <w:t>Maintenance of Existence...............</w:t>
            </w:r>
          </w:p>
        </w:tc>
        <w:tc>
          <w:tcPr>
            <w:tcW w:w="1160" w:type="dxa"/>
            <w:vAlign w:val="bottom"/>
          </w:tcPr>
          <w:p>
            <w:pPr>
              <w:jc w:val="right"/>
              <w:ind w:right="92"/>
              <w:spacing w:after="0"/>
              <w:rPr>
                <w:sz w:val="20"/>
                <w:szCs w:val="20"/>
                <w:color w:val="auto"/>
              </w:rPr>
            </w:pPr>
            <w:r>
              <w:rPr>
                <w:rFonts w:ascii="Arial" w:cs="Arial" w:eastAsia="Arial" w:hAnsi="Arial"/>
                <w:sz w:val="22"/>
                <w:szCs w:val="22"/>
                <w:color w:val="auto"/>
              </w:rPr>
              <w:t>62</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5.4.</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75"/>
              </w:rPr>
              <w:t>Maintenance of Insurance...............</w:t>
            </w: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62</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5.5.</w:t>
            </w:r>
          </w:p>
        </w:tc>
        <w:tc>
          <w:tcPr>
            <w:tcW w:w="4780" w:type="dxa"/>
            <w:vAlign w:val="bottom"/>
            <w:gridSpan w:val="5"/>
          </w:tcPr>
          <w:p>
            <w:pPr>
              <w:ind w:left="40"/>
              <w:spacing w:after="0"/>
              <w:rPr>
                <w:sz w:val="20"/>
                <w:szCs w:val="20"/>
                <w:color w:val="auto"/>
              </w:rPr>
            </w:pPr>
            <w:r>
              <w:rPr>
                <w:rFonts w:ascii="Arial" w:cs="Arial" w:eastAsia="Arial" w:hAnsi="Arial"/>
                <w:sz w:val="22"/>
                <w:szCs w:val="22"/>
                <w:color w:val="auto"/>
                <w:w w:val="92"/>
              </w:rPr>
              <w:t>Use of Proceeds and Documentary Credits...............</w:t>
            </w:r>
          </w:p>
        </w:tc>
        <w:tc>
          <w:tcPr>
            <w:tcW w:w="920" w:type="dxa"/>
            <w:vAlign w:val="bottom"/>
          </w:tcPr>
          <w:p>
            <w:pPr>
              <w:jc w:val="right"/>
              <w:ind w:right="312"/>
              <w:spacing w:after="0"/>
              <w:rPr>
                <w:sz w:val="20"/>
                <w:szCs w:val="20"/>
                <w:color w:val="auto"/>
              </w:rPr>
            </w:pPr>
            <w:r>
              <w:rPr>
                <w:rFonts w:ascii="Arial" w:cs="Arial" w:eastAsia="Arial" w:hAnsi="Arial"/>
                <w:sz w:val="22"/>
                <w:szCs w:val="22"/>
                <w:color w:val="auto"/>
              </w:rPr>
              <w:t>62</w:t>
            </w: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5.6.</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84"/>
              </w:rPr>
              <w:t>Compliance with Laws...............</w:t>
            </w:r>
          </w:p>
        </w:tc>
        <w:tc>
          <w:tcPr>
            <w:tcW w:w="1160" w:type="dxa"/>
            <w:vAlign w:val="bottom"/>
          </w:tcPr>
          <w:p>
            <w:pPr>
              <w:jc w:val="right"/>
              <w:ind w:right="412"/>
              <w:spacing w:after="0"/>
              <w:rPr>
                <w:sz w:val="20"/>
                <w:szCs w:val="20"/>
                <w:color w:val="auto"/>
              </w:rPr>
            </w:pPr>
            <w:r>
              <w:rPr>
                <w:rFonts w:ascii="Arial" w:cs="Arial" w:eastAsia="Arial" w:hAnsi="Arial"/>
                <w:sz w:val="22"/>
                <w:szCs w:val="22"/>
                <w:color w:val="auto"/>
              </w:rPr>
              <w:t>63</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5.7.</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73"/>
              </w:rPr>
              <w:t>Designation of Subsidiaries...............</w:t>
            </w:r>
          </w:p>
        </w:tc>
        <w:tc>
          <w:tcPr>
            <w:tcW w:w="1160" w:type="dxa"/>
            <w:vAlign w:val="bottom"/>
          </w:tcPr>
          <w:p>
            <w:pPr>
              <w:jc w:val="right"/>
              <w:spacing w:after="0"/>
              <w:rPr>
                <w:sz w:val="20"/>
                <w:szCs w:val="20"/>
                <w:color w:val="auto"/>
              </w:rPr>
            </w:pPr>
            <w:r>
              <w:rPr>
                <w:rFonts w:ascii="Arial" w:cs="Arial" w:eastAsia="Arial" w:hAnsi="Arial"/>
                <w:sz w:val="22"/>
                <w:szCs w:val="22"/>
                <w:color w:val="auto"/>
              </w:rPr>
              <w:t>63</w:t>
            </w: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94"/>
        </w:trPr>
        <w:tc>
          <w:tcPr>
            <w:tcW w:w="3400" w:type="dxa"/>
            <w:vAlign w:val="bottom"/>
            <w:gridSpan w:val="4"/>
          </w:tcPr>
          <w:p>
            <w:pPr>
              <w:spacing w:after="0"/>
              <w:rPr>
                <w:sz w:val="20"/>
                <w:szCs w:val="20"/>
                <w:color w:val="auto"/>
              </w:rPr>
            </w:pPr>
            <w:r>
              <w:rPr>
                <w:rFonts w:ascii="Arial" w:cs="Arial" w:eastAsia="Arial" w:hAnsi="Arial"/>
                <w:sz w:val="22"/>
                <w:szCs w:val="22"/>
                <w:b w:val="1"/>
                <w:bCs w:val="1"/>
                <w:color w:val="auto"/>
                <w:w w:val="83"/>
              </w:rPr>
              <w:t>Section 6 Negative Covenants...............</w:t>
            </w:r>
          </w:p>
        </w:tc>
        <w:tc>
          <w:tcPr>
            <w:tcW w:w="1160" w:type="dxa"/>
            <w:vAlign w:val="bottom"/>
          </w:tcPr>
          <w:p>
            <w:pPr>
              <w:jc w:val="right"/>
              <w:ind w:right="212"/>
              <w:spacing w:after="0"/>
              <w:rPr>
                <w:sz w:val="20"/>
                <w:szCs w:val="20"/>
                <w:color w:val="auto"/>
              </w:rPr>
            </w:pPr>
            <w:r>
              <w:rPr>
                <w:rFonts w:ascii="Arial" w:cs="Arial" w:eastAsia="Arial" w:hAnsi="Arial"/>
                <w:sz w:val="22"/>
                <w:szCs w:val="22"/>
                <w:b w:val="1"/>
                <w:bCs w:val="1"/>
                <w:color w:val="auto"/>
              </w:rPr>
              <w:t>63</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0"/>
        </w:trPr>
        <w:tc>
          <w:tcPr>
            <w:tcW w:w="720" w:type="dxa"/>
            <w:vAlign w:val="bottom"/>
          </w:tcPr>
          <w:p>
            <w:pPr>
              <w:ind w:left="340"/>
              <w:spacing w:after="0"/>
              <w:rPr>
                <w:sz w:val="20"/>
                <w:szCs w:val="20"/>
                <w:color w:val="auto"/>
              </w:rPr>
            </w:pPr>
            <w:r>
              <w:rPr>
                <w:rFonts w:ascii="Arial" w:cs="Arial" w:eastAsia="Arial" w:hAnsi="Arial"/>
                <w:sz w:val="22"/>
                <w:szCs w:val="22"/>
                <w:color w:val="auto"/>
                <w:w w:val="97"/>
              </w:rPr>
              <w:t>6.1.</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73"/>
              </w:rPr>
              <w:t>Limitation on Indebtedness...............</w:t>
            </w:r>
          </w:p>
        </w:tc>
        <w:tc>
          <w:tcPr>
            <w:tcW w:w="1160" w:type="dxa"/>
            <w:vAlign w:val="bottom"/>
          </w:tcPr>
          <w:p>
            <w:pPr>
              <w:jc w:val="right"/>
              <w:spacing w:after="0"/>
              <w:rPr>
                <w:sz w:val="20"/>
                <w:szCs w:val="20"/>
                <w:color w:val="auto"/>
              </w:rPr>
            </w:pPr>
            <w:r>
              <w:rPr>
                <w:rFonts w:ascii="Arial" w:cs="Arial" w:eastAsia="Arial" w:hAnsi="Arial"/>
                <w:sz w:val="22"/>
                <w:szCs w:val="22"/>
                <w:color w:val="auto"/>
              </w:rPr>
              <w:t>63</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6.2.</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95"/>
              </w:rPr>
              <w:t>Limitation on Liens...............</w:t>
            </w:r>
          </w:p>
        </w:tc>
        <w:tc>
          <w:tcPr>
            <w:tcW w:w="1160" w:type="dxa"/>
            <w:vAlign w:val="bottom"/>
          </w:tcPr>
          <w:p>
            <w:pPr>
              <w:jc w:val="right"/>
              <w:ind w:right="752"/>
              <w:spacing w:after="0"/>
              <w:rPr>
                <w:sz w:val="20"/>
                <w:szCs w:val="20"/>
                <w:color w:val="auto"/>
              </w:rPr>
            </w:pPr>
            <w:r>
              <w:rPr>
                <w:rFonts w:ascii="Arial" w:cs="Arial" w:eastAsia="Arial" w:hAnsi="Arial"/>
                <w:sz w:val="22"/>
                <w:szCs w:val="22"/>
                <w:color w:val="auto"/>
              </w:rPr>
              <w:t>64</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6.3.</w:t>
            </w:r>
          </w:p>
        </w:tc>
        <w:tc>
          <w:tcPr>
            <w:tcW w:w="4780" w:type="dxa"/>
            <w:vAlign w:val="bottom"/>
            <w:gridSpan w:val="5"/>
          </w:tcPr>
          <w:p>
            <w:pPr>
              <w:ind w:left="40"/>
              <w:spacing w:after="0"/>
              <w:rPr>
                <w:sz w:val="20"/>
                <w:szCs w:val="20"/>
                <w:color w:val="auto"/>
              </w:rPr>
            </w:pPr>
            <w:r>
              <w:rPr>
                <w:rFonts w:ascii="Arial" w:cs="Arial" w:eastAsia="Arial" w:hAnsi="Arial"/>
                <w:sz w:val="22"/>
                <w:szCs w:val="22"/>
                <w:color w:val="auto"/>
                <w:w w:val="97"/>
              </w:rPr>
              <w:t>Merger, Consolidation, or Sale of Assets...............</w:t>
            </w:r>
          </w:p>
        </w:tc>
        <w:tc>
          <w:tcPr>
            <w:tcW w:w="920" w:type="dxa"/>
            <w:vAlign w:val="bottom"/>
          </w:tcPr>
          <w:p>
            <w:pPr>
              <w:jc w:val="right"/>
              <w:ind w:right="572"/>
              <w:spacing w:after="0"/>
              <w:rPr>
                <w:sz w:val="20"/>
                <w:szCs w:val="20"/>
                <w:color w:val="auto"/>
              </w:rPr>
            </w:pPr>
            <w:r>
              <w:rPr>
                <w:rFonts w:ascii="Arial" w:cs="Arial" w:eastAsia="Arial" w:hAnsi="Arial"/>
                <w:sz w:val="22"/>
                <w:szCs w:val="22"/>
                <w:color w:val="auto"/>
                <w:w w:val="89"/>
              </w:rPr>
              <w:t>65</w:t>
            </w: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6.4.</w:t>
            </w:r>
          </w:p>
        </w:tc>
        <w:tc>
          <w:tcPr>
            <w:tcW w:w="4780" w:type="dxa"/>
            <w:vAlign w:val="bottom"/>
            <w:gridSpan w:val="5"/>
          </w:tcPr>
          <w:p>
            <w:pPr>
              <w:ind w:left="40"/>
              <w:spacing w:after="0"/>
              <w:rPr>
                <w:sz w:val="20"/>
                <w:szCs w:val="20"/>
                <w:color w:val="auto"/>
              </w:rPr>
            </w:pPr>
            <w:r>
              <w:rPr>
                <w:rFonts w:ascii="Arial" w:cs="Arial" w:eastAsia="Arial" w:hAnsi="Arial"/>
                <w:sz w:val="22"/>
                <w:szCs w:val="22"/>
                <w:color w:val="auto"/>
                <w:w w:val="85"/>
              </w:rPr>
              <w:t>Limitation on Sale and Leaseback Transactions...............</w:t>
            </w:r>
          </w:p>
        </w:tc>
        <w:tc>
          <w:tcPr>
            <w:tcW w:w="92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0"/>
        </w:trPr>
        <w:tc>
          <w:tcPr>
            <w:tcW w:w="4560" w:type="dxa"/>
            <w:vAlign w:val="bottom"/>
            <w:gridSpan w:val="5"/>
          </w:tcPr>
          <w:p>
            <w:pPr>
              <w:ind w:left="340"/>
              <w:spacing w:after="0"/>
              <w:rPr>
                <w:sz w:val="20"/>
                <w:szCs w:val="20"/>
                <w:color w:val="auto"/>
              </w:rPr>
            </w:pPr>
            <w:r>
              <w:rPr>
                <w:rFonts w:ascii="Arial" w:cs="Arial" w:eastAsia="Arial" w:hAnsi="Arial"/>
                <w:sz w:val="22"/>
                <w:szCs w:val="22"/>
                <w:color w:val="auto"/>
                <w:w w:val="86"/>
              </w:rPr>
              <w:t>6.5. Anti-Corruption Laws and Sanctions...............</w:t>
            </w:r>
          </w:p>
        </w:tc>
        <w:tc>
          <w:tcPr>
            <w:tcW w:w="940" w:type="dxa"/>
            <w:vAlign w:val="bottom"/>
          </w:tcPr>
          <w:p>
            <w:pPr>
              <w:jc w:val="right"/>
              <w:ind w:right="72"/>
              <w:spacing w:after="0"/>
              <w:rPr>
                <w:sz w:val="20"/>
                <w:szCs w:val="20"/>
                <w:color w:val="auto"/>
              </w:rPr>
            </w:pPr>
            <w:r>
              <w:rPr>
                <w:rFonts w:ascii="Arial" w:cs="Arial" w:eastAsia="Arial" w:hAnsi="Arial"/>
                <w:sz w:val="22"/>
                <w:szCs w:val="22"/>
                <w:color w:val="auto"/>
              </w:rPr>
              <w:t>66</w:t>
            </w:r>
          </w:p>
        </w:tc>
        <w:tc>
          <w:tcPr>
            <w:tcW w:w="920" w:type="dxa"/>
            <w:vAlign w:val="bottom"/>
          </w:tcPr>
          <w:p>
            <w:pPr>
              <w:spacing w:after="0"/>
              <w:rPr>
                <w:sz w:val="23"/>
                <w:szCs w:val="23"/>
                <w:color w:val="auto"/>
              </w:rPr>
            </w:pP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6.6.</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93"/>
              </w:rPr>
              <w:t>Financial Covenant...............</w:t>
            </w:r>
          </w:p>
        </w:tc>
        <w:tc>
          <w:tcPr>
            <w:tcW w:w="1160" w:type="dxa"/>
            <w:vAlign w:val="bottom"/>
          </w:tcPr>
          <w:p>
            <w:pPr>
              <w:jc w:val="right"/>
              <w:ind w:right="712"/>
              <w:spacing w:after="0"/>
              <w:rPr>
                <w:sz w:val="20"/>
                <w:szCs w:val="20"/>
                <w:color w:val="auto"/>
              </w:rPr>
            </w:pPr>
            <w:r>
              <w:rPr>
                <w:rFonts w:ascii="Arial" w:cs="Arial" w:eastAsia="Arial" w:hAnsi="Arial"/>
                <w:sz w:val="22"/>
                <w:szCs w:val="22"/>
                <w:color w:val="auto"/>
              </w:rPr>
              <w:t>66</w:t>
            </w: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80"/>
        </w:trPr>
        <w:tc>
          <w:tcPr>
            <w:tcW w:w="3400" w:type="dxa"/>
            <w:vAlign w:val="bottom"/>
            <w:gridSpan w:val="4"/>
          </w:tcPr>
          <w:p>
            <w:pPr>
              <w:spacing w:after="0"/>
              <w:rPr>
                <w:sz w:val="20"/>
                <w:szCs w:val="20"/>
                <w:color w:val="auto"/>
              </w:rPr>
            </w:pPr>
            <w:r>
              <w:rPr>
                <w:rFonts w:ascii="Arial" w:cs="Arial" w:eastAsia="Arial" w:hAnsi="Arial"/>
                <w:sz w:val="22"/>
                <w:szCs w:val="22"/>
                <w:b w:val="1"/>
                <w:bCs w:val="1"/>
                <w:color w:val="auto"/>
                <w:w w:val="88"/>
              </w:rPr>
              <w:t>Section 7 Events of Default................</w:t>
            </w:r>
          </w:p>
        </w:tc>
        <w:tc>
          <w:tcPr>
            <w:tcW w:w="1160" w:type="dxa"/>
            <w:vAlign w:val="bottom"/>
          </w:tcPr>
          <w:p>
            <w:pPr>
              <w:jc w:val="right"/>
              <w:ind w:right="452"/>
              <w:spacing w:after="0"/>
              <w:rPr>
                <w:sz w:val="20"/>
                <w:szCs w:val="20"/>
                <w:color w:val="auto"/>
              </w:rPr>
            </w:pPr>
            <w:r>
              <w:rPr>
                <w:rFonts w:ascii="Arial" w:cs="Arial" w:eastAsia="Arial" w:hAnsi="Arial"/>
                <w:sz w:val="22"/>
                <w:szCs w:val="22"/>
                <w:b w:val="1"/>
                <w:bCs w:val="1"/>
                <w:color w:val="auto"/>
              </w:rPr>
              <w:t>67</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9"/>
        </w:trPr>
        <w:tc>
          <w:tcPr>
            <w:tcW w:w="720" w:type="dxa"/>
            <w:vAlign w:val="bottom"/>
          </w:tcPr>
          <w:p>
            <w:pPr>
              <w:ind w:left="340"/>
              <w:spacing w:after="0"/>
              <w:rPr>
                <w:sz w:val="20"/>
                <w:szCs w:val="20"/>
                <w:color w:val="auto"/>
              </w:rPr>
            </w:pPr>
            <w:r>
              <w:rPr>
                <w:rFonts w:ascii="Arial" w:cs="Arial" w:eastAsia="Arial" w:hAnsi="Arial"/>
                <w:sz w:val="22"/>
                <w:szCs w:val="22"/>
                <w:color w:val="auto"/>
                <w:w w:val="97"/>
              </w:rPr>
              <w:t>7.1.</w:t>
            </w:r>
          </w:p>
        </w:tc>
        <w:tc>
          <w:tcPr>
            <w:tcW w:w="1760" w:type="dxa"/>
            <w:vAlign w:val="bottom"/>
            <w:gridSpan w:val="2"/>
          </w:tcPr>
          <w:p>
            <w:pPr>
              <w:ind w:left="40"/>
              <w:spacing w:after="0"/>
              <w:rPr>
                <w:sz w:val="20"/>
                <w:szCs w:val="20"/>
                <w:color w:val="auto"/>
              </w:rPr>
            </w:pPr>
            <w:r>
              <w:rPr>
                <w:rFonts w:ascii="Arial" w:cs="Arial" w:eastAsia="Arial" w:hAnsi="Arial"/>
                <w:sz w:val="19"/>
                <w:szCs w:val="19"/>
                <w:color w:val="auto"/>
                <w:w w:val="75"/>
              </w:rPr>
              <w:t>Events of Default...............</w:t>
            </w:r>
          </w:p>
        </w:tc>
        <w:tc>
          <w:tcPr>
            <w:tcW w:w="2080" w:type="dxa"/>
            <w:vAlign w:val="bottom"/>
            <w:gridSpan w:val="2"/>
          </w:tcPr>
          <w:p>
            <w:pPr>
              <w:jc w:val="right"/>
              <w:ind w:right="912"/>
              <w:spacing w:after="0"/>
              <w:rPr>
                <w:sz w:val="20"/>
                <w:szCs w:val="20"/>
                <w:color w:val="auto"/>
              </w:rPr>
            </w:pPr>
            <w:r>
              <w:rPr>
                <w:rFonts w:ascii="Arial" w:cs="Arial" w:eastAsia="Arial" w:hAnsi="Arial"/>
                <w:sz w:val="22"/>
                <w:szCs w:val="22"/>
                <w:color w:val="auto"/>
              </w:rPr>
              <w:t>67</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0"/>
        </w:trPr>
        <w:tc>
          <w:tcPr>
            <w:tcW w:w="2480" w:type="dxa"/>
            <w:vAlign w:val="bottom"/>
            <w:gridSpan w:val="3"/>
          </w:tcPr>
          <w:p>
            <w:pPr>
              <w:spacing w:after="0"/>
              <w:rPr>
                <w:sz w:val="20"/>
                <w:szCs w:val="20"/>
                <w:color w:val="auto"/>
              </w:rPr>
            </w:pPr>
            <w:r>
              <w:rPr>
                <w:rFonts w:ascii="Arial" w:cs="Arial" w:eastAsia="Arial" w:hAnsi="Arial"/>
                <w:sz w:val="22"/>
                <w:szCs w:val="22"/>
                <w:b w:val="1"/>
                <w:bCs w:val="1"/>
                <w:color w:val="auto"/>
                <w:w w:val="77"/>
              </w:rPr>
              <w:t>Section 8 The Agents...............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69</w:t>
            </w: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3"/>
        </w:trPr>
        <w:tc>
          <w:tcPr>
            <w:tcW w:w="2340" w:type="dxa"/>
            <w:vAlign w:val="bottom"/>
            <w:gridSpan w:val="2"/>
          </w:tcPr>
          <w:p>
            <w:pPr>
              <w:ind w:left="340"/>
              <w:spacing w:after="0"/>
              <w:rPr>
                <w:sz w:val="20"/>
                <w:szCs w:val="20"/>
                <w:color w:val="auto"/>
              </w:rPr>
            </w:pPr>
            <w:r>
              <w:rPr>
                <w:rFonts w:ascii="Arial" w:cs="Arial" w:eastAsia="Arial" w:hAnsi="Arial"/>
                <w:sz w:val="22"/>
                <w:szCs w:val="22"/>
                <w:color w:val="auto"/>
              </w:rPr>
              <w:t>8.1. Appointment 69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8.2.</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90"/>
              </w:rPr>
              <w:t>Delegation of Duties...............</w:t>
            </w:r>
          </w:p>
        </w:tc>
        <w:tc>
          <w:tcPr>
            <w:tcW w:w="1160" w:type="dxa"/>
            <w:vAlign w:val="bottom"/>
          </w:tcPr>
          <w:p>
            <w:pPr>
              <w:jc w:val="right"/>
              <w:ind w:right="612"/>
              <w:spacing w:after="0"/>
              <w:rPr>
                <w:sz w:val="20"/>
                <w:szCs w:val="20"/>
                <w:color w:val="auto"/>
              </w:rPr>
            </w:pPr>
            <w:r>
              <w:rPr>
                <w:rFonts w:ascii="Arial" w:cs="Arial" w:eastAsia="Arial" w:hAnsi="Arial"/>
                <w:sz w:val="22"/>
                <w:szCs w:val="22"/>
                <w:color w:val="auto"/>
              </w:rPr>
              <w:t>69</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8.3.</w:t>
            </w:r>
          </w:p>
        </w:tc>
        <w:tc>
          <w:tcPr>
            <w:tcW w:w="2680" w:type="dxa"/>
            <w:vAlign w:val="bottom"/>
            <w:gridSpan w:val="3"/>
          </w:tcPr>
          <w:p>
            <w:pPr>
              <w:ind w:left="40"/>
              <w:spacing w:after="0"/>
              <w:rPr>
                <w:sz w:val="20"/>
                <w:szCs w:val="20"/>
                <w:color w:val="auto"/>
              </w:rPr>
            </w:pPr>
            <w:r>
              <w:rPr>
                <w:rFonts w:ascii="Arial" w:cs="Arial" w:eastAsia="Arial" w:hAnsi="Arial"/>
                <w:sz w:val="22"/>
                <w:szCs w:val="22"/>
                <w:color w:val="auto"/>
                <w:w w:val="83"/>
              </w:rPr>
              <w:t>Exculpatory Provisions...............</w:t>
            </w:r>
          </w:p>
        </w:tc>
        <w:tc>
          <w:tcPr>
            <w:tcW w:w="1160" w:type="dxa"/>
            <w:vAlign w:val="bottom"/>
          </w:tcPr>
          <w:p>
            <w:pPr>
              <w:jc w:val="right"/>
              <w:ind w:right="372"/>
              <w:spacing w:after="0"/>
              <w:rPr>
                <w:sz w:val="20"/>
                <w:szCs w:val="20"/>
                <w:color w:val="auto"/>
              </w:rPr>
            </w:pPr>
            <w:r>
              <w:rPr>
                <w:rFonts w:ascii="Arial" w:cs="Arial" w:eastAsia="Arial" w:hAnsi="Arial"/>
                <w:sz w:val="22"/>
                <w:szCs w:val="22"/>
                <w:color w:val="auto"/>
              </w:rPr>
              <w:t>69</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8.4.</w:t>
            </w:r>
          </w:p>
        </w:tc>
        <w:tc>
          <w:tcPr>
            <w:tcW w:w="3840" w:type="dxa"/>
            <w:vAlign w:val="bottom"/>
            <w:gridSpan w:val="4"/>
          </w:tcPr>
          <w:p>
            <w:pPr>
              <w:ind w:left="40"/>
              <w:spacing w:after="0"/>
              <w:rPr>
                <w:sz w:val="20"/>
                <w:szCs w:val="20"/>
                <w:color w:val="auto"/>
              </w:rPr>
            </w:pPr>
            <w:r>
              <w:rPr>
                <w:rFonts w:ascii="Arial" w:cs="Arial" w:eastAsia="Arial" w:hAnsi="Arial"/>
                <w:sz w:val="22"/>
                <w:szCs w:val="22"/>
                <w:color w:val="auto"/>
                <w:w w:val="83"/>
              </w:rPr>
              <w:t>Reliance by the Administrative Agent...............</w:t>
            </w:r>
          </w:p>
        </w:tc>
        <w:tc>
          <w:tcPr>
            <w:tcW w:w="940" w:type="dxa"/>
            <w:vAlign w:val="bottom"/>
          </w:tcPr>
          <w:p>
            <w:pPr>
              <w:jc w:val="right"/>
              <w:spacing w:after="0"/>
              <w:rPr>
                <w:sz w:val="20"/>
                <w:szCs w:val="20"/>
                <w:color w:val="auto"/>
              </w:rPr>
            </w:pPr>
            <w:r>
              <w:rPr>
                <w:rFonts w:ascii="Arial" w:cs="Arial" w:eastAsia="Arial" w:hAnsi="Arial"/>
                <w:sz w:val="22"/>
                <w:szCs w:val="22"/>
                <w:color w:val="auto"/>
              </w:rPr>
              <w:t>70</w:t>
            </w:r>
          </w:p>
        </w:tc>
        <w:tc>
          <w:tcPr>
            <w:tcW w:w="92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8.5.</w:t>
            </w:r>
          </w:p>
        </w:tc>
        <w:tc>
          <w:tcPr>
            <w:tcW w:w="1760" w:type="dxa"/>
            <w:vAlign w:val="bottom"/>
            <w:gridSpan w:val="2"/>
          </w:tcPr>
          <w:p>
            <w:pPr>
              <w:ind w:left="40"/>
              <w:spacing w:after="0"/>
              <w:rPr>
                <w:sz w:val="20"/>
                <w:szCs w:val="20"/>
                <w:color w:val="auto"/>
              </w:rPr>
            </w:pPr>
            <w:r>
              <w:rPr>
                <w:rFonts w:ascii="Arial" w:cs="Arial" w:eastAsia="Arial" w:hAnsi="Arial"/>
                <w:sz w:val="19"/>
                <w:szCs w:val="19"/>
                <w:color w:val="auto"/>
                <w:w w:val="77"/>
              </w:rPr>
              <w:t>Notice of Default...............</w:t>
            </w:r>
          </w:p>
        </w:tc>
        <w:tc>
          <w:tcPr>
            <w:tcW w:w="2080" w:type="dxa"/>
            <w:vAlign w:val="bottom"/>
            <w:gridSpan w:val="2"/>
          </w:tcPr>
          <w:p>
            <w:pPr>
              <w:jc w:val="right"/>
              <w:ind w:right="952"/>
              <w:spacing w:after="0"/>
              <w:rPr>
                <w:sz w:val="20"/>
                <w:szCs w:val="20"/>
                <w:color w:val="auto"/>
              </w:rPr>
            </w:pPr>
            <w:r>
              <w:rPr>
                <w:rFonts w:ascii="Arial" w:cs="Arial" w:eastAsia="Arial" w:hAnsi="Arial"/>
                <w:sz w:val="22"/>
                <w:szCs w:val="22"/>
                <w:color w:val="auto"/>
              </w:rPr>
              <w:t>70</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720" w:type="dxa"/>
            <w:vAlign w:val="bottom"/>
          </w:tcPr>
          <w:p>
            <w:pPr>
              <w:ind w:left="340"/>
              <w:spacing w:after="0"/>
              <w:rPr>
                <w:sz w:val="20"/>
                <w:szCs w:val="20"/>
                <w:color w:val="auto"/>
              </w:rPr>
            </w:pPr>
            <w:r>
              <w:rPr>
                <w:rFonts w:ascii="Arial" w:cs="Arial" w:eastAsia="Arial" w:hAnsi="Arial"/>
                <w:sz w:val="22"/>
                <w:szCs w:val="22"/>
                <w:color w:val="auto"/>
                <w:w w:val="97"/>
              </w:rPr>
              <w:t>8.6.</w:t>
            </w:r>
          </w:p>
        </w:tc>
        <w:tc>
          <w:tcPr>
            <w:tcW w:w="4780" w:type="dxa"/>
            <w:vAlign w:val="bottom"/>
            <w:gridSpan w:val="5"/>
          </w:tcPr>
          <w:p>
            <w:pPr>
              <w:ind w:left="40"/>
              <w:spacing w:after="0"/>
              <w:rPr>
                <w:sz w:val="20"/>
                <w:szCs w:val="20"/>
                <w:color w:val="auto"/>
              </w:rPr>
            </w:pPr>
            <w:r>
              <w:rPr>
                <w:rFonts w:ascii="Arial" w:cs="Arial" w:eastAsia="Arial" w:hAnsi="Arial"/>
                <w:sz w:val="22"/>
                <w:szCs w:val="22"/>
                <w:color w:val="auto"/>
                <w:w w:val="86"/>
              </w:rPr>
              <w:t>Non-Reliance on the Agent and Other Lenders...............</w:t>
            </w:r>
          </w:p>
        </w:tc>
        <w:tc>
          <w:tcPr>
            <w:tcW w:w="9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75"/>
        </w:trPr>
        <w:tc>
          <w:tcPr>
            <w:tcW w:w="720" w:type="dxa"/>
            <w:vAlign w:val="bottom"/>
          </w:tcPr>
          <w:p>
            <w:pPr>
              <w:ind w:left="340"/>
              <w:spacing w:after="0"/>
              <w:rPr>
                <w:sz w:val="20"/>
                <w:szCs w:val="20"/>
                <w:color w:val="auto"/>
              </w:rPr>
            </w:pPr>
            <w:r>
              <w:rPr>
                <w:rFonts w:ascii="Arial" w:cs="Arial" w:eastAsia="Arial" w:hAnsi="Arial"/>
                <w:sz w:val="22"/>
                <w:szCs w:val="22"/>
                <w:color w:val="auto"/>
                <w:w w:val="97"/>
              </w:rPr>
              <w:t>8.7.</w:t>
            </w:r>
          </w:p>
        </w:tc>
        <w:tc>
          <w:tcPr>
            <w:tcW w:w="1760" w:type="dxa"/>
            <w:vAlign w:val="bottom"/>
            <w:gridSpan w:val="2"/>
          </w:tcPr>
          <w:p>
            <w:pPr>
              <w:ind w:left="40"/>
              <w:spacing w:after="0"/>
              <w:rPr>
                <w:sz w:val="20"/>
                <w:szCs w:val="20"/>
                <w:color w:val="auto"/>
              </w:rPr>
            </w:pPr>
            <w:r>
              <w:rPr>
                <w:rFonts w:ascii="Arial" w:cs="Arial" w:eastAsia="Arial" w:hAnsi="Arial"/>
                <w:sz w:val="22"/>
                <w:szCs w:val="22"/>
                <w:color w:val="auto"/>
                <w:w w:val="70"/>
              </w:rPr>
              <w:t>Indemnification...............</w:t>
            </w:r>
          </w:p>
        </w:tc>
        <w:tc>
          <w:tcPr>
            <w:tcW w:w="920" w:type="dxa"/>
            <w:vAlign w:val="bottom"/>
          </w:tcPr>
          <w:p>
            <w:pPr>
              <w:jc w:val="right"/>
              <w:spacing w:after="0"/>
              <w:rPr>
                <w:sz w:val="20"/>
                <w:szCs w:val="20"/>
                <w:color w:val="auto"/>
              </w:rPr>
            </w:pPr>
            <w:r>
              <w:rPr>
                <w:rFonts w:ascii="Arial" w:cs="Arial" w:eastAsia="Arial" w:hAnsi="Arial"/>
                <w:sz w:val="22"/>
                <w:szCs w:val="22"/>
                <w:color w:val="auto"/>
              </w:rPr>
              <w:t>71</w:t>
            </w: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ectPr>
          <w:pgSz w:w="11900" w:h="16838" w:orient="portrait"/>
          <w:cols w:equalWidth="0" w:num="1">
            <w:col w:w="10139"/>
          </w:cols>
          <w:pgMar w:left="320" w:top="1427" w:right="1440"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00" w:type="dxa"/>
            <w:vAlign w:val="bottom"/>
            <w:gridSpan w:val="8"/>
          </w:tcPr>
          <w:p>
            <w:pPr>
              <w:ind w:left="340"/>
              <w:spacing w:after="0"/>
              <w:rPr>
                <w:sz w:val="20"/>
                <w:szCs w:val="20"/>
                <w:color w:val="auto"/>
              </w:rPr>
            </w:pPr>
            <w:r>
              <w:rPr>
                <w:rFonts w:ascii="Arial" w:cs="Arial" w:eastAsia="Arial" w:hAnsi="Arial"/>
                <w:sz w:val="22"/>
                <w:szCs w:val="22"/>
                <w:color w:val="auto"/>
                <w:w w:val="97"/>
              </w:rPr>
              <w:t>8.8. Agent and Sustainability Structuring Agent in Their Individual Capacity...............</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72</w:t>
            </w: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8.9.</w:t>
            </w:r>
          </w:p>
        </w:tc>
        <w:tc>
          <w:tcPr>
            <w:tcW w:w="3440" w:type="dxa"/>
            <w:vAlign w:val="bottom"/>
            <w:gridSpan w:val="5"/>
          </w:tcPr>
          <w:p>
            <w:pPr>
              <w:ind w:left="40"/>
              <w:spacing w:after="0"/>
              <w:rPr>
                <w:sz w:val="20"/>
                <w:szCs w:val="20"/>
                <w:color w:val="auto"/>
              </w:rPr>
            </w:pPr>
            <w:r>
              <w:rPr>
                <w:rFonts w:ascii="Arial" w:cs="Arial" w:eastAsia="Arial" w:hAnsi="Arial"/>
                <w:sz w:val="22"/>
                <w:szCs w:val="22"/>
                <w:color w:val="auto"/>
                <w:w w:val="84"/>
              </w:rPr>
              <w:t>Successor Administrative Agent...............</w:t>
            </w:r>
          </w:p>
        </w:tc>
        <w:tc>
          <w:tcPr>
            <w:tcW w:w="1260" w:type="dxa"/>
            <w:vAlign w:val="bottom"/>
          </w:tcPr>
          <w:p>
            <w:pPr>
              <w:jc w:val="right"/>
              <w:ind w:right="392"/>
              <w:spacing w:after="0"/>
              <w:rPr>
                <w:sz w:val="20"/>
                <w:szCs w:val="20"/>
                <w:color w:val="auto"/>
              </w:rPr>
            </w:pPr>
            <w:r>
              <w:rPr>
                <w:rFonts w:ascii="Arial" w:cs="Arial" w:eastAsia="Arial" w:hAnsi="Arial"/>
                <w:sz w:val="22"/>
                <w:szCs w:val="22"/>
                <w:color w:val="auto"/>
              </w:rPr>
              <w:t>72</w:t>
            </w: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0"/>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8.10.</w:t>
            </w:r>
          </w:p>
        </w:tc>
        <w:tc>
          <w:tcPr>
            <w:tcW w:w="4580" w:type="dxa"/>
            <w:vAlign w:val="bottom"/>
            <w:gridSpan w:val="5"/>
          </w:tcPr>
          <w:p>
            <w:pPr>
              <w:ind w:left="40"/>
              <w:spacing w:after="0"/>
              <w:rPr>
                <w:sz w:val="20"/>
                <w:szCs w:val="20"/>
                <w:color w:val="auto"/>
              </w:rPr>
            </w:pPr>
            <w:r>
              <w:rPr>
                <w:rFonts w:ascii="Arial" w:cs="Arial" w:eastAsia="Arial" w:hAnsi="Arial"/>
                <w:sz w:val="22"/>
                <w:szCs w:val="22"/>
                <w:color w:val="auto"/>
                <w:w w:val="89"/>
              </w:rPr>
              <w:t>Successor Sustainability Structuring Agent...............</w:t>
            </w:r>
          </w:p>
        </w:tc>
        <w:tc>
          <w:tcPr>
            <w:tcW w:w="2880" w:type="dxa"/>
            <w:vAlign w:val="bottom"/>
          </w:tcPr>
          <w:p>
            <w:pPr>
              <w:jc w:val="right"/>
              <w:ind w:right="2112"/>
              <w:spacing w:after="0"/>
              <w:rPr>
                <w:sz w:val="20"/>
                <w:szCs w:val="20"/>
                <w:color w:val="auto"/>
              </w:rPr>
            </w:pPr>
            <w:r>
              <w:rPr>
                <w:rFonts w:ascii="Arial" w:cs="Arial" w:eastAsia="Arial" w:hAnsi="Arial"/>
                <w:sz w:val="22"/>
                <w:szCs w:val="22"/>
                <w:color w:val="auto"/>
              </w:rPr>
              <w:t>72</w:t>
            </w:r>
          </w:p>
        </w:tc>
        <w:tc>
          <w:tcPr>
            <w:tcW w:w="240" w:type="dxa"/>
            <w:vAlign w:val="bottom"/>
          </w:tcPr>
          <w:p>
            <w:pPr>
              <w:spacing w:after="0"/>
              <w:rPr>
                <w:sz w:val="23"/>
                <w:szCs w:val="23"/>
                <w:color w:val="auto"/>
              </w:rPr>
            </w:pPr>
          </w:p>
        </w:tc>
      </w:tr>
      <w:tr>
        <w:trPr>
          <w:trHeight w:val="256"/>
        </w:trPr>
        <w:tc>
          <w:tcPr>
            <w:tcW w:w="2720" w:type="dxa"/>
            <w:vAlign w:val="bottom"/>
            <w:gridSpan w:val="4"/>
          </w:tcPr>
          <w:p>
            <w:pPr>
              <w:ind w:left="340"/>
              <w:spacing w:after="0"/>
              <w:rPr>
                <w:sz w:val="20"/>
                <w:szCs w:val="20"/>
                <w:color w:val="auto"/>
              </w:rPr>
            </w:pPr>
            <w:r>
              <w:rPr>
                <w:rFonts w:ascii="Arial" w:cs="Arial" w:eastAsia="Arial" w:hAnsi="Arial"/>
                <w:sz w:val="22"/>
                <w:szCs w:val="22"/>
                <w:color w:val="auto"/>
                <w:w w:val="96"/>
              </w:rPr>
              <w:t>8.11. Payments...............</w:t>
            </w:r>
          </w:p>
        </w:tc>
        <w:tc>
          <w:tcPr>
            <w:tcW w:w="580" w:type="dxa"/>
            <w:vAlign w:val="bottom"/>
          </w:tcPr>
          <w:p>
            <w:pPr>
              <w:jc w:val="right"/>
              <w:ind w:right="232"/>
              <w:spacing w:after="0"/>
              <w:rPr>
                <w:sz w:val="20"/>
                <w:szCs w:val="20"/>
                <w:color w:val="auto"/>
              </w:rPr>
            </w:pPr>
            <w:r>
              <w:rPr>
                <w:rFonts w:ascii="Arial" w:cs="Arial" w:eastAsia="Arial" w:hAnsi="Arial"/>
                <w:sz w:val="22"/>
                <w:szCs w:val="22"/>
                <w:color w:val="auto"/>
                <w:w w:val="89"/>
              </w:rPr>
              <w:t>73</w:t>
            </w:r>
          </w:p>
        </w:tc>
        <w:tc>
          <w:tcPr>
            <w:tcW w:w="8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8.12.</w:t>
            </w:r>
          </w:p>
        </w:tc>
        <w:tc>
          <w:tcPr>
            <w:tcW w:w="1880" w:type="dxa"/>
            <w:vAlign w:val="bottom"/>
            <w:gridSpan w:val="2"/>
          </w:tcPr>
          <w:p>
            <w:pPr>
              <w:ind w:left="40"/>
              <w:spacing w:after="0"/>
              <w:rPr>
                <w:sz w:val="20"/>
                <w:szCs w:val="20"/>
                <w:color w:val="auto"/>
              </w:rPr>
            </w:pPr>
            <w:r>
              <w:rPr>
                <w:rFonts w:ascii="Arial" w:cs="Arial" w:eastAsia="Arial" w:hAnsi="Arial"/>
                <w:sz w:val="22"/>
                <w:szCs w:val="22"/>
                <w:color w:val="auto"/>
                <w:w w:val="84"/>
              </w:rPr>
              <w:t>Other Terms...............</w:t>
            </w:r>
          </w:p>
        </w:tc>
        <w:tc>
          <w:tcPr>
            <w:tcW w:w="580" w:type="dxa"/>
            <w:vAlign w:val="bottom"/>
          </w:tcPr>
          <w:p>
            <w:pPr>
              <w:jc w:val="right"/>
              <w:spacing w:after="0"/>
              <w:rPr>
                <w:sz w:val="20"/>
                <w:szCs w:val="20"/>
                <w:color w:val="auto"/>
              </w:rPr>
            </w:pPr>
            <w:r>
              <w:rPr>
                <w:rFonts w:ascii="Arial" w:cs="Arial" w:eastAsia="Arial" w:hAnsi="Arial"/>
                <w:sz w:val="22"/>
                <w:szCs w:val="22"/>
                <w:color w:val="auto"/>
              </w:rPr>
              <w:t>74</w:t>
            </w:r>
          </w:p>
        </w:tc>
        <w:tc>
          <w:tcPr>
            <w:tcW w:w="8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8.13.</w:t>
            </w:r>
          </w:p>
        </w:tc>
        <w:tc>
          <w:tcPr>
            <w:tcW w:w="4580" w:type="dxa"/>
            <w:vAlign w:val="bottom"/>
            <w:gridSpan w:val="5"/>
          </w:tcPr>
          <w:p>
            <w:pPr>
              <w:ind w:left="40"/>
              <w:spacing w:after="0"/>
              <w:rPr>
                <w:sz w:val="20"/>
                <w:szCs w:val="20"/>
                <w:color w:val="auto"/>
              </w:rPr>
            </w:pPr>
            <w:r>
              <w:rPr>
                <w:rFonts w:ascii="Arial" w:cs="Arial" w:eastAsia="Arial" w:hAnsi="Arial"/>
                <w:sz w:val="22"/>
                <w:szCs w:val="22"/>
                <w:color w:val="auto"/>
                <w:w w:val="92"/>
              </w:rPr>
              <w:t>Enforcement by the Administrative Agent...............</w:t>
            </w:r>
          </w:p>
        </w:tc>
        <w:tc>
          <w:tcPr>
            <w:tcW w:w="2880" w:type="dxa"/>
            <w:vAlign w:val="bottom"/>
          </w:tcPr>
          <w:p>
            <w:pPr>
              <w:jc w:val="right"/>
              <w:ind w:right="2292"/>
              <w:spacing w:after="0"/>
              <w:rPr>
                <w:sz w:val="20"/>
                <w:szCs w:val="20"/>
                <w:color w:val="auto"/>
              </w:rPr>
            </w:pPr>
            <w:r>
              <w:rPr>
                <w:rFonts w:ascii="Arial" w:cs="Arial" w:eastAsia="Arial" w:hAnsi="Arial"/>
                <w:sz w:val="22"/>
                <w:szCs w:val="22"/>
                <w:color w:val="auto"/>
              </w:rPr>
              <w:t>75</w:t>
            </w:r>
          </w:p>
        </w:tc>
        <w:tc>
          <w:tcPr>
            <w:tcW w:w="240" w:type="dxa"/>
            <w:vAlign w:val="bottom"/>
          </w:tcPr>
          <w:p>
            <w:pPr>
              <w:spacing w:after="0"/>
              <w:rPr>
                <w:sz w:val="22"/>
                <w:szCs w:val="22"/>
                <w:color w:val="auto"/>
              </w:rPr>
            </w:pPr>
          </w:p>
        </w:tc>
      </w:tr>
      <w:tr>
        <w:trPr>
          <w:trHeight w:val="257"/>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8.14.</w:t>
            </w:r>
          </w:p>
        </w:tc>
        <w:tc>
          <w:tcPr>
            <w:tcW w:w="2460" w:type="dxa"/>
            <w:vAlign w:val="bottom"/>
            <w:gridSpan w:val="3"/>
          </w:tcPr>
          <w:p>
            <w:pPr>
              <w:ind w:left="40"/>
              <w:spacing w:after="0"/>
              <w:rPr>
                <w:sz w:val="20"/>
                <w:szCs w:val="20"/>
                <w:color w:val="auto"/>
              </w:rPr>
            </w:pPr>
            <w:r>
              <w:rPr>
                <w:rFonts w:ascii="Arial" w:cs="Arial" w:eastAsia="Arial" w:hAnsi="Arial"/>
                <w:sz w:val="22"/>
                <w:szCs w:val="22"/>
                <w:color w:val="auto"/>
                <w:w w:val="96"/>
              </w:rPr>
              <w:t>Withholding Tax...............</w:t>
            </w:r>
          </w:p>
        </w:tc>
        <w:tc>
          <w:tcPr>
            <w:tcW w:w="860" w:type="dxa"/>
            <w:vAlign w:val="bottom"/>
          </w:tcPr>
          <w:p>
            <w:pPr>
              <w:jc w:val="right"/>
              <w:ind w:right="512"/>
              <w:spacing w:after="0"/>
              <w:rPr>
                <w:sz w:val="20"/>
                <w:szCs w:val="20"/>
                <w:color w:val="auto"/>
              </w:rPr>
            </w:pPr>
            <w:r>
              <w:rPr>
                <w:rFonts w:ascii="Arial" w:cs="Arial" w:eastAsia="Arial" w:hAnsi="Arial"/>
                <w:sz w:val="22"/>
                <w:szCs w:val="22"/>
                <w:color w:val="auto"/>
                <w:w w:val="89"/>
              </w:rPr>
              <w:t>75</w:t>
            </w: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5"/>
        </w:trPr>
        <w:tc>
          <w:tcPr>
            <w:tcW w:w="840" w:type="dxa"/>
            <w:vAlign w:val="bottom"/>
            <w:gridSpan w:val="2"/>
          </w:tcPr>
          <w:p>
            <w:pPr>
              <w:ind w:left="340"/>
              <w:spacing w:after="0"/>
              <w:rPr>
                <w:sz w:val="20"/>
                <w:szCs w:val="20"/>
                <w:color w:val="auto"/>
              </w:rPr>
            </w:pPr>
            <w:r>
              <w:rPr>
                <w:rFonts w:ascii="Arial" w:cs="Arial" w:eastAsia="Arial" w:hAnsi="Arial"/>
                <w:sz w:val="22"/>
                <w:szCs w:val="22"/>
                <w:color w:val="auto"/>
                <w:w w:val="98"/>
              </w:rPr>
              <w:t>8.15.</w:t>
            </w:r>
          </w:p>
        </w:tc>
        <w:tc>
          <w:tcPr>
            <w:tcW w:w="2460" w:type="dxa"/>
            <w:vAlign w:val="bottom"/>
            <w:gridSpan w:val="3"/>
          </w:tcPr>
          <w:p>
            <w:pPr>
              <w:ind w:left="40"/>
              <w:spacing w:after="0"/>
              <w:rPr>
                <w:sz w:val="20"/>
                <w:szCs w:val="20"/>
                <w:color w:val="auto"/>
              </w:rPr>
            </w:pPr>
            <w:r>
              <w:rPr>
                <w:rFonts w:ascii="Arial" w:cs="Arial" w:eastAsia="Arial" w:hAnsi="Arial"/>
                <w:sz w:val="22"/>
                <w:szCs w:val="22"/>
                <w:color w:val="auto"/>
                <w:w w:val="76"/>
              </w:rPr>
              <w:t>Certain ERISA Matters...............</w:t>
            </w:r>
          </w:p>
        </w:tc>
        <w:tc>
          <w:tcPr>
            <w:tcW w:w="2120" w:type="dxa"/>
            <w:vAlign w:val="bottom"/>
            <w:gridSpan w:val="2"/>
          </w:tcPr>
          <w:p>
            <w:pPr>
              <w:jc w:val="right"/>
              <w:ind w:right="1132"/>
              <w:spacing w:after="0"/>
              <w:rPr>
                <w:sz w:val="20"/>
                <w:szCs w:val="20"/>
                <w:color w:val="auto"/>
              </w:rPr>
            </w:pPr>
            <w:r>
              <w:rPr>
                <w:rFonts w:ascii="Arial" w:cs="Arial" w:eastAsia="Arial" w:hAnsi="Arial"/>
                <w:sz w:val="22"/>
                <w:szCs w:val="22"/>
                <w:color w:val="auto"/>
              </w:rPr>
              <w:t>75</w:t>
            </w: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394"/>
        </w:trPr>
        <w:tc>
          <w:tcPr>
            <w:tcW w:w="3300" w:type="dxa"/>
            <w:vAlign w:val="bottom"/>
            <w:gridSpan w:val="5"/>
          </w:tcPr>
          <w:p>
            <w:pPr>
              <w:spacing w:after="0"/>
              <w:rPr>
                <w:sz w:val="20"/>
                <w:szCs w:val="20"/>
                <w:color w:val="auto"/>
              </w:rPr>
            </w:pPr>
            <w:r>
              <w:rPr>
                <w:rFonts w:ascii="Arial" w:cs="Arial" w:eastAsia="Arial" w:hAnsi="Arial"/>
                <w:sz w:val="22"/>
                <w:szCs w:val="22"/>
                <w:b w:val="1"/>
                <w:bCs w:val="1"/>
                <w:color w:val="auto"/>
                <w:w w:val="94"/>
              </w:rPr>
              <w:t>Section 9 Miscellaneous...............</w:t>
            </w:r>
          </w:p>
        </w:tc>
        <w:tc>
          <w:tcPr>
            <w:tcW w:w="860" w:type="dxa"/>
            <w:vAlign w:val="bottom"/>
          </w:tcPr>
          <w:p>
            <w:pPr>
              <w:jc w:val="right"/>
              <w:ind w:right="412"/>
              <w:spacing w:after="0"/>
              <w:rPr>
                <w:sz w:val="20"/>
                <w:szCs w:val="20"/>
                <w:color w:val="auto"/>
              </w:rPr>
            </w:pPr>
            <w:r>
              <w:rPr>
                <w:rFonts w:ascii="Arial" w:cs="Arial" w:eastAsia="Arial" w:hAnsi="Arial"/>
                <w:sz w:val="22"/>
                <w:szCs w:val="22"/>
                <w:b w:val="1"/>
                <w:bCs w:val="1"/>
                <w:color w:val="auto"/>
              </w:rPr>
              <w:t>76</w:t>
            </w:r>
          </w:p>
        </w:tc>
        <w:tc>
          <w:tcPr>
            <w:tcW w:w="1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0"/>
        </w:trPr>
        <w:tc>
          <w:tcPr>
            <w:tcW w:w="4160" w:type="dxa"/>
            <w:vAlign w:val="bottom"/>
            <w:gridSpan w:val="6"/>
          </w:tcPr>
          <w:p>
            <w:pPr>
              <w:ind w:left="340"/>
              <w:spacing w:after="0"/>
              <w:rPr>
                <w:sz w:val="20"/>
                <w:szCs w:val="20"/>
                <w:color w:val="auto"/>
              </w:rPr>
            </w:pPr>
            <w:r>
              <w:rPr>
                <w:rFonts w:ascii="Arial" w:cs="Arial" w:eastAsia="Arial" w:hAnsi="Arial"/>
                <w:sz w:val="22"/>
                <w:szCs w:val="22"/>
                <w:color w:val="auto"/>
                <w:w w:val="96"/>
              </w:rPr>
              <w:t>9.1. Amendments and Waivers...............</w:t>
            </w:r>
          </w:p>
        </w:tc>
        <w:tc>
          <w:tcPr>
            <w:tcW w:w="1260" w:type="dxa"/>
            <w:vAlign w:val="bottom"/>
          </w:tcPr>
          <w:p>
            <w:pPr>
              <w:jc w:val="right"/>
              <w:ind w:right="912"/>
              <w:spacing w:after="0"/>
              <w:rPr>
                <w:sz w:val="20"/>
                <w:szCs w:val="20"/>
                <w:color w:val="auto"/>
              </w:rPr>
            </w:pPr>
            <w:r>
              <w:rPr>
                <w:rFonts w:ascii="Arial" w:cs="Arial" w:eastAsia="Arial" w:hAnsi="Arial"/>
                <w:sz w:val="22"/>
                <w:szCs w:val="22"/>
                <w:color w:val="auto"/>
                <w:w w:val="89"/>
              </w:rPr>
              <w:t>76</w:t>
            </w: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9.2.</w:t>
            </w:r>
          </w:p>
        </w:tc>
        <w:tc>
          <w:tcPr>
            <w:tcW w:w="1660" w:type="dxa"/>
            <w:vAlign w:val="bottom"/>
            <w:gridSpan w:val="2"/>
          </w:tcPr>
          <w:p>
            <w:pPr>
              <w:ind w:left="40"/>
              <w:spacing w:after="0"/>
              <w:rPr>
                <w:sz w:val="20"/>
                <w:szCs w:val="20"/>
                <w:color w:val="auto"/>
              </w:rPr>
            </w:pPr>
            <w:r>
              <w:rPr>
                <w:rFonts w:ascii="Arial" w:cs="Arial" w:eastAsia="Arial" w:hAnsi="Arial"/>
                <w:sz w:val="22"/>
                <w:szCs w:val="22"/>
                <w:color w:val="auto"/>
                <w:w w:val="96"/>
              </w:rPr>
              <w:t>Notices...............</w:t>
            </w:r>
          </w:p>
        </w:tc>
        <w:tc>
          <w:tcPr>
            <w:tcW w:w="340" w:type="dxa"/>
            <w:vAlign w:val="bottom"/>
          </w:tcPr>
          <w:p>
            <w:pPr>
              <w:jc w:val="right"/>
              <w:spacing w:after="0"/>
              <w:rPr>
                <w:sz w:val="20"/>
                <w:szCs w:val="20"/>
                <w:color w:val="auto"/>
              </w:rPr>
            </w:pPr>
            <w:r>
              <w:rPr>
                <w:rFonts w:ascii="Arial" w:cs="Arial" w:eastAsia="Arial" w:hAnsi="Arial"/>
                <w:sz w:val="22"/>
                <w:szCs w:val="22"/>
                <w:color w:val="auto"/>
                <w:w w:val="89"/>
              </w:rPr>
              <w:t>78</w:t>
            </w: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9.3.</w:t>
            </w:r>
          </w:p>
        </w:tc>
        <w:tc>
          <w:tcPr>
            <w:tcW w:w="3440" w:type="dxa"/>
            <w:vAlign w:val="bottom"/>
            <w:gridSpan w:val="5"/>
          </w:tcPr>
          <w:p>
            <w:pPr>
              <w:ind w:left="40"/>
              <w:spacing w:after="0"/>
              <w:rPr>
                <w:sz w:val="20"/>
                <w:szCs w:val="20"/>
                <w:color w:val="auto"/>
              </w:rPr>
            </w:pPr>
            <w:r>
              <w:rPr>
                <w:rFonts w:ascii="Arial" w:cs="Arial" w:eastAsia="Arial" w:hAnsi="Arial"/>
                <w:sz w:val="22"/>
                <w:szCs w:val="22"/>
                <w:color w:val="auto"/>
                <w:w w:val="80"/>
              </w:rPr>
              <w:t>No Waiver; Cumulative Remedies...............</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rPr>
              <w:t>80</w:t>
            </w: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9.4.</w:t>
            </w:r>
          </w:p>
        </w:tc>
        <w:tc>
          <w:tcPr>
            <w:tcW w:w="4700" w:type="dxa"/>
            <w:vAlign w:val="bottom"/>
            <w:gridSpan w:val="6"/>
          </w:tcPr>
          <w:p>
            <w:pPr>
              <w:ind w:left="40"/>
              <w:spacing w:after="0"/>
              <w:rPr>
                <w:sz w:val="20"/>
                <w:szCs w:val="20"/>
                <w:color w:val="auto"/>
              </w:rPr>
            </w:pPr>
            <w:r>
              <w:rPr>
                <w:rFonts w:ascii="Arial" w:cs="Arial" w:eastAsia="Arial" w:hAnsi="Arial"/>
                <w:sz w:val="22"/>
                <w:szCs w:val="22"/>
                <w:color w:val="auto"/>
                <w:w w:val="89"/>
              </w:rPr>
              <w:t>Survival of Representations and Warranties...............</w:t>
            </w:r>
          </w:p>
        </w:tc>
        <w:tc>
          <w:tcPr>
            <w:tcW w:w="2880" w:type="dxa"/>
            <w:vAlign w:val="bottom"/>
          </w:tcPr>
          <w:p>
            <w:pPr>
              <w:jc w:val="right"/>
              <w:ind w:right="2132"/>
              <w:spacing w:after="0"/>
              <w:rPr>
                <w:sz w:val="20"/>
                <w:szCs w:val="20"/>
                <w:color w:val="auto"/>
              </w:rPr>
            </w:pPr>
            <w:r>
              <w:rPr>
                <w:rFonts w:ascii="Arial" w:cs="Arial" w:eastAsia="Arial" w:hAnsi="Arial"/>
                <w:sz w:val="22"/>
                <w:szCs w:val="22"/>
                <w:color w:val="auto"/>
              </w:rPr>
              <w:t>80</w:t>
            </w:r>
          </w:p>
        </w:tc>
        <w:tc>
          <w:tcPr>
            <w:tcW w:w="240" w:type="dxa"/>
            <w:vAlign w:val="bottom"/>
          </w:tcPr>
          <w:p>
            <w:pPr>
              <w:spacing w:after="0"/>
              <w:rPr>
                <w:sz w:val="22"/>
                <w:szCs w:val="22"/>
                <w:color w:val="auto"/>
              </w:rPr>
            </w:pPr>
          </w:p>
        </w:tc>
      </w:tr>
      <w:tr>
        <w:trPr>
          <w:trHeight w:val="270"/>
        </w:trPr>
        <w:tc>
          <w:tcPr>
            <w:tcW w:w="720" w:type="dxa"/>
            <w:vAlign w:val="bottom"/>
          </w:tcPr>
          <w:p>
            <w:pPr>
              <w:ind w:left="340"/>
              <w:spacing w:after="0"/>
              <w:rPr>
                <w:sz w:val="20"/>
                <w:szCs w:val="20"/>
                <w:color w:val="auto"/>
              </w:rPr>
            </w:pPr>
            <w:r>
              <w:rPr>
                <w:rFonts w:ascii="Arial" w:cs="Arial" w:eastAsia="Arial" w:hAnsi="Arial"/>
                <w:sz w:val="22"/>
                <w:szCs w:val="22"/>
                <w:color w:val="auto"/>
                <w:w w:val="97"/>
              </w:rPr>
              <w:t>9.5.</w:t>
            </w:r>
          </w:p>
        </w:tc>
        <w:tc>
          <w:tcPr>
            <w:tcW w:w="2580" w:type="dxa"/>
            <w:vAlign w:val="bottom"/>
            <w:gridSpan w:val="4"/>
          </w:tcPr>
          <w:p>
            <w:pPr>
              <w:ind w:left="40"/>
              <w:spacing w:after="0"/>
              <w:rPr>
                <w:sz w:val="20"/>
                <w:szCs w:val="20"/>
                <w:color w:val="auto"/>
              </w:rPr>
            </w:pPr>
            <w:r>
              <w:rPr>
                <w:rFonts w:ascii="Arial" w:cs="Arial" w:eastAsia="Arial" w:hAnsi="Arial"/>
                <w:sz w:val="22"/>
                <w:szCs w:val="22"/>
                <w:color w:val="auto"/>
                <w:w w:val="82"/>
              </w:rPr>
              <w:t>Payment of Expenses...............</w:t>
            </w:r>
          </w:p>
        </w:tc>
        <w:tc>
          <w:tcPr>
            <w:tcW w:w="860" w:type="dxa"/>
            <w:vAlign w:val="bottom"/>
          </w:tcPr>
          <w:p>
            <w:pPr>
              <w:jc w:val="right"/>
              <w:ind w:right="52"/>
              <w:spacing w:after="0"/>
              <w:rPr>
                <w:sz w:val="20"/>
                <w:szCs w:val="20"/>
                <w:color w:val="auto"/>
              </w:rPr>
            </w:pPr>
            <w:r>
              <w:rPr>
                <w:rFonts w:ascii="Arial" w:cs="Arial" w:eastAsia="Arial" w:hAnsi="Arial"/>
                <w:sz w:val="22"/>
                <w:szCs w:val="22"/>
                <w:color w:val="auto"/>
              </w:rPr>
              <w:t>80</w:t>
            </w:r>
          </w:p>
        </w:tc>
        <w:tc>
          <w:tcPr>
            <w:tcW w:w="1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7"/>
        </w:trPr>
        <w:tc>
          <w:tcPr>
            <w:tcW w:w="720" w:type="dxa"/>
            <w:vAlign w:val="bottom"/>
          </w:tcPr>
          <w:p>
            <w:pPr>
              <w:ind w:left="340"/>
              <w:spacing w:after="0"/>
              <w:rPr>
                <w:sz w:val="20"/>
                <w:szCs w:val="20"/>
                <w:color w:val="auto"/>
              </w:rPr>
            </w:pPr>
            <w:r>
              <w:rPr>
                <w:rFonts w:ascii="Arial" w:cs="Arial" w:eastAsia="Arial" w:hAnsi="Arial"/>
                <w:sz w:val="22"/>
                <w:szCs w:val="22"/>
                <w:color w:val="auto"/>
                <w:w w:val="97"/>
              </w:rPr>
              <w:t>9.6.</w:t>
            </w:r>
          </w:p>
        </w:tc>
        <w:tc>
          <w:tcPr>
            <w:tcW w:w="4700" w:type="dxa"/>
            <w:vAlign w:val="bottom"/>
            <w:gridSpan w:val="6"/>
          </w:tcPr>
          <w:p>
            <w:pPr>
              <w:ind w:left="40"/>
              <w:spacing w:after="0"/>
              <w:rPr>
                <w:sz w:val="20"/>
                <w:szCs w:val="20"/>
                <w:color w:val="auto"/>
              </w:rPr>
            </w:pPr>
            <w:r>
              <w:rPr>
                <w:rFonts w:ascii="Arial" w:cs="Arial" w:eastAsia="Arial" w:hAnsi="Arial"/>
                <w:sz w:val="22"/>
                <w:szCs w:val="22"/>
                <w:color w:val="auto"/>
                <w:w w:val="97"/>
              </w:rPr>
              <w:t>Successors and Assigns; Participations...............</w:t>
            </w:r>
          </w:p>
        </w:tc>
        <w:tc>
          <w:tcPr>
            <w:tcW w:w="2880" w:type="dxa"/>
            <w:vAlign w:val="bottom"/>
          </w:tcPr>
          <w:p>
            <w:pPr>
              <w:jc w:val="right"/>
              <w:ind w:right="2532"/>
              <w:spacing w:after="0"/>
              <w:rPr>
                <w:sz w:val="20"/>
                <w:szCs w:val="20"/>
                <w:color w:val="auto"/>
              </w:rPr>
            </w:pPr>
            <w:r>
              <w:rPr>
                <w:rFonts w:ascii="Arial" w:cs="Arial" w:eastAsia="Arial" w:hAnsi="Arial"/>
                <w:sz w:val="22"/>
                <w:szCs w:val="22"/>
                <w:color w:val="auto"/>
                <w:w w:val="89"/>
              </w:rPr>
              <w:t>81</w:t>
            </w:r>
          </w:p>
        </w:tc>
        <w:tc>
          <w:tcPr>
            <w:tcW w:w="240" w:type="dxa"/>
            <w:vAlign w:val="bottom"/>
          </w:tcPr>
          <w:p>
            <w:pPr>
              <w:spacing w:after="0"/>
              <w:rPr>
                <w:sz w:val="22"/>
                <w:szCs w:val="22"/>
                <w:color w:val="auto"/>
              </w:rPr>
            </w:pPr>
          </w:p>
        </w:tc>
      </w:tr>
      <w:tr>
        <w:trPr>
          <w:trHeight w:val="257"/>
        </w:trPr>
        <w:tc>
          <w:tcPr>
            <w:tcW w:w="3300" w:type="dxa"/>
            <w:vAlign w:val="bottom"/>
            <w:gridSpan w:val="5"/>
          </w:tcPr>
          <w:p>
            <w:pPr>
              <w:ind w:left="340"/>
              <w:spacing w:after="0"/>
              <w:rPr>
                <w:sz w:val="20"/>
                <w:szCs w:val="20"/>
                <w:color w:val="auto"/>
              </w:rPr>
            </w:pPr>
            <w:r>
              <w:rPr>
                <w:rFonts w:ascii="Arial" w:cs="Arial" w:eastAsia="Arial" w:hAnsi="Arial"/>
                <w:sz w:val="22"/>
                <w:szCs w:val="22"/>
                <w:color w:val="auto"/>
                <w:w w:val="90"/>
              </w:rPr>
              <w:t>9.7. Adjustments; Setoff...............</w:t>
            </w:r>
          </w:p>
        </w:tc>
        <w:tc>
          <w:tcPr>
            <w:tcW w:w="860" w:type="dxa"/>
            <w:vAlign w:val="bottom"/>
          </w:tcPr>
          <w:p>
            <w:pPr>
              <w:jc w:val="right"/>
              <w:ind w:right="292"/>
              <w:spacing w:after="0"/>
              <w:rPr>
                <w:sz w:val="20"/>
                <w:szCs w:val="20"/>
                <w:color w:val="auto"/>
              </w:rPr>
            </w:pPr>
            <w:r>
              <w:rPr>
                <w:rFonts w:ascii="Arial" w:cs="Arial" w:eastAsia="Arial" w:hAnsi="Arial"/>
                <w:sz w:val="22"/>
                <w:szCs w:val="22"/>
                <w:color w:val="auto"/>
              </w:rPr>
              <w:t>84</w:t>
            </w: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720" w:type="dxa"/>
            <w:vAlign w:val="bottom"/>
          </w:tcPr>
          <w:p>
            <w:pPr>
              <w:ind w:left="340"/>
              <w:spacing w:after="0"/>
              <w:rPr>
                <w:sz w:val="20"/>
                <w:szCs w:val="20"/>
                <w:color w:val="auto"/>
              </w:rPr>
            </w:pPr>
            <w:r>
              <w:rPr>
                <w:rFonts w:ascii="Arial" w:cs="Arial" w:eastAsia="Arial" w:hAnsi="Arial"/>
                <w:sz w:val="22"/>
                <w:szCs w:val="22"/>
                <w:color w:val="auto"/>
                <w:w w:val="97"/>
              </w:rPr>
              <w:t>9.8.</w:t>
            </w:r>
          </w:p>
        </w:tc>
        <w:tc>
          <w:tcPr>
            <w:tcW w:w="2000" w:type="dxa"/>
            <w:vAlign w:val="bottom"/>
            <w:gridSpan w:val="3"/>
          </w:tcPr>
          <w:p>
            <w:pPr>
              <w:ind w:left="40"/>
              <w:spacing w:after="0"/>
              <w:rPr>
                <w:sz w:val="20"/>
                <w:szCs w:val="20"/>
                <w:color w:val="auto"/>
              </w:rPr>
            </w:pPr>
            <w:r>
              <w:rPr>
                <w:rFonts w:ascii="Arial" w:cs="Arial" w:eastAsia="Arial" w:hAnsi="Arial"/>
                <w:sz w:val="22"/>
                <w:szCs w:val="22"/>
                <w:color w:val="auto"/>
                <w:w w:val="88"/>
              </w:rPr>
              <w:t>Counterparts...............</w:t>
            </w:r>
          </w:p>
        </w:tc>
        <w:tc>
          <w:tcPr>
            <w:tcW w:w="580" w:type="dxa"/>
            <w:vAlign w:val="bottom"/>
          </w:tcPr>
          <w:p>
            <w:pPr>
              <w:jc w:val="right"/>
              <w:ind w:right="52"/>
              <w:spacing w:after="0"/>
              <w:rPr>
                <w:sz w:val="20"/>
                <w:szCs w:val="20"/>
                <w:color w:val="auto"/>
              </w:rPr>
            </w:pPr>
            <w:r>
              <w:rPr>
                <w:rFonts w:ascii="Arial" w:cs="Arial" w:eastAsia="Arial" w:hAnsi="Arial"/>
                <w:sz w:val="22"/>
                <w:szCs w:val="22"/>
                <w:color w:val="auto"/>
              </w:rPr>
              <w:t>85</w:t>
            </w:r>
          </w:p>
        </w:tc>
        <w:tc>
          <w:tcPr>
            <w:tcW w:w="8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3"/>
        </w:trPr>
        <w:tc>
          <w:tcPr>
            <w:tcW w:w="720" w:type="dxa"/>
            <w:vAlign w:val="bottom"/>
          </w:tcPr>
          <w:p>
            <w:pPr>
              <w:ind w:left="340"/>
              <w:spacing w:after="0"/>
              <w:rPr>
                <w:sz w:val="20"/>
                <w:szCs w:val="20"/>
                <w:color w:val="auto"/>
              </w:rPr>
            </w:pPr>
            <w:r>
              <w:rPr>
                <w:rFonts w:ascii="Arial" w:cs="Arial" w:eastAsia="Arial" w:hAnsi="Arial"/>
                <w:sz w:val="22"/>
                <w:szCs w:val="22"/>
                <w:color w:val="auto"/>
                <w:w w:val="97"/>
              </w:rPr>
              <w:t>9.9.</w:t>
            </w:r>
          </w:p>
        </w:tc>
        <w:tc>
          <w:tcPr>
            <w:tcW w:w="2000" w:type="dxa"/>
            <w:vAlign w:val="bottom"/>
            <w:gridSpan w:val="3"/>
          </w:tcPr>
          <w:p>
            <w:pPr>
              <w:ind w:left="40"/>
              <w:spacing w:after="0"/>
              <w:rPr>
                <w:sz w:val="20"/>
                <w:szCs w:val="20"/>
                <w:color w:val="auto"/>
              </w:rPr>
            </w:pPr>
            <w:r>
              <w:rPr>
                <w:rFonts w:ascii="Arial" w:cs="Arial" w:eastAsia="Arial" w:hAnsi="Arial"/>
                <w:sz w:val="22"/>
                <w:szCs w:val="22"/>
                <w:color w:val="auto"/>
                <w:w w:val="94"/>
              </w:rPr>
              <w:t>Severability...............</w:t>
            </w:r>
          </w:p>
        </w:tc>
        <w:tc>
          <w:tcPr>
            <w:tcW w:w="580" w:type="dxa"/>
            <w:vAlign w:val="bottom"/>
          </w:tcPr>
          <w:p>
            <w:pPr>
              <w:jc w:val="right"/>
              <w:ind w:right="192"/>
              <w:spacing w:after="0"/>
              <w:rPr>
                <w:sz w:val="20"/>
                <w:szCs w:val="20"/>
                <w:color w:val="auto"/>
              </w:rPr>
            </w:pPr>
            <w:r>
              <w:rPr>
                <w:rFonts w:ascii="Arial" w:cs="Arial" w:eastAsia="Arial" w:hAnsi="Arial"/>
                <w:sz w:val="22"/>
                <w:szCs w:val="22"/>
                <w:color w:val="auto"/>
              </w:rPr>
              <w:t>85</w:t>
            </w:r>
          </w:p>
        </w:tc>
        <w:tc>
          <w:tcPr>
            <w:tcW w:w="8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54"/>
        </w:trPr>
        <w:tc>
          <w:tcPr>
            <w:tcW w:w="500" w:type="dxa"/>
            <w:vAlign w:val="bottom"/>
          </w:tcPr>
          <w:p>
            <w:pPr>
              <w:spacing w:after="0"/>
              <w:rPr>
                <w:sz w:val="20"/>
                <w:szCs w:val="20"/>
                <w:color w:val="auto"/>
              </w:rPr>
            </w:pPr>
            <w:r>
              <w:rPr>
                <w:rFonts w:ascii="Arial" w:cs="Arial" w:eastAsia="Arial" w:hAnsi="Arial"/>
                <w:sz w:val="22"/>
                <w:szCs w:val="22"/>
                <w:color w:val="auto"/>
                <w:w w:val="98"/>
              </w:rPr>
              <w:t>9.10.</w:t>
            </w:r>
          </w:p>
        </w:tc>
        <w:tc>
          <w:tcPr>
            <w:tcW w:w="1920" w:type="dxa"/>
            <w:vAlign w:val="bottom"/>
          </w:tcPr>
          <w:p>
            <w:pPr>
              <w:ind w:left="40"/>
              <w:spacing w:after="0"/>
              <w:rPr>
                <w:sz w:val="20"/>
                <w:szCs w:val="20"/>
                <w:color w:val="auto"/>
              </w:rPr>
            </w:pPr>
            <w:r>
              <w:rPr>
                <w:rFonts w:ascii="Arial" w:cs="Arial" w:eastAsia="Arial" w:hAnsi="Arial"/>
                <w:sz w:val="22"/>
                <w:szCs w:val="22"/>
                <w:color w:val="auto"/>
                <w:w w:val="95"/>
              </w:rPr>
              <w:t>Integration...............</w:t>
            </w:r>
          </w:p>
        </w:tc>
        <w:tc>
          <w:tcPr>
            <w:tcW w:w="1340" w:type="dxa"/>
            <w:vAlign w:val="bottom"/>
          </w:tcPr>
          <w:p>
            <w:pPr>
              <w:jc w:val="right"/>
              <w:ind w:right="952"/>
              <w:spacing w:after="0"/>
              <w:rPr>
                <w:sz w:val="20"/>
                <w:szCs w:val="20"/>
                <w:color w:val="auto"/>
              </w:rPr>
            </w:pPr>
            <w:r>
              <w:rPr>
                <w:rFonts w:ascii="Arial" w:cs="Arial" w:eastAsia="Arial" w:hAnsi="Arial"/>
                <w:sz w:val="22"/>
                <w:szCs w:val="22"/>
                <w:color w:val="auto"/>
              </w:rPr>
              <w:t>85</w:t>
            </w:r>
          </w:p>
        </w:tc>
        <w:tc>
          <w:tcPr>
            <w:tcW w:w="3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2420" w:type="dxa"/>
            <w:vAlign w:val="bottom"/>
            <w:gridSpan w:val="2"/>
          </w:tcPr>
          <w:p>
            <w:pPr>
              <w:spacing w:after="0"/>
              <w:rPr>
                <w:sz w:val="20"/>
                <w:szCs w:val="20"/>
                <w:color w:val="auto"/>
              </w:rPr>
            </w:pPr>
            <w:r>
              <w:rPr>
                <w:rFonts w:ascii="Arial" w:cs="Arial" w:eastAsia="Arial" w:hAnsi="Arial"/>
                <w:sz w:val="21"/>
                <w:szCs w:val="21"/>
                <w:color w:val="auto"/>
                <w:w w:val="72"/>
              </w:rPr>
              <w:t>9.11. GOVERNING LAW.................</w:t>
            </w:r>
          </w:p>
        </w:tc>
        <w:tc>
          <w:tcPr>
            <w:tcW w:w="1340" w:type="dxa"/>
            <w:vAlign w:val="bottom"/>
          </w:tcPr>
          <w:p>
            <w:pPr>
              <w:jc w:val="right"/>
              <w:ind w:right="52"/>
              <w:spacing w:after="0"/>
              <w:rPr>
                <w:sz w:val="20"/>
                <w:szCs w:val="20"/>
                <w:color w:val="auto"/>
              </w:rPr>
            </w:pPr>
            <w:r>
              <w:rPr>
                <w:rFonts w:ascii="Arial" w:cs="Arial" w:eastAsia="Arial" w:hAnsi="Arial"/>
                <w:sz w:val="22"/>
                <w:szCs w:val="22"/>
                <w:color w:val="auto"/>
              </w:rPr>
              <w:t>86</w:t>
            </w:r>
          </w:p>
        </w:tc>
        <w:tc>
          <w:tcPr>
            <w:tcW w:w="3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500" w:type="dxa"/>
            <w:vAlign w:val="bottom"/>
          </w:tcPr>
          <w:p>
            <w:pPr>
              <w:spacing w:after="0"/>
              <w:rPr>
                <w:sz w:val="20"/>
                <w:szCs w:val="20"/>
                <w:color w:val="auto"/>
              </w:rPr>
            </w:pPr>
            <w:r>
              <w:rPr>
                <w:rFonts w:ascii="Arial" w:cs="Arial" w:eastAsia="Arial" w:hAnsi="Arial"/>
                <w:sz w:val="22"/>
                <w:szCs w:val="22"/>
                <w:color w:val="auto"/>
                <w:w w:val="98"/>
              </w:rPr>
              <w:t>9.12.</w:t>
            </w:r>
          </w:p>
        </w:tc>
        <w:tc>
          <w:tcPr>
            <w:tcW w:w="3560" w:type="dxa"/>
            <w:vAlign w:val="bottom"/>
            <w:gridSpan w:val="3"/>
          </w:tcPr>
          <w:p>
            <w:pPr>
              <w:ind w:left="40"/>
              <w:spacing w:after="0"/>
              <w:rPr>
                <w:sz w:val="20"/>
                <w:szCs w:val="20"/>
                <w:color w:val="auto"/>
              </w:rPr>
            </w:pPr>
            <w:r>
              <w:rPr>
                <w:rFonts w:ascii="Arial" w:cs="Arial" w:eastAsia="Arial" w:hAnsi="Arial"/>
                <w:sz w:val="22"/>
                <w:szCs w:val="22"/>
                <w:color w:val="auto"/>
                <w:w w:val="78"/>
              </w:rPr>
              <w:t>Submission To Jurisdiction; Waivers...............</w:t>
            </w:r>
          </w:p>
        </w:tc>
        <w:tc>
          <w:tcPr>
            <w:tcW w:w="4420" w:type="dxa"/>
            <w:vAlign w:val="bottom"/>
          </w:tcPr>
          <w:p>
            <w:pPr>
              <w:jc w:val="right"/>
              <w:ind w:right="3272"/>
              <w:spacing w:after="0"/>
              <w:rPr>
                <w:sz w:val="20"/>
                <w:szCs w:val="20"/>
                <w:color w:val="auto"/>
              </w:rPr>
            </w:pPr>
            <w:r>
              <w:rPr>
                <w:rFonts w:ascii="Arial" w:cs="Arial" w:eastAsia="Arial" w:hAnsi="Arial"/>
                <w:sz w:val="22"/>
                <w:szCs w:val="22"/>
                <w:color w:val="auto"/>
              </w:rPr>
              <w:t>86</w:t>
            </w:r>
          </w:p>
        </w:tc>
        <w:tc>
          <w:tcPr>
            <w:tcW w:w="240" w:type="dxa"/>
            <w:vAlign w:val="bottom"/>
          </w:tcPr>
          <w:p>
            <w:pPr>
              <w:spacing w:after="0"/>
              <w:rPr>
                <w:sz w:val="22"/>
                <w:szCs w:val="22"/>
                <w:color w:val="auto"/>
              </w:rPr>
            </w:pPr>
          </w:p>
        </w:tc>
      </w:tr>
      <w:tr>
        <w:trPr>
          <w:trHeight w:val="257"/>
        </w:trPr>
        <w:tc>
          <w:tcPr>
            <w:tcW w:w="2420" w:type="dxa"/>
            <w:vAlign w:val="bottom"/>
            <w:gridSpan w:val="2"/>
          </w:tcPr>
          <w:p>
            <w:pPr>
              <w:spacing w:after="0"/>
              <w:rPr>
                <w:sz w:val="20"/>
                <w:szCs w:val="20"/>
                <w:color w:val="auto"/>
              </w:rPr>
            </w:pPr>
            <w:r>
              <w:rPr>
                <w:rFonts w:ascii="Arial" w:cs="Arial" w:eastAsia="Arial" w:hAnsi="Arial"/>
                <w:sz w:val="22"/>
                <w:szCs w:val="22"/>
                <w:color w:val="auto"/>
                <w:w w:val="71"/>
              </w:rPr>
              <w:t>9.13. Acknowledgements...............</w:t>
            </w:r>
          </w:p>
        </w:tc>
        <w:tc>
          <w:tcPr>
            <w:tcW w:w="1340" w:type="dxa"/>
            <w:vAlign w:val="bottom"/>
          </w:tcPr>
          <w:p>
            <w:pPr>
              <w:jc w:val="right"/>
              <w:ind w:right="112"/>
              <w:spacing w:after="0"/>
              <w:rPr>
                <w:sz w:val="20"/>
                <w:szCs w:val="20"/>
                <w:color w:val="auto"/>
              </w:rPr>
            </w:pPr>
            <w:r>
              <w:rPr>
                <w:rFonts w:ascii="Arial" w:cs="Arial" w:eastAsia="Arial" w:hAnsi="Arial"/>
                <w:sz w:val="22"/>
                <w:szCs w:val="22"/>
                <w:color w:val="auto"/>
              </w:rPr>
              <w:t>86</w:t>
            </w:r>
          </w:p>
        </w:tc>
        <w:tc>
          <w:tcPr>
            <w:tcW w:w="3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color w:val="auto"/>
                <w:w w:val="98"/>
              </w:rPr>
              <w:t>9.14.</w:t>
            </w:r>
          </w:p>
        </w:tc>
        <w:tc>
          <w:tcPr>
            <w:tcW w:w="3560" w:type="dxa"/>
            <w:vAlign w:val="bottom"/>
            <w:gridSpan w:val="3"/>
          </w:tcPr>
          <w:p>
            <w:pPr>
              <w:ind w:left="40"/>
              <w:spacing w:after="0"/>
              <w:rPr>
                <w:sz w:val="20"/>
                <w:szCs w:val="20"/>
                <w:color w:val="auto"/>
              </w:rPr>
            </w:pPr>
            <w:r>
              <w:rPr>
                <w:rFonts w:ascii="Arial" w:cs="Arial" w:eastAsia="Arial" w:hAnsi="Arial"/>
                <w:sz w:val="22"/>
                <w:szCs w:val="22"/>
                <w:color w:val="auto"/>
                <w:w w:val="80"/>
              </w:rPr>
              <w:t>Guarantors; Release of Guarantors...............</w:t>
            </w:r>
          </w:p>
        </w:tc>
        <w:tc>
          <w:tcPr>
            <w:tcW w:w="4420" w:type="dxa"/>
            <w:vAlign w:val="bottom"/>
          </w:tcPr>
          <w:p>
            <w:pPr>
              <w:jc w:val="right"/>
              <w:ind w:right="3332"/>
              <w:spacing w:after="0"/>
              <w:rPr>
                <w:sz w:val="20"/>
                <w:szCs w:val="20"/>
                <w:color w:val="auto"/>
              </w:rPr>
            </w:pPr>
            <w:r>
              <w:rPr>
                <w:rFonts w:ascii="Arial" w:cs="Arial" w:eastAsia="Arial" w:hAnsi="Arial"/>
                <w:sz w:val="22"/>
                <w:szCs w:val="22"/>
                <w:color w:val="auto"/>
              </w:rPr>
              <w:t>86</w:t>
            </w:r>
          </w:p>
        </w:tc>
        <w:tc>
          <w:tcPr>
            <w:tcW w:w="240" w:type="dxa"/>
            <w:vAlign w:val="bottom"/>
          </w:tcPr>
          <w:p>
            <w:pPr>
              <w:spacing w:after="0"/>
              <w:rPr>
                <w:sz w:val="22"/>
                <w:szCs w:val="22"/>
                <w:color w:val="auto"/>
              </w:rPr>
            </w:pPr>
          </w:p>
        </w:tc>
      </w:tr>
      <w:tr>
        <w:trPr>
          <w:trHeight w:val="270"/>
        </w:trPr>
        <w:tc>
          <w:tcPr>
            <w:tcW w:w="500" w:type="dxa"/>
            <w:vAlign w:val="bottom"/>
          </w:tcPr>
          <w:p>
            <w:pPr>
              <w:spacing w:after="0"/>
              <w:rPr>
                <w:sz w:val="20"/>
                <w:szCs w:val="20"/>
                <w:color w:val="auto"/>
              </w:rPr>
            </w:pPr>
            <w:r>
              <w:rPr>
                <w:rFonts w:ascii="Arial" w:cs="Arial" w:eastAsia="Arial" w:hAnsi="Arial"/>
                <w:sz w:val="22"/>
                <w:szCs w:val="22"/>
                <w:color w:val="auto"/>
                <w:w w:val="98"/>
              </w:rPr>
              <w:t>9.15.</w:t>
            </w:r>
          </w:p>
        </w:tc>
        <w:tc>
          <w:tcPr>
            <w:tcW w:w="1920" w:type="dxa"/>
            <w:vAlign w:val="bottom"/>
          </w:tcPr>
          <w:p>
            <w:pPr>
              <w:ind w:left="40"/>
              <w:spacing w:after="0"/>
              <w:rPr>
                <w:sz w:val="20"/>
                <w:szCs w:val="20"/>
                <w:color w:val="auto"/>
              </w:rPr>
            </w:pPr>
            <w:r>
              <w:rPr>
                <w:rFonts w:ascii="Arial" w:cs="Arial" w:eastAsia="Arial" w:hAnsi="Arial"/>
                <w:sz w:val="22"/>
                <w:szCs w:val="22"/>
                <w:color w:val="auto"/>
                <w:w w:val="80"/>
              </w:rPr>
              <w:t>Confidentiality...............</w:t>
            </w:r>
          </w:p>
        </w:tc>
        <w:tc>
          <w:tcPr>
            <w:tcW w:w="1340" w:type="dxa"/>
            <w:vAlign w:val="bottom"/>
          </w:tcPr>
          <w:p>
            <w:pPr>
              <w:jc w:val="right"/>
              <w:ind w:right="632"/>
              <w:spacing w:after="0"/>
              <w:rPr>
                <w:sz w:val="20"/>
                <w:szCs w:val="20"/>
                <w:color w:val="auto"/>
              </w:rPr>
            </w:pPr>
            <w:r>
              <w:rPr>
                <w:rFonts w:ascii="Arial" w:cs="Arial" w:eastAsia="Arial" w:hAnsi="Arial"/>
                <w:sz w:val="22"/>
                <w:szCs w:val="22"/>
                <w:color w:val="auto"/>
              </w:rPr>
              <w:t>87</w:t>
            </w:r>
          </w:p>
        </w:tc>
        <w:tc>
          <w:tcPr>
            <w:tcW w:w="30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6"/>
        </w:trPr>
        <w:tc>
          <w:tcPr>
            <w:tcW w:w="4060" w:type="dxa"/>
            <w:vAlign w:val="bottom"/>
            <w:gridSpan w:val="4"/>
          </w:tcPr>
          <w:p>
            <w:pPr>
              <w:spacing w:after="0"/>
              <w:rPr>
                <w:sz w:val="20"/>
                <w:szCs w:val="20"/>
                <w:color w:val="auto"/>
              </w:rPr>
            </w:pPr>
            <w:r>
              <w:rPr>
                <w:rFonts w:ascii="Arial" w:cs="Arial" w:eastAsia="Arial" w:hAnsi="Arial"/>
                <w:sz w:val="22"/>
                <w:szCs w:val="22"/>
                <w:color w:val="auto"/>
                <w:w w:val="96"/>
              </w:rPr>
              <w:t>9.16. WAIVERS OF JURY TRIAL...............</w:t>
            </w:r>
          </w:p>
        </w:tc>
        <w:tc>
          <w:tcPr>
            <w:tcW w:w="4420" w:type="dxa"/>
            <w:vAlign w:val="bottom"/>
          </w:tcPr>
          <w:p>
            <w:pPr>
              <w:jc w:val="right"/>
              <w:ind w:right="4072"/>
              <w:spacing w:after="0"/>
              <w:rPr>
                <w:sz w:val="20"/>
                <w:szCs w:val="20"/>
                <w:color w:val="auto"/>
              </w:rPr>
            </w:pPr>
            <w:r>
              <w:rPr>
                <w:rFonts w:ascii="Arial" w:cs="Arial" w:eastAsia="Arial" w:hAnsi="Arial"/>
                <w:sz w:val="22"/>
                <w:szCs w:val="22"/>
                <w:color w:val="auto"/>
                <w:w w:val="89"/>
              </w:rPr>
              <w:t>88</w:t>
            </w:r>
          </w:p>
        </w:tc>
        <w:tc>
          <w:tcPr>
            <w:tcW w:w="240" w:type="dxa"/>
            <w:vAlign w:val="bottom"/>
          </w:tcPr>
          <w:p>
            <w:pPr>
              <w:spacing w:after="0"/>
              <w:rPr>
                <w:sz w:val="22"/>
                <w:szCs w:val="22"/>
                <w:color w:val="auto"/>
              </w:rPr>
            </w:pPr>
          </w:p>
        </w:tc>
      </w:tr>
      <w:tr>
        <w:trPr>
          <w:trHeight w:val="257"/>
        </w:trPr>
        <w:tc>
          <w:tcPr>
            <w:tcW w:w="500" w:type="dxa"/>
            <w:vAlign w:val="bottom"/>
          </w:tcPr>
          <w:p>
            <w:pPr>
              <w:spacing w:after="0"/>
              <w:rPr>
                <w:sz w:val="20"/>
                <w:szCs w:val="20"/>
                <w:color w:val="auto"/>
              </w:rPr>
            </w:pPr>
            <w:r>
              <w:rPr>
                <w:rFonts w:ascii="Arial" w:cs="Arial" w:eastAsia="Arial" w:hAnsi="Arial"/>
                <w:sz w:val="22"/>
                <w:szCs w:val="22"/>
                <w:color w:val="auto"/>
                <w:w w:val="98"/>
              </w:rPr>
              <w:t>9.17.</w:t>
            </w:r>
          </w:p>
        </w:tc>
        <w:tc>
          <w:tcPr>
            <w:tcW w:w="1920" w:type="dxa"/>
            <w:vAlign w:val="bottom"/>
          </w:tcPr>
          <w:p>
            <w:pPr>
              <w:ind w:left="40"/>
              <w:spacing w:after="0"/>
              <w:rPr>
                <w:sz w:val="20"/>
                <w:szCs w:val="20"/>
                <w:color w:val="auto"/>
              </w:rPr>
            </w:pPr>
            <w:r>
              <w:rPr>
                <w:rFonts w:ascii="Arial" w:cs="Arial" w:eastAsia="Arial" w:hAnsi="Arial"/>
                <w:sz w:val="22"/>
                <w:szCs w:val="22"/>
                <w:color w:val="auto"/>
                <w:w w:val="96"/>
              </w:rPr>
              <w:t>Patriot Act...............</w:t>
            </w:r>
          </w:p>
        </w:tc>
        <w:tc>
          <w:tcPr>
            <w:tcW w:w="1340" w:type="dxa"/>
            <w:vAlign w:val="bottom"/>
          </w:tcPr>
          <w:p>
            <w:pPr>
              <w:jc w:val="right"/>
              <w:ind w:right="992"/>
              <w:spacing w:after="0"/>
              <w:rPr>
                <w:sz w:val="20"/>
                <w:szCs w:val="20"/>
                <w:color w:val="auto"/>
              </w:rPr>
            </w:pPr>
            <w:r>
              <w:rPr>
                <w:rFonts w:ascii="Arial" w:cs="Arial" w:eastAsia="Arial" w:hAnsi="Arial"/>
                <w:sz w:val="22"/>
                <w:szCs w:val="22"/>
                <w:color w:val="auto"/>
                <w:w w:val="89"/>
              </w:rPr>
              <w:t>88</w:t>
            </w:r>
          </w:p>
        </w:tc>
        <w:tc>
          <w:tcPr>
            <w:tcW w:w="3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500" w:type="dxa"/>
            <w:vAlign w:val="bottom"/>
          </w:tcPr>
          <w:p>
            <w:pPr>
              <w:spacing w:after="0"/>
              <w:rPr>
                <w:sz w:val="20"/>
                <w:szCs w:val="20"/>
                <w:color w:val="auto"/>
              </w:rPr>
            </w:pPr>
            <w:r>
              <w:rPr>
                <w:rFonts w:ascii="Arial" w:cs="Arial" w:eastAsia="Arial" w:hAnsi="Arial"/>
                <w:sz w:val="22"/>
                <w:szCs w:val="22"/>
                <w:color w:val="auto"/>
                <w:w w:val="98"/>
              </w:rPr>
              <w:t>9.18.</w:t>
            </w:r>
          </w:p>
        </w:tc>
        <w:tc>
          <w:tcPr>
            <w:tcW w:w="1920" w:type="dxa"/>
            <w:vAlign w:val="bottom"/>
          </w:tcPr>
          <w:p>
            <w:pPr>
              <w:ind w:left="40"/>
              <w:spacing w:after="0"/>
              <w:rPr>
                <w:sz w:val="20"/>
                <w:szCs w:val="20"/>
                <w:color w:val="auto"/>
              </w:rPr>
            </w:pPr>
            <w:r>
              <w:rPr>
                <w:rFonts w:ascii="Arial" w:cs="Arial" w:eastAsia="Arial" w:hAnsi="Arial"/>
                <w:sz w:val="21"/>
                <w:szCs w:val="21"/>
                <w:color w:val="auto"/>
                <w:w w:val="73"/>
              </w:rPr>
              <w:t>No Fiduciary Duty...............</w:t>
            </w:r>
          </w:p>
        </w:tc>
        <w:tc>
          <w:tcPr>
            <w:tcW w:w="1340" w:type="dxa"/>
            <w:vAlign w:val="bottom"/>
          </w:tcPr>
          <w:p>
            <w:pPr>
              <w:jc w:val="right"/>
              <w:ind w:right="272"/>
              <w:spacing w:after="0"/>
              <w:rPr>
                <w:sz w:val="20"/>
                <w:szCs w:val="20"/>
                <w:color w:val="auto"/>
              </w:rPr>
            </w:pPr>
            <w:r>
              <w:rPr>
                <w:rFonts w:ascii="Arial" w:cs="Arial" w:eastAsia="Arial" w:hAnsi="Arial"/>
                <w:sz w:val="22"/>
                <w:szCs w:val="22"/>
                <w:color w:val="auto"/>
              </w:rPr>
              <w:t>89</w:t>
            </w:r>
          </w:p>
        </w:tc>
        <w:tc>
          <w:tcPr>
            <w:tcW w:w="30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8480" w:type="dxa"/>
            <w:vAlign w:val="bottom"/>
            <w:gridSpan w:val="5"/>
          </w:tcPr>
          <w:p>
            <w:pPr>
              <w:spacing w:after="0"/>
              <w:rPr>
                <w:sz w:val="20"/>
                <w:szCs w:val="20"/>
                <w:color w:val="auto"/>
              </w:rPr>
            </w:pPr>
            <w:r>
              <w:rPr>
                <w:rFonts w:ascii="Arial" w:cs="Arial" w:eastAsia="Arial" w:hAnsi="Arial"/>
                <w:sz w:val="22"/>
                <w:szCs w:val="22"/>
                <w:color w:val="auto"/>
                <w:w w:val="97"/>
              </w:rPr>
              <w:t>9.19. Acknowledgement and Consent to Bail-In of Affected Financial Institutions...............</w:t>
            </w:r>
          </w:p>
        </w:tc>
        <w:tc>
          <w:tcPr>
            <w:tcW w:w="240" w:type="dxa"/>
            <w:vAlign w:val="bottom"/>
          </w:tcPr>
          <w:p>
            <w:pPr>
              <w:jc w:val="right"/>
              <w:spacing w:after="0"/>
              <w:rPr>
                <w:sz w:val="20"/>
                <w:szCs w:val="20"/>
                <w:color w:val="auto"/>
              </w:rPr>
            </w:pPr>
            <w:r>
              <w:rPr>
                <w:rFonts w:ascii="Arial" w:cs="Arial" w:eastAsia="Arial" w:hAnsi="Arial"/>
                <w:sz w:val="22"/>
                <w:szCs w:val="22"/>
                <w:color w:val="auto"/>
                <w:w w:val="89"/>
              </w:rPr>
              <w:t>89</w:t>
            </w:r>
          </w:p>
        </w:tc>
      </w:tr>
      <w:tr>
        <w:trPr>
          <w:trHeight w:val="256"/>
        </w:trPr>
        <w:tc>
          <w:tcPr>
            <w:tcW w:w="500" w:type="dxa"/>
            <w:vAlign w:val="bottom"/>
          </w:tcPr>
          <w:p>
            <w:pPr>
              <w:spacing w:after="0"/>
              <w:rPr>
                <w:sz w:val="20"/>
                <w:szCs w:val="20"/>
                <w:color w:val="auto"/>
              </w:rPr>
            </w:pPr>
            <w:r>
              <w:rPr>
                <w:rFonts w:ascii="Arial" w:cs="Arial" w:eastAsia="Arial" w:hAnsi="Arial"/>
                <w:sz w:val="22"/>
                <w:szCs w:val="22"/>
                <w:color w:val="auto"/>
                <w:w w:val="98"/>
              </w:rPr>
              <w:t>9.20.</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w w:val="97"/>
              </w:rPr>
              <w:t>Interest Rate Limitations...............</w:t>
            </w:r>
          </w:p>
        </w:tc>
        <w:tc>
          <w:tcPr>
            <w:tcW w:w="300" w:type="dxa"/>
            <w:vAlign w:val="bottom"/>
          </w:tcPr>
          <w:p>
            <w:pPr>
              <w:jc w:val="right"/>
              <w:spacing w:after="0"/>
              <w:rPr>
                <w:sz w:val="20"/>
                <w:szCs w:val="20"/>
                <w:color w:val="auto"/>
              </w:rPr>
            </w:pPr>
            <w:r>
              <w:rPr>
                <w:rFonts w:ascii="Arial" w:cs="Arial" w:eastAsia="Arial" w:hAnsi="Arial"/>
                <w:sz w:val="22"/>
                <w:szCs w:val="22"/>
                <w:color w:val="auto"/>
                <w:w w:val="89"/>
              </w:rPr>
              <w:t>90</w:t>
            </w:r>
          </w:p>
        </w:tc>
        <w:tc>
          <w:tcPr>
            <w:tcW w:w="44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75"/>
        </w:trPr>
        <w:tc>
          <w:tcPr>
            <w:tcW w:w="500" w:type="dxa"/>
            <w:vAlign w:val="bottom"/>
          </w:tcPr>
          <w:p>
            <w:pPr>
              <w:spacing w:after="0"/>
              <w:rPr>
                <w:sz w:val="20"/>
                <w:szCs w:val="20"/>
                <w:color w:val="auto"/>
              </w:rPr>
            </w:pPr>
            <w:r>
              <w:rPr>
                <w:rFonts w:ascii="Arial" w:cs="Arial" w:eastAsia="Arial" w:hAnsi="Arial"/>
                <w:sz w:val="22"/>
                <w:szCs w:val="22"/>
                <w:color w:val="auto"/>
                <w:w w:val="98"/>
              </w:rPr>
              <w:t>9.21.</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w w:val="92"/>
              </w:rPr>
              <w:t>Existing Credit Agreement...............</w:t>
            </w:r>
          </w:p>
        </w:tc>
        <w:tc>
          <w:tcPr>
            <w:tcW w:w="4720" w:type="dxa"/>
            <w:vAlign w:val="bottom"/>
            <w:gridSpan w:val="2"/>
          </w:tcPr>
          <w:p>
            <w:pPr>
              <w:jc w:val="right"/>
              <w:ind w:right="4192"/>
              <w:spacing w:after="0"/>
              <w:rPr>
                <w:sz w:val="20"/>
                <w:szCs w:val="20"/>
                <w:color w:val="auto"/>
              </w:rPr>
            </w:pPr>
            <w:r>
              <w:rPr>
                <w:rFonts w:ascii="Arial" w:cs="Arial" w:eastAsia="Arial" w:hAnsi="Arial"/>
                <w:sz w:val="22"/>
                <w:szCs w:val="22"/>
                <w:color w:val="auto"/>
              </w:rPr>
              <w:t>90</w:t>
            </w:r>
          </w:p>
        </w:tc>
        <w:tc>
          <w:tcPr>
            <w:tcW w:w="240" w:type="dxa"/>
            <w:vAlign w:val="bottom"/>
          </w:tcPr>
          <w:p>
            <w:pPr>
              <w:spacing w:after="0"/>
              <w:rPr>
                <w:sz w:val="23"/>
                <w:szCs w:val="23"/>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4"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20"/>
          <w:szCs w:val="20"/>
          <w:color w:val="auto"/>
        </w:rPr>
        <w:t>Schedule 1.1</w:t>
      </w:r>
      <w:r>
        <w:rPr>
          <w:sz w:val="20"/>
          <w:szCs w:val="20"/>
          <w:color w:val="auto"/>
        </w:rPr>
        <w:tab/>
      </w:r>
      <w:r>
        <w:rPr>
          <w:rFonts w:ascii="Arial" w:cs="Arial" w:eastAsia="Arial" w:hAnsi="Arial"/>
          <w:sz w:val="19"/>
          <w:szCs w:val="19"/>
          <w:color w:val="auto"/>
        </w:rPr>
        <w:t>Revolving Commitment Amounts</w:t>
      </w:r>
    </w:p>
    <w:p>
      <w:pPr>
        <w:spacing w:after="0" w:line="7"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20"/>
          <w:szCs w:val="20"/>
          <w:color w:val="auto"/>
        </w:rPr>
        <w:t>Schedule 1.2</w:t>
      </w:r>
      <w:r>
        <w:rPr>
          <w:sz w:val="20"/>
          <w:szCs w:val="20"/>
          <w:color w:val="auto"/>
        </w:rPr>
        <w:tab/>
      </w:r>
      <w:r>
        <w:rPr>
          <w:rFonts w:ascii="Arial" w:cs="Arial" w:eastAsia="Arial" w:hAnsi="Arial"/>
          <w:sz w:val="19"/>
          <w:szCs w:val="19"/>
          <w:color w:val="auto"/>
        </w:rPr>
        <w:t>Unrestricted Subsidiaries</w:t>
      </w:r>
    </w:p>
    <w:p>
      <w:pPr>
        <w:spacing w:after="0" w:line="5"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20"/>
          <w:szCs w:val="20"/>
          <w:color w:val="auto"/>
        </w:rPr>
        <w:t>Schedule 1.3</w:t>
      </w:r>
      <w:r>
        <w:rPr>
          <w:sz w:val="20"/>
          <w:szCs w:val="20"/>
          <w:color w:val="auto"/>
        </w:rPr>
        <w:tab/>
      </w:r>
      <w:r>
        <w:rPr>
          <w:rFonts w:ascii="Arial" w:cs="Arial" w:eastAsia="Arial" w:hAnsi="Arial"/>
          <w:sz w:val="19"/>
          <w:szCs w:val="19"/>
          <w:color w:val="auto"/>
        </w:rPr>
        <w:t>Sustainability Performance Thresholds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37" w:lineRule="exact"/>
        <w:rPr>
          <w:sz w:val="20"/>
          <w:szCs w:val="20"/>
          <w:color w:val="auto"/>
        </w:rPr>
      </w:pPr>
    </w:p>
    <w:p>
      <w:pPr>
        <w:ind w:left="580"/>
        <w:spacing w:after="0"/>
        <w:tabs>
          <w:tab w:leader="none" w:pos="17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9"/>
          <w:szCs w:val="19"/>
          <w:color w:val="auto"/>
        </w:rPr>
        <w:t>Form of Closing Certificate for the Borrower</w:t>
      </w:r>
    </w:p>
    <w:p>
      <w:pPr>
        <w:ind w:left="580"/>
        <w:spacing w:after="0"/>
        <w:tabs>
          <w:tab w:leader="none" w:pos="178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9"/>
          <w:szCs w:val="19"/>
          <w:color w:val="auto"/>
        </w:rPr>
        <w:t>Form of Borrowing Request</w:t>
      </w:r>
    </w:p>
    <w:p>
      <w:pPr>
        <w:spacing w:after="0" w:line="7"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9"/>
          <w:szCs w:val="19"/>
          <w:color w:val="auto"/>
        </w:rPr>
        <w:t>Form of Compliance Certificate</w:t>
      </w:r>
    </w:p>
    <w:p>
      <w:pPr>
        <w:spacing w:after="0" w:line="5" w:lineRule="exact"/>
        <w:rPr>
          <w:sz w:val="20"/>
          <w:szCs w:val="20"/>
          <w:color w:val="auto"/>
        </w:rPr>
      </w:pPr>
    </w:p>
    <w:p>
      <w:pPr>
        <w:ind w:left="580"/>
        <w:spacing w:after="0"/>
        <w:tabs>
          <w:tab w:leader="none" w:pos="1780" w:val="left"/>
        </w:tabs>
        <w:rPr>
          <w:sz w:val="20"/>
          <w:szCs w:val="20"/>
          <w:color w:val="auto"/>
        </w:rPr>
      </w:pPr>
      <w:r>
        <w:rPr>
          <w:rFonts w:ascii="Arial" w:cs="Arial" w:eastAsia="Arial" w:hAnsi="Arial"/>
          <w:sz w:val="20"/>
          <w:szCs w:val="20"/>
          <w:color w:val="auto"/>
        </w:rPr>
        <w:t>Exhibit D</w:t>
      </w:r>
      <w:r>
        <w:rPr>
          <w:sz w:val="20"/>
          <w:szCs w:val="20"/>
          <w:color w:val="auto"/>
        </w:rPr>
        <w:tab/>
      </w:r>
      <w:r>
        <w:rPr>
          <w:rFonts w:ascii="Arial" w:cs="Arial" w:eastAsia="Arial" w:hAnsi="Arial"/>
          <w:sz w:val="19"/>
          <w:szCs w:val="19"/>
          <w:color w:val="auto"/>
        </w:rPr>
        <w:t>Form of Assignment and Acceptance</w:t>
      </w:r>
    </w:p>
    <w:p>
      <w:pPr>
        <w:spacing w:after="0" w:line="7" w:lineRule="exact"/>
        <w:rPr>
          <w:sz w:val="20"/>
          <w:szCs w:val="20"/>
          <w:color w:val="auto"/>
        </w:rPr>
      </w:pPr>
    </w:p>
    <w:p>
      <w:pPr>
        <w:ind w:left="580"/>
        <w:spacing w:after="0"/>
        <w:tabs>
          <w:tab w:leader="none" w:pos="1960" w:val="left"/>
        </w:tabs>
        <w:rPr>
          <w:sz w:val="20"/>
          <w:szCs w:val="20"/>
          <w:color w:val="auto"/>
        </w:rPr>
      </w:pPr>
      <w:r>
        <w:rPr>
          <w:rFonts w:ascii="Arial" w:cs="Arial" w:eastAsia="Arial" w:hAnsi="Arial"/>
          <w:sz w:val="20"/>
          <w:szCs w:val="20"/>
          <w:color w:val="auto"/>
        </w:rPr>
        <w:t>Exhibit E-1</w:t>
      </w:r>
      <w:r>
        <w:rPr>
          <w:sz w:val="20"/>
          <w:szCs w:val="20"/>
          <w:color w:val="auto"/>
        </w:rPr>
        <w:tab/>
      </w:r>
      <w:r>
        <w:rPr>
          <w:rFonts w:ascii="Arial" w:cs="Arial" w:eastAsia="Arial" w:hAnsi="Arial"/>
          <w:sz w:val="19"/>
          <w:szCs w:val="19"/>
          <w:color w:val="auto"/>
        </w:rPr>
        <w:t>Form of United States Tax Compliance Certificate (For Non-U.S.</w:t>
      </w:r>
    </w:p>
    <w:p>
      <w:pPr>
        <w:sectPr>
          <w:pgSz w:w="11900" w:h="16838" w:orient="portrait"/>
          <w:cols w:equalWidth="0" w:num="1">
            <w:col w:w="10139"/>
          </w:cols>
          <w:pgMar w:left="320" w:top="1427" w:right="1440" w:bottom="1440" w:gutter="0" w:footer="0" w:header="0"/>
        </w:sectPr>
      </w:pPr>
    </w:p>
    <w:bookmarkStart w:id="74" w:name="page75"/>
    <w:bookmarkEnd w:id="74"/>
    <w:p>
      <w:pPr>
        <w:ind w:left="1940"/>
        <w:spacing w:after="0"/>
        <w:rPr>
          <w:sz w:val="20"/>
          <w:szCs w:val="20"/>
          <w:color w:val="auto"/>
        </w:rPr>
      </w:pPr>
      <w:r>
        <w:rPr>
          <w:rFonts w:ascii="Arial" w:cs="Arial" w:eastAsia="Arial" w:hAnsi="Arial"/>
          <w:sz w:val="20"/>
          <w:szCs w:val="20"/>
          <w:color w:val="auto"/>
        </w:rPr>
        <w:t>Lenders That Are Not Partnerships For U.S. Federal Income Tax Purposes)</w:t>
      </w:r>
    </w:p>
    <w:p>
      <w:pPr>
        <w:spacing w:after="0" w:line="21"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Exhibit E-2</w:t>
      </w:r>
      <w:r>
        <w:rPr>
          <w:sz w:val="20"/>
          <w:szCs w:val="20"/>
          <w:color w:val="auto"/>
        </w:rPr>
        <w:tab/>
      </w:r>
      <w:r>
        <w:rPr>
          <w:rFonts w:ascii="Arial" w:cs="Arial" w:eastAsia="Arial" w:hAnsi="Arial"/>
          <w:sz w:val="19"/>
          <w:szCs w:val="19"/>
          <w:color w:val="auto"/>
        </w:rPr>
        <w:t>Form of United States Tax Compliance Certificate (For Non-U.S.</w:t>
      </w:r>
    </w:p>
    <w:p>
      <w:pPr>
        <w:spacing w:after="0" w:line="5"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Lenders That Are Partnerships For U.S. Federal Income Tax Purposes)</w:t>
      </w:r>
    </w:p>
    <w:p>
      <w:pPr>
        <w:spacing w:after="0" w:line="7"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Exhibit E-3</w:t>
      </w:r>
      <w:r>
        <w:rPr>
          <w:sz w:val="20"/>
          <w:szCs w:val="20"/>
          <w:color w:val="auto"/>
        </w:rPr>
        <w:tab/>
      </w:r>
      <w:r>
        <w:rPr>
          <w:rFonts w:ascii="Arial" w:cs="Arial" w:eastAsia="Arial" w:hAnsi="Arial"/>
          <w:sz w:val="19"/>
          <w:szCs w:val="19"/>
          <w:color w:val="auto"/>
        </w:rPr>
        <w:t>Form of United States Tax Compliance Certificate (For Non-U.S.</w:t>
      </w:r>
    </w:p>
    <w:p>
      <w:pPr>
        <w:spacing w:after="0" w:line="5"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Participants That Are Not Partnerships For U.S. Federal Income Tax Purposes)</w:t>
      </w:r>
    </w:p>
    <w:p>
      <w:pPr>
        <w:spacing w:after="0" w:line="19" w:lineRule="exact"/>
        <w:rPr>
          <w:sz w:val="20"/>
          <w:szCs w:val="20"/>
          <w:color w:val="auto"/>
        </w:rPr>
      </w:pPr>
    </w:p>
    <w:p>
      <w:pPr>
        <w:spacing w:after="0"/>
        <w:tabs>
          <w:tab w:leader="none" w:pos="1380" w:val="left"/>
        </w:tabs>
        <w:rPr>
          <w:sz w:val="20"/>
          <w:szCs w:val="20"/>
          <w:color w:val="auto"/>
        </w:rPr>
      </w:pPr>
      <w:r>
        <w:rPr>
          <w:rFonts w:ascii="Arial" w:cs="Arial" w:eastAsia="Arial" w:hAnsi="Arial"/>
          <w:sz w:val="20"/>
          <w:szCs w:val="20"/>
          <w:color w:val="auto"/>
        </w:rPr>
        <w:t>Exhibit E-4</w:t>
      </w:r>
      <w:r>
        <w:rPr>
          <w:sz w:val="20"/>
          <w:szCs w:val="20"/>
          <w:color w:val="auto"/>
        </w:rPr>
        <w:tab/>
      </w:r>
      <w:r>
        <w:rPr>
          <w:rFonts w:ascii="Arial" w:cs="Arial" w:eastAsia="Arial" w:hAnsi="Arial"/>
          <w:sz w:val="19"/>
          <w:szCs w:val="19"/>
          <w:color w:val="auto"/>
        </w:rPr>
        <w:t>Form of United States Tax Compliance Certificate (For Non-U.S.</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Participants That Are Partnerships For U.S. Federal Income Tax Purposes)</w:t>
      </w:r>
    </w:p>
    <w:p>
      <w:pPr>
        <w:spacing w:after="0" w:line="5"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Exhibit F</w:t>
      </w:r>
      <w:r>
        <w:rPr>
          <w:sz w:val="20"/>
          <w:szCs w:val="20"/>
          <w:color w:val="auto"/>
        </w:rPr>
        <w:tab/>
      </w:r>
      <w:r>
        <w:rPr>
          <w:rFonts w:ascii="Arial" w:cs="Arial" w:eastAsia="Arial" w:hAnsi="Arial"/>
          <w:sz w:val="19"/>
          <w:szCs w:val="19"/>
          <w:color w:val="auto"/>
        </w:rPr>
        <w:t>Form of Notice of Continuation/Conversion</w:t>
      </w:r>
    </w:p>
    <w:p>
      <w:pPr>
        <w:spacing w:after="0" w:line="7"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color w:val="auto"/>
        </w:rPr>
        <w:t>Exhibit G</w:t>
      </w:r>
      <w:r>
        <w:rPr>
          <w:sz w:val="20"/>
          <w:szCs w:val="20"/>
          <w:color w:val="auto"/>
        </w:rPr>
        <w:tab/>
      </w:r>
      <w:r>
        <w:rPr>
          <w:rFonts w:ascii="Arial" w:cs="Arial" w:eastAsia="Arial" w:hAnsi="Arial"/>
          <w:sz w:val="19"/>
          <w:szCs w:val="19"/>
          <w:color w:val="auto"/>
        </w:rPr>
        <w:t>Form of Acceptance and Prepayment Notice</w:t>
      </w:r>
    </w:p>
    <w:p>
      <w:pPr>
        <w:spacing w:after="0" w:line="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color w:val="auto"/>
        </w:rPr>
        <w:t>Exhibit H</w:t>
      </w:r>
      <w:r>
        <w:rPr>
          <w:sz w:val="20"/>
          <w:szCs w:val="20"/>
          <w:color w:val="auto"/>
        </w:rPr>
        <w:tab/>
      </w:r>
      <w:r>
        <w:rPr>
          <w:rFonts w:ascii="Arial" w:cs="Arial" w:eastAsia="Arial" w:hAnsi="Arial"/>
          <w:sz w:val="19"/>
          <w:szCs w:val="19"/>
          <w:color w:val="auto"/>
        </w:rPr>
        <w:t>Form of Sustainability Pricing Certificate</w:t>
      </w:r>
    </w:p>
    <w:p>
      <w:pPr>
        <w:sectPr>
          <w:pgSz w:w="11900" w:h="16838" w:orient="portrait"/>
          <w:cols w:equalWidth="0" w:num="1">
            <w:col w:w="9559"/>
          </w:cols>
          <w:pgMar w:left="900" w:top="1418" w:right="1440" w:bottom="1440" w:gutter="0" w:footer="0" w:header="0"/>
        </w:sectPr>
      </w:pPr>
    </w:p>
    <w:bookmarkStart w:id="75" w:name="page76"/>
    <w:bookmarkEnd w:id="75"/>
    <w:p>
      <w:pPr>
        <w:ind w:right="180" w:firstLine="648"/>
        <w:spacing w:after="0" w:line="270" w:lineRule="auto"/>
        <w:rPr>
          <w:sz w:val="20"/>
          <w:szCs w:val="20"/>
          <w:color w:val="auto"/>
        </w:rPr>
      </w:pPr>
      <w:r>
        <w:rPr>
          <w:rFonts w:ascii="Arial" w:cs="Arial" w:eastAsia="Arial" w:hAnsi="Arial"/>
          <w:sz w:val="21"/>
          <w:szCs w:val="21"/>
          <w:color w:val="auto"/>
        </w:rPr>
        <w:t>THIS CREDIT AGREEMENT, dated as of May 14, 2021, among MICRON TECHNOLOGY,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HSBC BANK USA, NATIONAL ASSOCIATION (“</w:t>
      </w:r>
      <w:r>
        <w:rPr>
          <w:rFonts w:ascii="Arial" w:cs="Arial" w:eastAsia="Arial" w:hAnsi="Arial"/>
          <w:sz w:val="21"/>
          <w:szCs w:val="21"/>
          <w:u w:val="single" w:color="auto"/>
          <w:color w:val="auto"/>
        </w:rPr>
        <w:t>HSBC</w:t>
      </w:r>
      <w:r>
        <w:rPr>
          <w:rFonts w:ascii="Arial" w:cs="Arial" w:eastAsia="Arial" w:hAnsi="Arial"/>
          <w:sz w:val="21"/>
          <w:szCs w:val="21"/>
          <w:color w:val="auto"/>
        </w:rPr>
        <w:t>”), as administrative agent (in such capacity and including any successors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or the “</w:t>
      </w:r>
      <w:r>
        <w:rPr>
          <w:rFonts w:ascii="Arial" w:cs="Arial" w:eastAsia="Arial" w:hAnsi="Arial"/>
          <w:sz w:val="21"/>
          <w:szCs w:val="21"/>
          <w:u w:val="single" w:color="auto"/>
          <w:color w:val="auto"/>
        </w:rPr>
        <w:t>Agent</w:t>
      </w:r>
      <w:r>
        <w:rPr>
          <w:rFonts w:ascii="Arial" w:cs="Arial" w:eastAsia="Arial" w:hAnsi="Arial"/>
          <w:sz w:val="21"/>
          <w:szCs w:val="21"/>
          <w:color w:val="auto"/>
        </w:rPr>
        <w:t>”), the other agents party hereto and each of the financial institutions from time to time party hereto (collectively, the “</w:t>
      </w:r>
      <w:r>
        <w:rPr>
          <w:rFonts w:ascii="Arial" w:cs="Arial" w:eastAsia="Arial" w:hAnsi="Arial"/>
          <w:sz w:val="21"/>
          <w:szCs w:val="21"/>
          <w:u w:val="single" w:color="auto"/>
          <w:color w:val="auto"/>
        </w:rPr>
        <w:t>Lenders</w:t>
      </w:r>
      <w:r>
        <w:rPr>
          <w:rFonts w:ascii="Arial" w:cs="Arial" w:eastAsia="Arial" w:hAnsi="Arial"/>
          <w:sz w:val="21"/>
          <w:szCs w:val="21"/>
          <w:color w:val="auto"/>
        </w:rPr>
        <w: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Borrower intends to use the Loans (as defined below) for general corporate purposes.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010000"/>
        </w:rPr>
        <w:t>Section 1_____</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22"/>
          <w:szCs w:val="22"/>
          <w:color w:val="auto"/>
        </w:rPr>
        <w:t>Definitions</w:t>
      </w:r>
    </w:p>
    <w:p>
      <w:pPr>
        <w:spacing w:after="0" w:line="214" w:lineRule="exact"/>
        <w:rPr>
          <w:sz w:val="20"/>
          <w:szCs w:val="20"/>
          <w:color w:val="auto"/>
        </w:rPr>
      </w:pPr>
    </w:p>
    <w:p>
      <w:pPr>
        <w:jc w:val="center"/>
        <w:ind w:left="560"/>
        <w:spacing w:after="0"/>
        <w:tabs>
          <w:tab w:leader="none" w:pos="2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u w:val="single" w:color="auto"/>
          <w:color w:val="auto"/>
        </w:rPr>
        <w:t>Defined Terms</w:t>
      </w:r>
      <w:r>
        <w:rPr>
          <w:rFonts w:ascii="Arial" w:cs="Arial" w:eastAsia="Arial" w:hAnsi="Arial"/>
          <w:sz w:val="21"/>
          <w:szCs w:val="21"/>
          <w:color w:val="auto"/>
        </w:rPr>
        <w:t>. As used in this Agreement, the following terms shall have the meanings specified below:</w:t>
      </w:r>
    </w:p>
    <w:p>
      <w:pPr>
        <w:spacing w:after="0" w:line="220" w:lineRule="exact"/>
        <w:rPr>
          <w:sz w:val="20"/>
          <w:szCs w:val="20"/>
          <w:color w:val="auto"/>
        </w:rPr>
      </w:pPr>
    </w:p>
    <w:p>
      <w:pPr>
        <w:ind w:right="240"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GHG Emissions Intensity Baseline</w:t>
      </w:r>
      <w:r>
        <w:rPr>
          <w:rFonts w:ascii="Arial" w:cs="Arial" w:eastAsia="Arial" w:hAnsi="Arial"/>
          <w:sz w:val="22"/>
          <w:szCs w:val="22"/>
          <w:color w:val="auto"/>
        </w:rPr>
        <w:t>”: (a) the sum of the Borrower and its Subsidiaries’ (i) total Scope 1 Emissions plus (ii) Scope 2 Emissions for the calendar year ended December 31, 2018 divided by (b) production units for the calendar year ended December 31, 2018.</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the meaning set forth in the preamble to this Agreement.</w:t>
      </w:r>
    </w:p>
    <w:p>
      <w:pPr>
        <w:spacing w:after="0" w:line="23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u w:val="single" w:color="auto"/>
          <w:color w:val="0000FF"/>
        </w:rPr>
        <w:t xml:space="preserve">“Adjusted Term SOFR”: for purposes of any calculation </w:t>
      </w:r>
      <w:r>
        <w:rPr>
          <w:rFonts w:ascii="Arial" w:cs="Arial" w:eastAsia="Arial" w:hAnsi="Arial"/>
          <w:sz w:val="22"/>
          <w:szCs w:val="22"/>
          <w:u w:val="single" w:color="auto"/>
          <w:color w:val="008000"/>
        </w:rPr>
        <w:t>, the rate per annum equal to</w:t>
      </w:r>
      <w:r>
        <w:rPr>
          <w:rFonts w:ascii="Arial" w:cs="Arial" w:eastAsia="Arial" w:hAnsi="Arial"/>
          <w:sz w:val="22"/>
          <w:szCs w:val="22"/>
          <w:u w:val="single" w:color="auto"/>
          <w:color w:val="0000FF"/>
        </w:rPr>
        <w:t xml:space="preserve"> (a) Term SOFR for such calculation plus (b) the Term SOFR Adjustment; provided that if Adjusted Term SOFR as so determined shall ever be less than the Floor, then Adjusted Term SOFR shall be deemed to be equal to the Floor for purposes of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p>
    <w:p>
      <w:pPr>
        <w:spacing w:after="0" w:line="23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the meaning set forth in the preamble to this Agreement.</w:t>
      </w:r>
    </w:p>
    <w:p>
      <w:pPr>
        <w:spacing w:after="0" w:line="233" w:lineRule="exact"/>
        <w:rPr>
          <w:sz w:val="20"/>
          <w:szCs w:val="20"/>
          <w:color w:val="auto"/>
        </w:rPr>
      </w:pPr>
    </w:p>
    <w:p>
      <w:pPr>
        <w:ind w:right="840" w:firstLine="648"/>
        <w:spacing w:after="0" w:line="26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Credit Agreement, as the same may be amended, restated, amended and restated, supplemented or otherwise modified from time to time.</w:t>
      </w:r>
    </w:p>
    <w:p>
      <w:pPr>
        <w:sectPr>
          <w:pgSz w:w="11900" w:h="16838" w:orient="portrait"/>
          <w:cols w:equalWidth="0" w:num="1">
            <w:col w:w="11160"/>
          </w:cols>
          <w:pgMar w:left="320" w:top="1427" w:right="419" w:bottom="1440" w:gutter="0" w:footer="0" w:header="0"/>
        </w:sectPr>
      </w:pPr>
    </w:p>
    <w:bookmarkStart w:id="76" w:name="page77"/>
    <w:bookmarkEnd w:id="76"/>
    <w:p>
      <w:pPr>
        <w:ind w:right="600" w:firstLine="648"/>
        <w:spacing w:after="0" w:line="264" w:lineRule="auto"/>
        <w:rPr>
          <w:sz w:val="20"/>
          <w:szCs w:val="20"/>
          <w:color w:val="auto"/>
        </w:rPr>
      </w:pPr>
      <w:r>
        <w:rPr>
          <w:rFonts w:ascii="Arial" w:cs="Arial" w:eastAsia="Arial" w:hAnsi="Arial"/>
          <w:sz w:val="22"/>
          <w:szCs w:val="22"/>
          <w:u w:val="single" w:color="auto"/>
          <w:color w:val="0000FF"/>
        </w:rPr>
        <w:t>“Amendment No. 2”: that certain Amendment No. 2 to Credit Agreement, dated as of June 7, 2023 by the Administrative Agent.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“Amendment No. 2 Effective Date”: the meaning set forth in Amendment No. 2.</w:t>
      </w:r>
    </w:p>
    <w:p>
      <w:pPr>
        <w:spacing w:after="0" w:line="233" w:lineRule="exact"/>
        <w:rPr>
          <w:sz w:val="20"/>
          <w:szCs w:val="20"/>
          <w:color w:val="auto"/>
        </w:rPr>
      </w:pPr>
    </w:p>
    <w:p>
      <w:pPr>
        <w:ind w:right="220"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with respect to the Revolving Loans, for any day, with respect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or any Base Rate Loan, as the case may be, the applicable rate per annum set forth below under the caption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Spread” or “Base Rate Spread”, as the case may be, corresponding to the applicable Corporate Ratings from the Rating Agencies on such date:</w:t>
      </w:r>
    </w:p>
    <w:p>
      <w:pPr>
        <w:spacing w:after="0" w:line="214" w:lineRule="exact"/>
        <w:rPr>
          <w:sz w:val="20"/>
          <w:szCs w:val="20"/>
          <w:color w:val="auto"/>
        </w:rPr>
      </w:pPr>
    </w:p>
    <w:tbl>
      <w:tblPr>
        <w:tblLayout w:type="fixed"/>
        <w:tblInd w:w="670" w:type="dxa"/>
        <w:tblCellMar>
          <w:top w:w="0" w:type="dxa"/>
          <w:left w:w="0" w:type="dxa"/>
          <w:bottom w:w="0" w:type="dxa"/>
          <w:right w:w="0" w:type="dxa"/>
        </w:tblCellMar>
      </w:tblPr>
      <w:tr>
        <w:trPr>
          <w:trHeight w:val="216"/>
        </w:trPr>
        <w:tc>
          <w:tcPr>
            <w:tcW w:w="1580" w:type="dxa"/>
            <w:vAlign w:val="bottom"/>
            <w:tcBorders>
              <w:top w:val="single" w:sz="8" w:color="auto"/>
              <w:left w:val="single" w:sz="8" w:color="auto"/>
              <w:right w:val="single" w:sz="8" w:color="auto"/>
            </w:tcBorders>
          </w:tcPr>
          <w:p>
            <w:pPr>
              <w:ind w:left="20"/>
              <w:spacing w:after="0" w:line="216" w:lineRule="exact"/>
              <w:rPr>
                <w:sz w:val="20"/>
                <w:szCs w:val="20"/>
                <w:color w:val="auto"/>
              </w:rPr>
            </w:pPr>
            <w:r>
              <w:rPr>
                <w:rFonts w:ascii="Arial" w:cs="Arial" w:eastAsia="Arial" w:hAnsi="Arial"/>
                <w:sz w:val="20"/>
                <w:szCs w:val="20"/>
                <w:color w:val="auto"/>
              </w:rPr>
              <w:t>Pricing Level:</w:t>
            </w:r>
          </w:p>
        </w:tc>
        <w:tc>
          <w:tcPr>
            <w:tcW w:w="2360" w:type="dxa"/>
            <w:vAlign w:val="bottom"/>
            <w:tcBorders>
              <w:top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Corporate Ratings:</w:t>
            </w:r>
          </w:p>
        </w:tc>
        <w:tc>
          <w:tcPr>
            <w:tcW w:w="1040" w:type="dxa"/>
            <w:vAlign w:val="bottom"/>
            <w:tcBorders>
              <w:top w:val="single" w:sz="8" w:color="auto"/>
            </w:tcBorders>
            <w:gridSpan w:val="2"/>
          </w:tcPr>
          <w:p>
            <w:pPr>
              <w:ind w:left="140"/>
              <w:spacing w:after="0" w:line="216" w:lineRule="exact"/>
              <w:rPr>
                <w:sz w:val="20"/>
                <w:szCs w:val="20"/>
                <w:color w:val="auto"/>
              </w:rPr>
            </w:pPr>
            <w:r>
              <w:rPr>
                <w:rFonts w:ascii="Arial" w:cs="Arial" w:eastAsia="Arial" w:hAnsi="Arial"/>
                <w:sz w:val="20"/>
                <w:szCs w:val="20"/>
                <w:color w:val="EE2724"/>
                <w:strike w:val="1"/>
                <w:w w:val="96"/>
              </w:rPr>
              <w:t>Eurodollar</w:t>
            </w:r>
          </w:p>
        </w:tc>
        <w:tc>
          <w:tcPr>
            <w:tcW w:w="1380" w:type="dxa"/>
            <w:vAlign w:val="bottom"/>
            <w:tcBorders>
              <w:top w:val="single" w:sz="8" w:color="auto"/>
              <w:bottom w:val="single" w:sz="8" w:color="0E32E1"/>
            </w:tcBorders>
            <w:gridSpan w:val="2"/>
          </w:tcPr>
          <w:p>
            <w:pPr>
              <w:spacing w:after="0" w:line="216" w:lineRule="exact"/>
              <w:rPr>
                <w:sz w:val="20"/>
                <w:szCs w:val="20"/>
                <w:color w:val="auto"/>
              </w:rPr>
            </w:pPr>
            <w:r>
              <w:rPr>
                <w:rFonts w:ascii="Arial" w:cs="Arial" w:eastAsia="Arial" w:hAnsi="Arial"/>
                <w:sz w:val="20"/>
                <w:szCs w:val="20"/>
                <w:b w:val="1"/>
                <w:bCs w:val="1"/>
                <w:color w:val="0E32E1"/>
                <w:w w:val="97"/>
              </w:rPr>
              <w:t>Adjusted Term</w:t>
            </w:r>
          </w:p>
        </w:tc>
        <w:tc>
          <w:tcPr>
            <w:tcW w:w="160" w:type="dxa"/>
            <w:vAlign w:val="bottom"/>
            <w:tcBorders>
              <w:top w:val="single" w:sz="8" w:color="auto"/>
              <w:right w:val="single" w:sz="8" w:color="auto"/>
            </w:tcBorders>
          </w:tcPr>
          <w:p>
            <w:pPr>
              <w:spacing w:after="0"/>
              <w:rPr>
                <w:sz w:val="18"/>
                <w:szCs w:val="18"/>
                <w:color w:val="auto"/>
              </w:rPr>
            </w:pPr>
          </w:p>
        </w:tc>
        <w:tc>
          <w:tcPr>
            <w:tcW w:w="2000" w:type="dxa"/>
            <w:vAlign w:val="bottom"/>
            <w:tcBorders>
              <w:top w:val="single" w:sz="8" w:color="auto"/>
              <w:right w:val="single" w:sz="8" w:color="auto"/>
            </w:tcBorders>
          </w:tcPr>
          <w:p>
            <w:pPr>
              <w:ind w:left="180"/>
              <w:spacing w:after="0" w:line="216" w:lineRule="exact"/>
              <w:rPr>
                <w:sz w:val="20"/>
                <w:szCs w:val="20"/>
                <w:color w:val="auto"/>
              </w:rPr>
            </w:pPr>
            <w:r>
              <w:rPr>
                <w:rFonts w:ascii="Arial" w:cs="Arial" w:eastAsia="Arial" w:hAnsi="Arial"/>
                <w:sz w:val="20"/>
                <w:szCs w:val="20"/>
                <w:color w:val="auto"/>
              </w:rPr>
              <w:t>Base Rate Spread</w:t>
            </w:r>
          </w:p>
        </w:tc>
      </w:tr>
      <w:tr>
        <w:trPr>
          <w:trHeight w:val="169"/>
        </w:trPr>
        <w:tc>
          <w:tcPr>
            <w:tcW w:w="1580" w:type="dxa"/>
            <w:vAlign w:val="bottom"/>
            <w:tcBorders>
              <w:left w:val="single" w:sz="8" w:color="auto"/>
              <w:right w:val="single" w:sz="8" w:color="auto"/>
            </w:tcBorders>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760" w:type="dxa"/>
            <w:vAlign w:val="bottom"/>
            <w:gridSpan w:val="3"/>
          </w:tcPr>
          <w:p>
            <w:pPr>
              <w:spacing w:after="0" w:line="169" w:lineRule="exact"/>
              <w:rPr>
                <w:sz w:val="20"/>
                <w:szCs w:val="20"/>
                <w:color w:val="auto"/>
              </w:rPr>
            </w:pPr>
            <w:r>
              <w:rPr>
                <w:rFonts w:ascii="Arial" w:cs="Arial" w:eastAsia="Arial" w:hAnsi="Arial"/>
                <w:sz w:val="19"/>
                <w:szCs w:val="19"/>
                <w:b w:val="1"/>
                <w:bCs w:val="1"/>
                <w:color w:val="0E32E1"/>
              </w:rPr>
              <w:t xml:space="preserve">SOFR </w:t>
            </w:r>
            <w:r>
              <w:rPr>
                <w:rFonts w:ascii="Arial" w:cs="Arial" w:eastAsia="Arial" w:hAnsi="Arial"/>
                <w:sz w:val="19"/>
                <w:szCs w:val="19"/>
                <w:color w:val="000000"/>
              </w:rPr>
              <w:t>Spread</w:t>
            </w:r>
          </w:p>
        </w:tc>
        <w:tc>
          <w:tcPr>
            <w:tcW w:w="160" w:type="dxa"/>
            <w:vAlign w:val="bottom"/>
            <w:tcBorders>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r>
      <w:tr>
        <w:trPr>
          <w:trHeight w:val="34"/>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top w:val="single" w:sz="8" w:color="0E32E1"/>
              <w:bottom w:val="single" w:sz="8" w:color="auto"/>
            </w:tcBorders>
          </w:tcPr>
          <w:p>
            <w:pPr>
              <w:spacing w:after="0"/>
              <w:rPr>
                <w:sz w:val="2"/>
                <w:szCs w:val="2"/>
                <w:color w:val="auto"/>
              </w:rPr>
            </w:pPr>
          </w:p>
        </w:tc>
        <w:tc>
          <w:tcPr>
            <w:tcW w:w="160" w:type="dxa"/>
            <w:vAlign w:val="bottom"/>
            <w:tcBorders>
              <w:top w:val="single" w:sz="8" w:color="0E32E1"/>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59"/>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Level 1</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 BBB+ / Baa1 / BBB</w:t>
            </w:r>
          </w:p>
        </w:tc>
        <w:tc>
          <w:tcPr>
            <w:tcW w:w="242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20"/>
                <w:szCs w:val="20"/>
                <w:color w:val="auto"/>
                <w:w w:val="98"/>
              </w:rPr>
              <w:t>1.00%</w:t>
            </w:r>
          </w:p>
        </w:tc>
        <w:tc>
          <w:tcPr>
            <w:tcW w:w="16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0.00%</w:t>
            </w:r>
          </w:p>
        </w:tc>
      </w:tr>
      <w:tr>
        <w:trPr>
          <w:trHeight w:val="259"/>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Level 2</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BBB / Baa2 / BBB</w:t>
            </w:r>
          </w:p>
        </w:tc>
        <w:tc>
          <w:tcPr>
            <w:tcW w:w="2420" w:type="dxa"/>
            <w:vAlign w:val="bottom"/>
            <w:gridSpan w:val="4"/>
          </w:tcPr>
          <w:p>
            <w:pPr>
              <w:jc w:val="center"/>
              <w:ind w:left="21"/>
              <w:spacing w:after="0"/>
              <w:rPr>
                <w:sz w:val="20"/>
                <w:szCs w:val="20"/>
                <w:color w:val="auto"/>
              </w:rPr>
            </w:pPr>
            <w:r>
              <w:rPr>
                <w:rFonts w:ascii="Arial" w:cs="Arial" w:eastAsia="Arial" w:hAnsi="Arial"/>
                <w:sz w:val="20"/>
                <w:szCs w:val="20"/>
                <w:color w:val="auto"/>
                <w:w w:val="97"/>
              </w:rPr>
              <w:t>1.125%</w:t>
            </w:r>
          </w:p>
        </w:tc>
        <w:tc>
          <w:tcPr>
            <w:tcW w:w="16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0.125%</w:t>
            </w:r>
          </w:p>
        </w:tc>
      </w:tr>
      <w:tr>
        <w:trPr>
          <w:trHeight w:val="23"/>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59"/>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Level 3</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BBB- / Baa3 / BBB-</w:t>
            </w:r>
          </w:p>
        </w:tc>
        <w:tc>
          <w:tcPr>
            <w:tcW w:w="242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20"/>
                <w:szCs w:val="20"/>
                <w:color w:val="auto"/>
                <w:w w:val="98"/>
              </w:rPr>
              <w:t>1.25%</w:t>
            </w:r>
          </w:p>
        </w:tc>
        <w:tc>
          <w:tcPr>
            <w:tcW w:w="16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0.25%</w:t>
            </w:r>
          </w:p>
        </w:tc>
      </w:tr>
      <w:tr>
        <w:trPr>
          <w:trHeight w:val="259"/>
        </w:trPr>
        <w:tc>
          <w:tcPr>
            <w:tcW w:w="1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Level 4</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BB+ / Ba1 / BB+</w:t>
            </w:r>
          </w:p>
        </w:tc>
        <w:tc>
          <w:tcPr>
            <w:tcW w:w="2420" w:type="dxa"/>
            <w:vAlign w:val="bottom"/>
            <w:gridSpan w:val="4"/>
          </w:tcPr>
          <w:p>
            <w:pPr>
              <w:jc w:val="center"/>
              <w:ind w:left="41"/>
              <w:spacing w:after="0"/>
              <w:rPr>
                <w:sz w:val="20"/>
                <w:szCs w:val="20"/>
                <w:color w:val="auto"/>
              </w:rPr>
            </w:pPr>
            <w:r>
              <w:rPr>
                <w:rFonts w:ascii="Arial" w:cs="Arial" w:eastAsia="Arial" w:hAnsi="Arial"/>
                <w:sz w:val="20"/>
                <w:szCs w:val="20"/>
                <w:color w:val="auto"/>
                <w:w w:val="98"/>
              </w:rPr>
              <w:t>1.50%</w:t>
            </w:r>
          </w:p>
        </w:tc>
        <w:tc>
          <w:tcPr>
            <w:tcW w:w="16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0.50%</w:t>
            </w:r>
          </w:p>
        </w:tc>
      </w:tr>
      <w:tr>
        <w:trPr>
          <w:trHeight w:val="23"/>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r>
      <w:tr>
        <w:trPr>
          <w:trHeight w:val="259"/>
        </w:trPr>
        <w:tc>
          <w:tcPr>
            <w:tcW w:w="1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Level 5</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 BB / Ba2 / BB</w:t>
            </w:r>
          </w:p>
        </w:tc>
        <w:tc>
          <w:tcPr>
            <w:tcW w:w="2420" w:type="dxa"/>
            <w:vAlign w:val="bottom"/>
            <w:tcBorders>
              <w:bottom w:val="single" w:sz="8" w:color="auto"/>
            </w:tcBorders>
            <w:gridSpan w:val="4"/>
          </w:tcPr>
          <w:p>
            <w:pPr>
              <w:jc w:val="center"/>
              <w:ind w:left="41"/>
              <w:spacing w:after="0"/>
              <w:rPr>
                <w:sz w:val="20"/>
                <w:szCs w:val="20"/>
                <w:color w:val="auto"/>
              </w:rPr>
            </w:pPr>
            <w:r>
              <w:rPr>
                <w:rFonts w:ascii="Arial" w:cs="Arial" w:eastAsia="Arial" w:hAnsi="Arial"/>
                <w:sz w:val="20"/>
                <w:szCs w:val="20"/>
                <w:color w:val="auto"/>
                <w:w w:val="98"/>
              </w:rPr>
              <w:t>1.75%</w:t>
            </w:r>
          </w:p>
        </w:tc>
        <w:tc>
          <w:tcPr>
            <w:tcW w:w="160" w:type="dxa"/>
            <w:vAlign w:val="bottom"/>
            <w:tcBorders>
              <w:bottom w:val="single" w:sz="8" w:color="auto"/>
              <w:right w:val="single" w:sz="8" w:color="auto"/>
            </w:tcBorders>
          </w:tcPr>
          <w:p>
            <w:pPr>
              <w:spacing w:after="0"/>
              <w:rPr>
                <w:sz w:val="22"/>
                <w:szCs w:val="22"/>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0.75%</w:t>
            </w:r>
          </w:p>
        </w:tc>
      </w:tr>
    </w:tbl>
    <w:p>
      <w:pPr>
        <w:spacing w:after="0" w:line="31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the foregoing, (i) if only one Corporate Rating is in effect, the Applicable Margin shall be determined by reference to such available Corporate Rating, (i)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ectPr>
          <w:pgSz w:w="11900" w:h="16838" w:orient="portrait"/>
          <w:cols w:equalWidth="0" w:num="1">
            <w:col w:w="11240"/>
          </w:cols>
          <w:pgMar w:left="320" w:top="1426" w:right="339" w:bottom="1440" w:gutter="0" w:footer="0" w:header="0"/>
        </w:sectPr>
      </w:pPr>
    </w:p>
    <w:bookmarkStart w:id="77" w:name="page78"/>
    <w:bookmarkEnd w:id="77"/>
    <w:p>
      <w:pPr>
        <w:jc w:val="both"/>
        <w:ind w:firstLine="648"/>
        <w:spacing w:after="0" w:line="264" w:lineRule="auto"/>
        <w:rPr>
          <w:sz w:val="20"/>
          <w:szCs w:val="20"/>
          <w:color w:val="auto"/>
        </w:rPr>
      </w:pPr>
      <w:r>
        <w:rPr>
          <w:rFonts w:ascii="Arial" w:cs="Arial" w:eastAsia="Arial" w:hAnsi="Arial"/>
          <w:sz w:val="22"/>
          <w:szCs w:val="22"/>
          <w:color w:val="auto"/>
        </w:rPr>
        <w:t>Each change in the Applicable Margin shall apply during the period commencing on the effective date of such change and ending on the date immediately preceding the effective date of the next Corporate Rating change.</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Subject to Section 2.25(d), the Applicable Margin shall be adjusted on each Sustainability Adjustment Date based upon the Sustainability Margin Adjustment (to be calculated and applied as set forth in the definition thereof and in Section 2.25(a)); provided that in no event shall the Applicable Margin be less than 0.00%.</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Communication</w:t>
      </w:r>
      <w:r>
        <w:rPr>
          <w:rFonts w:ascii="Arial" w:cs="Arial" w:eastAsia="Arial" w:hAnsi="Arial"/>
          <w:sz w:val="22"/>
          <w:szCs w:val="22"/>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9.6(b)(ii)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w:t>
      </w:r>
      <w:r>
        <w:rPr>
          <w:rFonts w:ascii="Arial" w:cs="Arial" w:eastAsia="Arial" w:hAnsi="Arial"/>
          <w:sz w:val="22"/>
          <w:szCs w:val="22"/>
          <w:color w:val="auto"/>
        </w:rPr>
        <w:t>”: each of the Joint Lead Arrangers.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9.6(b)(i)</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assignment and acceptance entered into by a Lender and an Assignee and accepted by the Administrative Agent to the extent required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Debt</w:t>
      </w:r>
      <w:r>
        <w:rPr>
          <w:rFonts w:ascii="Arial" w:cs="Arial" w:eastAsia="Arial" w:hAnsi="Arial"/>
          <w:sz w:val="22"/>
          <w:szCs w:val="22"/>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Unused Commitments</w:t>
      </w:r>
      <w:r>
        <w:rPr>
          <w:rFonts w:ascii="Arial" w:cs="Arial" w:eastAsia="Arial" w:hAnsi="Arial"/>
          <w:sz w:val="22"/>
          <w:szCs w:val="22"/>
          <w:color w:val="auto"/>
        </w:rPr>
        <w:t xml:space="preserve"> ”: as of the date of determination thereof, the aggregate amount by which (a) the aggregate amount of commitments under revolving credit facilities and revolving lines of credit of the Borrower and its Consolidated Subsidiaries exceeds (b) the aggregate principal amount of outstanding loans and advances under such revolving credit facilities and revolving lines of credit.</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 Period</w:t>
      </w:r>
      <w:r>
        <w:rPr>
          <w:rFonts w:ascii="Arial" w:cs="Arial" w:eastAsia="Arial" w:hAnsi="Arial"/>
          <w:sz w:val="22"/>
          <w:szCs w:val="22"/>
          <w:color w:val="auto"/>
        </w:rPr>
        <w:t>”: the period from and including the Closing Date to but excluding the earlier of the Revolving Maturity Date and the date of termination of the Revolving Commitments.</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as of any date of determination and with respect to the then-current Benchmark, as applicable, </w:t>
      </w:r>
      <w:r>
        <w:rPr>
          <w:rFonts w:ascii="Arial" w:cs="Arial" w:eastAsia="Arial" w:hAnsi="Arial"/>
          <w:sz w:val="22"/>
          <w:szCs w:val="22"/>
          <w:u w:val="single" w:color="auto"/>
          <w:color w:val="0000FF"/>
        </w:rPr>
        <w:t>(x) if such Benchmark is a term rate,</w:t>
      </w:r>
      <w:r>
        <w:rPr>
          <w:rFonts w:ascii="Arial" w:cs="Arial" w:eastAsia="Arial" w:hAnsi="Arial"/>
          <w:sz w:val="22"/>
          <w:szCs w:val="22"/>
          <w:color w:val="auto"/>
        </w:rPr>
        <w:t xml:space="preserve"> any tenor for such Benchmark </w:t>
      </w:r>
      <w:r>
        <w:rPr>
          <w:rFonts w:ascii="Arial" w:cs="Arial" w:eastAsia="Arial" w:hAnsi="Arial"/>
          <w:sz w:val="22"/>
          <w:szCs w:val="22"/>
          <w:u w:val="single" w:color="auto"/>
          <w:color w:val="0000FF"/>
        </w:rPr>
        <w:t>(</w:t>
      </w:r>
      <w:r>
        <w:rPr>
          <w:rFonts w:ascii="Arial" w:cs="Arial" w:eastAsia="Arial" w:hAnsi="Arial"/>
          <w:sz w:val="22"/>
          <w:szCs w:val="22"/>
          <w:color w:val="auto"/>
        </w:rPr>
        <w:t xml:space="preserve">or </w:t>
      </w:r>
      <w:r>
        <w:rPr>
          <w:rFonts w:ascii="Arial" w:cs="Arial" w:eastAsia="Arial" w:hAnsi="Arial"/>
          <w:sz w:val="22"/>
          <w:szCs w:val="22"/>
          <w:color w:val="008000"/>
          <w:strike w:val="1"/>
        </w:rPr>
        <w:t>payment period for interest</w:t>
      </w:r>
      <w:r>
        <w:rPr>
          <w:rFonts w:ascii="Arial" w:cs="Arial" w:eastAsia="Arial" w:hAnsi="Arial"/>
          <w:sz w:val="22"/>
          <w:szCs w:val="22"/>
          <w:color w:val="auto"/>
        </w:rPr>
        <w:t xml:space="preserve"> </w:t>
      </w:r>
      <w:r>
        <w:rPr>
          <w:rFonts w:ascii="Arial" w:cs="Arial" w:eastAsia="Arial" w:hAnsi="Arial"/>
          <w:sz w:val="22"/>
          <w:szCs w:val="22"/>
          <w:color w:val="008000"/>
          <w:strike w:val="1"/>
        </w:rPr>
        <w:t>calculated with reference to such Benchmark</w:t>
      </w:r>
      <w:r>
        <w:rPr>
          <w:rFonts w:ascii="Arial" w:cs="Arial" w:eastAsia="Arial" w:hAnsi="Arial"/>
          <w:sz w:val="22"/>
          <w:szCs w:val="22"/>
          <w:color w:val="FF0000"/>
          <w:strike w:val="1"/>
        </w:rPr>
        <w:t>, as applicable,</w:t>
      </w:r>
      <w:r>
        <w:rPr>
          <w:rFonts w:ascii="Arial" w:cs="Arial" w:eastAsia="Arial" w:hAnsi="Arial"/>
          <w:sz w:val="22"/>
          <w:szCs w:val="22"/>
          <w:u w:val="single" w:color="auto"/>
          <w:color w:val="0000FF"/>
        </w:rPr>
        <w:t>component thereof)</w:t>
      </w:r>
      <w:r>
        <w:rPr>
          <w:rFonts w:ascii="Arial" w:cs="Arial" w:eastAsia="Arial" w:hAnsi="Arial"/>
          <w:sz w:val="22"/>
          <w:szCs w:val="22"/>
          <w:color w:val="008000"/>
        </w:rPr>
        <w:t xml:space="preserve"> </w:t>
      </w:r>
      <w:r>
        <w:rPr>
          <w:rFonts w:ascii="Arial" w:cs="Arial" w:eastAsia="Arial" w:hAnsi="Arial"/>
          <w:sz w:val="22"/>
          <w:szCs w:val="22"/>
          <w:color w:val="000000"/>
        </w:rPr>
        <w:t>that is or may be used for</w:t>
      </w:r>
      <w:r>
        <w:rPr>
          <w:rFonts w:ascii="Arial" w:cs="Arial" w:eastAsia="Arial" w:hAnsi="Arial"/>
          <w:sz w:val="22"/>
          <w:szCs w:val="22"/>
          <w:color w:val="008000"/>
        </w:rPr>
        <w:t xml:space="preserve"> </w:t>
      </w:r>
      <w:r>
        <w:rPr>
          <w:rFonts w:ascii="Arial" w:cs="Arial" w:eastAsia="Arial" w:hAnsi="Arial"/>
          <w:sz w:val="22"/>
          <w:szCs w:val="22"/>
          <w:color w:val="000000"/>
        </w:rPr>
        <w:t xml:space="preserve">determining the length of an </w:t>
      </w:r>
      <w:r>
        <w:rPr>
          <w:rFonts w:ascii="Arial" w:cs="Arial" w:eastAsia="Arial" w:hAnsi="Arial"/>
          <w:sz w:val="22"/>
          <w:szCs w:val="22"/>
          <w:color w:val="FF0000"/>
          <w:strike w:val="1"/>
        </w:rPr>
        <w:t>I</w:t>
      </w:r>
      <w:r>
        <w:rPr>
          <w:rFonts w:ascii="Arial" w:cs="Arial" w:eastAsia="Arial" w:hAnsi="Arial"/>
          <w:sz w:val="22"/>
          <w:szCs w:val="22"/>
          <w:u w:val="single" w:color="auto"/>
          <w:color w:val="0000FF"/>
        </w:rPr>
        <w:t>i</w:t>
      </w:r>
      <w:r>
        <w:rPr>
          <w:rFonts w:ascii="Arial" w:cs="Arial" w:eastAsia="Arial" w:hAnsi="Arial"/>
          <w:sz w:val="22"/>
          <w:szCs w:val="22"/>
          <w:color w:val="000000"/>
        </w:rPr>
        <w:t xml:space="preserve">nterest </w:t>
      </w:r>
      <w:r>
        <w:rPr>
          <w:rFonts w:ascii="Arial" w:cs="Arial" w:eastAsia="Arial" w:hAnsi="Arial"/>
          <w:sz w:val="22"/>
          <w:szCs w:val="22"/>
          <w:color w:val="FF0000"/>
          <w:strike w:val="1"/>
        </w:rPr>
        <w:t>P</w:t>
      </w:r>
      <w:r>
        <w:rPr>
          <w:rFonts w:ascii="Arial" w:cs="Arial" w:eastAsia="Arial" w:hAnsi="Arial"/>
          <w:sz w:val="22"/>
          <w:szCs w:val="22"/>
          <w:u w:val="single" w:color="auto"/>
          <w:color w:val="0000FF"/>
        </w:rPr>
        <w:t>p</w:t>
      </w:r>
      <w:r>
        <w:rPr>
          <w:rFonts w:ascii="Arial" w:cs="Arial" w:eastAsia="Arial" w:hAnsi="Arial"/>
          <w:sz w:val="22"/>
          <w:szCs w:val="22"/>
          <w:color w:val="000000"/>
        </w:rPr>
        <w:t xml:space="preserve">eriod pursuant to this Agreement </w:t>
      </w:r>
      <w:r>
        <w:rPr>
          <w:rFonts w:ascii="Arial" w:cs="Arial" w:eastAsia="Arial" w:hAnsi="Arial"/>
          <w:sz w:val="22"/>
          <w:szCs w:val="22"/>
          <w:u w:val="single" w:color="auto"/>
          <w:color w:val="0000FF"/>
        </w:rPr>
        <w:t>or (y) otherwise, any</w:t>
      </w:r>
    </w:p>
    <w:p>
      <w:pPr>
        <w:sectPr>
          <w:pgSz w:w="11900" w:h="16838" w:orient="portrait"/>
          <w:cols w:equalWidth="0" w:num="1">
            <w:col w:w="11240"/>
          </w:cols>
          <w:pgMar w:left="320" w:top="1426" w:right="339" w:bottom="1440" w:gutter="0" w:footer="0" w:header="0"/>
        </w:sectPr>
      </w:pPr>
    </w:p>
    <w:bookmarkStart w:id="78" w:name="page79"/>
    <w:bookmarkEnd w:id="78"/>
    <w:p>
      <w:pPr>
        <w:jc w:val="both"/>
        <w:spacing w:after="0" w:line="238" w:lineRule="auto"/>
        <w:rPr>
          <w:sz w:val="20"/>
          <w:szCs w:val="20"/>
          <w:color w:val="auto"/>
        </w:rPr>
      </w:pPr>
      <w:r>
        <w:rPr>
          <w:rFonts w:ascii="Arial" w:cs="Arial" w:eastAsia="Arial" w:hAnsi="Arial"/>
          <w:sz w:val="22"/>
          <w:szCs w:val="22"/>
          <w:u w:val="single" w:color="auto"/>
          <w:color w:val="008000"/>
        </w:rPr>
        <w:t xml:space="preserve">payment period for interest calculated with reference to such Benchmark </w:t>
      </w:r>
      <w:r>
        <w:rPr>
          <w:rFonts w:ascii="Arial" w:cs="Arial" w:eastAsia="Arial" w:hAnsi="Arial"/>
          <w:sz w:val="22"/>
          <w:szCs w:val="22"/>
          <w:u w:val="single" w:color="auto"/>
          <w:color w:val="0000FF"/>
        </w:rPr>
        <w:t>(or component thereof) that is or may be</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used for determining any frequency of making payments of interest calculated with reference to such Benchmark pursuant to this Agreement, in each case,</w:t>
      </w:r>
      <w:r>
        <w:rPr>
          <w:rFonts w:ascii="Arial" w:cs="Arial" w:eastAsia="Arial" w:hAnsi="Arial"/>
          <w:sz w:val="22"/>
          <w:szCs w:val="22"/>
          <w:color w:val="0000FF"/>
        </w:rPr>
        <w:t xml:space="preserve"> </w:t>
      </w:r>
      <w:r>
        <w:rPr>
          <w:rFonts w:ascii="Arial" w:cs="Arial" w:eastAsia="Arial" w:hAnsi="Arial"/>
          <w:sz w:val="22"/>
          <w:szCs w:val="22"/>
          <w:color w:val="000000"/>
        </w:rPr>
        <w:t>as of such date and not including, for the avoidance of doubt, any tenor for</w:t>
      </w:r>
      <w:r>
        <w:rPr>
          <w:rFonts w:ascii="Arial" w:cs="Arial" w:eastAsia="Arial" w:hAnsi="Arial"/>
          <w:sz w:val="22"/>
          <w:szCs w:val="22"/>
          <w:color w:val="0000FF"/>
        </w:rPr>
        <w:t xml:space="preserve"> </w:t>
      </w:r>
      <w:r>
        <w:rPr>
          <w:rFonts w:ascii="Arial" w:cs="Arial" w:eastAsia="Arial" w:hAnsi="Arial"/>
          <w:sz w:val="22"/>
          <w:szCs w:val="22"/>
          <w:color w:val="000000"/>
        </w:rPr>
        <w:t xml:space="preserve">such Benchmark that is then-removed from the definition of “Interest Period” pursuant to </w:t>
      </w:r>
      <w:r>
        <w:rPr>
          <w:rFonts w:ascii="Arial" w:cs="Arial" w:eastAsia="Arial" w:hAnsi="Arial"/>
          <w:sz w:val="22"/>
          <w:szCs w:val="22"/>
          <w:u w:val="single" w:color="auto"/>
          <w:color w:val="000000"/>
        </w:rPr>
        <w:t>Section 2.10(e)</w:t>
      </w:r>
      <w:r>
        <w:rPr>
          <w:rFonts w:ascii="Arial" w:cs="Arial" w:eastAsia="Arial" w:hAnsi="Arial"/>
          <w:sz w:val="22"/>
          <w:szCs w:val="22"/>
          <w:color w:val="000000"/>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the United States Bankruptcy Code, codified as Title 11, U.S. Code §101-1330, as amended.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for any day, a rate per annum equal to the greatest of (a) the Prime Rate in effect on such day,</w:t>
      </w:r>
    </w:p>
    <w:p>
      <w:pPr>
        <w:spacing w:after="0" w:line="6" w:lineRule="exact"/>
        <w:rPr>
          <w:sz w:val="20"/>
          <w:szCs w:val="20"/>
          <w:color w:val="auto"/>
        </w:rPr>
      </w:pPr>
    </w:p>
    <w:p>
      <w:pPr>
        <w:jc w:val="both"/>
        <w:ind w:firstLine="8"/>
        <w:spacing w:after="0" w:line="242" w:lineRule="auto"/>
        <w:tabs>
          <w:tab w:leader="none" w:pos="326"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the NYFRB Rate in effect on such day plus ½ of 1% and (c) </w:t>
      </w:r>
      <w:r>
        <w:rPr>
          <w:rFonts w:ascii="Arial" w:cs="Arial" w:eastAsia="Arial" w:hAnsi="Arial"/>
          <w:sz w:val="21"/>
          <w:szCs w:val="21"/>
          <w:color w:val="FF0000"/>
          <w:strike w:val="1"/>
        </w:rPr>
        <w:t>Eurodollar Rate</w:t>
      </w:r>
      <w:r>
        <w:rPr>
          <w:rFonts w:ascii="Arial" w:cs="Arial" w:eastAsia="Arial" w:hAnsi="Arial"/>
          <w:sz w:val="21"/>
          <w:szCs w:val="21"/>
          <w:u w:val="single" w:color="auto"/>
          <w:color w:val="0000FF"/>
        </w:rPr>
        <w:t>Adjusted Term SOFR</w:t>
      </w:r>
      <w:r>
        <w:rPr>
          <w:rFonts w:ascii="Arial" w:cs="Arial" w:eastAsia="Arial" w:hAnsi="Arial"/>
          <w:sz w:val="21"/>
          <w:szCs w:val="21"/>
          <w:color w:val="auto"/>
        </w:rPr>
        <w:t xml:space="preserve"> for a one month Interest Period on such day </w:t>
      </w:r>
      <w:r>
        <w:rPr>
          <w:rFonts w:ascii="Arial" w:cs="Arial" w:eastAsia="Arial" w:hAnsi="Arial"/>
          <w:sz w:val="21"/>
          <w:szCs w:val="21"/>
          <w:color w:val="FF0000"/>
          <w:strike w:val="1"/>
        </w:rPr>
        <w:t>(or if such day is not a Business Day, the immediately preceding Business Day)</w:t>
      </w:r>
      <w:r>
        <w:rPr>
          <w:rFonts w:ascii="Arial" w:cs="Arial" w:eastAsia="Arial" w:hAnsi="Arial"/>
          <w:sz w:val="21"/>
          <w:szCs w:val="21"/>
          <w:color w:val="auto"/>
        </w:rPr>
        <w:t xml:space="preserve"> plus 1%. Any change in the Base Rate due to a change in the Prime Rate, the NYFRB Rate or the </w:t>
      </w:r>
      <w:r>
        <w:rPr>
          <w:rFonts w:ascii="Arial" w:cs="Arial" w:eastAsia="Arial" w:hAnsi="Arial"/>
          <w:sz w:val="21"/>
          <w:szCs w:val="21"/>
          <w:color w:val="FF0000"/>
          <w:strike w:val="1"/>
        </w:rPr>
        <w:t>Eurodollar Rate</w:t>
      </w:r>
      <w:r>
        <w:rPr>
          <w:rFonts w:ascii="Arial" w:cs="Arial" w:eastAsia="Arial" w:hAnsi="Arial"/>
          <w:sz w:val="21"/>
          <w:szCs w:val="21"/>
          <w:u w:val="single" w:color="auto"/>
          <w:color w:val="0000FF"/>
        </w:rPr>
        <w:t>Adjusted</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Term SOFR</w:t>
      </w:r>
      <w:r>
        <w:rPr>
          <w:rFonts w:ascii="Arial" w:cs="Arial" w:eastAsia="Arial" w:hAnsi="Arial"/>
          <w:sz w:val="21"/>
          <w:szCs w:val="21"/>
          <w:color w:val="0000FF"/>
        </w:rPr>
        <w:t xml:space="preserve"> </w:t>
      </w:r>
      <w:r>
        <w:rPr>
          <w:rFonts w:ascii="Arial" w:cs="Arial" w:eastAsia="Arial" w:hAnsi="Arial"/>
          <w:sz w:val="21"/>
          <w:szCs w:val="21"/>
          <w:color w:val="000000"/>
        </w:rPr>
        <w:t>shall be effective from and including the effective date of such change in the Prime Rate, the NYFRB</w:t>
      </w:r>
      <w:r>
        <w:rPr>
          <w:rFonts w:ascii="Arial" w:cs="Arial" w:eastAsia="Arial" w:hAnsi="Arial"/>
          <w:sz w:val="21"/>
          <w:szCs w:val="21"/>
          <w:color w:val="0000FF"/>
        </w:rPr>
        <w:t xml:space="preserve"> </w:t>
      </w:r>
      <w:r>
        <w:rPr>
          <w:rFonts w:ascii="Arial" w:cs="Arial" w:eastAsia="Arial" w:hAnsi="Arial"/>
          <w:sz w:val="21"/>
          <w:szCs w:val="21"/>
          <w:color w:val="000000"/>
        </w:rPr>
        <w:t xml:space="preserve">Rate or the </w:t>
      </w:r>
      <w:r>
        <w:rPr>
          <w:rFonts w:ascii="Arial" w:cs="Arial" w:eastAsia="Arial" w:hAnsi="Arial"/>
          <w:sz w:val="21"/>
          <w:szCs w:val="21"/>
          <w:color w:val="FF0000"/>
          <w:strike w:val="1"/>
        </w:rPr>
        <w:t>Eurodollar Rate</w:t>
      </w:r>
      <w:r>
        <w:rPr>
          <w:rFonts w:ascii="Arial" w:cs="Arial" w:eastAsia="Arial" w:hAnsi="Arial"/>
          <w:sz w:val="21"/>
          <w:szCs w:val="21"/>
          <w:u w:val="single" w:color="auto"/>
          <w:color w:val="0000FF"/>
        </w:rPr>
        <w:t>Adjusted Term SOFR</w:t>
      </w:r>
      <w:r>
        <w:rPr>
          <w:rFonts w:ascii="Arial" w:cs="Arial" w:eastAsia="Arial" w:hAnsi="Arial"/>
          <w:sz w:val="21"/>
          <w:szCs w:val="21"/>
          <w:color w:val="000000"/>
        </w:rPr>
        <w:t xml:space="preserve"> , respectively. If the Base Rate is being used as an alternate rate of interest pursuant to </w:t>
      </w:r>
      <w:r>
        <w:rPr>
          <w:rFonts w:ascii="Arial" w:cs="Arial" w:eastAsia="Arial" w:hAnsi="Arial"/>
          <w:sz w:val="21"/>
          <w:szCs w:val="21"/>
          <w:u w:val="single" w:color="auto"/>
          <w:color w:val="000000"/>
        </w:rPr>
        <w:t>Section 2.10</w:t>
      </w:r>
      <w:r>
        <w:rPr>
          <w:rFonts w:ascii="Arial" w:cs="Arial" w:eastAsia="Arial" w:hAnsi="Arial"/>
          <w:sz w:val="21"/>
          <w:szCs w:val="21"/>
          <w:color w:val="000000"/>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Loans</w:t>
      </w:r>
      <w:r>
        <w:rPr>
          <w:rFonts w:ascii="Arial" w:cs="Arial" w:eastAsia="Arial" w:hAnsi="Arial"/>
          <w:sz w:val="22"/>
          <w:szCs w:val="22"/>
          <w:color w:val="auto"/>
        </w:rPr>
        <w:t>”: Loans the rate of interest applicable to which is based upon the Base Rate.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Revolving Borrowing</w:t>
      </w:r>
      <w:r>
        <w:rPr>
          <w:rFonts w:ascii="Arial" w:cs="Arial" w:eastAsia="Arial" w:hAnsi="Arial"/>
          <w:sz w:val="22"/>
          <w:szCs w:val="22"/>
          <w:color w:val="auto"/>
        </w:rPr>
        <w:t>”: a Borrowing of Revolving Loans that are Base Rate Loans.</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w:t>
      </w:r>
      <w:r>
        <w:rPr>
          <w:rFonts w:ascii="Arial" w:cs="Arial" w:eastAsia="Arial" w:hAnsi="Arial"/>
          <w:sz w:val="22"/>
          <w:szCs w:val="22"/>
          <w:color w:val="FF0000"/>
          <w:strike w:val="1"/>
        </w:rPr>
        <w:t>initially, LIBOR</w:t>
      </w:r>
      <w:r>
        <w:rPr>
          <w:rFonts w:ascii="Arial" w:cs="Arial" w:eastAsia="Arial" w:hAnsi="Arial"/>
          <w:sz w:val="22"/>
          <w:szCs w:val="22"/>
          <w:u w:val="single" w:color="auto"/>
          <w:color w:val="0000FF"/>
        </w:rPr>
        <w:t>following the Amendment No. 2 Effective Date, the Term SOFR Reference Rate</w:t>
      </w:r>
      <w:r>
        <w:rPr>
          <w:rFonts w:ascii="Arial" w:cs="Arial" w:eastAsia="Arial" w:hAnsi="Arial"/>
          <w:sz w:val="22"/>
          <w:szCs w:val="22"/>
          <w:color w:val="auto"/>
        </w:rPr>
        <w:t xml:space="preserve">; provided that if a Benchmark Transition Event </w:t>
      </w:r>
      <w:r>
        <w:rPr>
          <w:rFonts w:ascii="Arial" w:cs="Arial" w:eastAsia="Arial" w:hAnsi="Arial"/>
          <w:sz w:val="22"/>
          <w:szCs w:val="22"/>
          <w:color w:val="FF0000"/>
          <w:strike w:val="1"/>
        </w:rPr>
        <w:t>or an Early Opt-in Election, as applicable, and its</w:t>
      </w:r>
      <w:r>
        <w:rPr>
          <w:rFonts w:ascii="Arial" w:cs="Arial" w:eastAsia="Arial" w:hAnsi="Arial"/>
          <w:sz w:val="22"/>
          <w:szCs w:val="22"/>
          <w:u w:val="single" w:color="auto"/>
          <w:color w:val="0000FF"/>
        </w:rPr>
        <w:t>and the</w:t>
      </w:r>
      <w:r>
        <w:rPr>
          <w:rFonts w:ascii="Arial" w:cs="Arial" w:eastAsia="Arial" w:hAnsi="Arial"/>
          <w:sz w:val="22"/>
          <w:szCs w:val="22"/>
          <w:color w:val="auto"/>
        </w:rPr>
        <w:t xml:space="preserve"> related Benchmark Replacement Date have occurred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the Term SOFR Reference Rate</w:t>
      </w:r>
      <w:r>
        <w:rPr>
          <w:rFonts w:ascii="Arial" w:cs="Arial" w:eastAsia="Arial" w:hAnsi="Arial"/>
          <w:sz w:val="22"/>
          <w:szCs w:val="22"/>
          <w:color w:val="auto"/>
        </w:rPr>
        <w:t xml:space="preserve"> or the then-current Benchmark, then “Benchmark” means the applicable Benchmark Replacement</w:t>
      </w:r>
    </w:p>
    <w:p>
      <w:pPr>
        <w:sectPr>
          <w:pgSz w:w="11900" w:h="16838" w:orient="portrait"/>
          <w:cols w:equalWidth="0" w:num="1">
            <w:col w:w="11240"/>
          </w:cols>
          <w:pgMar w:left="320" w:top="1413" w:right="339" w:bottom="1440" w:gutter="0" w:footer="0" w:header="0"/>
        </w:sectPr>
      </w:pPr>
    </w:p>
    <w:bookmarkStart w:id="79" w:name="page80"/>
    <w:bookmarkEnd w:id="79"/>
    <w:p>
      <w:pPr>
        <w:spacing w:after="0"/>
        <w:rPr>
          <w:sz w:val="20"/>
          <w:szCs w:val="20"/>
          <w:color w:val="auto"/>
        </w:rPr>
      </w:pPr>
      <w:r>
        <w:rPr>
          <w:rFonts w:ascii="Arial" w:cs="Arial" w:eastAsia="Arial" w:hAnsi="Arial"/>
          <w:sz w:val="21"/>
          <w:szCs w:val="21"/>
          <w:color w:val="auto"/>
        </w:rPr>
        <w:t xml:space="preserve">to the extent that such Benchmark Replacement has replaced such prior benchmark rate pursuant to </w:t>
      </w:r>
      <w:r>
        <w:rPr>
          <w:rFonts w:ascii="Arial" w:cs="Arial" w:eastAsia="Arial" w:hAnsi="Arial"/>
          <w:sz w:val="21"/>
          <w:szCs w:val="21"/>
          <w:u w:val="single" w:color="auto"/>
          <w:color w:val="auto"/>
        </w:rPr>
        <w:t>Section 2.10(b)</w:t>
      </w:r>
      <w:r>
        <w:rPr>
          <w:rFonts w:ascii="Arial" w:cs="Arial" w:eastAsia="Arial" w:hAnsi="Arial"/>
          <w:sz w:val="21"/>
          <w:szCs w:val="21"/>
          <w:color w:val="auto"/>
        </w:rPr>
        <w:t>.</w:t>
      </w:r>
    </w:p>
    <w:p>
      <w:pPr>
        <w:spacing w:after="0" w:line="21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 for any Available Tenor,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(1) the sum of: (a) Term SOFR and (b) the related Benchmark Replacement Adjustment;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2</w:t>
      </w:r>
      <w:r>
        <w:rPr>
          <w:rFonts w:ascii="Arial" w:cs="Arial" w:eastAsia="Arial" w:hAnsi="Arial"/>
          <w:sz w:val="22"/>
          <w:szCs w:val="22"/>
          <w:u w:val="single" w:color="auto"/>
          <w:color w:val="0000FF"/>
        </w:rPr>
        <w:t>1</w:t>
      </w:r>
      <w:r>
        <w:rPr>
          <w:rFonts w:ascii="Arial" w:cs="Arial" w:eastAsia="Arial" w:hAnsi="Arial"/>
          <w:sz w:val="22"/>
          <w:szCs w:val="22"/>
          <w:color w:val="auto"/>
        </w:rPr>
        <w:t>) the sum of: (a) Daily Simple SOFR and (b) the related Benchmark Replacement Adjustment;</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FF0000"/>
          <w:strike w:val="1"/>
        </w:rPr>
        <w:t xml:space="preserve">provided that, in the case of clause (1), the Unadjusted Benchmark Replacement is displayed on a screen or other information service that publishes such rate from time to time as </w:t>
      </w:r>
      <w:r>
        <w:rPr>
          <w:rFonts w:ascii="Arial" w:cs="Arial" w:eastAsia="Arial" w:hAnsi="Arial"/>
          <w:sz w:val="22"/>
          <w:szCs w:val="22"/>
          <w:color w:val="008000"/>
          <w:strike w:val="1"/>
        </w:rPr>
        <w:t>selected by the Administrative Agent in its</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reasonable discretion</w:t>
      </w:r>
      <w:r>
        <w:rPr>
          <w:rFonts w:ascii="Arial" w:cs="Arial" w:eastAsia="Arial" w:hAnsi="Arial"/>
          <w:sz w:val="22"/>
          <w:szCs w:val="22"/>
          <w:color w:val="FF0000"/>
          <w:strike w:val="1"/>
        </w:rPr>
        <w:t>.</w:t>
      </w:r>
      <w:r>
        <w:rPr>
          <w:rFonts w:ascii="Arial" w:cs="Arial" w:eastAsia="Arial" w:hAnsi="Arial"/>
          <w:sz w:val="22"/>
          <w:szCs w:val="22"/>
          <w:color w:val="008000"/>
          <w:strike w:val="1"/>
        </w:rPr>
        <w:t xml:space="preserve"> </w:t>
      </w:r>
      <w:r>
        <w:rPr>
          <w:rFonts w:ascii="Arial" w:cs="Arial" w:eastAsia="Arial" w:hAnsi="Arial"/>
          <w:sz w:val="22"/>
          <w:szCs w:val="22"/>
          <w:color w:val="000000"/>
          <w:strike w:val="1"/>
        </w:rPr>
        <w:t>If the Benchmark Replacement as determined pursuant to clause (1)</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w:t>
      </w:r>
      <w:r>
        <w:rPr>
          <w:rFonts w:ascii="Arial" w:cs="Arial" w:eastAsia="Arial" w:hAnsi="Arial"/>
          <w:sz w:val="22"/>
          <w:szCs w:val="22"/>
          <w:color w:val="008000"/>
          <w:strike w:val="1"/>
        </w:rPr>
        <w:t xml:space="preserve"> </w:t>
      </w:r>
      <w:r>
        <w:rPr>
          <w:rFonts w:ascii="Arial" w:cs="Arial" w:eastAsia="Arial" w:hAnsi="Arial"/>
          <w:sz w:val="22"/>
          <w:szCs w:val="22"/>
          <w:u w:val="single" w:color="auto"/>
          <w:color w:val="0000FF"/>
          <w:strike w:val="1"/>
        </w:rPr>
        <w:t>or</w:t>
      </w:r>
      <w:r>
        <w:rPr>
          <w:rFonts w:ascii="Arial" w:cs="Arial" w:eastAsia="Arial" w:hAnsi="Arial"/>
          <w:sz w:val="22"/>
          <w:szCs w:val="22"/>
          <w:color w:val="008000"/>
          <w:strike w:val="1"/>
        </w:rPr>
        <w:t xml:space="preserve"> </w:t>
      </w:r>
      <w:r>
        <w:rPr>
          <w:rFonts w:ascii="Arial" w:cs="Arial" w:eastAsia="Arial" w:hAnsi="Arial"/>
          <w:sz w:val="22"/>
          <w:szCs w:val="22"/>
          <w:color w:val="000000"/>
          <w:strike w:val="1"/>
        </w:rPr>
        <w:t>(2</w:t>
      </w:r>
      <w:r>
        <w:rPr>
          <w:rFonts w:ascii="Arial" w:cs="Arial" w:eastAsia="Arial" w:hAnsi="Arial"/>
          <w:sz w:val="22"/>
          <w:szCs w:val="22"/>
          <w:color w:val="FF0000"/>
          <w:strike w:val="1"/>
        </w:rPr>
        <w:t>) or (3</w:t>
      </w:r>
      <w:r>
        <w:rPr>
          <w:rFonts w:ascii="Arial" w:cs="Arial" w:eastAsia="Arial" w:hAnsi="Arial"/>
          <w:sz w:val="22"/>
          <w:szCs w:val="22"/>
          <w:color w:val="000000"/>
          <w:strike w:val="1"/>
        </w:rPr>
        <w:t>) above would</w:t>
      </w:r>
      <w:r>
        <w:rPr>
          <w:rFonts w:ascii="Arial" w:cs="Arial" w:eastAsia="Arial" w:hAnsi="Arial"/>
          <w:sz w:val="22"/>
          <w:szCs w:val="22"/>
          <w:color w:val="008000"/>
          <w:strike w:val="1"/>
        </w:rPr>
        <w:t xml:space="preserve"> </w:t>
      </w:r>
      <w:r>
        <w:rPr>
          <w:rFonts w:ascii="Arial" w:cs="Arial" w:eastAsia="Arial" w:hAnsi="Arial"/>
          <w:sz w:val="22"/>
          <w:szCs w:val="22"/>
          <w:color w:val="000000"/>
          <w:strike w:val="1"/>
        </w:rPr>
        <w:t>be less than the Floor, the Benchmark Replacement will be deemed to be the Floor for the purposes of this Agreement and the other Loan Documents.</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with respect to any replacement of the then current Benchmark with an Unadjusted Benchmark Replacement for any applicable Interest Period and Available Tenor for any setting of such Unadjusted Benchmark Replacement:</w:t>
      </w:r>
    </w:p>
    <w:p>
      <w:pPr>
        <w:spacing w:after="0" w:line="185" w:lineRule="exact"/>
        <w:rPr>
          <w:sz w:val="20"/>
          <w:szCs w:val="20"/>
          <w:color w:val="auto"/>
        </w:rPr>
      </w:pPr>
    </w:p>
    <w:p>
      <w:pPr>
        <w:ind w:firstLine="656"/>
        <w:spacing w:after="0" w:line="251" w:lineRule="auto"/>
        <w:tabs>
          <w:tab w:leader="none" w:pos="9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for purposes of clause</w:t>
      </w:r>
      <w:r>
        <w:rPr>
          <w:rFonts w:ascii="Arial" w:cs="Arial" w:eastAsia="Arial" w:hAnsi="Arial"/>
          <w:sz w:val="22"/>
          <w:szCs w:val="22"/>
          <w:color w:val="FF0000"/>
          <w:strike w:val="1"/>
        </w:rPr>
        <w:t>s</w:t>
      </w:r>
      <w:r>
        <w:rPr>
          <w:rFonts w:ascii="Arial" w:cs="Arial" w:eastAsia="Arial" w:hAnsi="Arial"/>
          <w:sz w:val="22"/>
          <w:szCs w:val="22"/>
          <w:color w:val="auto"/>
        </w:rPr>
        <w:t xml:space="preserve"> (1</w:t>
      </w:r>
      <w:r>
        <w:rPr>
          <w:rFonts w:ascii="Arial" w:cs="Arial" w:eastAsia="Arial" w:hAnsi="Arial"/>
          <w:sz w:val="22"/>
          <w:szCs w:val="22"/>
          <w:color w:val="FF0000"/>
          <w:strike w:val="1"/>
        </w:rPr>
        <w:t>) and (2</w:t>
      </w:r>
      <w:r>
        <w:rPr>
          <w:rFonts w:ascii="Arial" w:cs="Arial" w:eastAsia="Arial" w:hAnsi="Arial"/>
          <w:sz w:val="22"/>
          <w:szCs w:val="22"/>
          <w:color w:val="auto"/>
        </w:rPr>
        <w:t>) of the definition of “Benchmark Replacement,” the first alternative set forth in the order below that can be determined by the Administrative Agent:</w:t>
      </w:r>
    </w:p>
    <w:p>
      <w:pPr>
        <w:spacing w:after="0" w:line="173" w:lineRule="exact"/>
        <w:rPr>
          <w:sz w:val="20"/>
          <w:szCs w:val="20"/>
          <w:color w:val="auto"/>
        </w:rPr>
      </w:pPr>
    </w:p>
    <w:p>
      <w:pPr>
        <w:jc w:val="both"/>
        <w:ind w:firstLine="656"/>
        <w:spacing w:after="0" w:line="238" w:lineRule="auto"/>
        <w:tabs>
          <w:tab w:leader="none" w:pos="118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4" w:lineRule="exact"/>
        <w:rPr>
          <w:rFonts w:ascii="Arial" w:cs="Arial" w:eastAsia="Arial" w:hAnsi="Arial"/>
          <w:sz w:val="22"/>
          <w:szCs w:val="22"/>
          <w:color w:val="auto"/>
        </w:rPr>
      </w:pPr>
    </w:p>
    <w:p>
      <w:pPr>
        <w:jc w:val="both"/>
        <w:ind w:firstLine="656"/>
        <w:spacing w:after="0" w:line="236" w:lineRule="auto"/>
        <w:tabs>
          <w:tab w:leader="none" w:pos="115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w:t>
      </w:r>
    </w:p>
    <w:p>
      <w:pPr>
        <w:sectPr>
          <w:pgSz w:w="11900" w:h="16838" w:orient="portrait"/>
          <w:cols w:equalWidth="0" w:num="1">
            <w:col w:w="11240"/>
          </w:cols>
          <w:pgMar w:left="320" w:top="1413" w:right="339" w:bottom="1440" w:gutter="0" w:footer="0" w:header="0"/>
        </w:sectPr>
      </w:pPr>
    </w:p>
    <w:bookmarkStart w:id="80" w:name="page81"/>
    <w:bookmarkEnd w:id="80"/>
    <w:p>
      <w:pPr>
        <w:spacing w:after="0" w:line="251" w:lineRule="auto"/>
        <w:rPr>
          <w:sz w:val="20"/>
          <w:szCs w:val="20"/>
          <w:color w:val="auto"/>
        </w:rPr>
      </w:pPr>
      <w:r>
        <w:rPr>
          <w:rFonts w:ascii="Arial" w:cs="Arial" w:eastAsia="Arial" w:hAnsi="Arial"/>
          <w:sz w:val="22"/>
          <w:szCs w:val="22"/>
          <w:color w:val="auto"/>
        </w:rPr>
        <w:t>ISDA Definitions to be effective upon an index cessation event with respect to such Benchmark for the applicable Corresponding Tenor; and</w:t>
      </w:r>
    </w:p>
    <w:p>
      <w:pPr>
        <w:spacing w:after="0" w:line="173" w:lineRule="exact"/>
        <w:rPr>
          <w:sz w:val="20"/>
          <w:szCs w:val="20"/>
          <w:color w:val="auto"/>
        </w:rPr>
      </w:pPr>
    </w:p>
    <w:p>
      <w:pPr>
        <w:jc w:val="both"/>
        <w:ind w:firstLine="656"/>
        <w:spacing w:after="0" w:line="232" w:lineRule="auto"/>
        <w:tabs>
          <w:tab w:leader="none" w:pos="1274"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for purposes of clause (</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8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xml:space="preserve">”: with respect to any Benchmark Replacement </w:t>
      </w:r>
      <w:r>
        <w:rPr>
          <w:rFonts w:ascii="Arial" w:cs="Arial" w:eastAsia="Arial" w:hAnsi="Arial"/>
          <w:sz w:val="21"/>
          <w:szCs w:val="21"/>
          <w:color w:val="0000FF"/>
        </w:rPr>
        <w:t>and/or any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SOFR Loan</w:t>
      </w:r>
      <w:r>
        <w:rPr>
          <w:rFonts w:ascii="Arial" w:cs="Arial" w:eastAsia="Arial" w:hAnsi="Arial"/>
          <w:sz w:val="21"/>
          <w:szCs w:val="21"/>
          <w:color w:val="000000"/>
        </w:rPr>
        <w:t>, any technical, administrative or operational changes (including changes to the definition of “Base Rate,”</w:t>
      </w:r>
      <w:r>
        <w:rPr>
          <w:rFonts w:ascii="Arial" w:cs="Arial" w:eastAsia="Arial" w:hAnsi="Arial"/>
          <w:sz w:val="21"/>
          <w:szCs w:val="21"/>
          <w:color w:val="0000FF"/>
        </w:rPr>
        <w:t xml:space="preserve"> </w:t>
      </w:r>
      <w:r>
        <w:rPr>
          <w:rFonts w:ascii="Arial" w:cs="Arial" w:eastAsia="Arial" w:hAnsi="Arial"/>
          <w:sz w:val="21"/>
          <w:szCs w:val="21"/>
          <w:color w:val="000000"/>
        </w:rPr>
        <w:t>the definition of “Business Day,” the definition of “</w:t>
      </w:r>
      <w:r>
        <w:rPr>
          <w:rFonts w:ascii="Arial" w:cs="Arial" w:eastAsia="Arial" w:hAnsi="Arial"/>
          <w:sz w:val="21"/>
          <w:szCs w:val="21"/>
          <w:u w:val="single" w:color="auto"/>
          <w:color w:val="0000FF"/>
        </w:rPr>
        <w:t>U.S. Government Securities Business Day”, the definition of</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w:t>
      </w:r>
      <w:r>
        <w:rPr>
          <w:rFonts w:ascii="Arial" w:cs="Arial" w:eastAsia="Arial" w:hAnsi="Arial"/>
          <w:sz w:val="21"/>
          <w:szCs w:val="21"/>
          <w:color w:val="000000"/>
        </w:rPr>
        <w:t>Interest Period,” timing and frequency of determining rates and making payments of interest, timing of borrowing</w:t>
      </w:r>
      <w:r>
        <w:rPr>
          <w:rFonts w:ascii="Arial" w:cs="Arial" w:eastAsia="Arial" w:hAnsi="Arial"/>
          <w:sz w:val="21"/>
          <w:szCs w:val="21"/>
          <w:color w:val="0000FF"/>
        </w:rPr>
        <w:t xml:space="preserve"> </w:t>
      </w:r>
      <w:r>
        <w:rPr>
          <w:rFonts w:ascii="Arial" w:cs="Arial" w:eastAsia="Arial" w:hAnsi="Arial"/>
          <w:sz w:val="21"/>
          <w:szCs w:val="21"/>
          <w:color w:val="000000"/>
        </w:rPr>
        <w:t xml:space="preserve">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w:t>
      </w:r>
      <w:r>
        <w:rPr>
          <w:rFonts w:ascii="Arial" w:cs="Arial" w:eastAsia="Arial" w:hAnsi="Arial"/>
          <w:sz w:val="21"/>
          <w:szCs w:val="21"/>
          <w:color w:val="FF0000"/>
          <w:strike w:val="1"/>
        </w:rPr>
        <w:t>Replacement</w:t>
      </w:r>
      <w:r>
        <w:rPr>
          <w:rFonts w:ascii="Arial" w:cs="Arial" w:eastAsia="Arial" w:hAnsi="Arial"/>
          <w:sz w:val="21"/>
          <w:szCs w:val="21"/>
          <w:color w:val="000000"/>
        </w:rPr>
        <w:t xml:space="preserv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w:t>
      </w:r>
      <w:r>
        <w:rPr>
          <w:rFonts w:ascii="Arial" w:cs="Arial" w:eastAsia="Arial" w:hAnsi="Arial"/>
          <w:sz w:val="21"/>
          <w:szCs w:val="21"/>
          <w:color w:val="FF0000"/>
          <w:strike w:val="1"/>
        </w:rPr>
        <w:t>Replacement</w:t>
      </w:r>
      <w:r>
        <w:rPr>
          <w:rFonts w:ascii="Arial" w:cs="Arial" w:eastAsia="Arial" w:hAnsi="Arial"/>
          <w:sz w:val="21"/>
          <w:szCs w:val="21"/>
          <w:color w:val="FF0000"/>
        </w:rPr>
        <w:t xml:space="preserve"> </w:t>
      </w:r>
      <w:r>
        <w:rPr>
          <w:rFonts w:ascii="Arial" w:cs="Arial" w:eastAsia="Arial" w:hAnsi="Arial"/>
          <w:sz w:val="21"/>
          <w:szCs w:val="21"/>
          <w:color w:val="000000"/>
        </w:rPr>
        <w:t>exists, in such other manner of administration as the Administrative Agent decides is reasonably</w:t>
      </w:r>
      <w:r>
        <w:rPr>
          <w:rFonts w:ascii="Arial" w:cs="Arial" w:eastAsia="Arial" w:hAnsi="Arial"/>
          <w:sz w:val="21"/>
          <w:szCs w:val="21"/>
          <w:color w:val="FF0000"/>
        </w:rPr>
        <w:t xml:space="preserve"> </w:t>
      </w:r>
      <w:r>
        <w:rPr>
          <w:rFonts w:ascii="Arial" w:cs="Arial" w:eastAsia="Arial" w:hAnsi="Arial"/>
          <w:sz w:val="21"/>
          <w:szCs w:val="21"/>
          <w:color w:val="000000"/>
        </w:rPr>
        <w:t>necessary in connection with the administration of this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6402070</wp:posOffset>
            </wp:positionH>
            <wp:positionV relativeFrom="paragraph">
              <wp:posOffset>-1719580</wp:posOffset>
            </wp:positionV>
            <wp:extent cx="7353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35330" cy="825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the earliest to occur of the following events with respect to the then-current</w:t>
      </w:r>
    </w:p>
    <w:p>
      <w:pPr>
        <w:spacing w:after="0"/>
        <w:rPr>
          <w:sz w:val="20"/>
          <w:szCs w:val="20"/>
          <w:color w:val="auto"/>
        </w:rPr>
      </w:pPr>
      <w:r>
        <w:rPr>
          <w:rFonts w:ascii="Arial" w:cs="Arial" w:eastAsia="Arial" w:hAnsi="Arial"/>
          <w:sz w:val="22"/>
          <w:szCs w:val="22"/>
          <w:color w:val="auto"/>
        </w:rPr>
        <w:t>Benchmark:</w:t>
      </w:r>
    </w:p>
    <w:p>
      <w:pPr>
        <w:spacing w:after="0" w:line="190" w:lineRule="exact"/>
        <w:rPr>
          <w:sz w:val="20"/>
          <w:szCs w:val="20"/>
          <w:color w:val="auto"/>
        </w:rPr>
      </w:pPr>
    </w:p>
    <w:p>
      <w:pPr>
        <w:jc w:val="both"/>
        <w:ind w:firstLine="980"/>
        <w:spacing w:after="0" w:line="231"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2"/>
          <w:szCs w:val="22"/>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-29210</wp:posOffset>
            </wp:positionV>
            <wp:extent cx="1600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ind w:firstLine="980"/>
        <w:spacing w:after="0" w:line="239" w:lineRule="auto"/>
        <w:tabs>
          <w:tab w:leader="none" w:pos="1343"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in the case of clause (3) of the definition of “Benchmark Transition Event,” the date of the public statement or publication of information referenced therein; </w:t>
      </w:r>
      <w:r>
        <w:rPr>
          <w:rFonts w:ascii="Arial" w:cs="Arial" w:eastAsia="Arial" w:hAnsi="Arial"/>
          <w:sz w:val="22"/>
          <w:szCs w:val="22"/>
          <w:color w:val="FF0000"/>
          <w:strike w:val="1"/>
        </w:rPr>
        <w:t>or</w:t>
      </w:r>
    </w:p>
    <w:p>
      <w:pPr>
        <w:spacing w:after="0" w:line="171" w:lineRule="exact"/>
        <w:rPr>
          <w:rFonts w:ascii="Arial" w:cs="Arial" w:eastAsia="Arial" w:hAnsi="Arial"/>
          <w:sz w:val="22"/>
          <w:szCs w:val="22"/>
          <w:color w:val="auto"/>
        </w:rPr>
      </w:pPr>
    </w:p>
    <w:p>
      <w:pPr>
        <w:jc w:val="both"/>
        <w:ind w:firstLine="980"/>
        <w:spacing w:after="0" w:line="231" w:lineRule="auto"/>
        <w:tabs>
          <w:tab w:leader="none" w:pos="1308" w:val="left"/>
        </w:tabs>
        <w:numPr>
          <w:ilvl w:val="0"/>
          <w:numId w:val="40"/>
        </w:numPr>
        <w:rPr>
          <w:rFonts w:ascii="Arial" w:cs="Arial" w:eastAsia="Arial" w:hAnsi="Arial"/>
          <w:sz w:val="22"/>
          <w:szCs w:val="22"/>
          <w:color w:val="FF0000"/>
          <w:strike w:val="1"/>
        </w:rPr>
      </w:pPr>
      <w:r>
        <w:rPr>
          <w:rFonts w:ascii="Arial" w:cs="Arial" w:eastAsia="Arial" w:hAnsi="Arial"/>
          <w:sz w:val="22"/>
          <w:szCs w:val="22"/>
          <w:color w:val="FF0000"/>
          <w:strike w:val="1"/>
        </w:rPr>
        <w:t xml:space="preserve">in the case of an Early Opt-in Election, the sixth (6th) Business Day after the date notice of such Early Opt-in Election is provided to the Lenders, so long as the Administrative Agent has not received, by </w:t>
      </w:r>
      <w:r>
        <w:rPr>
          <w:rFonts w:ascii="Arial" w:cs="Arial" w:eastAsia="Arial" w:hAnsi="Arial"/>
          <w:sz w:val="22"/>
          <w:szCs w:val="22"/>
          <w:color w:val="008000"/>
          <w:strike w:val="1"/>
        </w:rPr>
        <w:t>5:00 p.m. (New</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York City time) on </w:t>
      </w:r>
      <w:r>
        <w:rPr>
          <w:rFonts w:ascii="Arial" w:cs="Arial" w:eastAsia="Arial" w:hAnsi="Arial"/>
          <w:sz w:val="22"/>
          <w:szCs w:val="22"/>
          <w:color w:val="FF0000"/>
          <w:strike w:val="1"/>
        </w:rPr>
        <w:t>the fifth (5th) Business Day after the date notice of such Early Opt-in Election is provided to the</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Lenders, written notice of objection to such Early Opt-in Election from Lenders comprising the Required Lenders.</w:t>
      </w:r>
    </w:p>
    <w:p>
      <w:pPr>
        <w:spacing w:after="0" w:line="174" w:lineRule="exact"/>
        <w:rPr>
          <w:sz w:val="20"/>
          <w:szCs w:val="20"/>
          <w:color w:val="auto"/>
        </w:rPr>
      </w:pPr>
    </w:p>
    <w:p>
      <w:pPr>
        <w:jc w:val="both"/>
        <w:ind w:firstLine="972"/>
        <w:spacing w:after="0" w:line="22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with respect to any Benchmark, the occurrence of one or more of the following events with respect to the then-current Benchmark:</w:t>
      </w:r>
    </w:p>
    <w:p>
      <w:pPr>
        <w:spacing w:after="0" w:line="173" w:lineRule="exact"/>
        <w:rPr>
          <w:sz w:val="20"/>
          <w:szCs w:val="20"/>
          <w:color w:val="auto"/>
        </w:rPr>
      </w:pPr>
    </w:p>
    <w:p>
      <w:pPr>
        <w:jc w:val="both"/>
        <w:ind w:firstLine="980"/>
        <w:spacing w:after="0" w:line="229" w:lineRule="auto"/>
        <w:tabs>
          <w:tab w:leader="none" w:pos="13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0" w:lineRule="exact"/>
        <w:rPr>
          <w:rFonts w:ascii="Arial" w:cs="Arial" w:eastAsia="Arial" w:hAnsi="Arial"/>
          <w:sz w:val="22"/>
          <w:szCs w:val="22"/>
          <w:color w:val="auto"/>
        </w:rPr>
      </w:pPr>
    </w:p>
    <w:p>
      <w:pPr>
        <w:jc w:val="both"/>
        <w:ind w:firstLine="980"/>
        <w:spacing w:after="0" w:line="223"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w:t>
      </w:r>
      <w:r>
        <w:rPr>
          <w:rFonts w:ascii="Arial" w:cs="Arial" w:eastAsia="Arial" w:hAnsi="Arial"/>
          <w:sz w:val="22"/>
          <w:szCs w:val="22"/>
          <w:u w:val="single" w:color="auto"/>
          <w:color w:val="0000FF"/>
        </w:rPr>
        <w:t>the Term SOFR Administrator,</w:t>
      </w:r>
      <w:r>
        <w:rPr>
          <w:rFonts w:ascii="Arial" w:cs="Arial" w:eastAsia="Arial" w:hAnsi="Arial"/>
          <w:sz w:val="22"/>
          <w:szCs w:val="22"/>
          <w:color w:val="auto"/>
        </w:rPr>
        <w:t xml:space="preserve">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4" w:lineRule="exact"/>
        <w:rPr>
          <w:rFonts w:ascii="Arial" w:cs="Arial" w:eastAsia="Arial" w:hAnsi="Arial"/>
          <w:sz w:val="22"/>
          <w:szCs w:val="22"/>
          <w:color w:val="auto"/>
        </w:rPr>
      </w:pPr>
    </w:p>
    <w:p>
      <w:pPr>
        <w:jc w:val="both"/>
        <w:ind w:firstLine="980"/>
        <w:spacing w:after="0" w:line="232"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324"/>
        <w:spacing w:after="0" w:line="232"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 any of (a) an “employee benefit plan” (as defined in Section 3(3) of ERISA) that is subject to Title I of ERISA, (b) a “plan” as defined in Section 4975 of the Code to which Section 4975 of the Code applies, and</w:t>
      </w:r>
    </w:p>
    <w:p>
      <w:pPr>
        <w:ind w:firstLine="8"/>
        <w:spacing w:after="0" w:line="238" w:lineRule="auto"/>
        <w:tabs>
          <w:tab w:leader="none" w:pos="32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Person whose assets include (for purposes of the Plan Asset Regulations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Benefited Lender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9.7(a)</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the board of directors of the Borrower or any committee thereof duly authorized to act on behalf of such board.</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Governors</w:t>
      </w:r>
      <w:r>
        <w:rPr>
          <w:rFonts w:ascii="Arial" w:cs="Arial" w:eastAsia="Arial" w:hAnsi="Arial"/>
          <w:sz w:val="22"/>
          <w:szCs w:val="22"/>
          <w:color w:val="auto"/>
        </w:rPr>
        <w:t>”: the Board of Governors of the Federal Reserve System of the United States or any Governmental Authority which succeeds to the powers and functions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the meaning set forth in the preamble to this Agreement.</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Loans of the same Type, made, converted or continued on the same date and, in the case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as to which a single Interest Period is in effect.</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the Business Day specified in a Borrowing Request as a date on which the Borrower requests the making of Loans hereunder.</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 a request by the Borrower for a Borrowing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any day other than a Legal Holiday</w:t>
      </w:r>
      <w:r>
        <w:rPr>
          <w:rFonts w:ascii="Arial" w:cs="Arial" w:eastAsia="Arial" w:hAnsi="Arial"/>
          <w:sz w:val="22"/>
          <w:szCs w:val="22"/>
          <w:color w:val="FF0000"/>
          <w:strike w:val="1"/>
        </w:rPr>
        <w:t>.</w:t>
      </w:r>
      <w:r>
        <w:rPr>
          <w:rFonts w:ascii="Arial" w:cs="Arial" w:eastAsia="Arial" w:hAnsi="Arial"/>
          <w:sz w:val="22"/>
          <w:szCs w:val="22"/>
          <w:u w:val="single" w:color="auto"/>
          <w:color w:val="0000FF"/>
        </w:rPr>
        <w:t>; provided that, in addition to the foregoing, a Business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Day shall be, in relation to a Loan referencing the Adjusted</w:t>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41" w:lineRule="auto"/>
        <w:rPr>
          <w:sz w:val="20"/>
          <w:szCs w:val="20"/>
          <w:color w:val="auto"/>
        </w:rPr>
      </w:pPr>
      <w:r>
        <w:rPr>
          <w:rFonts w:ascii="Arial" w:cs="Arial" w:eastAsia="Arial" w:hAnsi="Arial"/>
          <w:sz w:val="22"/>
          <w:szCs w:val="22"/>
          <w:u w:val="single" w:color="auto"/>
          <w:color w:val="0000FF"/>
        </w:rPr>
        <w:t>Term SOFR any interest rate settings, fundings, disbursements, settlements or payments of any such Loans referencing the Adjusted Term SOFR or any other dealings of such Loans referencing the Adjusted Term SOFR Rate, any such day that is a U.S. Government Securities Business Day.</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Subsidiary</w:t>
      </w:r>
      <w:r>
        <w:rPr>
          <w:rFonts w:ascii="Arial" w:cs="Arial" w:eastAsia="Arial" w:hAnsi="Arial"/>
          <w:sz w:val="22"/>
          <w:szCs w:val="22"/>
          <w:color w:val="auto"/>
        </w:rPr>
        <w:t>”: any Restricted Subsidiary of the Borrower that is subject to regulation as an insurance company (or any Restricted Subsidiary thereof).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any controlled foreign corporation within the meaning of Section 957 of the Code.</w:t>
      </w:r>
    </w:p>
    <w:p>
      <w:pPr>
        <w:spacing w:after="0" w:line="20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any charge, expense, cost, accrual or reserve of any kind.</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Loans made pursuant to Commitments with a like maturity date, and when used in reference to Lenders refers to Lenders making the same Class of Loans.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date on which the conditions precedent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have been satisfied or waived, which date is May 14, 2021.</w:t>
      </w:r>
    </w:p>
    <w:p>
      <w:pPr>
        <w:sectPr>
          <w:pgSz w:w="11900" w:h="16838" w:orient="portrait"/>
          <w:cols w:equalWidth="0" w:num="1">
            <w:col w:w="11240"/>
          </w:cols>
          <w:pgMar w:left="320" w:top="1413"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 with respect to any Lender, each Revolving Commitment or Incremental Revolving Commitment, if any, of such Lender.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Fee Percentage</w:t>
      </w:r>
      <w:r>
        <w:rPr>
          <w:rFonts w:ascii="Arial" w:cs="Arial" w:eastAsia="Arial" w:hAnsi="Arial"/>
          <w:sz w:val="21"/>
          <w:szCs w:val="21"/>
          <w:color w:val="auto"/>
        </w:rPr>
        <w:t>”: the applicable rate per annum set forth below under the caption “Commitment</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Fee Percentage” corresponding to the Corporate Ratings from the Rating Agencies applicable on such date:</w:t>
      </w:r>
    </w:p>
    <w:p>
      <w:pPr>
        <w:spacing w:after="0" w:line="194" w:lineRule="exact"/>
        <w:rPr>
          <w:sz w:val="20"/>
          <w:szCs w:val="20"/>
          <w:color w:val="auto"/>
        </w:rPr>
      </w:pPr>
    </w:p>
    <w:tbl>
      <w:tblPr>
        <w:tblLayout w:type="fixed"/>
        <w:tblInd w:w="2280" w:type="dxa"/>
        <w:tblCellMar>
          <w:top w:w="0" w:type="dxa"/>
          <w:left w:w="0" w:type="dxa"/>
          <w:bottom w:w="0" w:type="dxa"/>
          <w:right w:w="0" w:type="dxa"/>
        </w:tblCellMar>
      </w:tblPr>
      <w:tr>
        <w:trPr>
          <w:trHeight w:val="253"/>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Pricing Level:</w:t>
            </w:r>
          </w:p>
        </w:tc>
        <w:tc>
          <w:tcPr>
            <w:tcW w:w="2700" w:type="dxa"/>
            <w:vAlign w:val="bottom"/>
          </w:tcPr>
          <w:p>
            <w:pPr>
              <w:jc w:val="center"/>
              <w:spacing w:after="0"/>
              <w:rPr>
                <w:sz w:val="20"/>
                <w:szCs w:val="20"/>
                <w:color w:val="auto"/>
              </w:rPr>
            </w:pPr>
            <w:r>
              <w:rPr>
                <w:rFonts w:ascii="Arial" w:cs="Arial" w:eastAsia="Arial" w:hAnsi="Arial"/>
                <w:sz w:val="22"/>
                <w:szCs w:val="22"/>
                <w:color w:val="auto"/>
                <w:w w:val="98"/>
              </w:rPr>
              <w:t>Corporate Ratings:</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7"/>
              </w:rPr>
              <w:t>Commitment Fee</w:t>
            </w:r>
          </w:p>
        </w:tc>
      </w:tr>
      <w:tr>
        <w:trPr>
          <w:trHeight w:val="277"/>
        </w:trPr>
        <w:tc>
          <w:tcPr>
            <w:tcW w:w="2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right="12"/>
              <w:spacing w:after="0"/>
              <w:rPr>
                <w:sz w:val="20"/>
                <w:szCs w:val="20"/>
                <w:color w:val="auto"/>
              </w:rPr>
            </w:pPr>
            <w:r>
              <w:rPr>
                <w:rFonts w:ascii="Arial" w:cs="Arial" w:eastAsia="Arial" w:hAnsi="Arial"/>
                <w:sz w:val="22"/>
                <w:szCs w:val="22"/>
                <w:color w:val="auto"/>
                <w:w w:val="99"/>
              </w:rPr>
              <w:t>Percentage</w:t>
            </w:r>
          </w:p>
        </w:tc>
      </w:tr>
      <w:tr>
        <w:trPr>
          <w:trHeight w:val="275"/>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Level 1</w:t>
            </w:r>
          </w:p>
        </w:tc>
        <w:tc>
          <w:tcPr>
            <w:tcW w:w="2700" w:type="dxa"/>
            <w:vAlign w:val="bottom"/>
          </w:tcPr>
          <w:p>
            <w:pPr>
              <w:jc w:val="center"/>
              <w:spacing w:after="0"/>
              <w:rPr>
                <w:sz w:val="20"/>
                <w:szCs w:val="20"/>
                <w:color w:val="auto"/>
              </w:rPr>
            </w:pPr>
            <w:r>
              <w:rPr>
                <w:rFonts w:ascii="Arial" w:cs="Arial" w:eastAsia="Arial" w:hAnsi="Arial"/>
                <w:sz w:val="22"/>
                <w:szCs w:val="22"/>
                <w:color w:val="auto"/>
                <w:w w:val="97"/>
              </w:rPr>
              <w:t>≥ BBB+ / Baa1 / BBB</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6"/>
              </w:rPr>
              <w:t>0.125%</w:t>
            </w:r>
          </w:p>
        </w:tc>
      </w:tr>
      <w:tr>
        <w:trPr>
          <w:trHeight w:val="284"/>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Level 2</w:t>
            </w:r>
          </w:p>
        </w:tc>
        <w:tc>
          <w:tcPr>
            <w:tcW w:w="2700" w:type="dxa"/>
            <w:vAlign w:val="bottom"/>
          </w:tcPr>
          <w:p>
            <w:pPr>
              <w:jc w:val="center"/>
              <w:spacing w:after="0"/>
              <w:rPr>
                <w:sz w:val="20"/>
                <w:szCs w:val="20"/>
                <w:color w:val="auto"/>
              </w:rPr>
            </w:pPr>
            <w:r>
              <w:rPr>
                <w:rFonts w:ascii="Arial" w:cs="Arial" w:eastAsia="Arial" w:hAnsi="Arial"/>
                <w:sz w:val="22"/>
                <w:szCs w:val="22"/>
                <w:color w:val="auto"/>
                <w:w w:val="98"/>
              </w:rPr>
              <w:t>BBB / Baa2 / BBB</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6"/>
              </w:rPr>
              <w:t>0.15%</w:t>
            </w:r>
          </w:p>
        </w:tc>
      </w:tr>
      <w:tr>
        <w:trPr>
          <w:trHeight w:val="297"/>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Level 3</w:t>
            </w:r>
          </w:p>
        </w:tc>
        <w:tc>
          <w:tcPr>
            <w:tcW w:w="2700" w:type="dxa"/>
            <w:vAlign w:val="bottom"/>
          </w:tcPr>
          <w:p>
            <w:pPr>
              <w:jc w:val="center"/>
              <w:spacing w:after="0"/>
              <w:rPr>
                <w:sz w:val="20"/>
                <w:szCs w:val="20"/>
                <w:color w:val="auto"/>
              </w:rPr>
            </w:pPr>
            <w:r>
              <w:rPr>
                <w:rFonts w:ascii="Arial" w:cs="Arial" w:eastAsia="Arial" w:hAnsi="Arial"/>
                <w:sz w:val="22"/>
                <w:szCs w:val="22"/>
                <w:color w:val="auto"/>
                <w:w w:val="97"/>
              </w:rPr>
              <w:t>BBB- / Baa3 / BBB-</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6"/>
              </w:rPr>
              <w:t>0.175%</w:t>
            </w:r>
          </w:p>
        </w:tc>
      </w:tr>
      <w:tr>
        <w:trPr>
          <w:trHeight w:val="297"/>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Level 4</w:t>
            </w:r>
          </w:p>
        </w:tc>
        <w:tc>
          <w:tcPr>
            <w:tcW w:w="2700" w:type="dxa"/>
            <w:vAlign w:val="bottom"/>
          </w:tcPr>
          <w:p>
            <w:pPr>
              <w:jc w:val="center"/>
              <w:spacing w:after="0"/>
              <w:rPr>
                <w:sz w:val="20"/>
                <w:szCs w:val="20"/>
                <w:color w:val="auto"/>
              </w:rPr>
            </w:pPr>
            <w:r>
              <w:rPr>
                <w:rFonts w:ascii="Arial" w:cs="Arial" w:eastAsia="Arial" w:hAnsi="Arial"/>
                <w:sz w:val="22"/>
                <w:szCs w:val="22"/>
                <w:color w:val="auto"/>
                <w:w w:val="98"/>
              </w:rPr>
              <w:t>BB+ / Ba1 / BB+</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6"/>
              </w:rPr>
              <w:t>0.225%</w:t>
            </w:r>
          </w:p>
        </w:tc>
      </w:tr>
      <w:tr>
        <w:trPr>
          <w:trHeight w:val="297"/>
        </w:trPr>
        <w:tc>
          <w:tcPr>
            <w:tcW w:w="2220" w:type="dxa"/>
            <w:vAlign w:val="bottom"/>
          </w:tcPr>
          <w:p>
            <w:pPr>
              <w:jc w:val="center"/>
              <w:ind w:left="92"/>
              <w:spacing w:after="0"/>
              <w:rPr>
                <w:sz w:val="20"/>
                <w:szCs w:val="20"/>
                <w:color w:val="auto"/>
              </w:rPr>
            </w:pPr>
            <w:r>
              <w:rPr>
                <w:rFonts w:ascii="Arial" w:cs="Arial" w:eastAsia="Arial" w:hAnsi="Arial"/>
                <w:sz w:val="22"/>
                <w:szCs w:val="22"/>
                <w:color w:val="auto"/>
                <w:w w:val="98"/>
              </w:rPr>
              <w:t>Level 5</w:t>
            </w:r>
          </w:p>
        </w:tc>
        <w:tc>
          <w:tcPr>
            <w:tcW w:w="2700" w:type="dxa"/>
            <w:vAlign w:val="bottom"/>
          </w:tcPr>
          <w:p>
            <w:pPr>
              <w:jc w:val="center"/>
              <w:spacing w:after="0"/>
              <w:rPr>
                <w:sz w:val="20"/>
                <w:szCs w:val="20"/>
                <w:color w:val="auto"/>
              </w:rPr>
            </w:pPr>
            <w:r>
              <w:rPr>
                <w:rFonts w:ascii="Arial" w:cs="Arial" w:eastAsia="Arial" w:hAnsi="Arial"/>
                <w:sz w:val="22"/>
                <w:szCs w:val="22"/>
                <w:color w:val="auto"/>
                <w:w w:val="98"/>
              </w:rPr>
              <w:t>≤ BB / Ba2 / BB</w:t>
            </w:r>
          </w:p>
        </w:tc>
        <w:tc>
          <w:tcPr>
            <w:tcW w:w="2400" w:type="dxa"/>
            <w:vAlign w:val="bottom"/>
          </w:tcPr>
          <w:p>
            <w:pPr>
              <w:jc w:val="center"/>
              <w:ind w:right="12"/>
              <w:spacing w:after="0"/>
              <w:rPr>
                <w:sz w:val="20"/>
                <w:szCs w:val="20"/>
                <w:color w:val="auto"/>
              </w:rPr>
            </w:pPr>
            <w:r>
              <w:rPr>
                <w:rFonts w:ascii="Arial" w:cs="Arial" w:eastAsia="Arial" w:hAnsi="Arial"/>
                <w:sz w:val="22"/>
                <w:szCs w:val="22"/>
                <w:color w:val="auto"/>
                <w:w w:val="96"/>
              </w:rPr>
              <w:t>0.275%</w:t>
            </w:r>
          </w:p>
        </w:tc>
      </w:tr>
    </w:tbl>
    <w:p>
      <w:pPr>
        <w:spacing w:after="0" w:line="30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the foregoing, (i) if only one Corporate Rating is in effect, the Commitment Fee Percentage shall be determined by reference to such available Corporate Rating, (i) if two or three Corporate Ratings are in effect, the Commitment Fee Percentage shall be determined by reference to the highest of the two or three, as applicable, Corporate Ratings unless the other Corporate Rating(s) are more than one notch lower than the highest Corporate Rating, in which case, the Commitment Fee Percentage shall be one notch lower than such highest Corporate Rating; (iii) if no Corporate Rating is in effect, the Commitment Fee Percentage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Each change in the Commitment Fee Percentage shall apply during the period commencing on the effective date of such change and ending on the date immediately preceding the effective date of the next Corporate Rating change.</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Subject to Section 2.25(d), the Commitment Fee Percentage shall be adjusted on each Sustainability Adjustment Date based upon the Sustainability Commitment Fee Adjustment (to be calculated and applied as set forth in in the definition thereof and in Section 2.25(a)); provided that in no event shall the Commitment Fee Percentage be less than 0.00%.</w:t>
      </w:r>
    </w:p>
    <w:p>
      <w:pPr>
        <w:sectPr>
          <w:pgSz w:w="11900" w:h="16838" w:orient="portrait"/>
          <w:cols w:equalWidth="0" w:num="1">
            <w:col w:w="11240"/>
          </w:cols>
          <w:pgMar w:left="320" w:top="1413" w:right="339" w:bottom="1440" w:gutter="0" w:footer="0" w:header="0"/>
        </w:sectPr>
      </w:pPr>
    </w:p>
    <w:bookmarkStart w:id="85" w:name="page86"/>
    <w:bookmarkEnd w:id="85"/>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a compliance certificate to be delivered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1"/>
          <w:szCs w:val="21"/>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w:t>
      </w:r>
    </w:p>
    <w:p>
      <w:pPr>
        <w:spacing w:after="0" w:line="1" w:lineRule="exact"/>
        <w:rPr>
          <w:sz w:val="20"/>
          <w:szCs w:val="20"/>
          <w:color w:val="auto"/>
        </w:rPr>
      </w:pPr>
    </w:p>
    <w:p>
      <w:pPr>
        <w:jc w:val="both"/>
        <w:ind w:firstLine="8"/>
        <w:spacing w:after="0" w:line="230" w:lineRule="auto"/>
        <w:tabs>
          <w:tab w:leader="none" w:pos="389"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9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Income Tax Expense</w:t>
      </w:r>
      <w:r>
        <w:rPr>
          <w:rFonts w:ascii="Arial" w:cs="Arial" w:eastAsia="Arial" w:hAnsi="Arial"/>
          <w:sz w:val="22"/>
          <w:szCs w:val="22"/>
          <w:color w:val="auto"/>
        </w:rPr>
        <w:t>”: with respect to any Person for any period, the provision for (or benefit of) federal, state, local and foreign income taxes of such</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41" w:lineRule="auto"/>
        <w:rPr>
          <w:sz w:val="20"/>
          <w:szCs w:val="20"/>
          <w:color w:val="auto"/>
        </w:rPr>
      </w:pPr>
      <w:r>
        <w:rPr>
          <w:rFonts w:ascii="Arial" w:cs="Arial" w:eastAsia="Arial" w:hAnsi="Arial"/>
          <w:sz w:val="22"/>
          <w:szCs w:val="22"/>
          <w:color w:val="auto"/>
        </w:rPr>
        <w:t>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18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 (b) interest income of such Person and its Consolidated Subsidiaries for such period determined on a consolidated basis in accordance with GAAP.</w:t>
      </w:r>
    </w:p>
    <w:p>
      <w:pPr>
        <w:spacing w:after="0" w:line="18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1" w:lineRule="auto"/>
        <w:rPr>
          <w:sz w:val="20"/>
          <w:szCs w:val="20"/>
          <w:color w:val="auto"/>
        </w:rPr>
      </w:pPr>
      <w:r>
        <w:rPr>
          <w:rFonts w:ascii="Arial" w:cs="Arial" w:eastAsia="Arial" w:hAnsi="Arial"/>
          <w:sz w:val="22"/>
          <w:szCs w:val="22"/>
          <w:color w:val="auto"/>
        </w:rPr>
        <w:t>other reimbursement provisions in connection with any investment or sale, conveyance, transfer or disposition of assets not prohibited under this Agreement.</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Tangible Assets</w:t>
      </w:r>
      <w:r>
        <w:rPr>
          <w:rFonts w:ascii="Arial" w:cs="Arial" w:eastAsia="Arial" w:hAnsi="Arial"/>
          <w:sz w:val="22"/>
          <w:szCs w:val="22"/>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Non-cash Charges</w:t>
      </w:r>
      <w:r>
        <w:rPr>
          <w:rFonts w:ascii="Arial" w:cs="Arial" w:eastAsia="Arial" w:hAnsi="Arial"/>
          <w:sz w:val="21"/>
          <w:szCs w:val="21"/>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Subsidiaries</w:t>
      </w:r>
      <w:r>
        <w:rPr>
          <w:rFonts w:ascii="Arial" w:cs="Arial" w:eastAsia="Arial" w:hAnsi="Arial"/>
          <w:sz w:val="22"/>
          <w:szCs w:val="22"/>
          <w:color w:val="auto"/>
        </w:rPr>
        <w:t xml:space="preserve"> ”: as of any date of determination and with respect to any Person, those Subsidiaries of that Person whose financial data is, in accordance with GAAP, reflected in that Person’s consolidated financial statements.</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Licenses</w:t>
      </w:r>
      <w:r>
        <w:rPr>
          <w:rFonts w:ascii="Arial" w:cs="Arial" w:eastAsia="Arial" w:hAnsi="Arial"/>
          <w:sz w:val="22"/>
          <w:szCs w:val="22"/>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ectPr>
          <w:pgSz w:w="11900" w:h="16838" w:orient="portrait"/>
          <w:cols w:equalWidth="0" w:num="1">
            <w:col w:w="11240"/>
          </w:cols>
          <w:pgMar w:left="320" w:top="1413" w:right="339" w:bottom="1440" w:gutter="0" w:footer="0" w:header="0"/>
        </w:sectPr>
      </w:pPr>
    </w:p>
    <w:bookmarkStart w:id="88" w:name="page89"/>
    <w:bookmarkEnd w:id="88"/>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Rating</w:t>
      </w:r>
      <w:r>
        <w:rPr>
          <w:rFonts w:ascii="Arial" w:cs="Arial" w:eastAsia="Arial" w:hAnsi="Arial"/>
          <w:sz w:val="22"/>
          <w:szCs w:val="22"/>
          <w:color w:val="auto"/>
        </w:rPr>
        <w:t>”: the Borrower’s “corporate rating” or “corporate family rating” from S&amp;P or Moody’s or Fitch, respectively, including any successor term for such rating adopted by such rating agency.</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Simple SOFR</w:t>
      </w:r>
      <w:r>
        <w:rPr>
          <w:rFonts w:ascii="Arial" w:cs="Arial" w:eastAsia="Arial" w:hAnsi="Arial"/>
          <w:sz w:val="21"/>
          <w:szCs w:val="21"/>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Disbursement</w:t>
      </w:r>
      <w:r>
        <w:rPr>
          <w:rFonts w:ascii="Arial" w:cs="Arial" w:eastAsia="Arial" w:hAnsi="Arial"/>
          <w:sz w:val="22"/>
          <w:szCs w:val="22"/>
          <w:color w:val="auto"/>
        </w:rPr>
        <w:t>”: a payment made by an Issuing Bank pursuant to a Documentary Credit.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Exposure</w:t>
      </w:r>
      <w:r>
        <w:rPr>
          <w:rFonts w:ascii="Arial" w:cs="Arial" w:eastAsia="Arial" w:hAnsi="Arial"/>
          <w:sz w:val="22"/>
          <w:szCs w:val="22"/>
          <w:color w:val="auto"/>
        </w:rPr>
        <w:t xml:space="preserve">”: at any time, the sum of (a) the aggregate undrawn and unexpired amount of all outstanding Documentary Credits at such time plus (b) the aggregate amount of all DC Disbursements that have not yet been reimbursed by or on behalf of the Borrower at such time. The DC Exposure of any Lender at any time shall be its Revolving Loan Percentage of the DC Exposure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Section 2.24 when a Defaulting Lender shall exist, the DC Exposure of any Lender shall be adjusted to give effect to any reallocation effected pursuant to Section 2.24.</w:t>
      </w:r>
    </w:p>
    <w:p>
      <w:pPr>
        <w:spacing w:after="0" w:line="17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DC Obligations</w:t>
      </w:r>
      <w:r>
        <w:rPr>
          <w:rFonts w:ascii="Arial" w:cs="Arial" w:eastAsia="Arial" w:hAnsi="Arial"/>
          <w:sz w:val="22"/>
          <w:szCs w:val="22"/>
          <w:color w:val="auto"/>
        </w:rPr>
        <w:t xml:space="preserve">”: at any time, an amount equal to the sum of (a) the aggregate then undrawn and unexpired amount of the then outstanding Documentary Credits and (b) the aggregate amount of drawings under Documentary Credits that have not then been reimbursed pursuant to </w:t>
      </w:r>
      <w:r>
        <w:rPr>
          <w:rFonts w:ascii="Arial" w:cs="Arial" w:eastAsia="Arial" w:hAnsi="Arial"/>
          <w:sz w:val="22"/>
          <w:szCs w:val="22"/>
          <w:u w:val="single" w:color="auto"/>
          <w:color w:val="auto"/>
        </w:rPr>
        <w:t>Section 2.4(c)</w:t>
      </w:r>
      <w:r>
        <w:rPr>
          <w:rFonts w:ascii="Arial" w:cs="Arial" w:eastAsia="Arial" w:hAnsi="Arial"/>
          <w:sz w:val="22"/>
          <w:szCs w:val="22"/>
          <w:color w:val="auto"/>
        </w:rPr>
        <w:t>.</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 whether or not any requirement for the giving of notice, the expiration of applicable cure or grace periods, or both, has been satisfied.</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that (a) has failed to (i) fund all or any portion of its Loans within one Business Day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30" w:lineRule="auto"/>
        <w:rPr>
          <w:sz w:val="20"/>
          <w:szCs w:val="20"/>
          <w:color w:val="auto"/>
        </w:rPr>
      </w:pPr>
      <w:r>
        <w:rPr>
          <w:rFonts w:ascii="Arial" w:cs="Arial" w:eastAsia="Arial" w:hAnsi="Arial"/>
          <w:sz w:val="22"/>
          <w:szCs w:val="22"/>
          <w:color w:val="auto"/>
        </w:rPr>
        <w:t>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22"/>
          <w:szCs w:val="22"/>
          <w:u w:val="single" w:color="auto"/>
          <w:color w:val="auto"/>
        </w:rPr>
        <w:t>Section 2.24(b)</w:t>
      </w:r>
      <w:r>
        <w:rPr>
          <w:rFonts w:ascii="Arial" w:cs="Arial" w:eastAsia="Arial" w:hAnsi="Arial"/>
          <w:sz w:val="22"/>
          <w:szCs w:val="22"/>
          <w:color w:val="auto"/>
        </w:rPr>
        <w:t>) upon delivery of written notice of such determination to the Borrower and each Lender.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Documentary Credit</w:t>
      </w:r>
      <w:r>
        <w:rPr>
          <w:rFonts w:ascii="Arial" w:cs="Arial" w:eastAsia="Arial" w:hAnsi="Arial"/>
          <w:sz w:val="22"/>
          <w:szCs w:val="22"/>
          <w:color w:val="auto"/>
        </w:rPr>
        <w:t>”: any letter of credit or bank guarantee issued pursuant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Early Opt-in Election</w:t>
      </w:r>
      <w:r>
        <w:rPr>
          <w:rFonts w:ascii="Arial" w:cs="Arial" w:eastAsia="Arial" w:hAnsi="Arial"/>
          <w:sz w:val="22"/>
          <w:szCs w:val="22"/>
          <w:color w:val="FF0000"/>
          <w:strike w:val="1"/>
        </w:rPr>
        <w:t>”: if the then-current Benchmark is LIBOR, the occurrence of:</w:t>
      </w:r>
    </w:p>
    <w:p>
      <w:pPr>
        <w:spacing w:after="0" w:line="206" w:lineRule="exact"/>
        <w:rPr>
          <w:sz w:val="20"/>
          <w:szCs w:val="20"/>
          <w:color w:val="auto"/>
        </w:rPr>
      </w:pPr>
    </w:p>
    <w:p>
      <w:pPr>
        <w:jc w:val="both"/>
        <w:ind w:firstLine="1628"/>
        <w:spacing w:after="0" w:line="226" w:lineRule="auto"/>
        <w:tabs>
          <w:tab w:leader="none" w:pos="1951" w:val="left"/>
        </w:tabs>
        <w:numPr>
          <w:ilvl w:val="0"/>
          <w:numId w:val="44"/>
        </w:numPr>
        <w:rPr>
          <w:rFonts w:ascii="Arial" w:cs="Arial" w:eastAsia="Arial" w:hAnsi="Arial"/>
          <w:sz w:val="22"/>
          <w:szCs w:val="22"/>
          <w:color w:val="FF0000"/>
          <w:strike w:val="1"/>
        </w:rPr>
      </w:pPr>
      <w:r>
        <w:rPr>
          <w:rFonts w:ascii="Arial" w:cs="Arial" w:eastAsia="Arial" w:hAnsi="Arial"/>
          <w:sz w:val="22"/>
          <w:szCs w:val="22"/>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ectPr>
          <w:pgSz w:w="11900" w:h="16838" w:orient="portrait"/>
          <w:cols w:equalWidth="0" w:num="1">
            <w:col w:w="11240"/>
          </w:cols>
          <w:pgMar w:left="320" w:top="1413" w:right="339" w:bottom="1440" w:gutter="0" w:footer="0" w:header="0"/>
        </w:sectPr>
      </w:pPr>
    </w:p>
    <w:bookmarkStart w:id="90" w:name="page91"/>
    <w:bookmarkEnd w:id="90"/>
    <w:p>
      <w:pPr>
        <w:ind w:firstLine="1628"/>
        <w:spacing w:after="0" w:line="239" w:lineRule="auto"/>
        <w:tabs>
          <w:tab w:leader="none" w:pos="1960" w:val="left"/>
        </w:tabs>
        <w:numPr>
          <w:ilvl w:val="0"/>
          <w:numId w:val="45"/>
        </w:numPr>
        <w:rPr>
          <w:rFonts w:ascii="Arial" w:cs="Arial" w:eastAsia="Arial" w:hAnsi="Arial"/>
          <w:sz w:val="22"/>
          <w:szCs w:val="22"/>
          <w:color w:val="FF0000"/>
          <w:strike w:val="1"/>
        </w:rPr>
      </w:pPr>
      <w:r>
        <w:rPr>
          <w:rFonts w:ascii="Arial" w:cs="Arial" w:eastAsia="Arial" w:hAnsi="Arial"/>
          <w:sz w:val="22"/>
          <w:szCs w:val="22"/>
          <w:color w:val="FF0000"/>
          <w:strike w:val="1"/>
        </w:rPr>
        <w:t>the joint election by the Administrative Agent and the Borrower to trigger a fallback from LIBOR and the provision by the Administrative Agent of written notice of such election to the Lenders.</w:t>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any of the member states of the European Union, Iceland, Liechtenstein, and Norway.</w:t>
      </w:r>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that certain engagement letter dated April 14, 2021 among the Borrower and HSBC Securities (USA) Inc.</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Equity Interests</w:t>
      </w:r>
      <w:r>
        <w:rPr>
          <w:rFonts w:ascii="Arial" w:cs="Arial" w:eastAsia="Arial" w:hAnsi="Arial"/>
          <w:sz w:val="22"/>
          <w:szCs w:val="22"/>
          <w:color w:val="auto"/>
        </w:rPr>
        <w:t>”: all Capital Stock and all warrants or options with respect to, or other rights to purchase, Capital Stock, but excluding Indebtedness convertible into or exchangeable for equity.</w:t>
      </w:r>
    </w:p>
    <w:p>
      <w:pPr>
        <w:spacing w:after="0" w:line="17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 and the regulations promulgated and rulings issued thereunder.</w:t>
      </w:r>
    </w:p>
    <w:p>
      <w:pPr>
        <w:spacing w:after="0" w:line="18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xml:space="preserve"> ”: (a) any Reportable Event;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w:t>
      </w:r>
    </w:p>
    <w:p>
      <w:pPr>
        <w:sectPr>
          <w:pgSz w:w="11900" w:h="16838" w:orient="portrait"/>
          <w:cols w:equalWidth="0" w:num="1">
            <w:col w:w="11240"/>
          </w:cols>
          <w:pgMar w:left="320" w:top="1413" w:right="339" w:bottom="1440" w:gutter="0" w:footer="0" w:header="0"/>
        </w:sectPr>
      </w:pPr>
    </w:p>
    <w:bookmarkStart w:id="91" w:name="page92"/>
    <w:bookmarkEnd w:id="91"/>
    <w:p>
      <w:pPr>
        <w:jc w:val="both"/>
        <w:spacing w:after="0" w:line="238" w:lineRule="auto"/>
        <w:rPr>
          <w:sz w:val="20"/>
          <w:szCs w:val="20"/>
          <w:color w:val="auto"/>
        </w:rPr>
      </w:pPr>
      <w:r>
        <w:rPr>
          <w:rFonts w:ascii="Arial" w:cs="Arial" w:eastAsia="Arial" w:hAnsi="Arial"/>
          <w:sz w:val="22"/>
          <w:szCs w:val="22"/>
          <w:color w:val="auto"/>
        </w:rPr>
        <w:t>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8.11(d)</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8.11(d)</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 Reserve Requirements</w:t>
      </w:r>
      <w:r>
        <w:rPr>
          <w:rFonts w:ascii="Arial" w:cs="Arial" w:eastAsia="Arial" w:hAnsi="Arial"/>
          <w:sz w:val="22"/>
          <w:szCs w:val="22"/>
          <w:color w:val="FF0000"/>
          <w:strike w:val="1"/>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 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Base Rate</w:t>
      </w:r>
      <w:r>
        <w:rPr>
          <w:rFonts w:ascii="Arial" w:cs="Arial" w:eastAsia="Arial" w:hAnsi="Arial"/>
          <w:sz w:val="22"/>
          <w:szCs w:val="22"/>
          <w:color w:val="FF0000"/>
          <w:strike w:val="1"/>
        </w:rPr>
        <w:t>”: with respect to each day during each Interest Period pertaining to a Eurodollar Loan</w:t>
      </w:r>
      <w:r>
        <w:rPr>
          <w:rFonts w:ascii="Arial" w:cs="Arial" w:eastAsia="Arial" w:hAnsi="Arial"/>
          <w:sz w:val="22"/>
          <w:szCs w:val="22"/>
          <w:color w:val="008000"/>
          <w:strike w:val="1"/>
        </w:rPr>
        <w:t>,</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the rate per annum equal to </w:t>
      </w:r>
      <w:r>
        <w:rPr>
          <w:rFonts w:ascii="Arial" w:cs="Arial" w:eastAsia="Arial" w:hAnsi="Arial"/>
          <w:sz w:val="22"/>
          <w:szCs w:val="22"/>
          <w:color w:val="FF0000"/>
          <w:strike w:val="1"/>
        </w:rPr>
        <w:t>the London Interbank Offered Rate (“</w:t>
      </w:r>
      <w:r>
        <w:rPr>
          <w:rFonts w:ascii="Arial" w:cs="Arial" w:eastAsia="Arial" w:hAnsi="Arial"/>
          <w:sz w:val="22"/>
          <w:szCs w:val="22"/>
          <w:u w:val="single" w:color="auto"/>
          <w:color w:val="FF0000"/>
          <w:strike w:val="1"/>
        </w:rPr>
        <w:t>LIBOR</w:t>
      </w:r>
      <w:r>
        <w:rPr>
          <w:rFonts w:ascii="Arial" w:cs="Arial" w:eastAsia="Arial" w:hAnsi="Arial"/>
          <w:sz w:val="22"/>
          <w:szCs w:val="22"/>
          <w:color w:val="FF0000"/>
          <w:strike w:val="1"/>
        </w:rPr>
        <w:t>”) (or a comparable or successor rate which</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 xml:space="preserve">rate is approved by the Administrative Agent), as published on the applicable Bloomberg screen page (or such other commercially available source providing such quotations as may be designated by the Administrative Agent from time to time) at approximately 11:00 A.M. (London time) on the date that is two Business Days prior to the beginning of the relevant Interest Period for deposits in Dollars for a period equal to such Interest Period;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Loans</w:t>
      </w:r>
      <w:r>
        <w:rPr>
          <w:rFonts w:ascii="Arial" w:cs="Arial" w:eastAsia="Arial" w:hAnsi="Arial"/>
          <w:sz w:val="22"/>
          <w:szCs w:val="22"/>
          <w:color w:val="FF0000"/>
          <w:strike w:val="1"/>
        </w:rPr>
        <w:t>”: Loans the rate of interest applicable to which is based upon the Eurodollar Rate.</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648"/>
        <w:spacing w:after="0" w:line="241"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Rate</w:t>
      </w:r>
      <w:r>
        <w:rPr>
          <w:rFonts w:ascii="Arial" w:cs="Arial" w:eastAsia="Arial" w:hAnsi="Arial"/>
          <w:sz w:val="22"/>
          <w:szCs w:val="22"/>
          <w:color w:val="FF0000"/>
          <w:strike w:val="1"/>
        </w:rPr>
        <w:t xml:space="preserve"> ”: with respect to each day during each Interest Period pertaining to a Eurodollar Loan, a rate per annum determined for such day in accordance with the following formula (rounded upward to the nearest 1/100th of 1%):</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Eurodollar Base Rate</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___________________________________</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1.00 - Eurocurrency Reserve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FF0000"/>
          <w:strike w:val="1"/>
        </w:rPr>
        <w:t xml:space="preserve">;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in no event shall the Eurodollar Rate be less than 0.00%.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8000"/>
          <w:strike w:val="1"/>
        </w:rPr>
        <w:t>Revolving Borrowing</w:t>
      </w:r>
      <w:r>
        <w:rPr>
          <w:rFonts w:ascii="Arial" w:cs="Arial" w:eastAsia="Arial" w:hAnsi="Arial"/>
          <w:sz w:val="22"/>
          <w:szCs w:val="22"/>
          <w:color w:val="008000"/>
          <w:strike w:val="1"/>
        </w:rPr>
        <w:t>”: a Borrowing of Revolving Loans that are</w:t>
      </w:r>
      <w:r>
        <w:rPr>
          <w:rFonts w:ascii="Arial" w:cs="Arial" w:eastAsia="Arial" w:hAnsi="Arial"/>
          <w:sz w:val="22"/>
          <w:szCs w:val="22"/>
          <w:color w:val="FF0000"/>
          <w:strike w:val="1"/>
        </w:rPr>
        <w:t xml:space="preserve"> Eurodollar Loans.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 or any successor statute or statutes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xml:space="preserve">”: those Taxes referenced in </w:t>
      </w:r>
      <w:r>
        <w:rPr>
          <w:rFonts w:ascii="Arial" w:cs="Arial" w:eastAsia="Arial" w:hAnsi="Arial"/>
          <w:sz w:val="22"/>
          <w:szCs w:val="22"/>
          <w:u w:val="single" w:color="auto"/>
          <w:color w:val="auto"/>
        </w:rPr>
        <w:t>Section 2.16(a)(i)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2.16(a)(v)</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the Credit Agreement, dated as July 3, 2018, as amended from time to time, among the Borrower, the lenders from time to time parties thereto and JPMorgan Chase Bank, N.A., as administrative agent.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Commitments</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2.23(a)</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2.23(a)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Offer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2.23(a)</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8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zero for the purposes of this Agreement.</w:t>
      </w:r>
    </w:p>
    <w:p>
      <w:pPr>
        <w:sectPr>
          <w:pgSz w:w="11900" w:h="16838" w:orient="portrait"/>
          <w:cols w:equalWidth="0" w:num="1">
            <w:col w:w="11240"/>
          </w:cols>
          <w:pgMar w:left="320" w:top="1413" w:right="339" w:bottom="1440" w:gutter="0" w:footer="0" w:header="0"/>
        </w:sectPr>
      </w:pPr>
    </w:p>
    <w:bookmarkStart w:id="93" w:name="page94"/>
    <w:bookmarkEnd w:id="93"/>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collectively, the fees pursuant to Engagement Letter and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the fees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and any other fees payable by any Loan Party pursuant to this Agreement or any other Loan Document.</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xml:space="preserve">”: the benchmark rate floor, if any, provided in this Agreement initially (as of the execution of this Agreement, the modification, amendment or renewal of this Agreement or otherwise)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Adjusted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Term SOFR. For the avoidance of doubt, the initial Floor for Adjusted Term SOFR shall be 0.00%</w:t>
      </w:r>
      <w:r>
        <w:rPr>
          <w:rFonts w:ascii="Arial" w:cs="Arial" w:eastAsia="Arial" w:hAnsi="Arial"/>
          <w:sz w:val="22"/>
          <w:szCs w:val="22"/>
          <w:color w:val="000000"/>
        </w:rPr>
        <w:t>.</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the Chief Financial Officer, Principal Accounting Officer, Controller or Treasurer of the Borrower.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Fitch, Inc. and any successor to its rating agency business.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with respect to any Person, any Subsidiary of such Person other than one that is organized or existing under the laws of the United States, any state thereof or the District of Columbia.</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with respect to any Person, any Subsidiary substantially all the assets of which consist of Equity Interests of, and/or intercompany debt obligations owed or treated as owed by, one or more (i) CFCs and/or (ii) Subsidiaries described in this definition.</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xml:space="preserve">”: the office of the Administrative Agent specified in </w:t>
      </w:r>
      <w:r>
        <w:rPr>
          <w:rFonts w:ascii="Arial" w:cs="Arial" w:eastAsia="Arial" w:hAnsi="Arial"/>
          <w:sz w:val="22"/>
          <w:szCs w:val="22"/>
          <w:u w:val="single" w:color="auto"/>
          <w:color w:val="auto"/>
        </w:rPr>
        <w:t>Section 9.2(a)</w:t>
      </w:r>
      <w:r>
        <w:rPr>
          <w:rFonts w:ascii="Arial" w:cs="Arial" w:eastAsia="Arial" w:hAnsi="Arial"/>
          <w:sz w:val="22"/>
          <w:szCs w:val="22"/>
          <w:color w:val="auto"/>
        </w:rPr>
        <w:t xml:space="preserve"> or such other office as may be specified from time to time by the Administrative Agent as its funding office by written notice to the Borrower and the Lenders.</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Emissions</w:t>
      </w:r>
      <w:r>
        <w:rPr>
          <w:rFonts w:ascii="Arial" w:cs="Arial" w:eastAsia="Arial" w:hAnsi="Arial"/>
          <w:sz w:val="22"/>
          <w:szCs w:val="22"/>
          <w:color w:val="auto"/>
        </w:rPr>
        <w:t>”: a Key Performance Indicator measured by GHG Emissions Intensity Reduction.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Emissions Intensity</w:t>
      </w:r>
      <w:r>
        <w:rPr>
          <w:rFonts w:ascii="Arial" w:cs="Arial" w:eastAsia="Arial" w:hAnsi="Arial"/>
          <w:sz w:val="22"/>
          <w:szCs w:val="22"/>
          <w:color w:val="auto"/>
        </w:rPr>
        <w:t>”: (a) the sum of the Borrower and its Subsidiaries’ (i) total Scope 1 Emissions plus (ii) Scope 2 Emissions for any calendar year divided by (b) production units for such calendar year.</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Emissions Intensity Applicable Margin Adjustment Amount</w:t>
      </w:r>
      <w:r>
        <w:rPr>
          <w:rFonts w:ascii="Arial" w:cs="Arial" w:eastAsia="Arial" w:hAnsi="Arial"/>
          <w:sz w:val="22"/>
          <w:szCs w:val="22"/>
          <w:color w:val="auto"/>
        </w:rPr>
        <w:t>”: with respect to GHG Emissions for any calendar year, (a) positive 1.67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 Pricing Certificate is greater than the Successful Completion Threshold and is less than or equal to the Partially Successful Completion Threshold for such calendar year; and (c) negative 1.67 basis points if the GHG Emissions Intensity</w:t>
      </w:r>
    </w:p>
    <w:p>
      <w:pPr>
        <w:sectPr>
          <w:pgSz w:w="11900" w:h="16838" w:orient="portrait"/>
          <w:cols w:equalWidth="0" w:num="1">
            <w:col w:w="11240"/>
          </w:cols>
          <w:pgMar w:left="320" w:top="1413" w:right="339" w:bottom="1440" w:gutter="0" w:footer="0" w:header="0"/>
        </w:sectPr>
      </w:pPr>
    </w:p>
    <w:bookmarkStart w:id="94" w:name="page95"/>
    <w:bookmarkEnd w:id="94"/>
    <w:p>
      <w:pPr>
        <w:jc w:val="both"/>
        <w:spacing w:after="0" w:line="251" w:lineRule="auto"/>
        <w:rPr>
          <w:sz w:val="20"/>
          <w:szCs w:val="20"/>
          <w:color w:val="auto"/>
        </w:rPr>
      </w:pPr>
      <w:r>
        <w:rPr>
          <w:rFonts w:ascii="Arial" w:cs="Arial" w:eastAsia="Arial" w:hAnsi="Arial"/>
          <w:sz w:val="22"/>
          <w:szCs w:val="22"/>
          <w:color w:val="auto"/>
        </w:rPr>
        <w:t>Reduction as set forth in the Sustainability Pricing Certificate is equal to or less than the Successful Completion Threshold for such calendar year.</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GHG Emissions Intensity Commitment Fee Adjustment Amount</w:t>
      </w:r>
      <w:r>
        <w:rPr>
          <w:rFonts w:ascii="Arial" w:cs="Arial" w:eastAsia="Arial" w:hAnsi="Arial"/>
          <w:sz w:val="21"/>
          <w:szCs w:val="21"/>
          <w:color w:val="auto"/>
        </w:rPr>
        <w:t>”: with respect to GHG Emissions for any calendar year, (a) positive 0.34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 Pricing Certificate is greater than the Successful Completion Threshold and is less than or equal to the Partially Successful Completion Threshold for such calendar year; and (c) negative 0.34 basis points if the GHG Emissions Intensity Reduction as set forth in the Sustainability Pricing Certificate is equal to or less than the Successful Completion Threshold for such calendar year.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GHG Emissions Intensity Reduction</w:t>
      </w:r>
      <w:r>
        <w:rPr>
          <w:rFonts w:ascii="Arial" w:cs="Arial" w:eastAsia="Arial" w:hAnsi="Arial"/>
          <w:sz w:val="21"/>
          <w:szCs w:val="21"/>
          <w:color w:val="auto"/>
        </w:rPr>
        <w:t>”: expressed as a percentage, (a) the sum of (i) GHG Emissions Intensity minus (ii) 2018 GHG Emissions Intensity Baseline divided by (b) the 2018 GHG Emissions Intensity Baseline.</w:t>
      </w:r>
    </w:p>
    <w:p>
      <w:pPr>
        <w:spacing w:after="0" w:line="14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xml:space="preserve">”: any obligation, contingent or otherwise, of any Person directly or indirectly guaranteeing any Indebtedness of any 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9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Amendment</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2.21(c)</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Lender</w:t>
      </w:r>
      <w:r>
        <w:rPr>
          <w:rFonts w:ascii="Arial" w:cs="Arial" w:eastAsia="Arial" w:hAnsi="Arial"/>
          <w:sz w:val="22"/>
          <w:szCs w:val="22"/>
          <w:color w:val="auto"/>
        </w:rPr>
        <w:t>”: a Lender with an Incremental Revolving Commitment.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Loans</w:t>
      </w:r>
      <w:r>
        <w:rPr>
          <w:rFonts w:ascii="Arial" w:cs="Arial" w:eastAsia="Arial" w:hAnsi="Arial"/>
          <w:sz w:val="22"/>
          <w:szCs w:val="22"/>
          <w:color w:val="auto"/>
        </w:rPr>
        <w:t xml:space="preserve">”: Loans made pursuant to </w:t>
      </w:r>
      <w:r>
        <w:rPr>
          <w:rFonts w:ascii="Arial" w:cs="Arial" w:eastAsia="Arial" w:hAnsi="Arial"/>
          <w:sz w:val="22"/>
          <w:szCs w:val="22"/>
          <w:u w:val="single" w:color="auto"/>
          <w:color w:val="auto"/>
        </w:rPr>
        <w:t>Section 2.21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Commitment</w:t>
      </w:r>
      <w:r>
        <w:rPr>
          <w:rFonts w:ascii="Arial" w:cs="Arial" w:eastAsia="Arial" w:hAnsi="Arial"/>
          <w:sz w:val="22"/>
          <w:szCs w:val="22"/>
          <w:color w:val="auto"/>
        </w:rPr>
        <w:t xml:space="preserve">”: with respect to any Lender, the commitment of such Lender, established pursuant to an Incremental Amendment and </w:t>
      </w:r>
      <w:r>
        <w:rPr>
          <w:rFonts w:ascii="Arial" w:cs="Arial" w:eastAsia="Arial" w:hAnsi="Arial"/>
          <w:sz w:val="22"/>
          <w:szCs w:val="22"/>
          <w:u w:val="single" w:color="auto"/>
          <w:color w:val="auto"/>
        </w:rPr>
        <w:t>Section 2.21</w:t>
      </w:r>
      <w:r>
        <w:rPr>
          <w:rFonts w:ascii="Arial" w:cs="Arial" w:eastAsia="Arial" w:hAnsi="Arial"/>
          <w:sz w:val="22"/>
          <w:szCs w:val="22"/>
          <w:color w:val="auto"/>
        </w:rPr>
        <w:t>, to make Revolving Loans hereunder, expressed as an amount representing the maximum aggregate amount of such Lender’s Revolving Extensions of Credit under such Incremental Amendment.</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w:t>
      </w:r>
      <w:r>
        <w:rPr>
          <w:rFonts w:ascii="Arial" w:cs="Arial" w:eastAsia="Arial" w:hAnsi="Arial"/>
          <w:sz w:val="22"/>
          <w:szCs w:val="22"/>
          <w:color w:val="auto"/>
        </w:rPr>
        <w:t>”: an incremental portion of the Revolving Commitments established hereunder pursuant to an Incremental Amendment providing for Incremental Revolving Commitments.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will be:</w:t>
      </w:r>
    </w:p>
    <w:p>
      <w:pPr>
        <w:spacing w:after="0" w:line="206" w:lineRule="exact"/>
        <w:rPr>
          <w:sz w:val="20"/>
          <w:szCs w:val="20"/>
          <w:color w:val="auto"/>
        </w:rPr>
      </w:pPr>
    </w:p>
    <w:p>
      <w:pPr>
        <w:ind w:left="660" w:firstLine="644"/>
        <w:spacing w:after="0" w:line="251" w:lineRule="auto"/>
        <w:tabs>
          <w:tab w:leader="none" w:pos="184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the accreted value of the Indebtedness, in the case of any Indebtedness that does not require the current payment of interest;</w:t>
      </w:r>
    </w:p>
    <w:p>
      <w:pPr>
        <w:spacing w:after="0" w:line="159" w:lineRule="exact"/>
        <w:rPr>
          <w:rFonts w:ascii="Arial" w:cs="Arial" w:eastAsia="Arial" w:hAnsi="Arial"/>
          <w:sz w:val="22"/>
          <w:szCs w:val="22"/>
          <w:color w:val="010000"/>
        </w:rPr>
      </w:pPr>
    </w:p>
    <w:p>
      <w:pPr>
        <w:ind w:left="1800" w:hanging="496"/>
        <w:spacing w:after="0"/>
        <w:tabs>
          <w:tab w:leader="none" w:pos="1800"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the principal amount of the Indebtedness, in the case of any other Indebtedness;</w:t>
      </w:r>
    </w:p>
    <w:p>
      <w:pPr>
        <w:spacing w:after="0" w:line="206" w:lineRule="exact"/>
        <w:rPr>
          <w:rFonts w:ascii="Arial" w:cs="Arial" w:eastAsia="Arial" w:hAnsi="Arial"/>
          <w:sz w:val="22"/>
          <w:szCs w:val="22"/>
          <w:color w:val="010000"/>
        </w:rPr>
      </w:pPr>
    </w:p>
    <w:p>
      <w:pPr>
        <w:jc w:val="both"/>
        <w:ind w:left="660" w:firstLine="644"/>
        <w:spacing w:after="0" w:line="238" w:lineRule="auto"/>
        <w:tabs>
          <w:tab w:leader="none" w:pos="1912"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84" w:lineRule="exact"/>
        <w:rPr>
          <w:rFonts w:ascii="Arial" w:cs="Arial" w:eastAsia="Arial" w:hAnsi="Arial"/>
          <w:sz w:val="22"/>
          <w:szCs w:val="22"/>
          <w:color w:val="010000"/>
        </w:rPr>
      </w:pPr>
    </w:p>
    <w:p>
      <w:pPr>
        <w:jc w:val="both"/>
        <w:ind w:left="660" w:firstLine="644"/>
        <w:spacing w:after="0" w:line="238" w:lineRule="auto"/>
        <w:tabs>
          <w:tab w:leader="none" w:pos="1872" w:val="left"/>
        </w:tabs>
        <w:numPr>
          <w:ilvl w:val="1"/>
          <w:numId w:val="46"/>
        </w:numPr>
        <w:rPr>
          <w:rFonts w:ascii="Arial" w:cs="Arial" w:eastAsia="Arial" w:hAnsi="Arial"/>
          <w:sz w:val="22"/>
          <w:szCs w:val="22"/>
          <w:color w:val="010000"/>
        </w:rPr>
      </w:pPr>
      <w:r>
        <w:rPr>
          <w:rFonts w:ascii="Arial" w:cs="Arial" w:eastAsia="Arial" w:hAnsi="Arial"/>
          <w:sz w:val="22"/>
          <w:szCs w:val="22"/>
          <w:color w:val="auto"/>
        </w:rPr>
        <w:t>in respect of any Indebtedness of another Person Guaranteed by the specified Person or one or more of such Persons, the lesser of: (a) the principal amount of such Indebtedness of such other Person and</w:t>
      </w:r>
    </w:p>
    <w:p>
      <w:pPr>
        <w:ind w:left="660" w:hanging="4"/>
        <w:spacing w:after="0" w:line="259" w:lineRule="auto"/>
        <w:tabs>
          <w:tab w:leader="none" w:pos="105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maximum amount of such Indebtedness payable under the Guarantee or Guarantees (without duplication in the case of one or more Guarantees of the same Indebtedness by Restricted Subsidiaries); and</w:t>
      </w:r>
    </w:p>
    <w:p>
      <w:pPr>
        <w:spacing w:after="0" w:line="164" w:lineRule="exact"/>
        <w:rPr>
          <w:rFonts w:ascii="Arial" w:cs="Arial" w:eastAsia="Arial" w:hAnsi="Arial"/>
          <w:sz w:val="21"/>
          <w:szCs w:val="21"/>
          <w:color w:val="auto"/>
        </w:rPr>
      </w:pPr>
    </w:p>
    <w:p>
      <w:pPr>
        <w:jc w:val="both"/>
        <w:ind w:left="660" w:firstLine="644"/>
        <w:spacing w:after="0" w:line="236" w:lineRule="auto"/>
        <w:tabs>
          <w:tab w:leader="none" w:pos="1947" w:val="left"/>
        </w:tabs>
        <w:numPr>
          <w:ilvl w:val="1"/>
          <w:numId w:val="47"/>
        </w:numPr>
        <w:rPr>
          <w:rFonts w:ascii="Arial" w:cs="Arial" w:eastAsia="Arial" w:hAnsi="Arial"/>
          <w:sz w:val="22"/>
          <w:szCs w:val="22"/>
          <w:color w:val="010000"/>
        </w:rPr>
      </w:pPr>
      <w:r>
        <w:rPr>
          <w:rFonts w:ascii="Arial" w:cs="Arial" w:eastAsia="Arial" w:hAnsi="Arial"/>
          <w:sz w:val="22"/>
          <w:szCs w:val="22"/>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43" w:lineRule="auto"/>
        <w:rPr>
          <w:sz w:val="20"/>
          <w:szCs w:val="20"/>
          <w:color w:val="auto"/>
        </w:rPr>
      </w:pPr>
      <w:r>
        <w:rPr>
          <w:rFonts w:ascii="Arial" w:cs="Arial" w:eastAsia="Arial" w:hAnsi="Arial"/>
          <w:sz w:val="21"/>
          <w:szCs w:val="21"/>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the definition of Permitted Liens or the inclusion of Attributable Debt in any calculation of Indebtedness shall not create any implication that any such obligations constitute Indebtedness.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9.5</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9.5</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KPI Metrics Report</w:t>
      </w:r>
      <w:r>
        <w:rPr>
          <w:rFonts w:ascii="Arial" w:cs="Arial" w:eastAsia="Arial" w:hAnsi="Arial"/>
          <w:sz w:val="22"/>
          <w:szCs w:val="22"/>
          <w:color w:val="auto"/>
        </w:rPr>
        <w:t xml:space="preserve"> ”: an annual report setting forth each KPI Metric for the calendar year ended December 31, 2020, of which all data and information in such Initial KPI Metrics Report has been made publicly available by the Borrower via the Borrower’s annual report on environmental, social and governance issues.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(a) as to any Base Rate Loan, the last Business Day of each March, June, September and December to occur while such Base Rate Loan is outstanding and the final maturity date of such Base Rate Loan, (b)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having an Interest Period of three months or less, the last day of such Interest Period, (c) as to any </w:t>
      </w:r>
      <w:r>
        <w:rPr>
          <w:rFonts w:ascii="Arial" w:cs="Arial" w:eastAsia="Arial" w:hAnsi="Arial"/>
          <w:sz w:val="22"/>
          <w:szCs w:val="22"/>
          <w:color w:val="FF0000"/>
          <w:strike w:val="1"/>
        </w:rPr>
        <w:t>Eurodollar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having an Interest Period longer than three months, each day that is three months, or a whole multiple thereof, after the first day of such Interest Period and the last day of such Interest Period and (d)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the date of any repayment or prepayment made in respect thereof.</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each period commencing on the last day of the next preceding Interest Period applicable to such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of the foregoing provisions relating to Interest Periods are subject to the following:</w:t>
      </w:r>
    </w:p>
    <w:p>
      <w:pPr>
        <w:spacing w:after="0" w:line="174" w:lineRule="exact"/>
        <w:rPr>
          <w:sz w:val="20"/>
          <w:szCs w:val="20"/>
          <w:color w:val="auto"/>
        </w:rPr>
      </w:pPr>
    </w:p>
    <w:p>
      <w:pPr>
        <w:jc w:val="both"/>
        <w:ind w:firstLine="1304"/>
        <w:spacing w:after="0" w:line="238" w:lineRule="auto"/>
        <w:tabs>
          <w:tab w:leader="none" w:pos="1732"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4" w:lineRule="exact"/>
        <w:rPr>
          <w:rFonts w:ascii="Arial" w:cs="Arial" w:eastAsia="Arial" w:hAnsi="Arial"/>
          <w:sz w:val="22"/>
          <w:szCs w:val="22"/>
          <w:color w:val="010000"/>
        </w:rPr>
      </w:pPr>
    </w:p>
    <w:p>
      <w:pPr>
        <w:ind w:left="1800" w:hanging="496"/>
        <w:spacing w:after="0"/>
        <w:tabs>
          <w:tab w:leader="none" w:pos="1800" w:val="left"/>
        </w:tabs>
        <w:numPr>
          <w:ilvl w:val="0"/>
          <w:numId w:val="48"/>
        </w:numPr>
        <w:rPr>
          <w:rFonts w:ascii="Arial" w:cs="Arial" w:eastAsia="Arial" w:hAnsi="Arial"/>
          <w:sz w:val="21"/>
          <w:szCs w:val="21"/>
          <w:color w:val="010000"/>
        </w:rPr>
      </w:pPr>
      <w:r>
        <w:rPr>
          <w:rFonts w:ascii="Arial" w:cs="Arial" w:eastAsia="Arial" w:hAnsi="Arial"/>
          <w:sz w:val="21"/>
          <w:szCs w:val="21"/>
          <w:color w:val="auto"/>
        </w:rPr>
        <w:t>the Borrower may not select an Interest Period that would extend beyond the applicable Revolving</w:t>
      </w:r>
    </w:p>
    <w:p>
      <w:pPr>
        <w:spacing w:after="0" w:line="17"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 xml:space="preserve">Maturity Date; </w:t>
      </w:r>
      <w:r>
        <w:rPr>
          <w:rFonts w:ascii="Arial" w:cs="Arial" w:eastAsia="Arial" w:hAnsi="Arial"/>
          <w:sz w:val="22"/>
          <w:szCs w:val="22"/>
          <w:color w:val="FF0000"/>
        </w:rPr>
        <w:t>and</w:t>
      </w:r>
    </w:p>
    <w:p>
      <w:pPr>
        <w:spacing w:after="0" w:line="190" w:lineRule="exact"/>
        <w:rPr>
          <w:rFonts w:ascii="Arial" w:cs="Arial" w:eastAsia="Arial" w:hAnsi="Arial"/>
          <w:sz w:val="21"/>
          <w:szCs w:val="21"/>
          <w:color w:val="010000"/>
        </w:rPr>
      </w:pPr>
    </w:p>
    <w:p>
      <w:pPr>
        <w:jc w:val="both"/>
        <w:ind w:firstLine="1304"/>
        <w:spacing w:after="0" w:line="241" w:lineRule="auto"/>
        <w:tabs>
          <w:tab w:leader="none" w:pos="1923"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r>
        <w:rPr>
          <w:rFonts w:ascii="Arial" w:cs="Arial" w:eastAsia="Arial" w:hAnsi="Arial"/>
          <w:sz w:val="22"/>
          <w:szCs w:val="22"/>
          <w:color w:val="FF0000"/>
          <w:strike w:val="1"/>
        </w:rPr>
        <w:t>.</w:t>
      </w:r>
      <w:r>
        <w:rPr>
          <w:rFonts w:ascii="Arial" w:cs="Arial" w:eastAsia="Arial" w:hAnsi="Arial"/>
          <w:sz w:val="22"/>
          <w:szCs w:val="22"/>
          <w:u w:val="single" w:color="auto"/>
          <w:color w:val="0000FF"/>
        </w:rPr>
        <w:t>; and</w:t>
      </w:r>
    </w:p>
    <w:p>
      <w:pPr>
        <w:spacing w:after="0" w:line="182" w:lineRule="exact"/>
        <w:rPr>
          <w:rFonts w:ascii="Arial" w:cs="Arial" w:eastAsia="Arial" w:hAnsi="Arial"/>
          <w:sz w:val="22"/>
          <w:szCs w:val="22"/>
          <w:color w:val="010000"/>
        </w:rPr>
      </w:pPr>
    </w:p>
    <w:p>
      <w:pPr>
        <w:ind w:firstLine="1304"/>
        <w:spacing w:after="0" w:line="251" w:lineRule="auto"/>
        <w:tabs>
          <w:tab w:leader="none" w:pos="1865" w:val="left"/>
        </w:tabs>
        <w:numPr>
          <w:ilvl w:val="0"/>
          <w:numId w:val="4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no tenor that has been removed from this definition pursuant to Section 2.10(e) shall be available for specification in any irrevocable notice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-1135380</wp:posOffset>
            </wp:positionV>
            <wp:extent cx="266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1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Debt</w:t>
      </w:r>
      <w:r>
        <w:rPr>
          <w:rFonts w:ascii="Arial" w:cs="Arial" w:eastAsia="Arial" w:hAnsi="Arial"/>
          <w:sz w:val="22"/>
          <w:szCs w:val="22"/>
          <w:color w:val="auto"/>
        </w:rPr>
        <w:t>”: long-term and short-term bonds, bills, notes and other debt obligations with any “investment grade” rating from any of Moody’s, S&amp;P or Fitch.</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w:t>
      </w:r>
      <w:r>
        <w:rPr>
          <w:rFonts w:ascii="Arial" w:cs="Arial" w:eastAsia="Arial" w:hAnsi="Arial"/>
          <w:sz w:val="22"/>
          <w:szCs w:val="22"/>
          <w:color w:val="auto"/>
        </w:rPr>
        <w:t>”: HSBC Bank USA, National Association, BNP Paribas, Credit Agricole Corporate and Investment Bank, Mizuho Bank, Ltd., MUFG Bank, Ltd. and Wells Fargo Bank, National Association party hereto and each other Lender designated by the Borrower as an “Issuing Bank” hereunder that has agreed to such designation (and is reasonably acceptable to the Administrative Agent), each in its capacity as the</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38" w:lineRule="auto"/>
        <w:rPr>
          <w:sz w:val="20"/>
          <w:szCs w:val="20"/>
          <w:color w:val="auto"/>
        </w:rPr>
      </w:pPr>
      <w:r>
        <w:rPr>
          <w:rFonts w:ascii="Arial" w:cs="Arial" w:eastAsia="Arial" w:hAnsi="Arial"/>
          <w:sz w:val="22"/>
          <w:szCs w:val="22"/>
          <w:color w:val="auto"/>
        </w:rPr>
        <w:t xml:space="preserve">issuer of Documentary Credits hereunder, and its successors in such capacity as provided in </w:t>
      </w:r>
      <w:r>
        <w:rPr>
          <w:rFonts w:ascii="Arial" w:cs="Arial" w:eastAsia="Arial" w:hAnsi="Arial"/>
          <w:sz w:val="22"/>
          <w:szCs w:val="22"/>
          <w:u w:val="single" w:color="auto"/>
          <w:color w:val="auto"/>
        </w:rPr>
        <w:t>Section 2.4(i)</w:t>
      </w:r>
      <w:r>
        <w:rPr>
          <w:rFonts w:ascii="Arial" w:cs="Arial" w:eastAsia="Arial" w:hAnsi="Arial"/>
          <w:sz w:val="22"/>
          <w:szCs w:val="22"/>
          <w:color w:val="auto"/>
        </w:rPr>
        <w:t>. Any Issuing Bank may, in its discretion and with notice to the Borrower and the Administrative Agent, arrange for one or more Documentary Credits to be issued by Affiliates of such Issuing Bank, in which case the term “Issuing Bank” shall include any such Affiliate with respect to Documentary Credits issued by such Affiliate.</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Lead Arrangers</w:t>
      </w:r>
      <w:r>
        <w:rPr>
          <w:rFonts w:ascii="Arial" w:cs="Arial" w:eastAsia="Arial" w:hAnsi="Arial"/>
          <w:sz w:val="22"/>
          <w:szCs w:val="22"/>
          <w:color w:val="auto"/>
        </w:rPr>
        <w:t>”: HSBC Securities (USA) Inc., BNP Paribas Securities Corp., Credit Agricole Corporate and Investment Bank, DBS Bank Ltd., Industrial and Commercial Bank of China Limited, New York Branch, Mizuho Bank, Ltd., MUFG Bank, Ltd., and Wells Fargo Securities, LLC.</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with respect to any Person, any partnership, corporation or other entity in which up to and including 50% of the Equity Interests is owned, directly or indirectly, by such Person and/or one or more of its Subsidiaries.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Performance Indicators</w:t>
      </w:r>
      <w:r>
        <w:rPr>
          <w:rFonts w:ascii="Arial" w:cs="Arial" w:eastAsia="Arial" w:hAnsi="Arial"/>
          <w:sz w:val="22"/>
          <w:szCs w:val="22"/>
          <w:color w:val="auto"/>
        </w:rPr>
        <w:t>”: each of GHG Emissions, RBA Audit Score and Waste.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w:t>
      </w:r>
      <w:r>
        <w:rPr>
          <w:rFonts w:ascii="Arial" w:cs="Arial" w:eastAsia="Arial" w:hAnsi="Arial"/>
          <w:sz w:val="22"/>
          <w:szCs w:val="22"/>
          <w:color w:val="auto"/>
        </w:rPr>
        <w:t>”: means each of GHG Emission Intensity Reduction, the RBA Audit Score Average and Waste Diversion.</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 Auditor</w:t>
      </w:r>
      <w:r>
        <w:rPr>
          <w:rFonts w:ascii="Arial" w:cs="Arial" w:eastAsia="Arial" w:hAnsi="Arial"/>
          <w:sz w:val="22"/>
          <w:szCs w:val="22"/>
          <w:color w:val="auto"/>
        </w:rPr>
        <w:t>”: any auditing or consulting firm designated from time to time by the Borrower (or any replacement auditor thereof as designated from time to time by the Borrower); provided, that any such KPI Metrics Auditor (a) shall be (i) a nationally recognized auditing firm, (ii) a nationally recognized assurance provider or (iii) an independent consultant with experience with environmental, social and governance research and assurance services, and (b) shall apply auditing standards and methodology that (i) are consistent with then generally accepted industry standards or (ii) if not so consistent, are proposed by the Borrower and notified to the Administrative Agent, the Sustainability Structuring Agent and the Lenders, so long as the Lenders constituting the Required Lenders do not object to such changes within five Business Days after written notice thereof.</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 Report</w:t>
      </w:r>
      <w:r>
        <w:rPr>
          <w:rFonts w:ascii="Arial" w:cs="Arial" w:eastAsia="Arial" w:hAnsi="Arial"/>
          <w:sz w:val="22"/>
          <w:szCs w:val="22"/>
          <w:color w:val="auto"/>
        </w:rPr>
        <w:t>”: an annual report audited by the KPI Metrics Auditor that sets forth the calculations for each KPI Metric for the applicable calendar year (except, for the avoidance of doubt, the calendar year ended December 31, 2020); provided that all data and information set forth in such KPI Metrics Report shall also be set forth in the Borrower’s publicly available annual report on environmental, social and governance issues, beginning with the publicly available annual report covering calendar year 2021.</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Holiday</w:t>
      </w:r>
      <w:r>
        <w:rPr>
          <w:rFonts w:ascii="Arial" w:cs="Arial" w:eastAsia="Arial" w:hAnsi="Arial"/>
          <w:sz w:val="22"/>
          <w:szCs w:val="22"/>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the meaning set forth in the preamble to this Agreement.</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any lien, security interest, mortgage, charge or similar encumbrance,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either (i) any legal or equitable encumbrances deemed to exist by reason of a negative pledge or (ii) an operating lease or a non-exclusive license be deemed to constitute a Lien.</w:t>
      </w:r>
    </w:p>
    <w:p>
      <w:pPr>
        <w:spacing w:after="0" w:line="17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as of the date of determination thereof, the sum of (a) the Unrestricted Cash, Cash Equivalent and Marketable Securities Amount on such date plus (b) the Available Unused Commitments on such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a loan made by a Lender to the Borrower pursuant to this Agreement.</w:t>
      </w:r>
    </w:p>
    <w:p>
      <w:pPr>
        <w:spacing w:after="0" w:line="19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any Subsidiary Guaranty, any Incremental Amendment, and, after execution and delivery thereof pursuant to the terms of this Agreement, each Note, and any amendment, waiver, supplement or other modification to any of the foregoing.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the Borrower and any Guarantors.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 of Environmental Concern</w:t>
      </w:r>
      <w:r>
        <w:rPr>
          <w:rFonts w:ascii="Arial" w:cs="Arial" w:eastAsia="Arial" w:hAnsi="Arial"/>
          <w:sz w:val="22"/>
          <w:szCs w:val="22"/>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Adjustment</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2.25(b)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Incremental Commitment Amount</w:t>
      </w:r>
      <w:r>
        <w:rPr>
          <w:rFonts w:ascii="Arial" w:cs="Arial" w:eastAsia="Arial" w:hAnsi="Arial"/>
          <w:sz w:val="22"/>
          <w:szCs w:val="22"/>
          <w:color w:val="auto"/>
        </w:rPr>
        <w:t>”: $1,000,000,000.</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at any date of determination, the most recently completed four fiscal quarters of the Borrower for which financial statements have been filed with the SEC.</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has the meaning assigned to it in </w:t>
      </w:r>
      <w:r>
        <w:rPr>
          <w:rFonts w:ascii="Arial" w:cs="Arial" w:eastAsia="Arial" w:hAnsi="Arial"/>
          <w:sz w:val="22"/>
          <w:szCs w:val="22"/>
          <w:u w:val="single" w:color="auto"/>
          <w:color w:val="auto"/>
        </w:rPr>
        <w:t>Section 9.20</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Extension Condition</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2.23(b)</w:t>
      </w:r>
      <w:r>
        <w:rPr>
          <w:rFonts w:ascii="Arial" w:cs="Arial" w:eastAsia="Arial" w:hAnsi="Arial"/>
          <w:sz w:val="22"/>
          <w:szCs w:val="22"/>
          <w:color w:val="auto"/>
        </w:rPr>
        <w:t>.</w:t>
      </w:r>
    </w:p>
    <w:p>
      <w:pPr>
        <w:sectPr>
          <w:pgSz w:w="11900" w:h="16838" w:orient="portrait"/>
          <w:cols w:equalWidth="0" w:num="1">
            <w:col w:w="11240"/>
          </w:cols>
          <w:pgMar w:left="320" w:top="1407"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and any successor to its rating agency business.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Plan that is a multiemployer plan as defined in Section 4001(a)(3) of ERISA.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2.16(a)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collective reference to any promissory note evidencing Loans.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the Federal Reserve Bank of New York.</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 Rate</w:t>
      </w:r>
      <w:r>
        <w:rPr>
          <w:rFonts w:ascii="Arial" w:cs="Arial" w:eastAsia="Arial" w:hAnsi="Arial"/>
          <w:sz w:val="22"/>
          <w:szCs w:val="22"/>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if any of the aforesaid rates as so determined would be less than zero, such rate shall be deemed to be zero for purposes of this Agreement.</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Borrower, whether or not a claim for post-filing or post-petition interest is allowed in such proceeding) the Loans, DC Exposure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ectPr>
          <w:pgSz w:w="11900" w:h="16838" w:orient="portrait"/>
          <w:cols w:equalWidth="0" w:num="1">
            <w:col w:w="11240"/>
          </w:cols>
          <w:pgMar w:left="320" w:top="1413" w:right="339" w:bottom="1440" w:gutter="0" w:footer="0" w:header="0"/>
        </w:sectPr>
      </w:pPr>
    </w:p>
    <w:bookmarkStart w:id="101" w:name="page102"/>
    <w:bookmarkEnd w:id="101"/>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xml:space="preserve">”: for any day, the rate comprised of both overnight federal funds and overnight </w:t>
      </w:r>
      <w:r>
        <w:rPr>
          <w:rFonts w:ascii="Arial" w:cs="Arial" w:eastAsia="Arial" w:hAnsi="Arial"/>
          <w:sz w:val="22"/>
          <w:szCs w:val="22"/>
          <w:color w:val="FF0000"/>
          <w:strike w:val="1"/>
        </w:rPr>
        <w:t>E</w:t>
      </w:r>
      <w:r>
        <w:rPr>
          <w:rFonts w:ascii="Arial" w:cs="Arial" w:eastAsia="Arial" w:hAnsi="Arial"/>
          <w:sz w:val="22"/>
          <w:szCs w:val="22"/>
          <w:u w:val="single" w:color="auto"/>
          <w:color w:val="0000FF"/>
        </w:rPr>
        <w:t>e</w:t>
      </w:r>
      <w:r>
        <w:rPr>
          <w:rFonts w:ascii="Arial" w:cs="Arial" w:eastAsia="Arial" w:hAnsi="Arial"/>
          <w:sz w:val="22"/>
          <w:szCs w:val="22"/>
          <w:color w:val="000000"/>
        </w:rPr>
        <w:t>urodollar borrowings by U.S.-managed banking offices of depository institutions, as such composite rate shall be</w:t>
      </w:r>
      <w:r>
        <w:rPr>
          <w:rFonts w:ascii="Arial" w:cs="Arial" w:eastAsia="Arial" w:hAnsi="Arial"/>
          <w:sz w:val="22"/>
          <w:szCs w:val="22"/>
          <w:color w:val="FF0000"/>
        </w:rPr>
        <w:t xml:space="preserve"> </w:t>
      </w:r>
      <w:r>
        <w:rPr>
          <w:rFonts w:ascii="Arial" w:cs="Arial" w:eastAsia="Arial" w:hAnsi="Arial"/>
          <w:sz w:val="22"/>
          <w:szCs w:val="22"/>
          <w:color w:val="000000"/>
        </w:rPr>
        <w:t>determined by the NYFRB as set forth on its public website from time to time, and published on the next succeeding Business Day by the NYFRB as an overnight bank funding rate.</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Partially Successful Completion Threshold</w:t>
      </w:r>
      <w:r>
        <w:rPr>
          <w:rFonts w:ascii="Arial" w:cs="Arial" w:eastAsia="Arial" w:hAnsi="Arial"/>
          <w:sz w:val="22"/>
          <w:szCs w:val="22"/>
          <w:color w:val="auto"/>
        </w:rPr>
        <w:t>”: with respect to each calendar year, the number or percentage set forth in Schedule 1.3 (Sustainability Performance Thresholds) in the row labeled “Partially Successful Completion Threshold” for the applicable Key Performance Indicator for the applicable calendar year.</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9.6(c)</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9.6(c)(ii)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License</w:t>
      </w:r>
      <w:r>
        <w:rPr>
          <w:rFonts w:ascii="Arial" w:cs="Arial" w:eastAsia="Arial" w:hAnsi="Arial"/>
          <w:sz w:val="22"/>
          <w:szCs w:val="22"/>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the USA Patriot Act, Title III of Pub. L. 107-56, signed into law on October 26, 2001, as amended.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8.11(a)</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“Periodic Term SOFR Determination Day”: the meaning specified in the definition of “Term SOFR”.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206" w:lineRule="exact"/>
        <w:rPr>
          <w:sz w:val="20"/>
          <w:szCs w:val="20"/>
          <w:color w:val="auto"/>
        </w:rPr>
      </w:pPr>
    </w:p>
    <w:p>
      <w:pPr>
        <w:ind w:left="660" w:firstLine="644"/>
        <w:spacing w:after="0" w:line="251" w:lineRule="auto"/>
        <w:tabs>
          <w:tab w:leader="none" w:pos="1846"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Liens existing as of the Closing Date or arising thereafter pursuant to related agreements existing as of the Closing Date;</w:t>
      </w:r>
    </w:p>
    <w:p>
      <w:pPr>
        <w:spacing w:after="0" w:line="172" w:lineRule="exact"/>
        <w:rPr>
          <w:rFonts w:ascii="Arial" w:cs="Arial" w:eastAsia="Arial" w:hAnsi="Arial"/>
          <w:sz w:val="22"/>
          <w:szCs w:val="22"/>
          <w:color w:val="010000"/>
        </w:rPr>
      </w:pPr>
    </w:p>
    <w:p>
      <w:pPr>
        <w:jc w:val="both"/>
        <w:ind w:left="660" w:firstLine="644"/>
        <w:spacing w:after="0" w:line="235" w:lineRule="auto"/>
        <w:tabs>
          <w:tab w:leader="none" w:pos="1830"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be given (or given pursuant to firm commitment financing arrangements obtained within such period) within 18</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21"/>
          <w:szCs w:val="21"/>
          <w:color w:val="auto"/>
        </w:rPr>
        <w:t>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85" w:lineRule="exact"/>
        <w:rPr>
          <w:sz w:val="20"/>
          <w:szCs w:val="20"/>
          <w:color w:val="auto"/>
        </w:rPr>
      </w:pPr>
    </w:p>
    <w:p>
      <w:pPr>
        <w:jc w:val="both"/>
        <w:ind w:firstLine="644"/>
        <w:spacing w:after="0" w:line="234" w:lineRule="auto"/>
        <w:tabs>
          <w:tab w:leader="none" w:pos="1281"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extend to other assets of the Borrower or its other Restricted Subsidiaries;</w:t>
      </w:r>
    </w:p>
    <w:p>
      <w:pPr>
        <w:spacing w:after="0" w:line="190" w:lineRule="exact"/>
        <w:rPr>
          <w:rFonts w:ascii="Arial" w:cs="Arial" w:eastAsia="Arial" w:hAnsi="Arial"/>
          <w:sz w:val="22"/>
          <w:szCs w:val="22"/>
          <w:color w:val="010000"/>
        </w:rPr>
      </w:pPr>
    </w:p>
    <w:p>
      <w:pPr>
        <w:jc w:val="both"/>
        <w:ind w:firstLine="644"/>
        <w:spacing w:after="0" w:line="244" w:lineRule="auto"/>
        <w:tabs>
          <w:tab w:leader="none" w:pos="1257"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each of the preceding clauses (a) and (b), such Liens do not extend to other assets of the Borrower or its other Restricted Subsidiaries;</w:t>
      </w:r>
    </w:p>
    <w:p>
      <w:pPr>
        <w:spacing w:after="0" w:line="182" w:lineRule="exact"/>
        <w:rPr>
          <w:rFonts w:ascii="Arial" w:cs="Arial" w:eastAsia="Arial" w:hAnsi="Arial"/>
          <w:sz w:val="21"/>
          <w:szCs w:val="21"/>
          <w:color w:val="010000"/>
        </w:rPr>
      </w:pPr>
    </w:p>
    <w:p>
      <w:pPr>
        <w:jc w:val="both"/>
        <w:ind w:firstLine="644"/>
        <w:spacing w:after="0" w:line="238" w:lineRule="auto"/>
        <w:tabs>
          <w:tab w:leader="none" w:pos="1221"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84" w:lineRule="exact"/>
        <w:rPr>
          <w:rFonts w:ascii="Arial" w:cs="Arial" w:eastAsia="Arial" w:hAnsi="Arial"/>
          <w:sz w:val="22"/>
          <w:szCs w:val="22"/>
          <w:color w:val="010000"/>
        </w:rPr>
      </w:pPr>
    </w:p>
    <w:p>
      <w:pPr>
        <w:ind w:left="1140" w:hanging="496"/>
        <w:spacing w:after="0"/>
        <w:tabs>
          <w:tab w:leader="none" w:pos="11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Liens in favor of the Borrower or a Restricted Subsidiary of the Borrower;</w:t>
      </w:r>
    </w:p>
    <w:p>
      <w:pPr>
        <w:spacing w:after="0" w:line="192" w:lineRule="exact"/>
        <w:rPr>
          <w:rFonts w:ascii="Arial" w:cs="Arial" w:eastAsia="Arial" w:hAnsi="Arial"/>
          <w:sz w:val="22"/>
          <w:szCs w:val="22"/>
          <w:color w:val="010000"/>
        </w:rPr>
      </w:pPr>
    </w:p>
    <w:p>
      <w:pPr>
        <w:jc w:val="both"/>
        <w:ind w:firstLine="644"/>
        <w:spacing w:after="0" w:line="241" w:lineRule="auto"/>
        <w:tabs>
          <w:tab w:leader="none" w:pos="1187"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w:t>
      </w:r>
    </w:p>
    <w:p>
      <w:pPr>
        <w:sectPr>
          <w:pgSz w:w="11900" w:h="16838" w:orient="portrait"/>
          <w:cols w:equalWidth="0" w:num="1">
            <w:col w:w="10580"/>
          </w:cols>
          <w:pgMar w:left="980" w:top="1413" w:right="339" w:bottom="1440" w:gutter="0" w:footer="0" w:header="0"/>
        </w:sectPr>
      </w:pPr>
    </w:p>
    <w:bookmarkStart w:id="103" w:name="page104"/>
    <w:bookmarkEnd w:id="103"/>
    <w:p>
      <w:pPr>
        <w:spacing w:after="0" w:line="251" w:lineRule="auto"/>
        <w:rPr>
          <w:sz w:val="20"/>
          <w:szCs w:val="20"/>
          <w:color w:val="auto"/>
        </w:rPr>
      </w:pPr>
      <w:r>
        <w:rPr>
          <w:rFonts w:ascii="Arial" w:cs="Arial" w:eastAsia="Arial" w:hAnsi="Arial"/>
          <w:sz w:val="22"/>
          <w:szCs w:val="22"/>
          <w:color w:val="auto"/>
        </w:rPr>
        <w:t>Liens, rights of set-off or similar rights and remedies as to securities accounts, deposit accounts or other funds maintained with a creditor depository institution;</w:t>
      </w:r>
    </w:p>
    <w:p>
      <w:pPr>
        <w:spacing w:after="0" w:line="173" w:lineRule="exact"/>
        <w:rPr>
          <w:sz w:val="20"/>
          <w:szCs w:val="20"/>
          <w:color w:val="auto"/>
        </w:rPr>
      </w:pPr>
    </w:p>
    <w:p>
      <w:pPr>
        <w:jc w:val="both"/>
        <w:ind w:firstLine="644"/>
        <w:spacing w:after="0" w:line="238" w:lineRule="auto"/>
        <w:tabs>
          <w:tab w:leader="none" w:pos="1184"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71" w:lineRule="exact"/>
        <w:rPr>
          <w:rFonts w:ascii="Arial" w:cs="Arial" w:eastAsia="Arial" w:hAnsi="Arial"/>
          <w:sz w:val="22"/>
          <w:szCs w:val="22"/>
          <w:color w:val="010000"/>
        </w:rPr>
      </w:pPr>
    </w:p>
    <w:p>
      <w:pPr>
        <w:jc w:val="both"/>
        <w:ind w:firstLine="644"/>
        <w:spacing w:after="0" w:line="247" w:lineRule="auto"/>
        <w:tabs>
          <w:tab w:leader="none" w:pos="1256"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77" w:lineRule="exact"/>
        <w:rPr>
          <w:rFonts w:ascii="Arial" w:cs="Arial" w:eastAsia="Arial" w:hAnsi="Arial"/>
          <w:sz w:val="21"/>
          <w:szCs w:val="21"/>
          <w:color w:val="010000"/>
        </w:rPr>
      </w:pPr>
    </w:p>
    <w:p>
      <w:pPr>
        <w:jc w:val="both"/>
        <w:ind w:firstLine="644"/>
        <w:spacing w:after="0" w:line="238" w:lineRule="auto"/>
        <w:tabs>
          <w:tab w:leader="none" w:pos="1276"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71" w:lineRule="exact"/>
        <w:rPr>
          <w:rFonts w:ascii="Arial" w:cs="Arial" w:eastAsia="Arial" w:hAnsi="Arial"/>
          <w:sz w:val="22"/>
          <w:szCs w:val="22"/>
          <w:color w:val="010000"/>
        </w:rPr>
      </w:pPr>
    </w:p>
    <w:p>
      <w:pPr>
        <w:jc w:val="both"/>
        <w:ind w:firstLine="644"/>
        <w:spacing w:after="0" w:line="238" w:lineRule="auto"/>
        <w:tabs>
          <w:tab w:leader="none" w:pos="1352"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84" w:lineRule="exact"/>
        <w:rPr>
          <w:rFonts w:ascii="Arial" w:cs="Arial" w:eastAsia="Arial" w:hAnsi="Arial"/>
          <w:sz w:val="22"/>
          <w:szCs w:val="22"/>
          <w:color w:val="010000"/>
        </w:rPr>
      </w:pPr>
    </w:p>
    <w:p>
      <w:pPr>
        <w:jc w:val="both"/>
        <w:ind w:firstLine="644"/>
        <w:spacing w:after="0" w:line="241" w:lineRule="auto"/>
        <w:tabs>
          <w:tab w:leader="none" w:pos="1293"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2" w:lineRule="exact"/>
        <w:rPr>
          <w:rFonts w:ascii="Arial" w:cs="Arial" w:eastAsia="Arial" w:hAnsi="Arial"/>
          <w:sz w:val="22"/>
          <w:szCs w:val="22"/>
          <w:color w:val="010000"/>
        </w:rPr>
      </w:pPr>
    </w:p>
    <w:p>
      <w:pPr>
        <w:ind w:firstLine="644"/>
        <w:spacing w:after="0" w:line="251" w:lineRule="auto"/>
        <w:tabs>
          <w:tab w:leader="none" w:pos="1349"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on, and consisting of, deposits made by the Borrower to discharge or defease any other Indebtedness;</w:t>
      </w:r>
    </w:p>
    <w:p>
      <w:pPr>
        <w:spacing w:after="0" w:line="172" w:lineRule="exact"/>
        <w:rPr>
          <w:rFonts w:ascii="Arial" w:cs="Arial" w:eastAsia="Arial" w:hAnsi="Arial"/>
          <w:sz w:val="22"/>
          <w:szCs w:val="22"/>
          <w:color w:val="010000"/>
        </w:rPr>
      </w:pPr>
    </w:p>
    <w:p>
      <w:pPr>
        <w:jc w:val="both"/>
        <w:ind w:firstLine="644"/>
        <w:spacing w:after="0" w:line="236" w:lineRule="auto"/>
        <w:tabs>
          <w:tab w:leader="none" w:pos="129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85" w:lineRule="exact"/>
        <w:rPr>
          <w:rFonts w:ascii="Arial" w:cs="Arial" w:eastAsia="Arial" w:hAnsi="Arial"/>
          <w:sz w:val="22"/>
          <w:szCs w:val="22"/>
          <w:color w:val="010000"/>
        </w:rPr>
      </w:pPr>
    </w:p>
    <w:p>
      <w:pPr>
        <w:ind w:firstLine="644"/>
        <w:spacing w:after="0" w:line="251" w:lineRule="auto"/>
        <w:tabs>
          <w:tab w:leader="none" w:pos="1285"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Liens in favor of customs and revenue authorities arising as a matter of law to secure payment of customs duties in connection with the</w:t>
      </w:r>
    </w:p>
    <w:p>
      <w:pPr>
        <w:sectPr>
          <w:pgSz w:w="11900" w:h="16838" w:orient="portrait"/>
          <w:cols w:equalWidth="0" w:num="1">
            <w:col w:w="10580"/>
          </w:cols>
          <w:pgMar w:left="980" w:top="1413"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22"/>
          <w:szCs w:val="22"/>
          <w:color w:val="auto"/>
        </w:rPr>
        <w:t>importation of goods and Liens deemed to exist in connection with Investments in repurchase agreements;</w:t>
      </w:r>
    </w:p>
    <w:p>
      <w:pPr>
        <w:spacing w:after="0" w:line="206" w:lineRule="exact"/>
        <w:rPr>
          <w:sz w:val="20"/>
          <w:szCs w:val="20"/>
          <w:color w:val="auto"/>
        </w:rPr>
      </w:pPr>
    </w:p>
    <w:p>
      <w:pPr>
        <w:jc w:val="both"/>
        <w:ind w:left="660" w:firstLine="644"/>
        <w:spacing w:after="0" w:line="241" w:lineRule="auto"/>
        <w:tabs>
          <w:tab w:leader="none" w:pos="1965"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82" w:lineRule="exact"/>
        <w:rPr>
          <w:rFonts w:ascii="Arial" w:cs="Arial" w:eastAsia="Arial" w:hAnsi="Arial"/>
          <w:sz w:val="22"/>
          <w:szCs w:val="22"/>
          <w:color w:val="010000"/>
        </w:rPr>
      </w:pPr>
    </w:p>
    <w:p>
      <w:pPr>
        <w:jc w:val="both"/>
        <w:ind w:left="660" w:firstLine="644"/>
        <w:spacing w:after="0" w:line="232" w:lineRule="auto"/>
        <w:tabs>
          <w:tab w:leader="none" w:pos="2182" w:val="left"/>
        </w:tabs>
        <w:numPr>
          <w:ilvl w:val="0"/>
          <w:numId w:val="52"/>
        </w:numPr>
        <w:rPr>
          <w:rFonts w:ascii="Arial" w:cs="Arial" w:eastAsia="Arial" w:hAnsi="Arial"/>
          <w:sz w:val="22"/>
          <w:szCs w:val="22"/>
          <w:color w:val="010000"/>
        </w:rPr>
      </w:pPr>
      <w:r>
        <w:rPr>
          <w:rFonts w:ascii="Arial" w:cs="Arial" w:eastAsia="Arial" w:hAnsi="Arial"/>
          <w:sz w:val="22"/>
          <w:szCs w:val="22"/>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7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w:t>
      </w:r>
    </w:p>
    <w:p>
      <w:pPr>
        <w:sectPr>
          <w:pgSz w:w="11900" w:h="16838" w:orient="portrait"/>
          <w:cols w:equalWidth="0" w:num="1">
            <w:col w:w="11240"/>
          </w:cols>
          <w:pgMar w:left="320" w:top="1413"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be effective from and including the date such change is publicly announced or quoted as being effective.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with respect to any Person, all of such Person’s interests in any kind of property, assets (including the capital stock in and other securities of any other Person) or revenues.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a prohibited transaction class exemption issued by the U.S. Department of Labor, as any such exemption may be amended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9.15</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w:t>
      </w:r>
      <w:r>
        <w:rPr>
          <w:rFonts w:ascii="Arial" w:cs="Arial" w:eastAsia="Arial" w:hAnsi="Arial"/>
          <w:sz w:val="22"/>
          <w:szCs w:val="22"/>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Agencies</w:t>
      </w:r>
      <w:r>
        <w:rPr>
          <w:rFonts w:ascii="Arial" w:cs="Arial" w:eastAsia="Arial" w:hAnsi="Arial"/>
          <w:sz w:val="22"/>
          <w:szCs w:val="22"/>
          <w:color w:val="auto"/>
        </w:rPr>
        <w:t>”: each of Moody’s, S&amp;P and Fitch.</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w:t>
      </w:r>
      <w:r>
        <w:rPr>
          <w:rFonts w:ascii="Arial" w:cs="Arial" w:eastAsia="Arial" w:hAnsi="Arial"/>
          <w:sz w:val="22"/>
          <w:szCs w:val="22"/>
          <w:color w:val="auto"/>
        </w:rPr>
        <w:t>”: a Key Performance Indicator measured by RBA Audit Score Average.</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 Average</w:t>
      </w:r>
      <w:r>
        <w:rPr>
          <w:rFonts w:ascii="Arial" w:cs="Arial" w:eastAsia="Arial" w:hAnsi="Arial"/>
          <w:sz w:val="22"/>
          <w:szCs w:val="22"/>
          <w:color w:val="auto"/>
        </w:rPr>
        <w:t>”: the average of the Responsible Business Alliance (RBA) Validated Assessment Program (VAP) audit scores received by the manufacturing locations of the Borrower and its Subsidiaries at the applicable calendar year end.</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 Average Applicable Margin Adjustment Amount</w:t>
      </w:r>
      <w:r>
        <w:rPr>
          <w:rFonts w:ascii="Arial" w:cs="Arial" w:eastAsia="Arial" w:hAnsi="Arial"/>
          <w:sz w:val="22"/>
          <w:szCs w:val="22"/>
          <w:color w:val="auto"/>
        </w:rPr>
        <w:t>”: with respect to RBA Audit Score for any calendar year, (a) positive 1.67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1.67 basis points if the RBA Audit Score Average as set forth in the Sustainability Pricing Certificate is equal to or greater than the Successful Completion Threshold for such calendar year.</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RBA Audit Score Average Commitment Fee Adjustment Amount</w:t>
      </w:r>
      <w:r>
        <w:rPr>
          <w:rFonts w:ascii="Arial" w:cs="Arial" w:eastAsia="Arial" w:hAnsi="Arial"/>
          <w:sz w:val="21"/>
          <w:szCs w:val="21"/>
          <w:color w:val="auto"/>
        </w:rPr>
        <w:t>”: with respect to RBA Audit Score for any calendar year, (a) positive 0.34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0.34 basis points if the RBA Audit Score Average as set forth in the Sustainability Pricing Certificate is equal to or greater than the applicable Successful Completion Threshold for such calendar year.</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Reference Time</w:t>
      </w:r>
      <w:r>
        <w:rPr>
          <w:rFonts w:ascii="Arial" w:cs="Arial" w:eastAsia="Arial" w:hAnsi="Arial"/>
          <w:sz w:val="22"/>
          <w:szCs w:val="22"/>
          <w:color w:val="auto"/>
        </w:rPr>
        <w:t xml:space="preserve">” with respect to any setting of the then-current Benchmark means (1) if such Benchmark is </w:t>
      </w:r>
      <w:r>
        <w:rPr>
          <w:rFonts w:ascii="Arial" w:cs="Arial" w:eastAsia="Arial" w:hAnsi="Arial"/>
          <w:sz w:val="22"/>
          <w:szCs w:val="22"/>
          <w:color w:val="FF0000"/>
          <w:strike w:val="1"/>
        </w:rPr>
        <w:t>LIBOR, 11:00 a.m. (London</w:t>
      </w:r>
      <w:r>
        <w:rPr>
          <w:rFonts w:ascii="Arial" w:cs="Arial" w:eastAsia="Arial" w:hAnsi="Arial"/>
          <w:sz w:val="22"/>
          <w:szCs w:val="22"/>
          <w:u w:val="single" w:color="auto"/>
          <w:color w:val="0000FF"/>
        </w:rPr>
        <w:t>the Term SOFR Reference Rate, 5:00 p.m. (New York City</w:t>
      </w:r>
      <w:r>
        <w:rPr>
          <w:rFonts w:ascii="Arial" w:cs="Arial" w:eastAsia="Arial" w:hAnsi="Arial"/>
          <w:sz w:val="22"/>
          <w:szCs w:val="22"/>
          <w:color w:val="FF0000"/>
        </w:rPr>
        <w:t xml:space="preserve"> </w:t>
      </w:r>
      <w:r>
        <w:rPr>
          <w:rFonts w:ascii="Arial" w:cs="Arial" w:eastAsia="Arial" w:hAnsi="Arial"/>
          <w:sz w:val="22"/>
          <w:szCs w:val="22"/>
          <w:color w:val="000000"/>
        </w:rPr>
        <w:t>time) on the day that is two</w:t>
      </w:r>
      <w:r>
        <w:rPr>
          <w:rFonts w:ascii="Arial" w:cs="Arial" w:eastAsia="Arial" w:hAnsi="Arial"/>
          <w:sz w:val="22"/>
          <w:szCs w:val="22"/>
          <w:color w:val="FF0000"/>
        </w:rPr>
        <w:t xml:space="preserve"> </w:t>
      </w:r>
      <w:r>
        <w:rPr>
          <w:rFonts w:ascii="Arial" w:cs="Arial" w:eastAsia="Arial" w:hAnsi="Arial"/>
          <w:sz w:val="22"/>
          <w:szCs w:val="22"/>
          <w:color w:val="FF0000"/>
          <w:strike w:val="1"/>
        </w:rPr>
        <w:t>London banking</w:t>
      </w:r>
      <w:r>
        <w:rPr>
          <w:rFonts w:ascii="Arial" w:cs="Arial" w:eastAsia="Arial" w:hAnsi="Arial"/>
          <w:sz w:val="22"/>
          <w:szCs w:val="22"/>
          <w:u w:val="single" w:color="auto"/>
          <w:color w:val="0000FF"/>
        </w:rPr>
        <w:t>U.S. Government Securities Business</w:t>
      </w:r>
      <w:r>
        <w:rPr>
          <w:rFonts w:ascii="Arial" w:cs="Arial" w:eastAsia="Arial" w:hAnsi="Arial"/>
          <w:sz w:val="22"/>
          <w:szCs w:val="22"/>
          <w:color w:val="FF0000"/>
        </w:rPr>
        <w:t xml:space="preserve"> </w:t>
      </w:r>
      <w:r>
        <w:rPr>
          <w:rFonts w:ascii="Arial" w:cs="Arial" w:eastAsia="Arial" w:hAnsi="Arial"/>
          <w:sz w:val="22"/>
          <w:szCs w:val="22"/>
          <w:color w:val="FF0000"/>
          <w:strike w:val="1"/>
        </w:rPr>
        <w:t>d</w:t>
      </w:r>
      <w:r>
        <w:rPr>
          <w:rFonts w:ascii="Arial" w:cs="Arial" w:eastAsia="Arial" w:hAnsi="Arial"/>
          <w:sz w:val="22"/>
          <w:szCs w:val="22"/>
          <w:u w:val="single" w:color="auto"/>
          <w:color w:val="0000FF"/>
        </w:rPr>
        <w:t>D</w:t>
      </w:r>
      <w:r>
        <w:rPr>
          <w:rFonts w:ascii="Arial" w:cs="Arial" w:eastAsia="Arial" w:hAnsi="Arial"/>
          <w:sz w:val="22"/>
          <w:szCs w:val="22"/>
          <w:color w:val="000000"/>
        </w:rPr>
        <w:t>ays preceding the date of such setting</w:t>
      </w:r>
      <w:r>
        <w:rPr>
          <w:rFonts w:ascii="Arial" w:cs="Arial" w:eastAsia="Arial" w:hAnsi="Arial"/>
          <w:sz w:val="22"/>
          <w:szCs w:val="22"/>
          <w:color w:val="FF0000"/>
          <w:strike w:val="1"/>
        </w:rPr>
        <w:t>, and</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or</w:t>
      </w:r>
      <w:r>
        <w:rPr>
          <w:rFonts w:ascii="Arial" w:cs="Arial" w:eastAsia="Arial" w:hAnsi="Arial"/>
          <w:sz w:val="22"/>
          <w:szCs w:val="22"/>
          <w:color w:val="FF0000"/>
        </w:rPr>
        <w:t xml:space="preserve"> </w:t>
      </w:r>
      <w:r>
        <w:rPr>
          <w:rFonts w:ascii="Arial" w:cs="Arial" w:eastAsia="Arial" w:hAnsi="Arial"/>
          <w:sz w:val="22"/>
          <w:szCs w:val="22"/>
          <w:color w:val="000000"/>
        </w:rPr>
        <w:t>(2) if such</w:t>
      </w:r>
      <w:r>
        <w:rPr>
          <w:rFonts w:ascii="Arial" w:cs="Arial" w:eastAsia="Arial" w:hAnsi="Arial"/>
          <w:sz w:val="22"/>
          <w:szCs w:val="22"/>
          <w:color w:val="FF0000"/>
        </w:rPr>
        <w:t xml:space="preserve"> </w:t>
      </w:r>
      <w:r>
        <w:rPr>
          <w:rFonts w:ascii="Arial" w:cs="Arial" w:eastAsia="Arial" w:hAnsi="Arial"/>
          <w:sz w:val="22"/>
          <w:szCs w:val="22"/>
          <w:color w:val="000000"/>
        </w:rPr>
        <w:t xml:space="preserve">Benchmark is not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the Term SOFR Reference Rate</w:t>
      </w:r>
      <w:r>
        <w:rPr>
          <w:rFonts w:ascii="Arial" w:cs="Arial" w:eastAsia="Arial" w:hAnsi="Arial"/>
          <w:sz w:val="22"/>
          <w:szCs w:val="22"/>
          <w:color w:val="000000"/>
        </w:rPr>
        <w:t>, the time determined by the Administrative Agent in its reasonable discretion.</w:t>
      </w:r>
    </w:p>
    <w:p>
      <w:pPr>
        <w:spacing w:after="0" w:line="1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w:t>
      </w:r>
      <w:r>
        <w:rPr>
          <w:rFonts w:ascii="Arial" w:cs="Arial" w:eastAsia="Arial" w:hAnsi="Arial"/>
          <w:sz w:val="22"/>
          <w:szCs w:val="22"/>
          <w:color w:val="auto"/>
        </w:rPr>
        <w:t>” shall mean the repayment, repurchase, redemption, defeasance or other discharge of the Existing Credit Agreement and the termination and release of any security interests and guarantees in connection therewith.</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Change</w:t>
      </w:r>
      <w:r>
        <w:rPr>
          <w:rFonts w:ascii="Arial" w:cs="Arial" w:eastAsia="Arial" w:hAnsi="Arial"/>
          <w:sz w:val="22"/>
          <w:szCs w:val="22"/>
          <w:color w:val="auto"/>
        </w:rPr>
        <w:t>” with respect to each calendar year and in relation to any Key Performance Indicator, a policy change, on which the Borrower and its Subsidiaries has no recourse or ability to act upon, which affects, significantly, whether positively and / or negatively, one or more of the KPI Metrics.</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Federal Reserve Board or the Federal Reserve Bank of New York, or a committee officially endorsed or convened by the Federal Reserve Board or the Federal Reserve Bank of New York, or any successor thereto.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9.6(b)(iv)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of Governors as in effect from time to time.</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Persons</w:t>
      </w:r>
      <w:r>
        <w:rPr>
          <w:rFonts w:ascii="Arial" w:cs="Arial" w:eastAsia="Arial" w:hAnsi="Arial"/>
          <w:sz w:val="22"/>
          <w:szCs w:val="22"/>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 (30) day notice period is waived under any regulation promulgated by the PBGC.</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at any time, Lenders holding more than 50% of the total Commitments then in effect or, if the Commitments have been terminated, the Total</w:t>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35" w:lineRule="auto"/>
        <w:rPr>
          <w:sz w:val="20"/>
          <w:szCs w:val="20"/>
          <w:color w:val="auto"/>
        </w:rPr>
      </w:pPr>
      <w:r>
        <w:rPr>
          <w:rFonts w:ascii="Arial" w:cs="Arial" w:eastAsia="Arial" w:hAnsi="Arial"/>
          <w:sz w:val="22"/>
          <w:szCs w:val="22"/>
          <w:color w:val="auto"/>
        </w:rPr>
        <w:t xml:space="preserve">Revolving Credit Exposure of all Lenders then outstanding; with respect to any Class, “Required Lenders” means at any time, Lenders holding more than 50% of the total Commitments then in effect for such Class, or if such Commitments have been terminated, the total Revolving Credit Exposure of all Lenders in such Class;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whenever there are one or more Defaulting Lenders, the Commitments and Revolving Credit Exposure held or deemed held by each Defaulting Lender shall be excluded for purposes of making any determination of Required Lenders.</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xml:space="preserve"> ”: the chief executive officer, any president, any vice president, the chief financial officer, the treasurer, any assistant treasurer, the secretary or any assistant secretary of the Borrower.</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clause (i), any Voting Stock owned by a Subsidiary of the Borrower that is not a Restricted Subsidiary based on the foregoing clause shall be excluded.</w:t>
      </w:r>
    </w:p>
    <w:p>
      <w:pPr>
        <w:spacing w:after="0" w:line="1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Commitments</w:t>
      </w:r>
      <w:r>
        <w:rPr>
          <w:rFonts w:ascii="Arial" w:cs="Arial" w:eastAsia="Arial" w:hAnsi="Arial"/>
          <w:sz w:val="22"/>
          <w:szCs w:val="22"/>
          <w:color w:val="auto"/>
        </w:rPr>
        <w:t>”: with respect to each Lender, the commitment of such Lender to make Revolving Loans and to acquire participations in Documentary Credits hereunder, expressed as an amount representing the maximum aggregate amount of such Lender’s Revolving Credit Exposure hereunder, as such commitment may be</w:t>
      </w:r>
    </w:p>
    <w:p>
      <w:pPr>
        <w:spacing w:after="0" w:line="2" w:lineRule="exact"/>
        <w:rPr>
          <w:sz w:val="20"/>
          <w:szCs w:val="20"/>
          <w:color w:val="auto"/>
        </w:rPr>
      </w:pPr>
    </w:p>
    <w:p>
      <w:pPr>
        <w:jc w:val="both"/>
        <w:ind w:firstLine="8"/>
        <w:spacing w:after="0" w:line="242" w:lineRule="auto"/>
        <w:tabs>
          <w:tab w:leader="none" w:pos="351"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reduced from time to time pursuant to </w:t>
      </w:r>
      <w:r>
        <w:rPr>
          <w:rFonts w:ascii="Arial" w:cs="Arial" w:eastAsia="Arial" w:hAnsi="Arial"/>
          <w:sz w:val="21"/>
          <w:szCs w:val="21"/>
          <w:u w:val="single" w:color="auto"/>
          <w:color w:val="auto"/>
        </w:rPr>
        <w:t>Section 2.6</w:t>
      </w:r>
      <w:r>
        <w:rPr>
          <w:rFonts w:ascii="Arial" w:cs="Arial" w:eastAsia="Arial" w:hAnsi="Arial"/>
          <w:sz w:val="21"/>
          <w:szCs w:val="21"/>
          <w:color w:val="auto"/>
        </w:rPr>
        <w:t xml:space="preserve"> and (b) reduced or increased from time to time pursuant to assignments by or to such Lender pursuant to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The initial amount of each Lender’s Revolving Commitment is set forth on </w:t>
      </w:r>
      <w:r>
        <w:rPr>
          <w:rFonts w:ascii="Arial" w:cs="Arial" w:eastAsia="Arial" w:hAnsi="Arial"/>
          <w:sz w:val="21"/>
          <w:szCs w:val="21"/>
          <w:u w:val="single" w:color="auto"/>
          <w:color w:val="auto"/>
        </w:rPr>
        <w:t>Schedule 1.1</w:t>
      </w:r>
      <w:r>
        <w:rPr>
          <w:rFonts w:ascii="Arial" w:cs="Arial" w:eastAsia="Arial" w:hAnsi="Arial"/>
          <w:sz w:val="21"/>
          <w:szCs w:val="21"/>
          <w:color w:val="auto"/>
        </w:rPr>
        <w:t>, or in the Assignment and Assumption or other documentation or record (as such "term is defined in Section 9-102(a)(70) of the New York Uniform Commercial Code) as provided in Section 9.04(b)(ii)(C), pursuant to which such Lender shall have assumed its Revolving Commitment, as applicable. As of the Closing Date, the aggregate amount of the Lenders’ Revolving Commitments is $2,500,000,000.</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with respect to any Lender at any time, the sum of the outstanding principal amount of such Lender’s Loans and its DC Exposure at such time.</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 Percentage</w:t>
      </w:r>
      <w:r>
        <w:rPr>
          <w:rFonts w:ascii="Arial" w:cs="Arial" w:eastAsia="Arial" w:hAnsi="Arial"/>
          <w:sz w:val="22"/>
          <w:szCs w:val="22"/>
          <w:color w:val="auto"/>
        </w:rPr>
        <w:t>”: with respect to any Lender at any time, the ratio (expressed as a percentage) of such Lender’s Revolving Credit Exposure at such time to the Revolving Credit Exposure of all Lenders at such time.</w:t>
      </w:r>
    </w:p>
    <w:p>
      <w:pPr>
        <w:sectPr>
          <w:pgSz w:w="11900" w:h="16838" w:orient="portrait"/>
          <w:cols w:equalWidth="0" w:num="1">
            <w:col w:w="11240"/>
          </w:cols>
          <w:pgMar w:left="320" w:top="1413" w:right="339" w:bottom="1440" w:gutter="0" w:footer="0" w:header="0"/>
        </w:sectPr>
      </w:pPr>
    </w:p>
    <w:bookmarkStart w:id="108" w:name="page109"/>
    <w:bookmarkEnd w:id="108"/>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Extensions of Credit</w:t>
      </w:r>
      <w:r>
        <w:rPr>
          <w:rFonts w:ascii="Arial" w:cs="Arial" w:eastAsia="Arial" w:hAnsi="Arial"/>
          <w:sz w:val="22"/>
          <w:szCs w:val="22"/>
          <w:color w:val="auto"/>
        </w:rPr>
        <w:t>”: as to any Lender at any time, an amount equal to the sum of (a) the aggregate principal amount of all Revolving Loans made by such Lender then outstanding, and (b) such Lender’s Revolving Loan Percentage of the DC Obligations then outstanding.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w:t>
      </w:r>
      <w:r>
        <w:rPr>
          <w:rFonts w:ascii="Arial" w:cs="Arial" w:eastAsia="Arial" w:hAnsi="Arial"/>
          <w:sz w:val="22"/>
          <w:szCs w:val="22"/>
          <w:color w:val="auto"/>
        </w:rPr>
        <w:t>”: the Revolving Commitments and the extensions of credit made thereunder.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a Loan made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Percentage</w:t>
      </w:r>
      <w:r>
        <w:rPr>
          <w:rFonts w:ascii="Arial" w:cs="Arial" w:eastAsia="Arial" w:hAnsi="Arial"/>
          <w:sz w:val="22"/>
          <w:szCs w:val="22"/>
          <w:color w:val="auto"/>
        </w:rPr>
        <w:t>”: as to any Lender at any time, the percentage of which such Lender’s Revolving Commitment represents of the aggregate Revolving Commitments or, if the Revolving Commitments have been terminated, the percentage held by such Lender of the aggregate principal amount of all Revolving Loans and DC Obligations (via risk participation) then outstanding.</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Maturity Date</w:t>
      </w:r>
      <w:r>
        <w:rPr>
          <w:rFonts w:ascii="Arial" w:cs="Arial" w:eastAsia="Arial" w:hAnsi="Arial"/>
          <w:sz w:val="22"/>
          <w:szCs w:val="22"/>
          <w:color w:val="auto"/>
        </w:rPr>
        <w:t xml:space="preserve">”: the earlier to occur of (a) the Stated Maturity and (b) the acceleration of the Revolving Loans and termination of the Revolving Commitments. In the event that one or more Extensions are effected in accordance with </w:t>
      </w:r>
      <w:r>
        <w:rPr>
          <w:rFonts w:ascii="Arial" w:cs="Arial" w:eastAsia="Arial" w:hAnsi="Arial"/>
          <w:sz w:val="22"/>
          <w:szCs w:val="22"/>
          <w:u w:val="single" w:color="auto"/>
          <w:color w:val="auto"/>
        </w:rPr>
        <w:t>Section 2.23</w:t>
      </w:r>
      <w:r>
        <w:rPr>
          <w:rFonts w:ascii="Arial" w:cs="Arial" w:eastAsia="Arial" w:hAnsi="Arial"/>
          <w:sz w:val="22"/>
          <w:szCs w:val="22"/>
          <w:color w:val="auto"/>
        </w:rPr>
        <w:t>, then the Revolving Maturity Date of the Revolving Loans shall be determined based on the respective Stated Maturity applicable thereto (except in cases where clause (b) of the preceding sentence is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Services, and any successor to its rating agency business.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at any time, a country, region or territory which is itself the subject or target of any Sanctions (at the time of this Agreement, Crimea, Cuba, Iran, North Korea and Syria).</w:t>
      </w:r>
    </w:p>
    <w:p>
      <w:pPr>
        <w:spacing w:after="0" w:line="15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Sanctions</w:t>
      </w:r>
      <w:r>
        <w:rPr>
          <w:rFonts w:ascii="Arial" w:cs="Arial" w:eastAsia="Arial" w:hAnsi="Arial"/>
          <w:sz w:val="22"/>
          <w:szCs w:val="22"/>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Scope 1 Emissions</w:t>
      </w:r>
      <w:r>
        <w:rPr>
          <w:rFonts w:ascii="Arial" w:cs="Arial" w:eastAsia="Arial" w:hAnsi="Arial"/>
          <w:sz w:val="22"/>
          <w:szCs w:val="22"/>
          <w:color w:val="auto"/>
        </w:rPr>
        <w:t xml:space="preserve"> ”: emissions represented in metric tons CO2e from the Borrower and its Subsidiaries’ direct operations, including the manufacturing process, onsite combustion and refrigeration and cooling, with such emissions data collected and</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1" w:lineRule="auto"/>
        <w:rPr>
          <w:sz w:val="20"/>
          <w:szCs w:val="20"/>
          <w:color w:val="auto"/>
        </w:rPr>
      </w:pPr>
      <w:r>
        <w:rPr>
          <w:rFonts w:ascii="Arial" w:cs="Arial" w:eastAsia="Arial" w:hAnsi="Arial"/>
          <w:sz w:val="22"/>
          <w:szCs w:val="22"/>
          <w:color w:val="auto"/>
        </w:rPr>
        <w:t>calculated in alignment with the Greenhouse Gas Protocol: A Corporate Accounting and Reporting Standard (Revised Edition).</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Scope 2 Emissions</w:t>
      </w:r>
      <w:r>
        <w:rPr>
          <w:rFonts w:ascii="Arial" w:cs="Arial" w:eastAsia="Arial" w:hAnsi="Arial"/>
          <w:sz w:val="22"/>
          <w:szCs w:val="22"/>
          <w:color w:val="auto"/>
        </w:rPr>
        <w:t>”: emissions represented in metric tons CO2e from purchased electricity consumed by the Borrower and its Subsidiaries, with such emissions data collected and calculated in alignment with the Greenhouse Gas Protocol: A Corporate Accounting and Reporting Standard (Revised Edition).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 any successor thereto and any analogous Governmental Authority.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or any successor statute or statutes thereto.</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xml:space="preserve">”: any Subsidiary that is a “significant subsidiary” of the Borrower as defined under clauses (1) or (2) of Rule 1-02(w) of Regulation S-X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references to “10 percent” in clauses (1) and (2) of such definition shall be replaced with “20 percent”.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any Plan that is covered by Title IV of ERISA, but that is not a Multiemployer Plan.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xml:space="preserve">”: </w:t>
      </w:r>
      <w:r>
        <w:rPr>
          <w:rFonts w:ascii="Arial" w:cs="Arial" w:eastAsia="Arial" w:hAnsi="Arial"/>
          <w:sz w:val="22"/>
          <w:szCs w:val="22"/>
          <w:color w:val="FF0000"/>
          <w:strike w:val="1"/>
        </w:rPr>
        <w:t>with respect to any Business Day,</w:t>
      </w:r>
      <w:r>
        <w:rPr>
          <w:rFonts w:ascii="Arial" w:cs="Arial" w:eastAsia="Arial" w:hAnsi="Arial"/>
          <w:sz w:val="22"/>
          <w:szCs w:val="22"/>
          <w:color w:val="auto"/>
        </w:rPr>
        <w:t xml:space="preserve"> a rate </w:t>
      </w:r>
      <w:r>
        <w:rPr>
          <w:rFonts w:ascii="Arial" w:cs="Arial" w:eastAsia="Arial" w:hAnsi="Arial"/>
          <w:sz w:val="22"/>
          <w:szCs w:val="22"/>
          <w:color w:val="FF0000"/>
          <w:strike w:val="1"/>
        </w:rPr>
        <w:t>per annum</w:t>
      </w:r>
      <w:r>
        <w:rPr>
          <w:rFonts w:ascii="Arial" w:cs="Arial" w:eastAsia="Arial" w:hAnsi="Arial"/>
          <w:sz w:val="22"/>
          <w:szCs w:val="22"/>
          <w:color w:val="auto"/>
        </w:rPr>
        <w:t xml:space="preserve"> equal to the secured overnight financing rate </w:t>
      </w:r>
      <w:r>
        <w:rPr>
          <w:rFonts w:ascii="Arial" w:cs="Arial" w:eastAsia="Arial" w:hAnsi="Arial"/>
          <w:sz w:val="22"/>
          <w:szCs w:val="22"/>
          <w:color w:val="FF0000"/>
          <w:strike w:val="1"/>
        </w:rPr>
        <w:t>for</w:t>
      </w:r>
      <w:r>
        <w:rPr>
          <w:rFonts w:ascii="Arial" w:cs="Arial" w:eastAsia="Arial" w:hAnsi="Arial"/>
          <w:sz w:val="22"/>
          <w:szCs w:val="22"/>
          <w:color w:val="auto"/>
        </w:rPr>
        <w:t xml:space="preserve"> </w:t>
      </w:r>
      <w:r>
        <w:rPr>
          <w:rFonts w:ascii="Arial" w:cs="Arial" w:eastAsia="Arial" w:hAnsi="Arial"/>
          <w:sz w:val="22"/>
          <w:szCs w:val="22"/>
          <w:color w:val="FF0000"/>
          <w:strike w:val="1"/>
        </w:rPr>
        <w:t>such Business Day published</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as administered</w:t>
      </w:r>
      <w:r>
        <w:rPr>
          <w:rFonts w:ascii="Arial" w:cs="Arial" w:eastAsia="Arial" w:hAnsi="Arial"/>
          <w:sz w:val="22"/>
          <w:szCs w:val="22"/>
          <w:color w:val="FF0000"/>
        </w:rPr>
        <w:t xml:space="preserve"> </w:t>
      </w:r>
      <w:r>
        <w:rPr>
          <w:rFonts w:ascii="Arial" w:cs="Arial" w:eastAsia="Arial" w:hAnsi="Arial"/>
          <w:sz w:val="22"/>
          <w:szCs w:val="22"/>
          <w:color w:val="000000"/>
        </w:rPr>
        <w:t>by the SOFR Administrator</w:t>
      </w:r>
      <w:r>
        <w:rPr>
          <w:rFonts w:ascii="Arial" w:cs="Arial" w:eastAsia="Arial" w:hAnsi="Arial"/>
          <w:sz w:val="22"/>
          <w:szCs w:val="22"/>
          <w:color w:val="FF0000"/>
        </w:rPr>
        <w:t xml:space="preserve"> on the SOFR Administrator’s Website at </w:t>
      </w:r>
      <w:r>
        <w:rPr>
          <w:rFonts w:ascii="Arial" w:cs="Arial" w:eastAsia="Arial" w:hAnsi="Arial"/>
          <w:sz w:val="22"/>
          <w:szCs w:val="22"/>
          <w:color w:val="FF0000"/>
          <w:strike w:val="1"/>
        </w:rPr>
        <w:t>approximately 8:00 a.m</w:t>
      </w:r>
      <w:r>
        <w:rPr>
          <w:rFonts w:ascii="Arial" w:cs="Arial" w:eastAsia="Arial" w:hAnsi="Arial"/>
          <w:sz w:val="22"/>
          <w:szCs w:val="22"/>
          <w:color w:val="008000"/>
          <w:strike w:val="1"/>
        </w:rPr>
        <w:t>. (New York City time) on</w:t>
      </w:r>
      <w:r>
        <w:rPr>
          <w:rFonts w:ascii="Arial" w:cs="Arial" w:eastAsia="Arial" w:hAnsi="Arial"/>
          <w:sz w:val="22"/>
          <w:szCs w:val="22"/>
          <w:color w:val="FF0000"/>
          <w:strike w:val="1"/>
        </w:rPr>
        <w:t xml:space="preserve"> the immediately succeeding Business Day.</w:t>
      </w:r>
      <w:r>
        <w:rPr>
          <w:rFonts w:ascii="Arial" w:cs="Arial" w:eastAsia="Arial" w:hAnsi="Arial"/>
          <w:sz w:val="22"/>
          <w:szCs w:val="22"/>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-237490</wp:posOffset>
            </wp:positionV>
            <wp:extent cx="25654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565400"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the Federal Reserve Bank of New York (or a successor administrator of the secured overnight financing rate).</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SOFR Administrator’s Website</w:t>
      </w:r>
      <w:r>
        <w:rPr>
          <w:rFonts w:ascii="Arial" w:cs="Arial" w:eastAsia="Arial" w:hAnsi="Arial"/>
          <w:sz w:val="22"/>
          <w:szCs w:val="22"/>
          <w:color w:val="FF0000"/>
          <w:strike w:val="1"/>
        </w:rPr>
        <w:t>”: the website of the Federal Reserve Bank of New York, currently at http://www.newyorkfed.org, or any successor source for the secured overnight financing rate identified as such by the SOFR Administrator from time to time.</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0000FF"/>
        </w:rPr>
        <w:t>“SOFR Loan”: a Loan that bears interest at a rate based on Adjusted Term SOFR, other than pursuant to clause (c) of the definition of “Base Rate”.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 xml:space="preserve">“SOFR </w:t>
      </w:r>
      <w:r>
        <w:rPr>
          <w:rFonts w:ascii="Arial" w:cs="Arial" w:eastAsia="Arial" w:hAnsi="Arial"/>
          <w:sz w:val="22"/>
          <w:szCs w:val="22"/>
          <w:u w:val="single" w:color="auto"/>
          <w:color w:val="008000"/>
        </w:rPr>
        <w:t>Revolving Borrowing”: a Borrowing of Revolving Loans that are</w:t>
      </w:r>
      <w:r>
        <w:rPr>
          <w:rFonts w:ascii="Arial" w:cs="Arial" w:eastAsia="Arial" w:hAnsi="Arial"/>
          <w:sz w:val="22"/>
          <w:szCs w:val="22"/>
          <w:u w:val="single" w:color="auto"/>
          <w:color w:val="0000FF"/>
        </w:rPr>
        <w:t xml:space="preserve"> SOFR Loans.</w:t>
      </w:r>
    </w:p>
    <w:p>
      <w:pPr>
        <w:spacing w:after="0" w:line="20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w:t>
      </w:r>
    </w:p>
    <w:p>
      <w:pPr>
        <w:sectPr>
          <w:pgSz w:w="11900" w:h="16838" w:orient="portrait"/>
          <w:cols w:equalWidth="0" w:num="1">
            <w:col w:w="11240"/>
          </w:cols>
          <w:pgMar w:left="320" w:top="1413" w:right="339" w:bottom="1440" w:gutter="0" w:footer="0" w:header="0"/>
        </w:sectPr>
      </w:pPr>
    </w:p>
    <w:bookmarkStart w:id="110" w:name="page111"/>
    <w:bookmarkEnd w:id="110"/>
    <w:p>
      <w:pPr>
        <w:jc w:val="both"/>
        <w:spacing w:after="0" w:line="245" w:lineRule="auto"/>
        <w:rPr>
          <w:sz w:val="20"/>
          <w:szCs w:val="20"/>
          <w:color w:val="auto"/>
        </w:rPr>
      </w:pPr>
      <w:r>
        <w:rPr>
          <w:rFonts w:ascii="Arial" w:cs="Arial" w:eastAsia="Arial" w:hAnsi="Arial"/>
          <w:sz w:val="21"/>
          <w:szCs w:val="21"/>
          <w:color w:val="auto"/>
        </w:rPr>
        <w:t>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w:t>
      </w:r>
    </w:p>
    <w:p>
      <w:pPr>
        <w:spacing w:after="0" w:line="2" w:lineRule="exact"/>
        <w:rPr>
          <w:sz w:val="20"/>
          <w:szCs w:val="20"/>
          <w:color w:val="auto"/>
        </w:rPr>
      </w:pPr>
    </w:p>
    <w:p>
      <w:pPr>
        <w:jc w:val="both"/>
        <w:ind w:firstLine="8"/>
        <w:spacing w:after="0" w:line="231" w:lineRule="auto"/>
        <w:tabs>
          <w:tab w:leader="none" w:pos="2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Fiscal Quarters</w:t>
      </w:r>
      <w:r>
        <w:rPr>
          <w:rFonts w:ascii="Arial" w:cs="Arial" w:eastAsia="Arial" w:hAnsi="Arial"/>
          <w:sz w:val="22"/>
          <w:szCs w:val="22"/>
          <w:color w:val="auto"/>
        </w:rPr>
        <w:t>”: the fiscal quarters of the Borrower ending August 31, 2023, November 30, 2023, February 29, 2024, May 30, 2024, and August 29, 2024.</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xml:space="preserve">”: May 14, 2026;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any Extended Revolving Commitments, the Stated Maturity with respect thereto shall instead be the final maturity date as specified in the applicable Extension Offer accepted by the respective Lender.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with respect to any specified Person:</w:t>
      </w:r>
    </w:p>
    <w:p>
      <w:pPr>
        <w:spacing w:after="0" w:line="206" w:lineRule="exact"/>
        <w:rPr>
          <w:sz w:val="20"/>
          <w:szCs w:val="20"/>
          <w:color w:val="auto"/>
        </w:rPr>
      </w:pPr>
    </w:p>
    <w:p>
      <w:pPr>
        <w:ind w:left="660" w:right="40" w:firstLine="644"/>
        <w:spacing w:after="0" w:line="233" w:lineRule="auto"/>
        <w:tabs>
          <w:tab w:leader="none" w:pos="1812"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6" w:lineRule="exact"/>
        <w:rPr>
          <w:rFonts w:ascii="Arial" w:cs="Arial" w:eastAsia="Arial" w:hAnsi="Arial"/>
          <w:sz w:val="22"/>
          <w:szCs w:val="22"/>
          <w:color w:val="010000"/>
        </w:rPr>
      </w:pPr>
    </w:p>
    <w:p>
      <w:pPr>
        <w:ind w:left="660" w:firstLine="644"/>
        <w:spacing w:after="0" w:line="241" w:lineRule="auto"/>
        <w:tabs>
          <w:tab w:leader="none" w:pos="1812"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83" w:lineRule="exact"/>
        <w:rPr>
          <w:sz w:val="20"/>
          <w:szCs w:val="20"/>
          <w:color w:val="auto"/>
        </w:rPr>
      </w:pPr>
    </w:p>
    <w:p>
      <w:pPr>
        <w:ind w:right="12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Guaranty</w:t>
      </w:r>
      <w:r>
        <w:rPr>
          <w:rFonts w:ascii="Arial" w:cs="Arial" w:eastAsia="Arial" w:hAnsi="Arial"/>
          <w:sz w:val="22"/>
          <w:szCs w:val="22"/>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69" w:lineRule="exact"/>
        <w:rPr>
          <w:sz w:val="20"/>
          <w:szCs w:val="20"/>
          <w:color w:val="auto"/>
        </w:rPr>
      </w:pPr>
    </w:p>
    <w:p>
      <w:pPr>
        <w:jc w:val="both"/>
        <w:ind w:right="220"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Successful Completion Threshold</w:t>
      </w:r>
      <w:r>
        <w:rPr>
          <w:rFonts w:ascii="Arial" w:cs="Arial" w:eastAsia="Arial" w:hAnsi="Arial"/>
          <w:sz w:val="22"/>
          <w:szCs w:val="22"/>
          <w:color w:val="auto"/>
        </w:rPr>
        <w:t>” with respect to each calendar year, the number or percentage set forth in Schedule 1.3 (Sustainability Performance Thresholds) in the row labeled “Successful Completion Threshold” for the applicable Key Performance Indicator for the applicable calendar year.</w:t>
      </w:r>
    </w:p>
    <w:p>
      <w:pPr>
        <w:spacing w:after="0" w:line="183"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Adjustment Date</w:t>
      </w:r>
      <w:r>
        <w:rPr>
          <w:rFonts w:ascii="Arial" w:cs="Arial" w:eastAsia="Arial" w:hAnsi="Arial"/>
          <w:sz w:val="22"/>
          <w:szCs w:val="22"/>
          <w:color w:val="auto"/>
        </w:rPr>
        <w:t>”: the date that is five Business Days following receipt from the Administrative Agent of the Sustainability Pricing Certificate in</w:t>
      </w:r>
    </w:p>
    <w:p>
      <w:pPr>
        <w:sectPr>
          <w:pgSz w:w="11900" w:h="16838" w:orient="portrait"/>
          <w:cols w:equalWidth="0" w:num="1">
            <w:col w:w="11240"/>
          </w:cols>
          <w:pgMar w:left="320" w:top="1413" w:right="339" w:bottom="1440" w:gutter="0" w:footer="0" w:header="0"/>
        </w:sectPr>
      </w:pPr>
    </w:p>
    <w:bookmarkStart w:id="111" w:name="page112"/>
    <w:bookmarkEnd w:id="111"/>
    <w:p>
      <w:pPr>
        <w:ind w:right="480"/>
        <w:spacing w:after="0" w:line="241" w:lineRule="auto"/>
        <w:rPr>
          <w:sz w:val="20"/>
          <w:szCs w:val="20"/>
          <w:color w:val="auto"/>
        </w:rPr>
      </w:pPr>
      <w:r>
        <w:rPr>
          <w:rFonts w:ascii="Arial" w:cs="Arial" w:eastAsia="Arial" w:hAnsi="Arial"/>
          <w:sz w:val="22"/>
          <w:szCs w:val="22"/>
          <w:color w:val="auto"/>
        </w:rPr>
        <w:t xml:space="preserve">accordance with </w:t>
      </w:r>
      <w:r>
        <w:rPr>
          <w:rFonts w:ascii="Arial" w:cs="Arial" w:eastAsia="Arial" w:hAnsi="Arial"/>
          <w:sz w:val="22"/>
          <w:szCs w:val="22"/>
          <w:u w:val="single" w:color="auto"/>
          <w:color w:val="auto"/>
        </w:rPr>
        <w:t>Section 5.2(d)</w:t>
      </w:r>
      <w:r>
        <w:rPr>
          <w:rFonts w:ascii="Arial" w:cs="Arial" w:eastAsia="Arial" w:hAnsi="Arial"/>
          <w:sz w:val="22"/>
          <w:szCs w:val="22"/>
          <w:color w:val="auto"/>
        </w:rPr>
        <w:t xml:space="preserve"> for the applicable calendar year or the date that is 180 days after the end of the applicable calendar year if the Borrower fails to or elects not to deliver a Sustainability Pricing Certificate for such calendar year.</w:t>
      </w:r>
    </w:p>
    <w:p>
      <w:pPr>
        <w:spacing w:after="0" w:line="183" w:lineRule="exact"/>
        <w:rPr>
          <w:sz w:val="20"/>
          <w:szCs w:val="20"/>
          <w:color w:val="auto"/>
        </w:rPr>
      </w:pPr>
    </w:p>
    <w:p>
      <w:pPr>
        <w:ind w:right="9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Applicable Rate Adjustment</w:t>
      </w:r>
      <w:r>
        <w:rPr>
          <w:rFonts w:ascii="Arial" w:cs="Arial" w:eastAsia="Arial" w:hAnsi="Arial"/>
          <w:sz w:val="22"/>
          <w:szCs w:val="22"/>
          <w:color w:val="auto"/>
        </w:rPr>
        <w:t>”: at any date, the applicable rate per annum determined in accordance with the Sustainability Margin Adjustment and Sustainability Commitment Fee Adjustment.</w:t>
      </w:r>
    </w:p>
    <w:p>
      <w:pPr>
        <w:spacing w:after="0" w:line="173"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Commitment Fee Adjustment</w:t>
      </w:r>
      <w:r>
        <w:rPr>
          <w:rFonts w:ascii="Arial" w:cs="Arial" w:eastAsia="Arial" w:hAnsi="Arial"/>
          <w:sz w:val="22"/>
          <w:szCs w:val="22"/>
          <w:color w:val="auto"/>
        </w:rPr>
        <w:t>”: with respect to any calendar year, an amount (whether positive, negative or zero), equal to the sum of (a) GHG Emissions Intensity Commitment Fee Adjustment Amount, plus (b) the RBA Audit Score Average Commitment Fee Adjustment Amount, plus (c) Waste Diversion Commitment Fee Adjustment Amount, in each case for such calendar year.</w:t>
      </w:r>
    </w:p>
    <w:p>
      <w:pPr>
        <w:spacing w:after="0" w:line="184"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Margin Adjustment</w:t>
      </w:r>
      <w:r>
        <w:rPr>
          <w:rFonts w:ascii="Arial" w:cs="Arial" w:eastAsia="Arial" w:hAnsi="Arial"/>
          <w:sz w:val="22"/>
          <w:szCs w:val="22"/>
          <w:color w:val="auto"/>
        </w:rPr>
        <w:t>”: with respect to any calendar year, an amount (whether positive, negative or zero), equal to the sum of (a) GHG Emissions Intensity Applicable Margin Adjustment Amount, plus (b) the RBA Audit Score Average Applicable Margin Adjustment Amount, plus (c) Waste Diversion Applicable Margin Adjustment Amount, in each case for such calendar year.</w:t>
      </w:r>
    </w:p>
    <w:p>
      <w:pPr>
        <w:spacing w:after="0" w:line="185" w:lineRule="exact"/>
        <w:rPr>
          <w:sz w:val="20"/>
          <w:szCs w:val="20"/>
          <w:color w:val="auto"/>
        </w:rPr>
      </w:pPr>
    </w:p>
    <w:p>
      <w:pPr>
        <w:ind w:right="140" w:firstLine="648"/>
        <w:spacing w:after="0" w:line="24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Sustainability Performance Thresholds</w:t>
      </w:r>
      <w:r>
        <w:rPr>
          <w:rFonts w:ascii="Arial" w:cs="Arial" w:eastAsia="Arial" w:hAnsi="Arial"/>
          <w:sz w:val="22"/>
          <w:szCs w:val="22"/>
          <w:color w:val="auto"/>
        </w:rPr>
        <w:t>”: the Borrower’s objectives to improve or maintain over a certain level the KPI Metric of each of the Key Performance Indicators as reflected in the Sustainability Pricing Certificate, and specified in Schedule 1.3 (Sustainability Performance Thresholds).</w:t>
      </w:r>
    </w:p>
    <w:p>
      <w:pPr>
        <w:spacing w:after="0" w:line="183"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Pricing Certificate</w:t>
      </w:r>
      <w:r>
        <w:rPr>
          <w:rFonts w:ascii="Arial" w:cs="Arial" w:eastAsia="Arial" w:hAnsi="Arial"/>
          <w:sz w:val="22"/>
          <w:szCs w:val="22"/>
          <w:color w:val="auto"/>
        </w:rPr>
        <w:t>”: a certificate signed by a duly elected Responsible Officer of the Borrower which shall be delivered by the Borrower once per calendar year to the Administrative Agent and Sustainability Structuring Agent pursuant to Section 5.2(d) substantially in the form of Exhibit I attaching (a) true and correct copies of the KPI Metrics Report for the immediately preceding calendar year and setting forth each of the Sustainability Commitment Fee Adjustment and the Sustainability Margin Adjustment and (b) a review report of the KPI Metrics Auditor confirming that the KPI Auditor is not aware of any material modifications that should be made to such computations in order for them to be presented in all material respects in conformity with the applicable reporting criteria.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Pricing Certificate Inaccuracy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2.25(d)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Structuring Agent</w:t>
      </w:r>
      <w:r>
        <w:rPr>
          <w:rFonts w:ascii="Arial" w:cs="Arial" w:eastAsia="Arial" w:hAnsi="Arial"/>
          <w:sz w:val="22"/>
          <w:szCs w:val="22"/>
          <w:color w:val="auto"/>
        </w:rPr>
        <w:t>”: Credit Agricole Corporate and Investment Bank or any successor thereto.</w:t>
      </w:r>
    </w:p>
    <w:p>
      <w:pPr>
        <w:spacing w:after="0" w:line="206" w:lineRule="exact"/>
        <w:rPr>
          <w:sz w:val="20"/>
          <w:szCs w:val="20"/>
          <w:color w:val="auto"/>
        </w:rPr>
      </w:pPr>
    </w:p>
    <w:p>
      <w:pPr>
        <w:ind w:right="56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“Term SOFR”:</w:t>
      </w:r>
    </w:p>
    <w:p>
      <w:pPr>
        <w:spacing w:after="0" w:line="206" w:lineRule="exact"/>
        <w:rPr>
          <w:sz w:val="20"/>
          <w:szCs w:val="20"/>
          <w:color w:val="auto"/>
        </w:rPr>
      </w:pPr>
    </w:p>
    <w:p>
      <w:pPr>
        <w:ind w:left="980" w:firstLine="648"/>
        <w:spacing w:after="0" w:line="251" w:lineRule="auto"/>
        <w:tabs>
          <w:tab w:leader="none" w:pos="1980" w:val="left"/>
        </w:tabs>
        <w:numPr>
          <w:ilvl w:val="0"/>
          <w:numId w:val="56"/>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for any calculation with respect to a SOFR Loan, the Term SOFR Reference Rate for a tenor comparable to the applicable Interest Period on</w:t>
      </w:r>
    </w:p>
    <w:p>
      <w:pPr>
        <w:sectPr>
          <w:pgSz w:w="11900" w:h="16838" w:orient="portrait"/>
          <w:cols w:equalWidth="0" w:num="1">
            <w:col w:w="11240"/>
          </w:cols>
          <w:pgMar w:left="320" w:top="1413" w:right="339" w:bottom="1440" w:gutter="0" w:footer="0" w:header="0"/>
        </w:sectPr>
      </w:pPr>
    </w:p>
    <w:bookmarkStart w:id="112" w:name="page113"/>
    <w:bookmarkEnd w:id="112"/>
    <w:p>
      <w:pPr>
        <w:jc w:val="both"/>
        <w:ind w:left="980"/>
        <w:spacing w:after="0" w:line="232" w:lineRule="auto"/>
        <w:rPr>
          <w:sz w:val="20"/>
          <w:szCs w:val="20"/>
          <w:color w:val="auto"/>
        </w:rPr>
      </w:pPr>
      <w:r>
        <w:rPr>
          <w:rFonts w:ascii="Arial" w:cs="Arial" w:eastAsia="Arial" w:hAnsi="Arial"/>
          <w:sz w:val="22"/>
          <w:szCs w:val="22"/>
          <w:u w:val="single" w:color="auto"/>
          <w:color w:val="0000FF"/>
        </w:rPr>
        <w:t>the day (such day, the “Periodic Term SOFR Determination Day”) that is two (2) U.S. Government Securities Business Days prior to the first day of such Interest Period, as such rate is published by the Term SOFR Administrator; provided, however, that if as of 5:00 p.m</w:t>
      </w:r>
      <w:r>
        <w:rPr>
          <w:rFonts w:ascii="Arial" w:cs="Arial" w:eastAsia="Arial" w:hAnsi="Arial"/>
          <w:sz w:val="22"/>
          <w:szCs w:val="22"/>
          <w:u w:val="single" w:color="auto"/>
          <w:color w:val="008000"/>
        </w:rPr>
        <w:t>. (New York City time) on</w:t>
      </w:r>
      <w:r>
        <w:rPr>
          <w:rFonts w:ascii="Arial" w:cs="Arial" w:eastAsia="Arial" w:hAnsi="Arial"/>
          <w:sz w:val="22"/>
          <w:szCs w:val="22"/>
          <w:u w:val="single" w:color="auto"/>
          <w:color w:val="0000FF"/>
        </w:rPr>
        <w:t xml:space="preserve">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6" w:lineRule="exact"/>
        <w:rPr>
          <w:sz w:val="20"/>
          <w:szCs w:val="20"/>
          <w:color w:val="auto"/>
        </w:rPr>
      </w:pPr>
    </w:p>
    <w:p>
      <w:pPr>
        <w:jc w:val="both"/>
        <w:ind w:left="980" w:firstLine="648"/>
        <w:spacing w:after="0" w:line="249" w:lineRule="auto"/>
        <w:tabs>
          <w:tab w:leader="none" w:pos="1953" w:val="left"/>
        </w:tabs>
        <w:numPr>
          <w:ilvl w:val="1"/>
          <w:numId w:val="57"/>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for any calculation with respect to a Base Rate Loan on any day, the Term SOFR Reference Rate for a tenor of one month on the day (such day, the “Base Rate Term SOFR Determination Day”) that is two</w:t>
      </w:r>
    </w:p>
    <w:p>
      <w:pPr>
        <w:jc w:val="both"/>
        <w:ind w:left="980"/>
        <w:spacing w:after="0" w:line="242" w:lineRule="auto"/>
        <w:tabs>
          <w:tab w:leader="none" w:pos="1330" w:val="left"/>
        </w:tabs>
        <w:numPr>
          <w:ilvl w:val="0"/>
          <w:numId w:val="58"/>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 xml:space="preserve">U.S. Government Securities Business Days prior to such day, as such rate is published by the Term SOFR Administrator; provided, however, that if as of </w:t>
      </w:r>
      <w:r>
        <w:rPr>
          <w:rFonts w:ascii="Arial" w:cs="Arial" w:eastAsia="Arial" w:hAnsi="Arial"/>
          <w:sz w:val="21"/>
          <w:szCs w:val="21"/>
          <w:u w:val="single" w:color="auto"/>
          <w:color w:val="008000"/>
        </w:rPr>
        <w:t>5:00 p.m. (New York City time) on</w:t>
      </w:r>
      <w:r>
        <w:rPr>
          <w:rFonts w:ascii="Arial" w:cs="Arial" w:eastAsia="Arial" w:hAnsi="Arial"/>
          <w:sz w:val="21"/>
          <w:szCs w:val="21"/>
          <w:u w:val="single" w:color="auto"/>
          <w:color w:val="0000FF"/>
        </w:rPr>
        <w:t xml:space="preserve">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18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u w:val="single" w:color="auto"/>
          <w:color w:val="0000FF"/>
        </w:rPr>
        <w:t>“Term SOFR Adjustment”: for any calculation with respect to a SOFR Loan or the SOFR prong of a Base Rate Loan, a percentage per annum as set forth below for the applicable Type of such Loan and (if applicable) Interest Period therefor:</w:t>
      </w:r>
    </w:p>
    <w:p>
      <w:pPr>
        <w:spacing w:after="0" w:line="212" w:lineRule="exact"/>
        <w:rPr>
          <w:sz w:val="20"/>
          <w:szCs w:val="20"/>
          <w:color w:val="auto"/>
        </w:rPr>
      </w:pPr>
    </w:p>
    <w:tbl>
      <w:tblPr>
        <w:tblLayout w:type="fixed"/>
        <w:tblInd w:w="1790" w:type="dxa"/>
        <w:tblCellMar>
          <w:top w:w="0" w:type="dxa"/>
          <w:left w:w="0" w:type="dxa"/>
          <w:bottom w:w="0" w:type="dxa"/>
          <w:right w:w="0" w:type="dxa"/>
        </w:tblCellMar>
      </w:tblPr>
      <w:tr>
        <w:trPr>
          <w:trHeight w:val="229"/>
        </w:trPr>
        <w:tc>
          <w:tcPr>
            <w:tcW w:w="3800" w:type="dxa"/>
            <w:vAlign w:val="bottom"/>
            <w:tcBorders>
              <w:top w:val="single" w:sz="8" w:color="auto"/>
              <w:left w:val="single" w:sz="8" w:color="auto"/>
              <w:right w:val="single" w:sz="8" w:color="auto"/>
            </w:tcBorders>
            <w:gridSpan w:val="7"/>
          </w:tcPr>
          <w:p>
            <w:pPr>
              <w:jc w:val="center"/>
              <w:spacing w:after="0"/>
              <w:rPr>
                <w:sz w:val="20"/>
                <w:szCs w:val="20"/>
                <w:color w:val="auto"/>
              </w:rPr>
            </w:pPr>
            <w:r>
              <w:rPr>
                <w:rFonts w:ascii="Arial" w:cs="Arial" w:eastAsia="Arial" w:hAnsi="Arial"/>
                <w:sz w:val="20"/>
                <w:szCs w:val="20"/>
                <w:b w:val="1"/>
                <w:bCs w:val="1"/>
                <w:color w:val="0000FF"/>
                <w:w w:val="98"/>
              </w:rPr>
              <w:t>Interest Period</w:t>
            </w:r>
          </w:p>
        </w:tc>
        <w:tc>
          <w:tcPr>
            <w:tcW w:w="1400" w:type="dxa"/>
            <w:vAlign w:val="bottom"/>
            <w:tcBorders>
              <w:top w:val="single" w:sz="8" w:color="auto"/>
            </w:tcBorders>
          </w:tcPr>
          <w:p>
            <w:pPr>
              <w:spacing w:after="0"/>
              <w:rPr>
                <w:sz w:val="19"/>
                <w:szCs w:val="19"/>
                <w:color w:val="auto"/>
              </w:rPr>
            </w:pPr>
          </w:p>
        </w:tc>
        <w:tc>
          <w:tcPr>
            <w:tcW w:w="2480" w:type="dxa"/>
            <w:vAlign w:val="bottom"/>
            <w:tcBorders>
              <w:top w:val="single" w:sz="8" w:color="auto"/>
              <w:right w:val="single" w:sz="8" w:color="auto"/>
            </w:tcBorders>
            <w:gridSpan w:val="6"/>
          </w:tcPr>
          <w:p>
            <w:pPr>
              <w:jc w:val="center"/>
              <w:ind w:right="1420"/>
              <w:spacing w:after="0"/>
              <w:rPr>
                <w:sz w:val="20"/>
                <w:szCs w:val="20"/>
                <w:color w:val="auto"/>
              </w:rPr>
            </w:pPr>
            <w:r>
              <w:rPr>
                <w:rFonts w:ascii="Arial" w:cs="Arial" w:eastAsia="Arial" w:hAnsi="Arial"/>
                <w:sz w:val="20"/>
                <w:szCs w:val="20"/>
                <w:b w:val="1"/>
                <w:bCs w:val="1"/>
                <w:color w:val="0000FF"/>
                <w:w w:val="98"/>
              </w:rPr>
              <w:t>Percentage</w:t>
            </w: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10"/>
        </w:trPr>
        <w:tc>
          <w:tcPr>
            <w:tcW w:w="12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right w:val="single" w:sz="8" w:color="auto"/>
            </w:tcBorders>
            <w:gridSpan w:val="4"/>
          </w:tcPr>
          <w:p>
            <w:pPr>
              <w:jc w:val="center"/>
              <w:ind w:right="1400"/>
              <w:spacing w:after="0" w:line="209" w:lineRule="exact"/>
              <w:rPr>
                <w:sz w:val="20"/>
                <w:szCs w:val="20"/>
                <w:color w:val="auto"/>
              </w:rPr>
            </w:pPr>
            <w:r>
              <w:rPr>
                <w:rFonts w:ascii="Arial" w:cs="Arial" w:eastAsia="Arial" w:hAnsi="Arial"/>
                <w:sz w:val="20"/>
                <w:szCs w:val="20"/>
                <w:color w:val="0000FF"/>
                <w:w w:val="99"/>
              </w:rPr>
              <w:t>One month</w:t>
            </w:r>
          </w:p>
        </w:tc>
        <w:tc>
          <w:tcPr>
            <w:tcW w:w="2360" w:type="dxa"/>
            <w:vAlign w:val="bottom"/>
            <w:gridSpan w:val="4"/>
          </w:tcPr>
          <w:p>
            <w:pPr>
              <w:jc w:val="center"/>
              <w:ind w:left="1401"/>
              <w:spacing w:after="0" w:line="209" w:lineRule="exact"/>
              <w:rPr>
                <w:sz w:val="20"/>
                <w:szCs w:val="20"/>
                <w:color w:val="auto"/>
              </w:rPr>
            </w:pPr>
            <w:r>
              <w:rPr>
                <w:rFonts w:ascii="Arial" w:cs="Arial" w:eastAsia="Arial" w:hAnsi="Arial"/>
                <w:sz w:val="20"/>
                <w:szCs w:val="20"/>
                <w:color w:val="0000FF"/>
                <w:w w:val="95"/>
              </w:rPr>
              <w:t>0.</w:t>
            </w:r>
            <w:r>
              <w:rPr>
                <w:rFonts w:ascii="Arial" w:cs="Arial" w:eastAsia="Arial" w:hAnsi="Arial"/>
                <w:sz w:val="20"/>
                <w:szCs w:val="20"/>
                <w:u w:val="single" w:color="auto"/>
                <w:color w:val="0000FF"/>
                <w:w w:val="95"/>
              </w:rPr>
              <w:t>11448%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48"/>
        </w:trPr>
        <w:tc>
          <w:tcPr>
            <w:tcW w:w="1220" w:type="dxa"/>
            <w:vAlign w:val="bottom"/>
            <w:tcBorders>
              <w:left w:val="single" w:sz="8" w:color="auto"/>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r>
      <w:tr>
        <w:trPr>
          <w:trHeight w:val="210"/>
        </w:trPr>
        <w:tc>
          <w:tcPr>
            <w:tcW w:w="1220" w:type="dxa"/>
            <w:vAlign w:val="bottom"/>
            <w:tcBorders>
              <w:left w:val="single" w:sz="8" w:color="auto"/>
            </w:tcBorders>
          </w:tcPr>
          <w:p>
            <w:pPr>
              <w:spacing w:after="0"/>
              <w:rPr>
                <w:sz w:val="18"/>
                <w:szCs w:val="18"/>
                <w:color w:val="auto"/>
              </w:rPr>
            </w:pPr>
          </w:p>
        </w:tc>
        <w:tc>
          <w:tcPr>
            <w:tcW w:w="2580" w:type="dxa"/>
            <w:vAlign w:val="bottom"/>
            <w:tcBorders>
              <w:right w:val="single" w:sz="8" w:color="auto"/>
            </w:tcBorders>
            <w:gridSpan w:val="6"/>
          </w:tcPr>
          <w:p>
            <w:pPr>
              <w:jc w:val="center"/>
              <w:ind w:right="1200"/>
              <w:spacing w:after="0" w:line="209" w:lineRule="exact"/>
              <w:rPr>
                <w:sz w:val="20"/>
                <w:szCs w:val="20"/>
                <w:color w:val="auto"/>
              </w:rPr>
            </w:pPr>
            <w:r>
              <w:rPr>
                <w:rFonts w:ascii="Arial" w:cs="Arial" w:eastAsia="Arial" w:hAnsi="Arial"/>
                <w:sz w:val="20"/>
                <w:szCs w:val="20"/>
                <w:color w:val="0000FF"/>
                <w:w w:val="98"/>
              </w:rPr>
              <w:t>Three months</w:t>
            </w:r>
          </w:p>
        </w:tc>
        <w:tc>
          <w:tcPr>
            <w:tcW w:w="2380" w:type="dxa"/>
            <w:vAlign w:val="bottom"/>
            <w:gridSpan w:val="5"/>
          </w:tcPr>
          <w:p>
            <w:pPr>
              <w:jc w:val="center"/>
              <w:ind w:left="1381"/>
              <w:spacing w:after="0" w:line="209" w:lineRule="exact"/>
              <w:rPr>
                <w:sz w:val="20"/>
                <w:szCs w:val="20"/>
                <w:color w:val="auto"/>
              </w:rPr>
            </w:pPr>
            <w:r>
              <w:rPr>
                <w:rFonts w:ascii="Arial" w:cs="Arial" w:eastAsia="Arial" w:hAnsi="Arial"/>
                <w:sz w:val="20"/>
                <w:szCs w:val="20"/>
                <w:color w:val="0000FF"/>
                <w:w w:val="99"/>
              </w:rPr>
              <w:t>0.</w:t>
            </w:r>
            <w:r>
              <w:rPr>
                <w:rFonts w:ascii="Arial" w:cs="Arial" w:eastAsia="Arial" w:hAnsi="Arial"/>
                <w:sz w:val="20"/>
                <w:szCs w:val="20"/>
                <w:u w:val="single" w:color="auto"/>
                <w:color w:val="0000FF"/>
                <w:w w:val="99"/>
              </w:rPr>
              <w:t>26161%</w:t>
            </w: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r>
        <w:trPr>
          <w:trHeight w:val="210"/>
        </w:trPr>
        <w:tc>
          <w:tcPr>
            <w:tcW w:w="122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Borders>
              <w:right w:val="single" w:sz="8" w:color="auto"/>
            </w:tcBorders>
            <w:gridSpan w:val="4"/>
          </w:tcPr>
          <w:p>
            <w:pPr>
              <w:jc w:val="center"/>
              <w:ind w:right="1400"/>
              <w:spacing w:after="0" w:line="209" w:lineRule="exact"/>
              <w:rPr>
                <w:sz w:val="20"/>
                <w:szCs w:val="20"/>
                <w:color w:val="auto"/>
              </w:rPr>
            </w:pPr>
            <w:r>
              <w:rPr>
                <w:rFonts w:ascii="Arial" w:cs="Arial" w:eastAsia="Arial" w:hAnsi="Arial"/>
                <w:sz w:val="20"/>
                <w:szCs w:val="20"/>
                <w:color w:val="0000FF"/>
                <w:w w:val="99"/>
              </w:rPr>
              <w:t>Six months</w:t>
            </w:r>
          </w:p>
        </w:tc>
        <w:tc>
          <w:tcPr>
            <w:tcW w:w="2380" w:type="dxa"/>
            <w:vAlign w:val="bottom"/>
            <w:gridSpan w:val="5"/>
          </w:tcPr>
          <w:p>
            <w:pPr>
              <w:jc w:val="center"/>
              <w:ind w:left="1381"/>
              <w:spacing w:after="0" w:line="209" w:lineRule="exact"/>
              <w:rPr>
                <w:sz w:val="20"/>
                <w:szCs w:val="20"/>
                <w:color w:val="auto"/>
              </w:rPr>
            </w:pPr>
            <w:r>
              <w:rPr>
                <w:rFonts w:ascii="Arial" w:cs="Arial" w:eastAsia="Arial" w:hAnsi="Arial"/>
                <w:sz w:val="20"/>
                <w:szCs w:val="20"/>
                <w:color w:val="0000FF"/>
                <w:w w:val="99"/>
              </w:rPr>
              <w:t>0.</w:t>
            </w:r>
            <w:r>
              <w:rPr>
                <w:rFonts w:ascii="Arial" w:cs="Arial" w:eastAsia="Arial" w:hAnsi="Arial"/>
                <w:sz w:val="20"/>
                <w:szCs w:val="20"/>
                <w:u w:val="single" w:color="auto"/>
                <w:color w:val="0000FF"/>
                <w:w w:val="99"/>
              </w:rPr>
              <w:t>42826%</w:t>
            </w: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r>
      <w:tr>
        <w:trPr>
          <w:trHeight w:val="34"/>
        </w:trPr>
        <w:tc>
          <w:tcPr>
            <w:tcW w:w="122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top w:val="single" w:sz="8" w:color="0000FF"/>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6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r>
    </w:tbl>
    <w:p>
      <w:pPr>
        <w:spacing w:after="0" w:line="2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0000FF"/>
        </w:rPr>
        <w:t xml:space="preserve">“Term SOFR Administrator”: CME Group Benchmark Administration Limited (CBA) (or a successor administrator of the Term SOFR Reference Rate </w:t>
      </w:r>
      <w:r>
        <w:rPr>
          <w:rFonts w:ascii="Arial" w:cs="Arial" w:eastAsia="Arial" w:hAnsi="Arial"/>
          <w:sz w:val="22"/>
          <w:szCs w:val="22"/>
          <w:u w:val="single" w:color="auto"/>
          <w:color w:val="008000"/>
        </w:rPr>
        <w:t>selected by the Administrative Agent in its reasonable discretion</w:t>
      </w:r>
      <w:r>
        <w:rPr>
          <w:rFonts w:ascii="Arial" w:cs="Arial" w:eastAsia="Arial" w:hAnsi="Arial"/>
          <w:sz w:val="22"/>
          <w:szCs w:val="22"/>
          <w:u w:val="single" w:color="auto"/>
          <w:color w:val="0000FF"/>
        </w:rPr>
        <w:t>).</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FF0000"/>
          <w:strike w:val="1"/>
        </w:rPr>
        <w:t>”: for the applicable Corresponding Tenor as of the applicable Reference Time,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Reference Rate”:</w:t>
      </w:r>
      <w:r>
        <w:rPr>
          <w:rFonts w:ascii="Arial" w:cs="Arial" w:eastAsia="Arial" w:hAnsi="Arial"/>
          <w:sz w:val="22"/>
          <w:szCs w:val="22"/>
          <w:color w:val="auto"/>
        </w:rPr>
        <w:t xml:space="preserve"> the forward-looking term rate based on SOFR </w:t>
      </w:r>
      <w:r>
        <w:rPr>
          <w:rFonts w:ascii="Arial" w:cs="Arial" w:eastAsia="Arial" w:hAnsi="Arial"/>
          <w:sz w:val="22"/>
          <w:szCs w:val="22"/>
          <w:color w:val="FF0000"/>
        </w:rPr>
        <w:t>that has been selected or recommended by the Relevant</w:t>
      </w:r>
      <w:r>
        <w:rPr>
          <w:rFonts w:ascii="Arial" w:cs="Arial" w:eastAsia="Arial" w:hAnsi="Arial"/>
          <w:sz w:val="22"/>
          <w:szCs w:val="22"/>
          <w:color w:val="auto"/>
        </w:rPr>
        <w:t xml:space="preserve"> </w:t>
      </w:r>
      <w:r>
        <w:rPr>
          <w:rFonts w:ascii="Arial" w:cs="Arial" w:eastAsia="Arial" w:hAnsi="Arial"/>
          <w:sz w:val="22"/>
          <w:szCs w:val="22"/>
          <w:color w:val="FF0000"/>
          <w:strike w:val="1"/>
        </w:rPr>
        <w:t>Governmental Body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6037580</wp:posOffset>
            </wp:positionH>
            <wp:positionV relativeFrom="paragraph">
              <wp:posOffset>-340360</wp:posOffset>
            </wp:positionV>
            <wp:extent cx="46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46990"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-237490</wp:posOffset>
            </wp:positionV>
            <wp:extent cx="40081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400812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as of the date of determination thereof, the ratio of (a) Indebtedness of the Borrower and its Consolidated Subsidiaries as of such date minus the Unrestricted Cash, Cash Equivalent and Marketable Securities Amount as of such date, to (b) Consolidated EBITDA of the Borrower for such Measurement Period.</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as of the of the date of determination thereof, the ratio of Indebtedness of the Borrower and its Consolidated Subsidiaries as of such date to Consolidated EBITDA of the Borrower for such Measurement Period.</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Credit Exposure</w:t>
      </w:r>
      <w:r>
        <w:rPr>
          <w:rFonts w:ascii="Arial" w:cs="Arial" w:eastAsia="Arial" w:hAnsi="Arial"/>
          <w:sz w:val="22"/>
          <w:szCs w:val="22"/>
          <w:color w:val="auto"/>
        </w:rPr>
        <w:t>”: the sum of the outstanding principal amount of all Lenders’ Loans and their DC Exposure at such time.</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Trademarks</w:t>
      </w:r>
      <w:r>
        <w:rPr>
          <w:rFonts w:ascii="Arial" w:cs="Arial" w:eastAsia="Arial" w:hAnsi="Arial"/>
          <w:sz w:val="22"/>
          <w:szCs w:val="22"/>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9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License</w:t>
      </w:r>
      <w:r>
        <w:rPr>
          <w:rFonts w:ascii="Arial" w:cs="Arial" w:eastAsia="Arial" w:hAnsi="Arial"/>
          <w:sz w:val="22"/>
          <w:szCs w:val="22"/>
          <w:color w:val="auto"/>
        </w:rPr>
        <w:t>”: any agreement, whether written or oral, providing for the grant by or to Borrower or any Guarantor of any right to use any Trademark.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2.23(a)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any Assignee or Participant.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Loan or Borrowing, refers to whether the rate of interest on such Loan, or on the Loans comprising such Borrowing, is determined by reference to the Base Rate or the </w:t>
      </w:r>
      <w:r>
        <w:rPr>
          <w:rFonts w:ascii="Arial" w:cs="Arial" w:eastAsia="Arial" w:hAnsi="Arial"/>
          <w:sz w:val="22"/>
          <w:szCs w:val="22"/>
          <w:color w:val="FF0000"/>
          <w:strike w:val="1"/>
        </w:rPr>
        <w:t>Eurodollar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Adjusted Term SOFR</w:t>
      </w:r>
      <w:r>
        <w:rPr>
          <w:rFonts w:ascii="Arial" w:cs="Arial" w:eastAsia="Arial" w:hAnsi="Arial"/>
          <w:sz w:val="22"/>
          <w:szCs w:val="22"/>
          <w:color w:val="000000"/>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in effect from time to time in the State of New York.</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xml:space="preserve"> ”: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the applicable Benchmark Replacement excluding the related Benchmark Replacement Adjustment.</w:t>
      </w:r>
    </w:p>
    <w:p>
      <w:pPr>
        <w:sectPr>
          <w:pgSz w:w="11900" w:h="16838" w:orient="portrait"/>
          <w:cols w:equalWidth="0" w:num="1">
            <w:col w:w="11240"/>
          </w:cols>
          <w:pgMar w:left="320" w:top="1413"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the United States of America.</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Cash, Cash Equivalent and Marketable Securities Amount</w:t>
      </w:r>
      <w:r>
        <w:rPr>
          <w:rFonts w:ascii="Arial" w:cs="Arial" w:eastAsia="Arial" w:hAnsi="Arial"/>
          <w:sz w:val="22"/>
          <w:szCs w:val="22"/>
          <w:color w:val="auto"/>
        </w:rPr>
        <w:t>”: as of the date of determination thereof, 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(1) any Subsidiary of the Borrower listed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(2) any Subsidiary of the Borrower designated by the Borrower as an Unrestricted Subsidiary pursuant to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subsequent to the Closing Date, until such Person ceases to be an Unrestricted Subsidiary of the Borrower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5.7</w:t>
      </w:r>
      <w:r>
        <w:rPr>
          <w:rFonts w:ascii="Arial" w:cs="Arial" w:eastAsia="Arial" w:hAnsi="Arial"/>
          <w:sz w:val="22"/>
          <w:szCs w:val="22"/>
          <w:color w:val="auto"/>
        </w:rPr>
        <w:t xml:space="preserve"> and (3) any Subsidiary of an Unrestricted Subsidiary.</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Unused Revolving Commitment</w:t>
      </w:r>
      <w:r>
        <w:rPr>
          <w:rFonts w:ascii="Arial" w:cs="Arial" w:eastAsia="Arial" w:hAnsi="Arial"/>
          <w:sz w:val="22"/>
          <w:szCs w:val="22"/>
          <w:color w:val="auto"/>
        </w:rPr>
        <w:t>”: with respect to any Lender at any time, an amount equal to the excess, if any, of (a) such Lender’s Revolving Commitment then in effect over (b) such Lender’s Revolving Extensions of Credit then outstanding.</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u w:val="single" w:color="auto"/>
          <w:color w:val="0000FF"/>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w:t>
      </w:r>
      <w:r>
        <w:rPr>
          <w:rFonts w:ascii="Arial" w:cs="Arial" w:eastAsia="Arial" w:hAnsi="Arial"/>
          <w:sz w:val="22"/>
          <w:szCs w:val="22"/>
          <w:color w:val="auto"/>
        </w:rPr>
        <w:t>”: a Key Performance Indicator measured by Waste Diversion.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 Diversion</w:t>
      </w:r>
      <w:r>
        <w:rPr>
          <w:rFonts w:ascii="Arial" w:cs="Arial" w:eastAsia="Arial" w:hAnsi="Arial"/>
          <w:sz w:val="22"/>
          <w:szCs w:val="22"/>
          <w:color w:val="auto"/>
        </w:rPr>
        <w:t>”: for each calendar year, expressed as a percentage, the Borrower and its Subsidiaries’ (i) hazardous and non-hazardous waste represented in kilograms diverted from landfill through on-site reuse, off-site reuse, recycling, composting, and recovery (including incineration with energy recovery) divided by (ii) total waste represented in kilograms.</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pgSz w:w="11900" w:h="16838" w:orient="portrait"/>
          <w:cols w:equalWidth="0" w:num="1">
            <w:col w:w="11240"/>
          </w:cols>
          <w:pgMar w:left="320" w:top="1413" w:right="339" w:bottom="1440" w:gutter="0" w:footer="0" w:header="0"/>
        </w:sectPr>
      </w:pPr>
    </w:p>
    <w:bookmarkStart w:id="115" w:name="page116"/>
    <w:bookmarkEnd w:id="115"/>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 Diversion Applicable Margin Adjustment Amount</w:t>
      </w:r>
      <w:r>
        <w:rPr>
          <w:rFonts w:ascii="Arial" w:cs="Arial" w:eastAsia="Arial" w:hAnsi="Arial"/>
          <w:sz w:val="22"/>
          <w:szCs w:val="22"/>
          <w:color w:val="auto"/>
        </w:rPr>
        <w:t xml:space="preserve"> ”: with respect to Waste for any calendar year, (a) positive 1.67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1.67 basis points if the Waste Diversion as set forth in the Sustainability Pricing Certificate is equal to or greater than the Successful Completion Threshold for such calendar year.</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 Diversion Commitment Fee Adjustment Amount</w:t>
      </w:r>
      <w:r>
        <w:rPr>
          <w:rFonts w:ascii="Arial" w:cs="Arial" w:eastAsia="Arial" w:hAnsi="Arial"/>
          <w:sz w:val="22"/>
          <w:szCs w:val="22"/>
          <w:color w:val="auto"/>
        </w:rPr>
        <w:t xml:space="preserve"> ”: with respect to Waste for any calendar year, (a) positive 0.34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0.34 basis points if the Waste Diversion as set forth in the Sustainability Pricing Certificate is equal to or greater than the applicable Successful Completion Threshold for such calendar year.</w:t>
      </w:r>
    </w:p>
    <w:p>
      <w:pPr>
        <w:spacing w:after="0" w:line="1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color w:val="auto"/>
        </w:rPr>
        <w:t>Other Definitional Provisions.</w:t>
      </w:r>
    </w:p>
    <w:p>
      <w:pPr>
        <w:spacing w:after="0" w:line="206" w:lineRule="exact"/>
        <w:rPr>
          <w:sz w:val="20"/>
          <w:szCs w:val="20"/>
          <w:color w:val="auto"/>
        </w:rPr>
      </w:pPr>
    </w:p>
    <w:p>
      <w:pPr>
        <w:jc w:val="both"/>
        <w:ind w:firstLine="656"/>
        <w:spacing w:after="0" w:line="236" w:lineRule="auto"/>
        <w:tabs>
          <w:tab w:leader="none" w:pos="1199" w:val="left"/>
        </w:tabs>
        <w:numPr>
          <w:ilvl w:val="0"/>
          <w:numId w:val="59"/>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5" w:lineRule="exact"/>
        <w:rPr>
          <w:rFonts w:ascii="Arial" w:cs="Arial" w:eastAsia="Arial" w:hAnsi="Arial"/>
          <w:sz w:val="22"/>
          <w:szCs w:val="22"/>
          <w:color w:val="auto"/>
        </w:rPr>
      </w:pPr>
    </w:p>
    <w:p>
      <w:pPr>
        <w:jc w:val="both"/>
        <w:ind w:firstLine="656"/>
        <w:spacing w:after="0" w:line="234" w:lineRule="auto"/>
        <w:tabs>
          <w:tab w:leader="none" w:pos="1321" w:val="left"/>
        </w:tabs>
        <w:numPr>
          <w:ilvl w:val="0"/>
          <w:numId w:val="59"/>
        </w:numPr>
        <w:rPr>
          <w:rFonts w:ascii="Arial" w:cs="Arial" w:eastAsia="Arial" w:hAnsi="Arial"/>
          <w:sz w:val="22"/>
          <w:szCs w:val="22"/>
          <w:color w:val="auto"/>
        </w:rPr>
      </w:pPr>
      <w:r>
        <w:rPr>
          <w:rFonts w:ascii="Arial" w:cs="Arial" w:eastAsia="Arial" w:hAnsi="Arial"/>
          <w:sz w:val="22"/>
          <w:szCs w:val="22"/>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90" w:lineRule="exact"/>
        <w:rPr>
          <w:rFonts w:ascii="Arial" w:cs="Arial" w:eastAsia="Arial" w:hAnsi="Arial"/>
          <w:sz w:val="22"/>
          <w:szCs w:val="22"/>
          <w:color w:val="auto"/>
        </w:rPr>
      </w:pPr>
    </w:p>
    <w:p>
      <w:pPr>
        <w:jc w:val="both"/>
        <w:ind w:firstLine="656"/>
        <w:spacing w:after="0" w:line="236" w:lineRule="auto"/>
        <w:tabs>
          <w:tab w:leader="none" w:pos="1182"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5" w:lineRule="exact"/>
        <w:rPr>
          <w:rFonts w:ascii="Arial" w:cs="Arial" w:eastAsia="Arial" w:hAnsi="Arial"/>
          <w:sz w:val="22"/>
          <w:szCs w:val="22"/>
          <w:color w:val="auto"/>
        </w:rPr>
      </w:pPr>
    </w:p>
    <w:p>
      <w:pPr>
        <w:jc w:val="both"/>
        <w:ind w:firstLine="656"/>
        <w:spacing w:after="0" w:line="236" w:lineRule="auto"/>
        <w:tabs>
          <w:tab w:leader="none" w:pos="12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ectPr>
          <w:pgSz w:w="11900" w:h="16838" w:orient="portrait"/>
          <w:cols w:equalWidth="0" w:num="1">
            <w:col w:w="11240"/>
          </w:cols>
          <w:pgMar w:left="320" w:top="1413" w:right="339" w:bottom="1440" w:gutter="0" w:footer="0" w:header="0"/>
        </w:sectPr>
      </w:pPr>
    </w:p>
    <w:bookmarkStart w:id="116" w:name="page117"/>
    <w:bookmarkEnd w:id="116"/>
    <w:p>
      <w:pPr>
        <w:jc w:val="both"/>
        <w:ind w:firstLine="648"/>
        <w:spacing w:after="0" w:line="251" w:lineRule="auto"/>
        <w:rPr>
          <w:sz w:val="20"/>
          <w:szCs w:val="20"/>
          <w:color w:val="auto"/>
        </w:rPr>
      </w:pPr>
      <w:r>
        <w:rPr>
          <w:rFonts w:ascii="Arial" w:cs="Arial" w:eastAsia="Arial" w:hAnsi="Arial"/>
          <w:sz w:val="22"/>
          <w:szCs w:val="22"/>
          <w:color w:val="auto"/>
        </w:rPr>
        <w:t>Except as otherwise provided herein, all terms of an accounting or financial nature shall be construed in accordance with GAAP.</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1.3. Delivery of Notices. Any reference to a delivery or notice date that is not a Business Day shall be deemed to mean the next succeeding day that is a Business Day.</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1.4.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22"/>
          <w:szCs w:val="22"/>
          <w:color w:val="010000"/>
        </w:rPr>
        <w:t>Section 2______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19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Revolving Commitments</w:t>
      </w:r>
      <w:r>
        <w:rPr>
          <w:rFonts w:ascii="Arial" w:cs="Arial" w:eastAsia="Arial" w:hAnsi="Arial"/>
          <w:sz w:val="22"/>
          <w:szCs w:val="22"/>
          <w:color w:val="auto"/>
        </w:rPr>
        <w:t xml:space="preserve">. Subject to the terms and conditions hereof, each Lender severally agrees to make Revolving Loans in Dollars to the Borrower from time to time during the Availability Period in an aggregate amount that will not result (after giving effect to any application of proceeds of such Borrowing pursuant to Section 2.7) in (a) such Lender’s Revolving Credit Exposure exceeding such Lender’s Revolving Commitment or (b) the Total Revolving Credit Exposure exceeding the total Revolving Commitments. Within the foregoing limits and subject to the terms and conditions set forth herein, the Borrower may borrow, prepay and reborrow Revolving Loans. The Revolving Loans may from time to time be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or Base Rate Loans, as determined by the Borrower and notified to the Administrative Agent in accordance with Sections 2.2 and 2.12.</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Revolving Loans and Borrowing</w:t>
      </w:r>
      <w:r>
        <w:rPr>
          <w:rFonts w:ascii="Arial" w:cs="Arial" w:eastAsia="Arial" w:hAnsi="Arial"/>
          <w:sz w:val="22"/>
          <w:szCs w:val="22"/>
          <w:color w:val="auto"/>
        </w:rPr>
        <w:t xml:space="preserve">. (a) Each Revolving Loan shall be made as part of a Borrowing consisting of Revolving Loans made by the Lenders ratably in accordance with their respective Revolving Loan Percentages. The failure of any Lender to make any Revolving Loan required to be made by it shall not relieve any other Lender of its obligations 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Revolving Commitments of the Lenders are several and no Lender shall be responsible for any other Lender’s failure to make Loans as required.</w:t>
      </w:r>
    </w:p>
    <w:p>
      <w:pPr>
        <w:spacing w:after="0" w:line="187" w:lineRule="exact"/>
        <w:rPr>
          <w:sz w:val="20"/>
          <w:szCs w:val="20"/>
          <w:color w:val="auto"/>
        </w:rPr>
      </w:pPr>
    </w:p>
    <w:p>
      <w:pPr>
        <w:jc w:val="both"/>
        <w:ind w:firstLine="656"/>
        <w:spacing w:after="0" w:line="234" w:lineRule="auto"/>
        <w:tabs>
          <w:tab w:leader="none" w:pos="1008"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2.10</w:t>
      </w:r>
      <w:r>
        <w:rPr>
          <w:rFonts w:ascii="Arial" w:cs="Arial" w:eastAsia="Arial" w:hAnsi="Arial"/>
          <w:sz w:val="22"/>
          <w:szCs w:val="22"/>
          <w:color w:val="auto"/>
        </w:rPr>
        <w:t xml:space="preserve">, each Revolving Borrowing shall be comprised entirely of Base Rate Loans or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as the Borrower may request in accordance herewith. Each Lender at its option may make</w:t>
      </w:r>
      <w:r>
        <w:rPr>
          <w:rFonts w:ascii="Arial" w:cs="Arial" w:eastAsia="Arial" w:hAnsi="Arial"/>
          <w:sz w:val="22"/>
          <w:szCs w:val="22"/>
          <w:color w:val="FF0000"/>
        </w:rPr>
        <w:t xml:space="preserve"> </w:t>
      </w:r>
      <w:r>
        <w:rPr>
          <w:rFonts w:ascii="Arial" w:cs="Arial" w:eastAsia="Arial" w:hAnsi="Arial"/>
          <w:sz w:val="22"/>
          <w:szCs w:val="22"/>
          <w:color w:val="000000"/>
        </w:rPr>
        <w:t xml:space="preserve">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 by causing any domestic or foreign branch or Affiliate of such Lender to make such Loan by designating such branch or Affiliate as its lending office;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any exercise of such option shall not affect the obligation of the Borrower to repay such Loan in accordance with the terms of this Agreement.</w:t>
      </w:r>
    </w:p>
    <w:p>
      <w:pPr>
        <w:spacing w:after="0" w:line="184" w:lineRule="exact"/>
        <w:rPr>
          <w:rFonts w:ascii="Arial" w:cs="Arial" w:eastAsia="Arial" w:hAnsi="Arial"/>
          <w:sz w:val="22"/>
          <w:szCs w:val="22"/>
          <w:color w:val="auto"/>
        </w:rPr>
      </w:pPr>
    </w:p>
    <w:p>
      <w:pPr>
        <w:ind w:firstLine="656"/>
        <w:spacing w:after="0" w:line="251" w:lineRule="auto"/>
        <w:tabs>
          <w:tab w:leader="none" w:pos="1018"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At the commencement of each Interest Period for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Revolving Borrowing, such Borrowing shall be in an aggregate amount that is an</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33" w:lineRule="auto"/>
        <w:rPr>
          <w:sz w:val="20"/>
          <w:szCs w:val="20"/>
          <w:color w:val="auto"/>
        </w:rPr>
      </w:pPr>
      <w:r>
        <w:rPr>
          <w:rFonts w:ascii="Arial" w:cs="Arial" w:eastAsia="Arial" w:hAnsi="Arial"/>
          <w:sz w:val="22"/>
          <w:szCs w:val="22"/>
          <w:color w:val="auto"/>
        </w:rPr>
        <w:t xml:space="preserve">integral multiple of $1,000,000 and not less than $5,000,000. At the time that each Base Rate Revolving Borrowing is made, such Borrowing shall be in an aggregate amount that is an integral multiple of $1,000,000 and not less than $3,000,000;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Base Rate Revolving Borrowing may be in an aggregate amount that is equal to the entire unused balance of the total Revolving Commitments or that is required to finance the reimbursement of a DC Disbursement as contemplated by </w:t>
      </w:r>
      <w:r>
        <w:rPr>
          <w:rFonts w:ascii="Arial" w:cs="Arial" w:eastAsia="Arial" w:hAnsi="Arial"/>
          <w:sz w:val="22"/>
          <w:szCs w:val="22"/>
          <w:u w:val="single" w:color="auto"/>
          <w:color w:val="auto"/>
        </w:rPr>
        <w:t>Section 2.4(e)</w:t>
      </w:r>
      <w:r>
        <w:rPr>
          <w:rFonts w:ascii="Arial" w:cs="Arial" w:eastAsia="Arial" w:hAnsi="Arial"/>
          <w:sz w:val="22"/>
          <w:szCs w:val="22"/>
          <w:color w:val="auto"/>
        </w:rPr>
        <w:t xml:space="preserve">. Borrowings of more than one Type and Class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shall not at any time be more than a total of ten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Revolving Borrowings outstanding.</w:t>
      </w:r>
    </w:p>
    <w:p>
      <w:pPr>
        <w:spacing w:after="0" w:line="184" w:lineRule="exact"/>
        <w:rPr>
          <w:sz w:val="20"/>
          <w:szCs w:val="20"/>
          <w:color w:val="auto"/>
        </w:rPr>
      </w:pPr>
    </w:p>
    <w:p>
      <w:pPr>
        <w:jc w:val="both"/>
        <w:ind w:firstLine="656"/>
        <w:spacing w:after="0" w:line="241" w:lineRule="auto"/>
        <w:tabs>
          <w:tab w:leader="none" w:pos="986" w:val="left"/>
        </w:tabs>
        <w:numPr>
          <w:ilvl w:val="0"/>
          <w:numId w:val="61"/>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of Revolving Loans if the Interest Period requested with respect thereto would end after the applicable Revolving Maturity Date.</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Requests for Revolving Borrowings</w:t>
      </w:r>
      <w:r>
        <w:rPr>
          <w:rFonts w:ascii="Arial" w:cs="Arial" w:eastAsia="Arial" w:hAnsi="Arial"/>
          <w:sz w:val="22"/>
          <w:szCs w:val="22"/>
          <w:color w:val="auto"/>
        </w:rPr>
        <w:t xml:space="preserve">. To request a Revolving Borrowing, the Borrower shall notify the Administrative Agent of such request by submitting a Borrowing Request (a) in the case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not later than 1:00 p.m. New York City time, three Business Days before the date of the proposed Borrowing or (b) in the case of a Base Rate Borrowing, not later than 12:00 p.m. New York City time, on the date of the proposed Borrowing (which shall be a Business Day). Each such Borrowing Request shall be irrevocable and shall be signed by a Responsible Officer of the Borrower. Each such Borrowing Request shall specify the following information in compliance with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7" w:lineRule="exact"/>
        <w:rPr>
          <w:sz w:val="20"/>
          <w:szCs w:val="20"/>
          <w:color w:val="auto"/>
        </w:rPr>
      </w:pPr>
    </w:p>
    <w:p>
      <w:pPr>
        <w:ind w:left="1560" w:hanging="256"/>
        <w:spacing w:after="0"/>
        <w:tabs>
          <w:tab w:leader="none" w:pos="1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aggregate amount of the requested Borrowing;</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Borrowing Date;</w:t>
      </w:r>
    </w:p>
    <w:p>
      <w:pPr>
        <w:spacing w:after="0" w:line="206" w:lineRule="exact"/>
        <w:rPr>
          <w:rFonts w:ascii="Arial" w:cs="Arial" w:eastAsia="Arial" w:hAnsi="Arial"/>
          <w:sz w:val="22"/>
          <w:szCs w:val="22"/>
          <w:color w:val="auto"/>
        </w:rPr>
      </w:pPr>
    </w:p>
    <w:p>
      <w:pPr>
        <w:ind w:left="1660" w:hanging="356"/>
        <w:spacing w:after="0"/>
        <w:tabs>
          <w:tab w:leader="none" w:pos="1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whether such Borrowing is to be a Base Rate Borrowing or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w:t>
      </w:r>
    </w:p>
    <w:p>
      <w:pPr>
        <w:spacing w:after="0" w:line="206" w:lineRule="exact"/>
        <w:rPr>
          <w:rFonts w:ascii="Arial" w:cs="Arial" w:eastAsia="Arial" w:hAnsi="Arial"/>
          <w:sz w:val="22"/>
          <w:szCs w:val="22"/>
          <w:color w:val="auto"/>
        </w:rPr>
      </w:pPr>
    </w:p>
    <w:p>
      <w:pPr>
        <w:ind w:firstLine="1304"/>
        <w:spacing w:after="0" w:line="251" w:lineRule="auto"/>
        <w:tabs>
          <w:tab w:leader="none" w:pos="1657"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in the case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the initial Interest Period to be applicable thereto, which shall be a period contemplated by the definition of the term “Interest Period”; and</w:t>
      </w:r>
    </w:p>
    <w:p>
      <w:pPr>
        <w:spacing w:after="0" w:line="172" w:lineRule="exact"/>
        <w:rPr>
          <w:rFonts w:ascii="Arial" w:cs="Arial" w:eastAsia="Arial" w:hAnsi="Arial"/>
          <w:sz w:val="22"/>
          <w:szCs w:val="22"/>
          <w:color w:val="auto"/>
        </w:rPr>
      </w:pPr>
    </w:p>
    <w:p>
      <w:pPr>
        <w:ind w:firstLine="1304"/>
        <w:spacing w:after="0" w:line="251" w:lineRule="auto"/>
        <w:tabs>
          <w:tab w:leader="none" w:pos="162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location and number of the Borrower’s account to which funds are to be disbursed, which shall comply with the requirements of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If no election as to the Type of Revolving Borrowing is specified, then the requested Revolving Borrowing shall be a Base Rate Borrowing. If no Interest Period is specified with respect to any requested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Documentary Credits</w:t>
      </w:r>
      <w:r>
        <w:rPr>
          <w:rFonts w:ascii="Arial" w:cs="Arial" w:eastAsia="Arial" w:hAnsi="Arial"/>
          <w:sz w:val="22"/>
          <w:szCs w:val="22"/>
          <w:color w:val="auto"/>
        </w:rPr>
        <w:t xml:space="preserve">. (a) </w:t>
      </w:r>
      <w:r>
        <w:rPr>
          <w:rFonts w:ascii="Arial" w:cs="Arial" w:eastAsia="Arial" w:hAnsi="Arial"/>
          <w:sz w:val="22"/>
          <w:szCs w:val="22"/>
          <w:u w:val="single" w:color="auto"/>
          <w:color w:val="auto"/>
        </w:rPr>
        <w:t>General</w:t>
      </w:r>
      <w:r>
        <w:rPr>
          <w:rFonts w:ascii="Arial" w:cs="Arial" w:eastAsia="Arial" w:hAnsi="Arial"/>
          <w:sz w:val="22"/>
          <w:szCs w:val="22"/>
          <w:color w:val="auto"/>
        </w:rPr>
        <w:t>. Subject to the terms and conditions set forth herein, the Borrower may request the issuance of Documentary Credits as the</w:t>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44" w:lineRule="auto"/>
        <w:rPr>
          <w:sz w:val="20"/>
          <w:szCs w:val="20"/>
          <w:color w:val="auto"/>
        </w:rPr>
      </w:pPr>
      <w:r>
        <w:rPr>
          <w:rFonts w:ascii="Arial" w:cs="Arial" w:eastAsia="Arial" w:hAnsi="Arial"/>
          <w:sz w:val="21"/>
          <w:szCs w:val="21"/>
          <w:color w:val="auto"/>
        </w:rPr>
        <w:t>applicant thereof for the support of its or its Subsidiaries’ obligations, in a form reasonably acceptable to the Administrative Agent and the applicable Issuing Bank, at any time and from time to time during the Availability Period. In the event of any inconsistency between the terms and conditions of this Agreement and the terms and conditions of any Documentary Credit Agreement, the terms and conditions of this Agreement shall control. Notwithstanding anything herein to the contrary, no Issuing Bank shall have an obligation hereunder to issue, and no Issuing Bank shall issue, any Documentary Credit the proceeds of which would be made available to any Person (i) to fund any activity or business of or with any Sanctioned Person, or in any Sanctioned Country, (ii) in any manner that would result in a violation of any Sanctions by any party to this Agreement or (iii) in any manner that would result in a violation of one or more policies of such Issuing Bank applicable to letters of credit or bank guarantees generally.</w:t>
      </w:r>
    </w:p>
    <w:p>
      <w:pPr>
        <w:spacing w:after="0" w:line="180" w:lineRule="exact"/>
        <w:rPr>
          <w:sz w:val="20"/>
          <w:szCs w:val="20"/>
          <w:color w:val="auto"/>
        </w:rPr>
      </w:pPr>
    </w:p>
    <w:p>
      <w:pPr>
        <w:jc w:val="both"/>
        <w:ind w:firstLine="656"/>
        <w:spacing w:after="0" w:line="241" w:lineRule="auto"/>
        <w:tabs>
          <w:tab w:leader="none" w:pos="1005"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Notice of Issuance, Amendment, Renewal, Extension; Certain Conditions</w:t>
      </w:r>
      <w:r>
        <w:rPr>
          <w:rFonts w:ascii="Arial" w:cs="Arial" w:eastAsia="Arial" w:hAnsi="Arial"/>
          <w:sz w:val="21"/>
          <w:szCs w:val="21"/>
          <w:color w:val="auto"/>
        </w:rPr>
        <w:t>. To request the issuance of a Documentary Credit (or the amendment, renewal or extension of an outstanding Documentary Credit), the Borrower shall hand deliver or telecopy (or transmit by electronic communication, if arrangements for doing so have been approved by the applicable Issuing Bank) to the applicable Issuing Bank and the Administrative Agent (reasonably in advance of the requested date of issuance, amendment, renewal or extension, but in any event no less than three Business Days) a notice requesting the issuance of a Documentary Credit, or identifying the Documentary Credit to be amended, renewed or extended, and specifying the date of issuance, amendment, renewal or extension (which shall be a Business Day), the date on which such Documentary Credit is to expire (which shall comply with paragraph</w:t>
      </w:r>
    </w:p>
    <w:p>
      <w:pPr>
        <w:spacing w:after="0" w:line="6" w:lineRule="exact"/>
        <w:rPr>
          <w:rFonts w:ascii="Arial" w:cs="Arial" w:eastAsia="Arial" w:hAnsi="Arial"/>
          <w:sz w:val="21"/>
          <w:szCs w:val="21"/>
          <w:color w:val="auto"/>
        </w:rPr>
      </w:pPr>
    </w:p>
    <w:p>
      <w:pPr>
        <w:ind w:left="340" w:hanging="332"/>
        <w:spacing w:after="0" w:line="230" w:lineRule="auto"/>
        <w:tabs>
          <w:tab w:leader="none" w:pos="340" w:val="left"/>
        </w:tabs>
        <w:numPr>
          <w:ilvl w:val="0"/>
          <w:numId w:val="64"/>
        </w:numPr>
        <w:rPr>
          <w:rFonts w:ascii="Arial" w:cs="Arial" w:eastAsia="Arial" w:hAnsi="Arial"/>
          <w:sz w:val="22"/>
          <w:szCs w:val="22"/>
          <w:color w:val="auto"/>
        </w:rPr>
      </w:pPr>
      <w:r>
        <w:rPr>
          <w:rFonts w:ascii="Arial" w:cs="Arial" w:eastAsia="Arial" w:hAnsi="Arial"/>
          <w:sz w:val="22"/>
          <w:szCs w:val="22"/>
          <w:color w:val="auto"/>
        </w:rPr>
        <w:t>of this Section), the amount of such Documentary Credit, the name and address of the beneficiary thereof and</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such other information as shall be necessary to prepare, amend, renew or extend such Documentary Credit. In addition, as a condition to any such Documentary Credit issuance, the Borrower shall have entered into a continuing agreement (or other letter of credit agreement) for the issuance of letters of credit and/or shall submit a letter of credit application, in each case, as required by the applicable Issuing Bank and using such bank’s standard form (each, a “</w:t>
      </w:r>
      <w:r>
        <w:rPr>
          <w:rFonts w:ascii="Arial" w:cs="Arial" w:eastAsia="Arial" w:hAnsi="Arial"/>
          <w:sz w:val="21"/>
          <w:szCs w:val="21"/>
          <w:u w:val="single" w:color="auto"/>
          <w:color w:val="auto"/>
        </w:rPr>
        <w:t>Documentary Credit Agreement</w:t>
      </w:r>
      <w:r>
        <w:rPr>
          <w:rFonts w:ascii="Arial" w:cs="Arial" w:eastAsia="Arial" w:hAnsi="Arial"/>
          <w:sz w:val="21"/>
          <w:szCs w:val="21"/>
          <w:color w:val="auto"/>
        </w:rPr>
        <w:t>”). A Documentary Credit shall be issued, amended, renewed or extended only if (and upon issuance, amendment, renewal or extension of each Documentary Credit the Borrower shall be deemed to represent and warrant that), after giving effect to such issuance, amendment, renewal or extension (i) the DC Exposure shall not exceed $200,000,000, (ii) the Total Revolving Credit Exposures shall not exceed the total Revolving Commitments, (iii) following an Extension Offer and acceptance of such Extension Offer, the DC Exposure in respect of all Documentary Credits having an expiration date after the fifth Business Day prior to the Revolving Maturity Date as extended shall not exceed the total Revolving Commitments outstanding after such extension, (iv) the Revolving Credit Exposure of any Lender shall not exceed such Lender’s Revolving Commitments and (v) the applicable Issuing Bank has consented, in its sole discretion, to issue such Documentary Credit.</w:t>
      </w:r>
    </w:p>
    <w:p>
      <w:pPr>
        <w:spacing w:after="0" w:line="193" w:lineRule="exact"/>
        <w:rPr>
          <w:sz w:val="20"/>
          <w:szCs w:val="20"/>
          <w:color w:val="auto"/>
        </w:rPr>
      </w:pPr>
    </w:p>
    <w:p>
      <w:pPr>
        <w:jc w:val="both"/>
        <w:ind w:firstLine="656"/>
        <w:spacing w:after="0" w:line="258" w:lineRule="auto"/>
        <w:tabs>
          <w:tab w:leader="none" w:pos="99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Each Documentary Credit shall expire (or be subject to termination by notice from the Issuing Bank to the beneficiary thereof) at or prior to the close of business on the earlier of (i) the date one year after the date of the issuance of such Documentary Credit (or, in the case of any renewal or extension thereof, one year</w:t>
      </w:r>
    </w:p>
    <w:p>
      <w:pPr>
        <w:sectPr>
          <w:pgSz w:w="11900" w:h="16838" w:orient="portrait"/>
          <w:cols w:equalWidth="0" w:num="1">
            <w:col w:w="11240"/>
          </w:cols>
          <w:pgMar w:left="320" w:top="1413" w:right="339" w:bottom="1440" w:gutter="0" w:footer="0" w:header="0"/>
        </w:sectPr>
      </w:pPr>
    </w:p>
    <w:bookmarkStart w:id="119" w:name="page120"/>
    <w:bookmarkEnd w:id="119"/>
    <w:p>
      <w:pPr>
        <w:spacing w:after="0" w:line="251" w:lineRule="auto"/>
        <w:rPr>
          <w:sz w:val="20"/>
          <w:szCs w:val="20"/>
          <w:color w:val="auto"/>
        </w:rPr>
      </w:pPr>
      <w:r>
        <w:rPr>
          <w:rFonts w:ascii="Arial" w:cs="Arial" w:eastAsia="Arial" w:hAnsi="Arial"/>
          <w:sz w:val="22"/>
          <w:szCs w:val="22"/>
          <w:color w:val="auto"/>
        </w:rPr>
        <w:t>after such renewal or extension) and (ii) the date that is five Business Days prior to the applicable Revolving Maturity Date.</w:t>
      </w:r>
    </w:p>
    <w:p>
      <w:pPr>
        <w:spacing w:after="0" w:line="173" w:lineRule="exact"/>
        <w:rPr>
          <w:sz w:val="20"/>
          <w:szCs w:val="20"/>
          <w:color w:val="auto"/>
        </w:rPr>
      </w:pPr>
    </w:p>
    <w:p>
      <w:pPr>
        <w:jc w:val="both"/>
        <w:ind w:firstLine="656"/>
        <w:spacing w:after="0" w:line="231" w:lineRule="auto"/>
        <w:tabs>
          <w:tab w:leader="none" w:pos="101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Participations</w:t>
      </w:r>
      <w:r>
        <w:rPr>
          <w:rFonts w:ascii="Arial" w:cs="Arial" w:eastAsia="Arial" w:hAnsi="Arial"/>
          <w:sz w:val="22"/>
          <w:szCs w:val="22"/>
          <w:color w:val="auto"/>
        </w:rPr>
        <w:t>. By the issuance of a Documentary Credit (or an amendment to a Documentary Credit increasing the amount thereof) and without any further action on the part of the applicable Issuing Bank or the Lenders, each such Issuing Bank hereby grants to each Lender, and each Lender hereby acquires from such Issuing Bank, a participation in such Documentary Credit equal to such Lender’s Revolving Loan Percentage of the aggregate amount available to be drawn under such Documentary Credit. In consideration and in furtherance of the foregoing, each Lender hereby absolutely and unconditionally agrees to pay to the Administrative Agent, for the account of such Issuing Bank, such Lender’s Revolving Loan Percentage of each DC Disbursement made by such Issuing Bank and not reimbursed by the Borrower on the date due as provided in paragraph (e) of this Section, or of any reimbursement payment required to be refunded to the Borrower for any reason. Each Lender acknowledges and agrees that its obligation to acquire participations pursuant to this paragraph in respect of Documentary Credits is absolute and unconditional and shall not be affected by any circumstance whatsoever, including any amendment, renewal or extension of any Documentary Credit or the occurrence and continuance of a Default or reduction or termination of the Commitments, and that each such payment shall be made without any offset, abatement, withholding or reduction whatsoever.</w:t>
      </w:r>
    </w:p>
    <w:p>
      <w:pPr>
        <w:spacing w:after="0" w:line="195" w:lineRule="exact"/>
        <w:rPr>
          <w:rFonts w:ascii="Arial" w:cs="Arial" w:eastAsia="Arial" w:hAnsi="Arial"/>
          <w:sz w:val="22"/>
          <w:szCs w:val="22"/>
          <w:color w:val="auto"/>
        </w:rPr>
      </w:pPr>
    </w:p>
    <w:p>
      <w:pPr>
        <w:jc w:val="both"/>
        <w:ind w:firstLine="656"/>
        <w:spacing w:after="0" w:line="230" w:lineRule="auto"/>
        <w:tabs>
          <w:tab w:leader="none" w:pos="97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 xml:space="preserve">. If any Issuing Bank shall make any DC Disbursement in respect of a Documentary Credit, the Borrower shall reimburse such DC Disbursement by paying to the Administrative Agent an amount equal to such DC Disbursement not later than 12:00 noon, New York City time, on the date that is two Business Days after such DC Disbursement is made, if the Borrower shall have received notice of such DC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may, subject to the conditions to borrowing set forth herein, request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2.5</w:t>
      </w:r>
      <w:r>
        <w:rPr>
          <w:rFonts w:ascii="Arial" w:cs="Arial" w:eastAsia="Arial" w:hAnsi="Arial"/>
          <w:sz w:val="22"/>
          <w:szCs w:val="22"/>
          <w:color w:val="auto"/>
        </w:rPr>
        <w:t xml:space="preserve"> that such payment be financed with a Base Rate Revolving Borrowing in an equivalent amount and, to the extent so financed, the Borrower’s obligation to make such payment shall be discharged and replaced by the resulting Base Rate Revolving Borrowing Loan. If the Borrower fails to make such payment when due, the Administrative Agent shall notify each Lender of the applicable DC Disbursement, the payment then due from the Borrower in respect thereof and such Lender’s Revolving Loan Percentage thereof. Promptly following receipt of such notice, each Lender shall pay to the Administrative Agent its Revolving Loan Percentage of the payment then due from the Borrower, in the same manner as provided in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with respect to Revolving Loans made by such Lender (and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to the payment obligations of the Lenders), and the Administrative Agent shall promptly pay to such Issuing Bank the amounts so received by it from the Lenders. Promptly following receipt by the Administrative Agent of any payment from the Borrower pursuant to this paragraph, the Administrative Agent shall distribute such payment to such Issuing Bank or, to the extent that Lenders have made payments pursuant to this paragraph to reimburse such Issuing</w:t>
      </w:r>
    </w:p>
    <w:p>
      <w:pPr>
        <w:sectPr>
          <w:pgSz w:w="11900" w:h="16838" w:orient="portrait"/>
          <w:cols w:equalWidth="0" w:num="1">
            <w:col w:w="11240"/>
          </w:cols>
          <w:pgMar w:left="320" w:top="1413" w:right="339" w:bottom="1440" w:gutter="0" w:footer="0" w:header="0"/>
        </w:sectPr>
      </w:pPr>
    </w:p>
    <w:bookmarkStart w:id="120" w:name="page121"/>
    <w:bookmarkEnd w:id="120"/>
    <w:p>
      <w:pPr>
        <w:jc w:val="both"/>
        <w:spacing w:after="0" w:line="238" w:lineRule="auto"/>
        <w:rPr>
          <w:sz w:val="20"/>
          <w:szCs w:val="20"/>
          <w:color w:val="auto"/>
        </w:rPr>
      </w:pPr>
      <w:r>
        <w:rPr>
          <w:rFonts w:ascii="Arial" w:cs="Arial" w:eastAsia="Arial" w:hAnsi="Arial"/>
          <w:sz w:val="22"/>
          <w:szCs w:val="22"/>
          <w:color w:val="auto"/>
        </w:rPr>
        <w:t>Bank, then to such Lenders and such Issuing Bank as their interests may appear. Any payment made by a Lender pursuant to this paragraph to reimburse such Issuing Bank for any DC Disbursement (other than the funding of Base Rate Revolving Loans as contemplated above) shall not constitute a Loan and shall not relieve the Borrower of its obligation to reimburse such DC Disbursement.</w:t>
      </w:r>
    </w:p>
    <w:p>
      <w:pPr>
        <w:spacing w:after="0" w:line="185" w:lineRule="exact"/>
        <w:rPr>
          <w:sz w:val="20"/>
          <w:szCs w:val="20"/>
          <w:color w:val="auto"/>
        </w:rPr>
      </w:pPr>
    </w:p>
    <w:p>
      <w:pPr>
        <w:ind w:left="940" w:hanging="284"/>
        <w:spacing w:after="0"/>
        <w:tabs>
          <w:tab w:leader="none" w:pos="940"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The Borrower’s obligation to reimburse DC Disbursements as provided in paragraph</w:t>
      </w:r>
    </w:p>
    <w:p>
      <w:pPr>
        <w:spacing w:after="0" w:line="17" w:lineRule="exact"/>
        <w:rPr>
          <w:rFonts w:ascii="Arial" w:cs="Arial" w:eastAsia="Arial" w:hAnsi="Arial"/>
          <w:sz w:val="21"/>
          <w:szCs w:val="21"/>
          <w:color w:val="auto"/>
        </w:rPr>
      </w:pPr>
    </w:p>
    <w:p>
      <w:pPr>
        <w:jc w:val="both"/>
        <w:ind w:firstLine="8"/>
        <w:spacing w:after="0"/>
        <w:tabs>
          <w:tab w:leader="none" w:pos="329"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of this Section shall be absolute, unconditional and irrevocable, and shall be performed strictly in accordance with the terms of this Agreement under any and all circumstances whatsoever and irrespective of (i) any lack of validity or enforceability of any Documentary Credit, any Documentary Credit Agreement or this Agreement, or any term or provision therein, (ii) any draft or other document presented under a Documentary Credit proving to be forged, fraudulent or invalid in any respect or any statement therein being untrue or inaccurate in any respect, (iii) payment by the applicable Issuing Bank under a Documentary Credit against presentation of a draft or other document that does not comply with the terms of such Documentary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the Issuing Banks, nor any of their Related Persons, shall have any liability or responsibility by reason of or in connection with the issuance or transfer of any Documentary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Documentary Credit (including any document required to make a drawing thereunder), any error in interpretation of technical terms or any consequence arising from causes beyond the control of the Issuing Banks;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the applicable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Documentary Credit comply with the terms thereof. The parties hereto expressly agree that, in the absence of gross negligence or willful misconduct on the part of the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Documentary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Documentary Credit.</w:t>
      </w:r>
    </w:p>
    <w:p>
      <w:pPr>
        <w:spacing w:after="0" w:line="200" w:lineRule="exact"/>
        <w:rPr>
          <w:rFonts w:ascii="Arial" w:cs="Arial" w:eastAsia="Arial" w:hAnsi="Arial"/>
          <w:sz w:val="21"/>
          <w:szCs w:val="21"/>
          <w:color w:val="auto"/>
        </w:rPr>
      </w:pPr>
    </w:p>
    <w:p>
      <w:pPr>
        <w:spacing w:after="0" w:line="243" w:lineRule="exact"/>
        <w:rPr>
          <w:rFonts w:ascii="Arial" w:cs="Arial" w:eastAsia="Arial" w:hAnsi="Arial"/>
          <w:sz w:val="21"/>
          <w:szCs w:val="21"/>
          <w:color w:val="auto"/>
        </w:rPr>
      </w:pPr>
    </w:p>
    <w:p>
      <w:pPr>
        <w:ind w:firstLine="656"/>
        <w:spacing w:after="0" w:line="251" w:lineRule="auto"/>
        <w:tabs>
          <w:tab w:leader="none" w:pos="1040"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The applicable Issuing Bank shall, promptly following its receipt thereof, examine all documents purporting to represent a demand</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22"/>
          <w:szCs w:val="22"/>
          <w:color w:val="auto"/>
        </w:rPr>
        <w:t xml:space="preserve">for payment under a Documentary Credit. Such Issuing Bank shall promptly notify the Administrative Agent and the Borrower by telephone (confirmed by telecopy or electronic mail) of such demand for payment and whether such Issuing Bank has made or will make an DC Disbursement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failure to give or delay in giving such notice shall not relieve the Borrower of its obligation to reimburse such Issuing Bank and the Lenders with respect to any such DC Disbursement.</w:t>
      </w:r>
    </w:p>
    <w:p>
      <w:pPr>
        <w:spacing w:after="0" w:line="187" w:lineRule="exact"/>
        <w:rPr>
          <w:sz w:val="20"/>
          <w:szCs w:val="20"/>
          <w:color w:val="auto"/>
        </w:rPr>
      </w:pPr>
    </w:p>
    <w:p>
      <w:pPr>
        <w:jc w:val="both"/>
        <w:ind w:firstLine="656"/>
        <w:spacing w:after="0" w:line="244" w:lineRule="auto"/>
        <w:tabs>
          <w:tab w:leader="none" w:pos="975"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Interim Interest</w:t>
      </w:r>
      <w:r>
        <w:rPr>
          <w:rFonts w:ascii="Arial" w:cs="Arial" w:eastAsia="Arial" w:hAnsi="Arial"/>
          <w:sz w:val="21"/>
          <w:szCs w:val="21"/>
          <w:color w:val="auto"/>
        </w:rPr>
        <w:t xml:space="preserve">. If the applicable Issuing Bank shall make any DC Disbursement, then, unless the Borrower shall reimburse such DC Disbursement in full on the date such DC Disbursement is made, the unpaid amount thereof shall bear interest, for each day from and including the date such DC Disbursement is made to but excluding the date that the reimbursement is due and payable at the rate </w:t>
      </w:r>
      <w:r>
        <w:rPr>
          <w:rFonts w:ascii="Arial" w:cs="Arial" w:eastAsia="Arial" w:hAnsi="Arial"/>
          <w:sz w:val="21"/>
          <w:szCs w:val="21"/>
          <w:i w:val="1"/>
          <w:iCs w:val="1"/>
          <w:color w:val="auto"/>
        </w:rPr>
        <w:t>per annum</w:t>
      </w:r>
      <w:r>
        <w:rPr>
          <w:rFonts w:ascii="Arial" w:cs="Arial" w:eastAsia="Arial" w:hAnsi="Arial"/>
          <w:sz w:val="21"/>
          <w:szCs w:val="21"/>
          <w:color w:val="auto"/>
        </w:rPr>
        <w:t xml:space="preserve"> then applicable to Base Rate Revolving Loans and such interest shall be due and payable on the date when such reimbursement is payable;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fails to reimburse such DC Disbursement when due pursuant to paragraph (e) of this Section, then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2.8(c)</w:t>
      </w:r>
      <w:r>
        <w:rPr>
          <w:rFonts w:ascii="Arial" w:cs="Arial" w:eastAsia="Arial" w:hAnsi="Arial"/>
          <w:sz w:val="21"/>
          <w:szCs w:val="21"/>
          <w:color w:val="auto"/>
        </w:rPr>
        <w:t xml:space="preserve"> shall apply. Interest accrued pursuant to this paragraph shall be for the account of the applicable Issuing Bank, except that interest accrued on and after the date of payment by any Lender pursuant to paragraph (e) of this Section to reimburse such Issuing Bank shall be for the account of such Lender to the extent of such payment.</w:t>
      </w:r>
    </w:p>
    <w:p>
      <w:pPr>
        <w:spacing w:after="0" w:line="179" w:lineRule="exact"/>
        <w:rPr>
          <w:rFonts w:ascii="Arial" w:cs="Arial" w:eastAsia="Arial" w:hAnsi="Arial"/>
          <w:sz w:val="21"/>
          <w:szCs w:val="21"/>
          <w:color w:val="auto"/>
        </w:rPr>
      </w:pPr>
    </w:p>
    <w:p>
      <w:pPr>
        <w:jc w:val="both"/>
        <w:ind w:firstLine="656"/>
        <w:spacing w:after="0" w:line="232" w:lineRule="auto"/>
        <w:tabs>
          <w:tab w:leader="none" w:pos="922"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Replacement of the Issuing Bank</w:t>
      </w:r>
      <w:r>
        <w:rPr>
          <w:rFonts w:ascii="Arial" w:cs="Arial" w:eastAsia="Arial" w:hAnsi="Arial"/>
          <w:sz w:val="22"/>
          <w:szCs w:val="22"/>
          <w:color w:val="auto"/>
        </w:rPr>
        <w:t xml:space="preserve">. (i) An Issuing Bank may be replaced at any time by written agreement among the Borrower, the Administrative Agent, the replaced Issuing Bank and the successor Issuing Bank. The Administrative Agent shall notify the Lenders of any such replacement of an Issuing Bank. At the time any such replacement shall become effective, the Borrower shall pay all unpaid fees accrued for the account of the replaced Issuing Bank pursuant to </w:t>
      </w:r>
      <w:r>
        <w:rPr>
          <w:rFonts w:ascii="Arial" w:cs="Arial" w:eastAsia="Arial" w:hAnsi="Arial"/>
          <w:sz w:val="22"/>
          <w:szCs w:val="22"/>
          <w:u w:val="single" w:color="auto"/>
          <w:color w:val="auto"/>
        </w:rPr>
        <w:t>Section 2.19(c)</w:t>
      </w:r>
      <w:r>
        <w:rPr>
          <w:rFonts w:ascii="Arial" w:cs="Arial" w:eastAsia="Arial" w:hAnsi="Arial"/>
          <w:sz w:val="22"/>
          <w:szCs w:val="22"/>
          <w:color w:val="auto"/>
        </w:rPr>
        <w:t>. From and after the effective date of any such replacement, (x) the successor Issuing Bank shall have all the rights and obligations of Issuing Banks under this Agreement with respect to Documentary Credits to be issued thereafter and (y) references herein to the term “Issuing Bank” shall be deemed to refer to such successor or to any previous Issuing Banks,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Documentary Credits issued by it prior to such replacement, but shall not be required to issue additional Documentary Credits.</w:t>
      </w:r>
    </w:p>
    <w:p>
      <w:pPr>
        <w:spacing w:after="0" w:line="184" w:lineRule="exact"/>
        <w:rPr>
          <w:sz w:val="20"/>
          <w:szCs w:val="20"/>
          <w:color w:val="auto"/>
        </w:rPr>
      </w:pPr>
    </w:p>
    <w:p>
      <w:pPr>
        <w:jc w:val="both"/>
        <w:ind w:firstLine="656"/>
        <w:spacing w:after="0" w:line="236" w:lineRule="auto"/>
        <w:tabs>
          <w:tab w:leader="none" w:pos="9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Subject to the appointment and acceptance of a successor Issuing Bank, any Issuing Bank may resign as an Issuing Bank at any time upon thirty days’ prior written notice to the Administrative Agent, the Borrower and the Lenders, in which case, such Issuing Bank shall be replaced in accordance with </w:t>
      </w:r>
      <w:r>
        <w:rPr>
          <w:rFonts w:ascii="Arial" w:cs="Arial" w:eastAsia="Arial" w:hAnsi="Arial"/>
          <w:sz w:val="22"/>
          <w:szCs w:val="22"/>
          <w:u w:val="single" w:color="auto"/>
          <w:color w:val="auto"/>
        </w:rPr>
        <w:t>Section 2.4(i)</w:t>
      </w:r>
      <w:r>
        <w:rPr>
          <w:rFonts w:ascii="Arial" w:cs="Arial" w:eastAsia="Arial" w:hAnsi="Arial"/>
          <w:sz w:val="22"/>
          <w:szCs w:val="22"/>
          <w:color w:val="auto"/>
        </w:rPr>
        <w:t xml:space="preserve"> above.</w:t>
      </w:r>
    </w:p>
    <w:p>
      <w:pPr>
        <w:spacing w:after="0" w:line="185" w:lineRule="exact"/>
        <w:rPr>
          <w:sz w:val="20"/>
          <w:szCs w:val="20"/>
          <w:color w:val="auto"/>
        </w:rPr>
      </w:pPr>
    </w:p>
    <w:p>
      <w:pPr>
        <w:jc w:val="both"/>
        <w:ind w:firstLine="656"/>
        <w:spacing w:after="0" w:line="236" w:lineRule="auto"/>
        <w:tabs>
          <w:tab w:leader="none" w:pos="91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Cash Collateralization</w:t>
      </w:r>
      <w:r>
        <w:rPr>
          <w:rFonts w:ascii="Arial" w:cs="Arial" w:eastAsia="Arial" w:hAnsi="Arial"/>
          <w:sz w:val="22"/>
          <w:szCs w:val="22"/>
          <w:color w:val="auto"/>
        </w:rPr>
        <w:t>. If any Event of Default shall occur and be continuing, on the Business Day that the Borrower receives notice from the Administrative Agent or the Required Revolving Lenders (or, if the maturity of the Loans has been accelerated, Revolving Lenders with DC Exposure representing greater than 50% of the total DC Exposure) demanding the deposit of cash collateral pursuant to this paragraph, the Borrower shall deposit in an account with the Administrative Agent, in the name of the</w:t>
      </w:r>
    </w:p>
    <w:p>
      <w:pPr>
        <w:sectPr>
          <w:pgSz w:w="11900" w:h="16838" w:orient="portrait"/>
          <w:cols w:equalWidth="0" w:num="1">
            <w:col w:w="11240"/>
          </w:cols>
          <w:pgMar w:left="320" w:top="1413" w:right="339" w:bottom="1440" w:gutter="0" w:footer="0" w:header="0"/>
        </w:sectPr>
      </w:pPr>
    </w:p>
    <w:bookmarkStart w:id="122" w:name="page123"/>
    <w:bookmarkEnd w:id="122"/>
    <w:p>
      <w:pPr>
        <w:jc w:val="both"/>
        <w:spacing w:after="0" w:line="231" w:lineRule="auto"/>
        <w:rPr>
          <w:sz w:val="20"/>
          <w:szCs w:val="20"/>
          <w:color w:val="auto"/>
        </w:rPr>
      </w:pPr>
      <w:r>
        <w:rPr>
          <w:rFonts w:ascii="Arial" w:cs="Arial" w:eastAsia="Arial" w:hAnsi="Arial"/>
          <w:sz w:val="22"/>
          <w:szCs w:val="22"/>
          <w:color w:val="auto"/>
        </w:rPr>
        <w:t>Administrative Agent and for the benefit of the Revolving Lenders, an amount in cash equal to the DC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7.1(f) or (g).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the Issuing Bank for DC Disbursements for which it has not been reimbursed and, to the extent not so applied, shall be held for the satisfaction of the reimbursement obligations of the Borrower for the DC Exposure at such time or, if the maturity of the Loans has been accelerated (but subject to the consent of Revolving Lenders with DC Exposure representing greater than 50% of the total DC Exposure), be applied to satisfy other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spacing w:after="0" w:line="181" w:lineRule="exact"/>
        <w:rPr>
          <w:sz w:val="20"/>
          <w:szCs w:val="20"/>
          <w:color w:val="auto"/>
        </w:rPr>
      </w:pPr>
    </w:p>
    <w:p>
      <w:pPr>
        <w:jc w:val="both"/>
        <w:ind w:firstLine="656"/>
        <w:spacing w:after="0" w:line="232" w:lineRule="auto"/>
        <w:tabs>
          <w:tab w:leader="none" w:pos="985"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Documentary Credits Issued for Account of Restricted Subsidiaries</w:t>
      </w:r>
      <w:r>
        <w:rPr>
          <w:rFonts w:ascii="Arial" w:cs="Arial" w:eastAsia="Arial" w:hAnsi="Arial"/>
          <w:sz w:val="22"/>
          <w:szCs w:val="22"/>
          <w:color w:val="auto"/>
        </w:rPr>
        <w:t>. Notwithstanding that a Documentary Credit issued or outstanding hereunder supports any obligations of, or is for the account of, a Subsidiary of the Borrower, or states that a Subsidiary of the Borrower is the “account party,” “applicant,” “customer,” “instructing party,” or the like of or for such Documentary Credit, and without derogating from any rights of the applicable Issuing Bank (whether arising by contract, at law, in equity or otherwise) against such Subsidiary in respect of such Documentary Credit, the Borrower (i) shall reimburse, indemnify and compensate the applicable Issuing Bank hereunder for such Documentary Credit (including to reimburse any and all drawings thereunder) as if such Documentary Credit had been issued solely for the account of the Borrower and (ii) irrevocably waives any and all defenses that might otherwise be available to it as a guarantor or surety of any or all of the obligations of such Subsidiary in respect of such Documentary Credit. The Borrower hereby acknowledges that the issuance of such Documentary Credits for its Subsidiaries inures to the benefit of the Borrower, and that the Borrower’s business derives substantial benefits from the businesses of such Subsidiaries.</w:t>
      </w:r>
    </w:p>
    <w:p>
      <w:pPr>
        <w:spacing w:after="0" w:line="18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u w:val="single" w:color="auto"/>
          <w:color w:val="auto"/>
        </w:rPr>
        <w:t>Funding of Revolving Borrowings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8" w:lineRule="auto"/>
        <w:tabs>
          <w:tab w:leader="none" w:pos="11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Lender shall make each Revolving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Loans available to the Borrower by promptly crediting the amounts so</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38" w:lineRule="auto"/>
        <w:rPr>
          <w:sz w:val="20"/>
          <w:szCs w:val="20"/>
          <w:color w:val="auto"/>
        </w:rPr>
      </w:pPr>
      <w:r>
        <w:rPr>
          <w:rFonts w:ascii="Arial" w:cs="Arial" w:eastAsia="Arial" w:hAnsi="Arial"/>
          <w:sz w:val="22"/>
          <w:szCs w:val="22"/>
          <w:color w:val="auto"/>
        </w:rPr>
        <w:t xml:space="preserve">received, in like funds, to an account of the Borrower maintained at a financial institution reasonably acceptable to the Administrative Agent and designated by the Borrower in the applicable Borrowing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Base Rate Revolving Loans made to finance the reimbursement of an DC Disbursement as provided in </w:t>
      </w:r>
      <w:r>
        <w:rPr>
          <w:rFonts w:ascii="Arial" w:cs="Arial" w:eastAsia="Arial" w:hAnsi="Arial"/>
          <w:sz w:val="22"/>
          <w:szCs w:val="22"/>
          <w:u w:val="single" w:color="auto"/>
          <w:color w:val="auto"/>
        </w:rPr>
        <w:t>Section 2.4(e)</w:t>
      </w:r>
      <w:r>
        <w:rPr>
          <w:rFonts w:ascii="Arial" w:cs="Arial" w:eastAsia="Arial" w:hAnsi="Arial"/>
          <w:sz w:val="22"/>
          <w:szCs w:val="22"/>
          <w:color w:val="auto"/>
        </w:rPr>
        <w:t xml:space="preserve"> shall be remitted by the Administrative Agent to the relevant Issuing Bank.</w:t>
      </w:r>
    </w:p>
    <w:p>
      <w:pPr>
        <w:spacing w:after="0" w:line="185" w:lineRule="exact"/>
        <w:rPr>
          <w:sz w:val="20"/>
          <w:szCs w:val="20"/>
          <w:color w:val="auto"/>
        </w:rPr>
      </w:pPr>
    </w:p>
    <w:p>
      <w:pPr>
        <w:jc w:val="both"/>
        <w:ind w:firstLine="656"/>
        <w:spacing w:after="0" w:line="231" w:lineRule="auto"/>
        <w:tabs>
          <w:tab w:leader="none" w:pos="1216" w:val="left"/>
        </w:tabs>
        <w:numPr>
          <w:ilvl w:val="0"/>
          <w:numId w:val="74"/>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a Lender prior to the proposed date of any Borrowing that such Lender will not make available to the Administrative Agent such Lender’s Revolving Loan Percentage of such Borrowing, the Administrative Agent may assume that such Lender has made such Revolving Loan Percentage of such Borrowing available on such date in accordance with paragraph (a) of this Section and may, in reliance upon such assumption, make available to the Borrower a corresponding amount. In such event, if a Lender has not in fact made its Revolving Loan Percentage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Revolving Loan included in such Borrowing.</w:t>
      </w:r>
    </w:p>
    <w:p>
      <w:pPr>
        <w:spacing w:after="0" w:line="18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u w:val="single" w:color="auto"/>
          <w:color w:val="auto"/>
        </w:rPr>
        <w:t>Termination and Reduction of Revolving Commitments.</w:t>
      </w:r>
    </w:p>
    <w:p>
      <w:pPr>
        <w:spacing w:after="0" w:line="206" w:lineRule="exact"/>
        <w:rPr>
          <w:sz w:val="20"/>
          <w:szCs w:val="20"/>
          <w:color w:val="auto"/>
        </w:rPr>
      </w:pPr>
    </w:p>
    <w:p>
      <w:pPr>
        <w:ind w:firstLine="656"/>
        <w:spacing w:after="0" w:line="251" w:lineRule="auto"/>
        <w:tabs>
          <w:tab w:leader="none" w:pos="1176" w:val="left"/>
        </w:tabs>
        <w:numPr>
          <w:ilvl w:val="0"/>
          <w:numId w:val="75"/>
        </w:numPr>
        <w:rPr>
          <w:rFonts w:ascii="Arial" w:cs="Arial" w:eastAsia="Arial" w:hAnsi="Arial"/>
          <w:sz w:val="22"/>
          <w:szCs w:val="22"/>
          <w:color w:val="auto"/>
        </w:rPr>
      </w:pPr>
      <w:r>
        <w:rPr>
          <w:rFonts w:ascii="Arial" w:cs="Arial" w:eastAsia="Arial" w:hAnsi="Arial"/>
          <w:sz w:val="22"/>
          <w:szCs w:val="22"/>
          <w:color w:val="auto"/>
        </w:rPr>
        <w:t>Unless previously terminated, the Revolving Commitments of any Class shall terminate on the Revolving Maturity Date of such Class.</w:t>
      </w:r>
    </w:p>
    <w:p>
      <w:pPr>
        <w:spacing w:after="0" w:line="172" w:lineRule="exact"/>
        <w:rPr>
          <w:rFonts w:ascii="Arial" w:cs="Arial" w:eastAsia="Arial" w:hAnsi="Arial"/>
          <w:sz w:val="22"/>
          <w:szCs w:val="22"/>
          <w:color w:val="auto"/>
        </w:rPr>
      </w:pPr>
    </w:p>
    <w:p>
      <w:pPr>
        <w:jc w:val="both"/>
        <w:ind w:firstLine="656"/>
        <w:spacing w:after="0" w:line="236" w:lineRule="auto"/>
        <w:tabs>
          <w:tab w:leader="none" w:pos="1288"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The Borrower may at any time terminate, or from time to time reduce, the Revolving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Revolving Commitments shall be in an amount that is an integral multiple of $5,000,000 and not less than $10,000,000 and (ii) the Borrower shall not terminate or reduce the Revolving Commitments if, after giving effect to any concurrent prepayment of the Revolving Loans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the sum of the Revolving Credit Exposures would exceed the total Revolving Commitments.</w:t>
      </w:r>
    </w:p>
    <w:p>
      <w:pPr>
        <w:spacing w:after="0" w:line="187" w:lineRule="exact"/>
        <w:rPr>
          <w:rFonts w:ascii="Arial" w:cs="Arial" w:eastAsia="Arial" w:hAnsi="Arial"/>
          <w:sz w:val="22"/>
          <w:szCs w:val="22"/>
          <w:color w:val="auto"/>
        </w:rPr>
      </w:pPr>
    </w:p>
    <w:p>
      <w:pPr>
        <w:jc w:val="both"/>
        <w:ind w:firstLine="656"/>
        <w:spacing w:after="0" w:line="232" w:lineRule="auto"/>
        <w:tabs>
          <w:tab w:leader="none" w:pos="1210"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of any election to terminate or reduce the Revolving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notice of termination of the Commitments delivered by the Borrower may state that such notice is conditioned upon the effectiveness of other credit facilities or another contingency, in which case such notice may be revoked by the Borrower (by notice to the Administrative Agent on or prior to the specified effective date) if such condition is not satisfied. Any termination or reduction of the Revolving Commitments shall be</w:t>
      </w:r>
    </w:p>
    <w:p>
      <w:pPr>
        <w:sectPr>
          <w:pgSz w:w="11900" w:h="16838" w:orient="portrait"/>
          <w:cols w:equalWidth="0" w:num="1">
            <w:col w:w="11240"/>
          </w:cols>
          <w:pgMar w:left="320" w:top="1413" w:right="339" w:bottom="1440" w:gutter="0" w:footer="0" w:header="0"/>
        </w:sectPr>
      </w:pPr>
    </w:p>
    <w:bookmarkStart w:id="124" w:name="page125"/>
    <w:bookmarkEnd w:id="124"/>
    <w:p>
      <w:pPr>
        <w:spacing w:after="0" w:line="251" w:lineRule="auto"/>
        <w:rPr>
          <w:sz w:val="20"/>
          <w:szCs w:val="20"/>
          <w:color w:val="auto"/>
        </w:rPr>
      </w:pPr>
      <w:r>
        <w:rPr>
          <w:rFonts w:ascii="Arial" w:cs="Arial" w:eastAsia="Arial" w:hAnsi="Arial"/>
          <w:sz w:val="22"/>
          <w:szCs w:val="22"/>
          <w:color w:val="auto"/>
        </w:rPr>
        <w:t>permanent. Each reduction of the Revolving Commitments shall be made ratably among the Lenders in accordance with their respective Revolving Commitments.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u w:val="single" w:color="auto"/>
          <w:color w:val="auto"/>
        </w:rPr>
        <w:t>Repayment of Loans; Evidence of Debt</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1" w:lineRule="auto"/>
        <w:tabs>
          <w:tab w:leader="none" w:pos="1228" w:val="left"/>
        </w:tabs>
        <w:numPr>
          <w:ilvl w:val="1"/>
          <w:numId w:val="76"/>
        </w:numPr>
        <w:rPr>
          <w:rFonts w:ascii="Arial" w:cs="Arial" w:eastAsia="Arial" w:hAnsi="Arial"/>
          <w:sz w:val="22"/>
          <w:szCs w:val="22"/>
          <w:color w:val="auto"/>
        </w:rPr>
      </w:pPr>
      <w:r>
        <w:rPr>
          <w:rFonts w:ascii="Arial" w:cs="Arial" w:eastAsia="Arial" w:hAnsi="Arial"/>
          <w:sz w:val="22"/>
          <w:szCs w:val="22"/>
          <w:color w:val="auto"/>
        </w:rPr>
        <w:t>The Borrower hereby unconditionally promises to pay the Administrative Agent for the account of each Lender the then unpaid principal amount of each Loan made by such Lender on the applicable Revolving Maturity Date.</w:t>
      </w:r>
    </w:p>
    <w:p>
      <w:pPr>
        <w:spacing w:after="0" w:line="169" w:lineRule="exact"/>
        <w:rPr>
          <w:rFonts w:ascii="Arial" w:cs="Arial" w:eastAsia="Arial" w:hAnsi="Arial"/>
          <w:sz w:val="22"/>
          <w:szCs w:val="22"/>
          <w:color w:val="auto"/>
        </w:rPr>
      </w:pPr>
    </w:p>
    <w:p>
      <w:pPr>
        <w:jc w:val="both"/>
        <w:ind w:firstLine="656"/>
        <w:spacing w:after="0" w:line="241" w:lineRule="auto"/>
        <w:tabs>
          <w:tab w:leader="none" w:pos="1279" w:val="left"/>
        </w:tabs>
        <w:numPr>
          <w:ilvl w:val="1"/>
          <w:numId w:val="76"/>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Indebtedness of the Borrower to such Lender resulting from each Loan of such Lender from time to time, including the amounts of principal and interest payable and paid to such Lender from time to time under this Agreement.</w:t>
      </w:r>
    </w:p>
    <w:p>
      <w:pPr>
        <w:spacing w:after="0" w:line="182" w:lineRule="exact"/>
        <w:rPr>
          <w:rFonts w:ascii="Arial" w:cs="Arial" w:eastAsia="Arial" w:hAnsi="Arial"/>
          <w:sz w:val="22"/>
          <w:szCs w:val="22"/>
          <w:color w:val="auto"/>
        </w:rPr>
      </w:pPr>
    </w:p>
    <w:p>
      <w:pPr>
        <w:jc w:val="both"/>
        <w:ind w:firstLine="656"/>
        <w:spacing w:after="0" w:line="246" w:lineRule="auto"/>
        <w:tabs>
          <w:tab w:leader="none" w:pos="1212"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Administrative Agent shall, in respect of this Agreement, record in the Register, with separate sub-accounts for each Lender, (i) the amount and Borrowing Date of each Loan made hereunder, (ii) the amount of any principal or interest due and payable or to become due and payable from the Borrower to each Lender hereunder and</w:t>
      </w:r>
    </w:p>
    <w:p>
      <w:pPr>
        <w:spacing w:after="0" w:line="2" w:lineRule="exact"/>
        <w:rPr>
          <w:rFonts w:ascii="Arial" w:cs="Arial" w:eastAsia="Arial" w:hAnsi="Arial"/>
          <w:sz w:val="21"/>
          <w:szCs w:val="21"/>
          <w:color w:val="auto"/>
        </w:rPr>
      </w:pPr>
    </w:p>
    <w:p>
      <w:pPr>
        <w:ind w:firstLine="8"/>
        <w:spacing w:after="0" w:line="238" w:lineRule="auto"/>
        <w:tabs>
          <w:tab w:leader="none" w:pos="375" w:val="left"/>
        </w:tabs>
        <w:numPr>
          <w:ilvl w:val="0"/>
          <w:numId w:val="77"/>
        </w:numPr>
        <w:rPr>
          <w:rFonts w:ascii="Arial" w:cs="Arial" w:eastAsia="Arial" w:hAnsi="Arial"/>
          <w:sz w:val="22"/>
          <w:szCs w:val="22"/>
          <w:color w:val="auto"/>
        </w:rPr>
      </w:pPr>
      <w:r>
        <w:rPr>
          <w:rFonts w:ascii="Arial" w:cs="Arial" w:eastAsia="Arial" w:hAnsi="Arial"/>
          <w:sz w:val="22"/>
          <w:szCs w:val="22"/>
          <w:color w:val="auto"/>
        </w:rPr>
        <w:t>both the amount of any payment received by the Administrative Agent hereunder from the Borrower and each Lender’s share thereof.</w:t>
      </w:r>
    </w:p>
    <w:p>
      <w:pPr>
        <w:spacing w:after="0" w:line="184" w:lineRule="exact"/>
        <w:rPr>
          <w:rFonts w:ascii="Arial" w:cs="Arial" w:eastAsia="Arial" w:hAnsi="Arial"/>
          <w:sz w:val="22"/>
          <w:szCs w:val="22"/>
          <w:color w:val="auto"/>
        </w:rPr>
      </w:pPr>
    </w:p>
    <w:p>
      <w:pPr>
        <w:jc w:val="both"/>
        <w:ind w:firstLine="656"/>
        <w:spacing w:after="0" w:line="233" w:lineRule="auto"/>
        <w:tabs>
          <w:tab w:leader="none" w:pos="1277"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entries made in the Register and the accounts of each Lender maintained pursuant to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2.7(b)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169" w:val="left"/>
        </w:tabs>
        <w:numPr>
          <w:ilvl w:val="1"/>
          <w:numId w:val="77"/>
        </w:numPr>
        <w:rPr>
          <w:rFonts w:ascii="Arial" w:cs="Arial" w:eastAsia="Arial" w:hAnsi="Arial"/>
          <w:sz w:val="22"/>
          <w:szCs w:val="22"/>
          <w:color w:val="auto"/>
        </w:rPr>
      </w:pPr>
      <w:r>
        <w:rPr>
          <w:rFonts w:ascii="Arial" w:cs="Arial" w:eastAsia="Arial" w:hAnsi="Arial"/>
          <w:sz w:val="22"/>
          <w:szCs w:val="22"/>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Loans in form and substance reasonably satisfactory to the Lender and the Borrower.</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u w:val="single" w:color="auto"/>
          <w:color w:val="auto"/>
        </w:rPr>
        <w:t>Interest Rates and Payment Dates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6" w:lineRule="auto"/>
        <w:tabs>
          <w:tab w:leader="none" w:pos="126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Each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shall bear interest for each day during each Interest Period with respect thereto at a rate per annum equal to </w:t>
      </w:r>
      <w:r>
        <w:rPr>
          <w:rFonts w:ascii="Arial" w:cs="Arial" w:eastAsia="Arial" w:hAnsi="Arial"/>
          <w:sz w:val="22"/>
          <w:szCs w:val="22"/>
          <w:color w:val="FF0000"/>
          <w:strike w:val="1"/>
        </w:rPr>
        <w:t>the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determined for such Interest Period plus the Applicable Margin.</w:t>
      </w:r>
    </w:p>
    <w:p>
      <w:pPr>
        <w:spacing w:after="0" w:line="185" w:lineRule="exact"/>
        <w:rPr>
          <w:rFonts w:ascii="Arial" w:cs="Arial" w:eastAsia="Arial" w:hAnsi="Arial"/>
          <w:sz w:val="22"/>
          <w:szCs w:val="22"/>
          <w:color w:val="auto"/>
        </w:rPr>
      </w:pPr>
    </w:p>
    <w:p>
      <w:pPr>
        <w:ind w:firstLine="656"/>
        <w:spacing w:after="0" w:line="251" w:lineRule="auto"/>
        <w:tabs>
          <w:tab w:leader="none" w:pos="1209" w:val="left"/>
        </w:tabs>
        <w:numPr>
          <w:ilvl w:val="0"/>
          <w:numId w:val="78"/>
        </w:numPr>
        <w:rPr>
          <w:rFonts w:ascii="Arial" w:cs="Arial" w:eastAsia="Arial" w:hAnsi="Arial"/>
          <w:sz w:val="22"/>
          <w:szCs w:val="22"/>
          <w:color w:val="auto"/>
        </w:rPr>
      </w:pPr>
      <w:r>
        <w:rPr>
          <w:rFonts w:ascii="Arial" w:cs="Arial" w:eastAsia="Arial" w:hAnsi="Arial"/>
          <w:sz w:val="22"/>
          <w:szCs w:val="22"/>
          <w:color w:val="auto"/>
        </w:rPr>
        <w:t>Each Base Rate Loan shall bear interest at a rate per annum equal to the Base Rate from time to time plus the Applicable Margin.</w:t>
      </w:r>
    </w:p>
    <w:p>
      <w:pPr>
        <w:spacing w:after="0" w:line="172" w:lineRule="exact"/>
        <w:rPr>
          <w:rFonts w:ascii="Arial" w:cs="Arial" w:eastAsia="Arial" w:hAnsi="Arial"/>
          <w:sz w:val="22"/>
          <w:szCs w:val="22"/>
          <w:color w:val="auto"/>
        </w:rPr>
      </w:pPr>
    </w:p>
    <w:p>
      <w:pPr>
        <w:jc w:val="both"/>
        <w:ind w:firstLine="656"/>
        <w:spacing w:after="0" w:line="241" w:lineRule="auto"/>
        <w:tabs>
          <w:tab w:leader="none" w:pos="1216"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Notwithstanding the foregoing, upon the occurrence and during the continuance of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at any time after the date on which any principal amount of any Loan is due and payable (whether on the maturity</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35" w:lineRule="auto"/>
        <w:rPr>
          <w:sz w:val="20"/>
          <w:szCs w:val="20"/>
          <w:color w:val="auto"/>
        </w:rPr>
      </w:pPr>
      <w:r>
        <w:rPr>
          <w:rFonts w:ascii="Arial" w:cs="Arial" w:eastAsia="Arial" w:hAnsi="Arial"/>
          <w:sz w:val="22"/>
          <w:szCs w:val="22"/>
          <w:color w:val="auto"/>
        </w:rPr>
        <w:t>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Loan, the rate of interest that otherwise would be applicable to such Loan plus 2% per annum and (ii) in the case of overdue interest, fees, and other monetary Obligations, the rate then applicable to Base Rate Loans plus 2% per annum.</w:t>
      </w:r>
    </w:p>
    <w:p>
      <w:pPr>
        <w:spacing w:after="0" w:line="174" w:lineRule="exact"/>
        <w:rPr>
          <w:sz w:val="20"/>
          <w:szCs w:val="20"/>
          <w:color w:val="auto"/>
        </w:rPr>
      </w:pPr>
    </w:p>
    <w:p>
      <w:pPr>
        <w:ind w:firstLine="656"/>
        <w:spacing w:after="0" w:line="251" w:lineRule="auto"/>
        <w:tabs>
          <w:tab w:leader="none" w:pos="1311"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172" w:lineRule="exact"/>
        <w:rPr>
          <w:rFonts w:ascii="Arial" w:cs="Arial" w:eastAsia="Arial" w:hAnsi="Arial"/>
          <w:sz w:val="22"/>
          <w:szCs w:val="22"/>
          <w:color w:val="auto"/>
        </w:rPr>
      </w:pPr>
    </w:p>
    <w:p>
      <w:pPr>
        <w:ind w:firstLine="656"/>
        <w:spacing w:after="0" w:line="251" w:lineRule="auto"/>
        <w:tabs>
          <w:tab w:leader="none" w:pos="1318"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(and the interest rates applicable to various extensions of credit hereunder) shall be subject to modification as expressly provided in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hereof.</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u w:val="single" w:color="auto"/>
          <w:color w:val="auto"/>
        </w:rPr>
        <w:t>Computation of Interest and Fees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4" w:lineRule="auto"/>
        <w:tabs>
          <w:tab w:leader="none" w:pos="1267"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w:t>
      </w:r>
      <w:r>
        <w:rPr>
          <w:rFonts w:ascii="Arial" w:cs="Arial" w:eastAsia="Arial" w:hAnsi="Arial"/>
          <w:sz w:val="21"/>
          <w:szCs w:val="21"/>
          <w:color w:val="FF0000"/>
          <w:strike w:val="1"/>
        </w:rPr>
        <w:t>a Eurodollar Rate</w:t>
      </w:r>
      <w:r>
        <w:rPr>
          <w:rFonts w:ascii="Arial" w:cs="Arial" w:eastAsia="Arial" w:hAnsi="Arial"/>
          <w:sz w:val="21"/>
          <w:szCs w:val="21"/>
          <w:u w:val="single" w:color="auto"/>
          <w:color w:val="0000FF"/>
        </w:rPr>
        <w:t>Adjusted Term SOFR</w:t>
      </w:r>
      <w:r>
        <w:rPr>
          <w:rFonts w:ascii="Arial" w:cs="Arial" w:eastAsia="Arial" w:hAnsi="Arial"/>
          <w:sz w:val="21"/>
          <w:szCs w:val="21"/>
          <w:color w:val="auto"/>
        </w:rPr>
        <w:t xml:space="preserve">. Any change in the interest rate on a Loan resulting from a change in the Base Rate </w:t>
      </w:r>
      <w:r>
        <w:rPr>
          <w:rFonts w:ascii="Arial" w:cs="Arial" w:eastAsia="Arial" w:hAnsi="Arial"/>
          <w:sz w:val="21"/>
          <w:szCs w:val="21"/>
          <w:color w:val="FF0000"/>
          <w:strike w:val="1"/>
        </w:rPr>
        <w:t>or the Eurocurrency Reserve Requirements</w:t>
      </w:r>
      <w:r>
        <w:rPr>
          <w:rFonts w:ascii="Arial" w:cs="Arial" w:eastAsia="Arial" w:hAnsi="Arial"/>
          <w:sz w:val="21"/>
          <w:szCs w:val="21"/>
          <w:color w:val="auto"/>
        </w:rPr>
        <w:t xml:space="preserve">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82" w:lineRule="exact"/>
        <w:rPr>
          <w:rFonts w:ascii="Arial" w:cs="Arial" w:eastAsia="Arial" w:hAnsi="Arial"/>
          <w:sz w:val="21"/>
          <w:szCs w:val="21"/>
          <w:color w:val="auto"/>
        </w:rPr>
      </w:pPr>
    </w:p>
    <w:p>
      <w:pPr>
        <w:ind w:firstLine="656"/>
        <w:spacing w:after="0" w:line="251" w:lineRule="auto"/>
        <w:tabs>
          <w:tab w:leader="none" w:pos="1300" w:val="left"/>
        </w:tabs>
        <w:numPr>
          <w:ilvl w:val="0"/>
          <w:numId w:val="80"/>
        </w:numPr>
        <w:rPr>
          <w:rFonts w:ascii="Arial" w:cs="Arial" w:eastAsia="Arial" w:hAnsi="Arial"/>
          <w:sz w:val="22"/>
          <w:szCs w:val="22"/>
          <w:color w:val="auto"/>
        </w:rPr>
      </w:pPr>
      <w:r>
        <w:rPr>
          <w:rFonts w:ascii="Arial" w:cs="Arial" w:eastAsia="Arial" w:hAnsi="Arial"/>
          <w:sz w:val="22"/>
          <w:szCs w:val="22"/>
          <w:color w:val="auto"/>
        </w:rPr>
        <w:t>Each determination of an interest rate by the Administrative Agent pursuant to any provision of this Agreement shall be conclusive and binding on the Borrower and the Lenders in the absence of manifest error.</w:t>
      </w:r>
    </w:p>
    <w:p>
      <w:pPr>
        <w:spacing w:after="0" w:line="172" w:lineRule="exact"/>
        <w:rPr>
          <w:rFonts w:ascii="Arial" w:cs="Arial" w:eastAsia="Arial" w:hAnsi="Arial"/>
          <w:sz w:val="22"/>
          <w:szCs w:val="22"/>
          <w:color w:val="auto"/>
        </w:rPr>
      </w:pPr>
    </w:p>
    <w:p>
      <w:pPr>
        <w:jc w:val="both"/>
        <w:ind w:firstLine="656"/>
        <w:spacing w:after="0" w:line="233" w:lineRule="auto"/>
        <w:tabs>
          <w:tab w:leader="none" w:pos="1233"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as a result of any restatement of public disclosure, inaccuracy in any certificate delivered or similar miscalculation of the KPI Metrics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u w:val="single" w:color="auto"/>
          <w:color w:val="auto"/>
        </w:rPr>
        <w:t>Benchmark Replacement Setting</w:t>
      </w:r>
      <w:r>
        <w:rPr>
          <w:rFonts w:ascii="Arial" w:cs="Arial" w:eastAsia="Arial" w:hAnsi="Arial"/>
          <w:sz w:val="21"/>
          <w:szCs w:val="21"/>
          <w:color w:val="auto"/>
        </w:rPr>
        <w:t>.</w:t>
      </w:r>
    </w:p>
    <w:p>
      <w:pPr>
        <w:spacing w:after="0" w:line="206" w:lineRule="exact"/>
        <w:rPr>
          <w:sz w:val="20"/>
          <w:szCs w:val="20"/>
          <w:color w:val="auto"/>
        </w:rPr>
      </w:pPr>
    </w:p>
    <w:p>
      <w:pPr>
        <w:ind w:left="1280" w:hanging="624"/>
        <w:spacing w:after="0"/>
        <w:tabs>
          <w:tab w:leader="none" w:pos="1280" w:val="left"/>
        </w:tabs>
        <w:numPr>
          <w:ilvl w:val="0"/>
          <w:numId w:val="81"/>
        </w:numPr>
        <w:rPr>
          <w:rFonts w:ascii="Arial" w:cs="Arial" w:eastAsia="Arial" w:hAnsi="Arial"/>
          <w:sz w:val="22"/>
          <w:szCs w:val="22"/>
          <w:color w:val="auto"/>
        </w:rPr>
      </w:pPr>
      <w:r>
        <w:rPr>
          <w:rFonts w:ascii="Arial" w:cs="Arial" w:eastAsia="Arial" w:hAnsi="Arial"/>
          <w:sz w:val="22"/>
          <w:szCs w:val="22"/>
          <w:color w:val="auto"/>
        </w:rPr>
        <w:t>Subject to clauses (b), (c), (d), (e) and (f) of this Section 2.10, if prior to the first day of any Interest</w:t>
      </w:r>
    </w:p>
    <w:p>
      <w:pPr>
        <w:spacing w:after="0" w:line="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Period:</w:t>
      </w:r>
    </w:p>
    <w:p>
      <w:pPr>
        <w:sectPr>
          <w:pgSz w:w="11900" w:h="16838" w:orient="portrait"/>
          <w:cols w:equalWidth="0" w:num="1">
            <w:col w:w="11240"/>
          </w:cols>
          <w:pgMar w:left="320" w:top="1413" w:right="339" w:bottom="1440" w:gutter="0" w:footer="0" w:header="0"/>
        </w:sectPr>
      </w:pPr>
    </w:p>
    <w:bookmarkStart w:id="126" w:name="page127"/>
    <w:bookmarkEnd w:id="126"/>
    <w:p>
      <w:pPr>
        <w:jc w:val="both"/>
        <w:ind w:left="660" w:firstLine="644"/>
        <w:spacing w:after="0" w:line="238" w:lineRule="auto"/>
        <w:tabs>
          <w:tab w:leader="none" w:pos="2037"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reasonably determined (which determination shall be conclusive and binding upon the Borrower) that, by reason of circumstances affecting the relevant market, adequate and reasonable means do not exist for ascertaining </w:t>
      </w:r>
      <w:r>
        <w:rPr>
          <w:rFonts w:ascii="Arial" w:cs="Arial" w:eastAsia="Arial" w:hAnsi="Arial"/>
          <w:sz w:val="22"/>
          <w:szCs w:val="22"/>
          <w:color w:val="FF0000"/>
          <w:strike w:val="1"/>
        </w:rPr>
        <w:t>the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for such Interest Period, or</w:t>
      </w:r>
    </w:p>
    <w:p>
      <w:pPr>
        <w:spacing w:after="0" w:line="184" w:lineRule="exact"/>
        <w:rPr>
          <w:rFonts w:ascii="Arial" w:cs="Arial" w:eastAsia="Arial" w:hAnsi="Arial"/>
          <w:sz w:val="22"/>
          <w:szCs w:val="22"/>
          <w:color w:val="auto"/>
        </w:rPr>
      </w:pPr>
    </w:p>
    <w:p>
      <w:pPr>
        <w:jc w:val="both"/>
        <w:ind w:left="660" w:firstLine="644"/>
        <w:spacing w:after="0" w:line="235" w:lineRule="auto"/>
        <w:tabs>
          <w:tab w:leader="none" w:pos="18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notice from the Required Lenders that </w:t>
      </w:r>
      <w:r>
        <w:rPr>
          <w:rFonts w:ascii="Arial" w:cs="Arial" w:eastAsia="Arial" w:hAnsi="Arial"/>
          <w:sz w:val="22"/>
          <w:szCs w:val="22"/>
          <w:color w:val="FF0000"/>
          <w:strike w:val="1"/>
        </w:rPr>
        <w:t>the Eurodollar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Adjusted Term SOFR</w:t>
      </w:r>
      <w:r>
        <w:rPr>
          <w:rFonts w:ascii="Arial" w:cs="Arial" w:eastAsia="Arial" w:hAnsi="Arial"/>
          <w:sz w:val="22"/>
          <w:szCs w:val="22"/>
          <w:color w:val="FF0000"/>
        </w:rPr>
        <w:t xml:space="preserve"> </w:t>
      </w:r>
      <w:r>
        <w:rPr>
          <w:rFonts w:ascii="Arial" w:cs="Arial" w:eastAsia="Arial" w:hAnsi="Arial"/>
          <w:sz w:val="22"/>
          <w:szCs w:val="22"/>
          <w:color w:val="000000"/>
        </w:rPr>
        <w:t>determined or to be determined for such Interest Period in good faith by such</w:t>
      </w:r>
      <w:r>
        <w:rPr>
          <w:rFonts w:ascii="Arial" w:cs="Arial" w:eastAsia="Arial" w:hAnsi="Arial"/>
          <w:sz w:val="22"/>
          <w:szCs w:val="22"/>
          <w:color w:val="FF0000"/>
        </w:rPr>
        <w:t xml:space="preserve"> </w:t>
      </w:r>
      <w:r>
        <w:rPr>
          <w:rFonts w:ascii="Arial" w:cs="Arial" w:eastAsia="Arial" w:hAnsi="Arial"/>
          <w:sz w:val="22"/>
          <w:szCs w:val="22"/>
          <w:color w:val="000000"/>
        </w:rPr>
        <w:t>Required Lenders will not adequately and fairly reflect the cost to such Lenders (as conclusively certified by such Lenders) of making or maintaining their affected Loans during such Interest Period,</w:t>
      </w:r>
    </w:p>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Administrative Agent shall give telecopy or telephonic notice thereof to the Borrower and the relevant Lenders as soon as practicable thereafter. If such notice is given (x)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hereunder requested to be made on the first day of such Interest Period shall be made as Base Rate Loans, (y) any Loans hereunder that were to have been converted on the first day of such Interest Period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shall be continued as Base Rate Loans and (z) any outstanding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hereunder shall be converted, on the last day of the then-current Interest Period, to Base Rate Loans;</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hereunder shall be made or continued as such, nor shall the Borrower have the right to</w:t>
      </w:r>
      <w:r>
        <w:rPr>
          <w:rFonts w:ascii="Arial" w:cs="Arial" w:eastAsia="Arial" w:hAnsi="Arial"/>
          <w:sz w:val="22"/>
          <w:szCs w:val="22"/>
          <w:color w:val="FF0000"/>
        </w:rPr>
        <w:t xml:space="preserve"> </w:t>
      </w:r>
      <w:r>
        <w:rPr>
          <w:rFonts w:ascii="Arial" w:cs="Arial" w:eastAsia="Arial" w:hAnsi="Arial"/>
          <w:sz w:val="22"/>
          <w:szCs w:val="22"/>
          <w:color w:val="000000"/>
        </w:rPr>
        <w:t xml:space="preserve">convert Loans hereunder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Loans.</w:t>
      </w:r>
    </w:p>
    <w:p>
      <w:pPr>
        <w:spacing w:after="0" w:line="184" w:lineRule="exact"/>
        <w:rPr>
          <w:sz w:val="20"/>
          <w:szCs w:val="20"/>
          <w:color w:val="auto"/>
        </w:rPr>
      </w:pPr>
    </w:p>
    <w:p>
      <w:pPr>
        <w:jc w:val="both"/>
        <w:ind w:firstLine="656"/>
        <w:spacing w:after="0" w:line="231" w:lineRule="auto"/>
        <w:tabs>
          <w:tab w:leader="none" w:pos="1412"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Notwithstanding anything to the contrary herein or in any other Loan Document, if a Benchmark Transition Event </w:t>
      </w:r>
      <w:r>
        <w:rPr>
          <w:rFonts w:ascii="Arial" w:cs="Arial" w:eastAsia="Arial" w:hAnsi="Arial"/>
          <w:sz w:val="22"/>
          <w:szCs w:val="22"/>
          <w:color w:val="FF0000"/>
          <w:strike w:val="1"/>
        </w:rPr>
        <w:t>or an Early Opt-in Election, as applicable,</w:t>
      </w:r>
      <w:r>
        <w:rPr>
          <w:rFonts w:ascii="Arial" w:cs="Arial" w:eastAsia="Arial" w:hAnsi="Arial"/>
          <w:sz w:val="22"/>
          <w:szCs w:val="22"/>
          <w:color w:val="auto"/>
        </w:rPr>
        <w:t xml:space="preserve"> and its related Benchmark Replacement Date have occurred prior to the Reference Time in respect of any setting of the then-current Benchmark, then (x) if a Benchmark Replacement is determined in accordance with clause (1) </w:t>
      </w:r>
      <w:r>
        <w:rPr>
          <w:rFonts w:ascii="Arial" w:cs="Arial" w:eastAsia="Arial" w:hAnsi="Arial"/>
          <w:sz w:val="22"/>
          <w:szCs w:val="22"/>
          <w:color w:val="FF0000"/>
          <w:strike w:val="1"/>
        </w:rPr>
        <w:t>or (2)</w:t>
      </w:r>
      <w:r>
        <w:rPr>
          <w:rFonts w:ascii="Arial" w:cs="Arial" w:eastAsia="Arial" w:hAnsi="Arial"/>
          <w:sz w:val="22"/>
          <w:szCs w:val="22"/>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ectPr>
          <w:pgSz w:w="11900" w:h="16838" w:orient="portrait"/>
          <w:cols w:equalWidth="0" w:num="1">
            <w:col w:w="11240"/>
          </w:cols>
          <w:pgMar w:left="320" w:top="1413" w:right="339" w:bottom="1440" w:gutter="0" w:footer="0" w:header="0"/>
        </w:sectPr>
      </w:pPr>
    </w:p>
    <w:bookmarkStart w:id="127" w:name="page128"/>
    <w:bookmarkEnd w:id="127"/>
    <w:p>
      <w:pPr>
        <w:jc w:val="both"/>
        <w:ind w:left="-8" w:firstLine="656"/>
        <w:spacing w:after="0" w:line="236" w:lineRule="auto"/>
        <w:tabs>
          <w:tab w:leader="none" w:pos="1201"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22"/>
          <w:szCs w:val="22"/>
          <w:color w:val="auto"/>
        </w:rPr>
      </w:pPr>
    </w:p>
    <w:p>
      <w:pPr>
        <w:jc w:val="both"/>
        <w:ind w:left="-8" w:firstLine="656"/>
        <w:spacing w:after="0" w:line="231" w:lineRule="auto"/>
        <w:tabs>
          <w:tab w:leader="none" w:pos="122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Notices; Standards for Decisions and Determinations</w:t>
      </w:r>
      <w:r>
        <w:rPr>
          <w:rFonts w:ascii="Arial" w:cs="Arial" w:eastAsia="Arial" w:hAnsi="Arial"/>
          <w:sz w:val="22"/>
          <w:szCs w:val="22"/>
          <w:color w:val="auto"/>
        </w:rPr>
        <w:t xml:space="preserve">. The Administrative Agent will promptly notify the Borrower and the Lenders of (i) any occurrence of a Benchmark Transition Event </w:t>
      </w:r>
      <w:r>
        <w:rPr>
          <w:rFonts w:ascii="Arial" w:cs="Arial" w:eastAsia="Arial" w:hAnsi="Arial"/>
          <w:sz w:val="22"/>
          <w:szCs w:val="22"/>
          <w:color w:val="FF0000"/>
          <w:strike w:val="1"/>
        </w:rPr>
        <w:t>or an Early Opt-in Election, as</w:t>
      </w:r>
      <w:r>
        <w:rPr>
          <w:rFonts w:ascii="Arial" w:cs="Arial" w:eastAsia="Arial" w:hAnsi="Arial"/>
          <w:sz w:val="22"/>
          <w:szCs w:val="22"/>
          <w:color w:val="auto"/>
        </w:rPr>
        <w:t xml:space="preserve"> </w:t>
      </w:r>
      <w:r>
        <w:rPr>
          <w:rFonts w:ascii="Arial" w:cs="Arial" w:eastAsia="Arial" w:hAnsi="Arial"/>
          <w:sz w:val="22"/>
          <w:szCs w:val="22"/>
          <w:color w:val="FF0000"/>
          <w:strike w:val="1"/>
        </w:rPr>
        <w:t>applicable,</w:t>
      </w:r>
      <w:r>
        <w:rPr>
          <w:rFonts w:ascii="Arial" w:cs="Arial" w:eastAsia="Arial" w:hAnsi="Arial"/>
          <w:sz w:val="22"/>
          <w:szCs w:val="22"/>
          <w:color w:val="FF0000"/>
        </w:rPr>
        <w:t xml:space="preserve"> </w:t>
      </w:r>
      <w:r>
        <w:rPr>
          <w:rFonts w:ascii="Arial" w:cs="Arial" w:eastAsia="Arial" w:hAnsi="Arial"/>
          <w:sz w:val="22"/>
          <w:szCs w:val="22"/>
          <w:color w:val="000000"/>
        </w:rPr>
        <w:t>and its related Benchmark Replacement Date, (ii) the implementation of any Benchmark Replacement,</w:t>
      </w:r>
    </w:p>
    <w:p>
      <w:pPr>
        <w:spacing w:after="0" w:line="1" w:lineRule="exact"/>
        <w:rPr>
          <w:rFonts w:ascii="Arial" w:cs="Arial" w:eastAsia="Arial" w:hAnsi="Arial"/>
          <w:sz w:val="22"/>
          <w:szCs w:val="22"/>
          <w:color w:val="auto"/>
        </w:rPr>
      </w:pPr>
    </w:p>
    <w:p>
      <w:pPr>
        <w:jc w:val="both"/>
        <w:ind w:left="-8" w:firstLine="8"/>
        <w:spacing w:after="0" w:line="232" w:lineRule="auto"/>
        <w:tabs>
          <w:tab w:leader="none" w:pos="35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72" w:lineRule="exact"/>
        <w:rPr>
          <w:rFonts w:ascii="Arial" w:cs="Arial" w:eastAsia="Arial" w:hAnsi="Arial"/>
          <w:sz w:val="22"/>
          <w:szCs w:val="22"/>
          <w:color w:val="auto"/>
        </w:rPr>
      </w:pPr>
    </w:p>
    <w:p>
      <w:pPr>
        <w:jc w:val="both"/>
        <w:ind w:left="-8" w:firstLine="656"/>
        <w:spacing w:after="0" w:line="243" w:lineRule="auto"/>
        <w:tabs>
          <w:tab w:leader="none" w:pos="1256"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Unavailability of Tenor of Benchmark</w:t>
      </w:r>
      <w:r>
        <w:rPr>
          <w:rFonts w:ascii="Arial" w:cs="Arial" w:eastAsia="Arial" w:hAnsi="Arial"/>
          <w:sz w:val="21"/>
          <w:szCs w:val="21"/>
          <w:color w:val="auto"/>
        </w:rPr>
        <w:t xml:space="preserve">. Notwithstanding anything to the contrary herein or in any other Loan Document, at any time (including in connection with the implementation of a Benchmark Replacement), (i) if the then-current Benchmark is a term rate (including Term SOFR </w:t>
      </w:r>
      <w:r>
        <w:rPr>
          <w:rFonts w:ascii="Arial" w:cs="Arial" w:eastAsia="Arial" w:hAnsi="Arial"/>
          <w:sz w:val="21"/>
          <w:szCs w:val="21"/>
          <w:color w:val="FF0000"/>
        </w:rPr>
        <w:t>or LIBOR</w:t>
      </w:r>
      <w:r>
        <w:rPr>
          <w:rFonts w:ascii="Arial" w:cs="Arial" w:eastAsia="Arial" w:hAnsi="Arial"/>
          <w:sz w:val="21"/>
          <w:szCs w:val="21"/>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3" w:lineRule="exact"/>
        <w:rPr>
          <w:rFonts w:ascii="Arial" w:cs="Arial" w:eastAsia="Arial" w:hAnsi="Arial"/>
          <w:sz w:val="21"/>
          <w:szCs w:val="21"/>
          <w:color w:val="auto"/>
        </w:rPr>
      </w:pPr>
    </w:p>
    <w:p>
      <w:pPr>
        <w:jc w:val="both"/>
        <w:ind w:left="-8" w:firstLine="8"/>
        <w:spacing w:after="0" w:line="231" w:lineRule="auto"/>
        <w:tabs>
          <w:tab w:leader="none" w:pos="326" w:val="left"/>
        </w:tabs>
        <w:numPr>
          <w:ilvl w:val="0"/>
          <w:numId w:val="86"/>
        </w:numPr>
        <w:rPr>
          <w:rFonts w:ascii="Arial" w:cs="Arial" w:eastAsia="Arial" w:hAnsi="Arial"/>
          <w:sz w:val="22"/>
          <w:szCs w:val="22"/>
          <w:color w:val="auto"/>
        </w:rPr>
      </w:pPr>
      <w:r>
        <w:rPr>
          <w:rFonts w:ascii="Arial" w:cs="Arial" w:eastAsia="Arial" w:hAnsi="Arial"/>
          <w:sz w:val="22"/>
          <w:szCs w:val="22"/>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4" w:lineRule="exact"/>
        <w:rPr>
          <w:rFonts w:ascii="Arial" w:cs="Arial" w:eastAsia="Arial" w:hAnsi="Arial"/>
          <w:sz w:val="22"/>
          <w:szCs w:val="22"/>
          <w:color w:val="auto"/>
        </w:rPr>
      </w:pPr>
    </w:p>
    <w:p>
      <w:pPr>
        <w:jc w:val="both"/>
        <w:ind w:left="-8" w:firstLine="656"/>
        <w:spacing w:after="0" w:line="238" w:lineRule="auto"/>
        <w:tabs>
          <w:tab w:leader="none" w:pos="1257"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Upon the Borrower’s receipt of notice of the commencement of a Benchmark Unavailability Period, the Borrower may revoke any request for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of, conversion to or continuation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to be made, converted or continued during any Benchmark Unavailability Period and, failing that, the Borrower will be deemed to have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-2371090</wp:posOffset>
            </wp:positionV>
            <wp:extent cx="614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14680" cy="825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128" w:name="page129"/>
    <w:bookmarkEnd w:id="128"/>
    <w:p>
      <w:pPr>
        <w:jc w:val="both"/>
        <w:spacing w:after="0" w:line="238" w:lineRule="auto"/>
        <w:rPr>
          <w:sz w:val="20"/>
          <w:szCs w:val="20"/>
          <w:color w:val="auto"/>
        </w:rPr>
      </w:pPr>
      <w:r>
        <w:rPr>
          <w:rFonts w:ascii="Arial" w:cs="Arial" w:eastAsia="Arial" w:hAnsi="Arial"/>
          <w:sz w:val="22"/>
          <w:szCs w:val="22"/>
          <w:color w:val="auto"/>
        </w:rPr>
        <w:t>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The Administrative Agent does not warrant or accept any responsibility for, and shall not have any liability in respect of (a) the monitoring, determination or verification of the unavailability or cessation of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(or other applicable Benchmark), (b) the administration of, submission of or any other matter related to the reference rate or any spread adjustment, any component definition thereof or rates referenced in the definition thereof or any alternative, comparable or successor rate or adjustment thereto (including any then-current Benchmark, any Benchmark Replacement or any Benchmark Replacement Adjustment), including whether the composition or characteristics of any such alternative, comparable or successor rate or adjustment (including any Benchmark Replacement or any Benchmark Replacement Adjustment) will be similar to, or produce the same value of economic equivalence of, reference rate, any other Benchmark or any Benchmark Replacement Adjustment, or (b) the effect, implementation or composition of any Benchmark Replacement Conforming Changes.</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u w:val="single" w:color="auto"/>
          <w:color w:val="auto"/>
        </w:rPr>
        <w:t>Prepayment of Loans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0" w:lineRule="auto"/>
        <w:tabs>
          <w:tab w:leader="none" w:pos="1193"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Subject to the provisos below, the Borrower may at any time and from time to time prepay the Loans, in whole or in part, without premium or penalty, upon irrevocable notice, which shall be in substantially the firm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delivered to the Administrative Agent prior to 10:00 A.M., New York City time</w:t>
      </w:r>
      <w:r>
        <w:rPr>
          <w:rFonts w:ascii="Arial" w:cs="Arial" w:eastAsia="Arial" w:hAnsi="Arial"/>
          <w:sz w:val="22"/>
          <w:szCs w:val="22"/>
          <w:u w:val="single" w:color="auto"/>
          <w:color w:val="0000FF"/>
        </w:rPr>
        <w:t>,</w:t>
      </w:r>
      <w:r>
        <w:rPr>
          <w:rFonts w:ascii="Arial" w:cs="Arial" w:eastAsia="Arial" w:hAnsi="Arial"/>
          <w:sz w:val="22"/>
          <w:szCs w:val="22"/>
          <w:color w:val="auto"/>
        </w:rPr>
        <w:t xml:space="preserve"> on the same Business Day, which notice shall specify the date and amount of prepayment and whether the prepayment is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or Base Rate Loans;</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FF0000"/>
        </w:rPr>
        <w:t xml:space="preserve"> </w:t>
      </w:r>
      <w:r>
        <w:rPr>
          <w:rFonts w:ascii="Arial" w:cs="Arial" w:eastAsia="Arial" w:hAnsi="Arial"/>
          <w:sz w:val="22"/>
          <w:szCs w:val="22"/>
          <w:color w:val="000000"/>
        </w:rPr>
        <w:t>that if a</w:t>
      </w:r>
      <w:r>
        <w:rPr>
          <w:rFonts w:ascii="Arial" w:cs="Arial" w:eastAsia="Arial" w:hAnsi="Arial"/>
          <w:sz w:val="22"/>
          <w:szCs w:val="22"/>
          <w:color w:val="FF0000"/>
        </w:rPr>
        <w:t xml:space="preserv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 is prepaid on any day other</w:t>
      </w:r>
      <w:r>
        <w:rPr>
          <w:rFonts w:ascii="Arial" w:cs="Arial" w:eastAsia="Arial" w:hAnsi="Arial"/>
          <w:sz w:val="22"/>
          <w:szCs w:val="22"/>
          <w:color w:val="FF0000"/>
        </w:rPr>
        <w:t xml:space="preserve"> </w:t>
      </w:r>
      <w:r>
        <w:rPr>
          <w:rFonts w:ascii="Arial" w:cs="Arial" w:eastAsia="Arial" w:hAnsi="Arial"/>
          <w:sz w:val="22"/>
          <w:szCs w:val="22"/>
          <w:color w:val="000000"/>
        </w:rPr>
        <w:t xml:space="preserve">than the last day of the Interest Period applicable thereto, the Borrower shall also pay any amounts owing pursuant to </w:t>
      </w:r>
      <w:r>
        <w:rPr>
          <w:rFonts w:ascii="Arial" w:cs="Arial" w:eastAsia="Arial" w:hAnsi="Arial"/>
          <w:sz w:val="22"/>
          <w:szCs w:val="22"/>
          <w:u w:val="single" w:color="auto"/>
          <w:color w:val="000000"/>
        </w:rPr>
        <w:t>Section 2.17</w:t>
      </w:r>
      <w:r>
        <w:rPr>
          <w:rFonts w:ascii="Arial" w:cs="Arial" w:eastAsia="Arial" w:hAnsi="Arial"/>
          <w:sz w:val="22"/>
          <w:szCs w:val="22"/>
          <w:color w:val="000000"/>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Loans maintained as Base Rate Loans) accrued interest to such date on the amount prepaid. Partial prepayments shall be in an aggregate principal amount of $1,000,000 or a whole multiple of $1,000,000 in excess thereof (or, if less, the then outstanding principal amount of Loans). The application of any prepayment pursuant to this </w:t>
      </w:r>
      <w:r>
        <w:rPr>
          <w:rFonts w:ascii="Arial" w:cs="Arial" w:eastAsia="Arial" w:hAnsi="Arial"/>
          <w:sz w:val="22"/>
          <w:szCs w:val="22"/>
          <w:u w:val="single" w:color="auto"/>
          <w:color w:val="000000"/>
        </w:rPr>
        <w:t>Section 2.11(a)</w:t>
      </w:r>
      <w:r>
        <w:rPr>
          <w:rFonts w:ascii="Arial" w:cs="Arial" w:eastAsia="Arial" w:hAnsi="Arial"/>
          <w:sz w:val="22"/>
          <w:szCs w:val="22"/>
          <w:color w:val="000000"/>
        </w:rPr>
        <w:t xml:space="preserve"> shall be made, first, to Base Rate Loans of the respective Lenders (and of the respective tranche, if there are multiple tranches) and, second,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Loans of the respective Lenders (and of the respective tranche, if there are multiple tranches). A notice of prepayment of all outstanding Loans pursuant to this </w:t>
      </w:r>
      <w:r>
        <w:rPr>
          <w:rFonts w:ascii="Arial" w:cs="Arial" w:eastAsia="Arial" w:hAnsi="Arial"/>
          <w:sz w:val="22"/>
          <w:szCs w:val="22"/>
          <w:u w:val="single" w:color="auto"/>
          <w:color w:val="000000"/>
        </w:rPr>
        <w:t>Section 2.11(a)</w:t>
      </w:r>
      <w:r>
        <w:rPr>
          <w:rFonts w:ascii="Arial" w:cs="Arial" w:eastAsia="Arial" w:hAnsi="Arial"/>
          <w:sz w:val="22"/>
          <w:szCs w:val="22"/>
          <w:color w:val="000000"/>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ectPr>
          <w:pgSz w:w="11900" w:h="16838" w:orient="portrait"/>
          <w:cols w:equalWidth="0" w:num="1">
            <w:col w:w="11240"/>
          </w:cols>
          <w:pgMar w:left="320" w:top="1413" w:right="339" w:bottom="1440" w:gutter="0" w:footer="0" w:header="0"/>
        </w:sectPr>
      </w:pPr>
    </w:p>
    <w:bookmarkStart w:id="129" w:name="page130"/>
    <w:bookmarkEnd w:id="129"/>
    <w:p>
      <w:pPr>
        <w:ind w:left="660"/>
        <w:spacing w:after="0"/>
        <w:tabs>
          <w:tab w:leader="none" w:pos="13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u w:val="single" w:color="auto"/>
          <w:color w:val="auto"/>
        </w:rPr>
        <w:t>Conversion and Continuation Options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7" w:lineRule="auto"/>
        <w:tabs>
          <w:tab w:leader="none" w:pos="1266"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The Borrower may elect from time to time to convert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to Base Rate Loans by giving the Administrative Agent prior irrevocable notice, in substantially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of such election no later than 12:00 Noon, New York City time, on the Business Day preceding the proposed conversion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conversion of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may only be made on the last day of an Interest Period with respect thereto. The Borrower may elect from time to time to convert Base Rate Loans to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by giving the Administrative Agent prior irrevocable notice of such election no later than 12:00 Noon, New York City time, on the third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Business Day preceding the proposed conversion date (which notice shall specify the length of the initial Interest Period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Base Rate Loan may be converted into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84" w:lineRule="exact"/>
        <w:rPr>
          <w:rFonts w:ascii="Arial" w:cs="Arial" w:eastAsia="Arial" w:hAnsi="Arial"/>
          <w:sz w:val="21"/>
          <w:szCs w:val="21"/>
          <w:color w:val="auto"/>
        </w:rPr>
      </w:pPr>
    </w:p>
    <w:p>
      <w:pPr>
        <w:jc w:val="both"/>
        <w:ind w:firstLine="656"/>
        <w:spacing w:after="0" w:line="237" w:lineRule="auto"/>
        <w:tabs>
          <w:tab w:leader="none" w:pos="1249"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Any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may be continued as such upon the expiration of the then current Interest Period with respect thereto by the Borrower giving irrevocable notice no later than 12:00 Noon, New York City time, on the third (3</w:t>
      </w:r>
      <w:r>
        <w:rPr>
          <w:rFonts w:ascii="Arial" w:cs="Arial" w:eastAsia="Arial" w:hAnsi="Arial"/>
          <w:sz w:val="27"/>
          <w:szCs w:val="27"/>
          <w:color w:val="auto"/>
          <w:vertAlign w:val="superscript"/>
        </w:rPr>
        <w:t>rd</w:t>
      </w:r>
      <w:r>
        <w:rPr>
          <w:rFonts w:ascii="Arial" w:cs="Arial" w:eastAsia="Arial" w:hAnsi="Arial"/>
          <w:sz w:val="21"/>
          <w:szCs w:val="21"/>
          <w:color w:val="auto"/>
        </w:rPr>
        <w:t xml:space="preserve">) </w:t>
      </w:r>
      <w:r>
        <w:rPr>
          <w:rFonts w:ascii="Arial" w:cs="Arial" w:eastAsia="Arial" w:hAnsi="Arial"/>
          <w:sz w:val="21"/>
          <w:szCs w:val="21"/>
          <w:u w:val="single" w:color="auto"/>
          <w:color w:val="0000FF"/>
        </w:rPr>
        <w:t>U</w:t>
      </w:r>
      <w:r>
        <w:rPr>
          <w:rFonts w:ascii="Arial" w:cs="Arial" w:eastAsia="Arial" w:hAnsi="Arial"/>
          <w:sz w:val="21"/>
          <w:szCs w:val="21"/>
          <w:color w:val="auto"/>
        </w:rPr>
        <w:t xml:space="preserve"> Business Day preceding the proposed continuation date to the Administrative Agent, in substantially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 accordance with the applicable provisions of the term “Interest Period”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length of the next Interest Period to be applicable to such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if the Borrower shall fail to give any required notice as described above in this paragraph or if such continuation is not permitted pursuant to the preceding proviso such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shall be automatically converted to Base Rate Loans on the last day of such then expiring Interest Period. Upon receipt of any such notice, the Administrative Agent shall promptly notify each relevant Lender thereof.</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2.13. Limitations on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Tranches. Notwithstanding anything to the contrary in this Agreement, all borrowings, conversions and continuations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and all selections of Interest Periods shall be in such amounts and be made pursuant to such elections so that no more than ten different Interest Periods for any Class of Loans be outstanding at any one time (unless a greater number of Interest Periods is permitted by the Administrative Agent).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Pro Rata Treatment, etc.</w:t>
      </w:r>
    </w:p>
    <w:p>
      <w:pPr>
        <w:spacing w:after="0" w:line="206" w:lineRule="exact"/>
        <w:rPr>
          <w:sz w:val="20"/>
          <w:szCs w:val="20"/>
          <w:color w:val="auto"/>
        </w:rPr>
      </w:pPr>
    </w:p>
    <w:p>
      <w:pPr>
        <w:ind w:firstLine="656"/>
        <w:spacing w:after="0" w:line="251" w:lineRule="auto"/>
        <w:tabs>
          <w:tab w:leader="none" w:pos="1207"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(including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each borrowing by the Borrower from the Lenders hereunder shall be made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according to their Revolving Loan Percentages.</w:t>
      </w:r>
    </w:p>
    <w:p>
      <w:pPr>
        <w:spacing w:after="0" w:line="172" w:lineRule="exact"/>
        <w:rPr>
          <w:rFonts w:ascii="Arial" w:cs="Arial" w:eastAsia="Arial" w:hAnsi="Arial"/>
          <w:sz w:val="22"/>
          <w:szCs w:val="22"/>
          <w:color w:val="auto"/>
        </w:rPr>
      </w:pPr>
    </w:p>
    <w:p>
      <w:pPr>
        <w:ind w:firstLine="656"/>
        <w:spacing w:after="0" w:line="251" w:lineRule="auto"/>
        <w:tabs>
          <w:tab w:leader="none" w:pos="11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(including </w:t>
      </w:r>
      <w:r>
        <w:rPr>
          <w:rFonts w:ascii="Arial" w:cs="Arial" w:eastAsia="Arial" w:hAnsi="Arial"/>
          <w:sz w:val="22"/>
          <w:szCs w:val="22"/>
          <w:u w:val="single" w:color="auto"/>
          <w:color w:val="auto"/>
        </w:rPr>
        <w:t>Section 2.23</w:t>
      </w:r>
      <w:r>
        <w:rPr>
          <w:rFonts w:ascii="Arial" w:cs="Arial" w:eastAsia="Arial" w:hAnsi="Arial"/>
          <w:sz w:val="22"/>
          <w:szCs w:val="22"/>
          <w:color w:val="auto"/>
        </w:rPr>
        <w:t>), each payment (including each prepayment) by the Borrower on account of principal or</w:t>
      </w:r>
    </w:p>
    <w:p>
      <w:pPr>
        <w:sectPr>
          <w:pgSz w:w="11900" w:h="16838" w:orient="portrait"/>
          <w:cols w:equalWidth="0" w:num="1">
            <w:col w:w="11240"/>
          </w:cols>
          <w:pgMar w:left="320" w:top="1413" w:right="339" w:bottom="1440" w:gutter="0" w:footer="0" w:header="0"/>
        </w:sectPr>
      </w:pPr>
    </w:p>
    <w:bookmarkStart w:id="130" w:name="page131"/>
    <w:bookmarkEnd w:id="130"/>
    <w:p>
      <w:pPr>
        <w:spacing w:after="0" w:line="251" w:lineRule="auto"/>
        <w:rPr>
          <w:sz w:val="20"/>
          <w:szCs w:val="20"/>
          <w:color w:val="auto"/>
        </w:rPr>
      </w:pPr>
      <w:r>
        <w:rPr>
          <w:rFonts w:ascii="Arial" w:cs="Arial" w:eastAsia="Arial" w:hAnsi="Arial"/>
          <w:sz w:val="22"/>
          <w:szCs w:val="22"/>
          <w:color w:val="auto"/>
        </w:rPr>
        <w:t xml:space="preserve">interest on each Class of Loans shall be made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according to the respective outstanding principal amounts of such Class of Loans then held by the applicable Lenders.</w:t>
      </w:r>
    </w:p>
    <w:p>
      <w:pPr>
        <w:spacing w:after="0" w:line="173" w:lineRule="exact"/>
        <w:rPr>
          <w:sz w:val="20"/>
          <w:szCs w:val="20"/>
          <w:color w:val="auto"/>
        </w:rPr>
      </w:pPr>
    </w:p>
    <w:p>
      <w:pPr>
        <w:jc w:val="both"/>
        <w:ind w:firstLine="656"/>
        <w:spacing w:after="0" w:line="233" w:lineRule="auto"/>
        <w:tabs>
          <w:tab w:leader="none" w:pos="1221"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Loan hereunder shall accrue from and including the date of such Loan to but excluding the date on which such Loan is paid in full.</w:t>
      </w:r>
    </w:p>
    <w:p>
      <w:pPr>
        <w:spacing w:after="0" w:line="184" w:lineRule="exact"/>
        <w:rPr>
          <w:rFonts w:ascii="Arial" w:cs="Arial" w:eastAsia="Arial" w:hAnsi="Arial"/>
          <w:sz w:val="22"/>
          <w:szCs w:val="22"/>
          <w:color w:val="auto"/>
        </w:rPr>
      </w:pPr>
    </w:p>
    <w:p>
      <w:pPr>
        <w:jc w:val="both"/>
        <w:ind w:firstLine="656"/>
        <w:spacing w:after="0" w:line="232" w:lineRule="auto"/>
        <w:tabs>
          <w:tab w:leader="none" w:pos="1229"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87" w:lineRule="exact"/>
        <w:rPr>
          <w:rFonts w:ascii="Arial" w:cs="Arial" w:eastAsia="Arial" w:hAnsi="Arial"/>
          <w:sz w:val="22"/>
          <w:szCs w:val="22"/>
          <w:color w:val="auto"/>
        </w:rPr>
      </w:pPr>
    </w:p>
    <w:p>
      <w:pPr>
        <w:jc w:val="both"/>
        <w:ind w:firstLine="656"/>
        <w:spacing w:after="0" w:line="234" w:lineRule="auto"/>
        <w:tabs>
          <w:tab w:leader="none" w:pos="1209"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elsewhere in this Agreement, the Borrower may extend the final maturity of Loans in connection with an Extension that is permitted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2.23</w:t>
      </w:r>
      <w:r>
        <w:rPr>
          <w:rFonts w:ascii="Arial" w:cs="Arial" w:eastAsia="Arial" w:hAnsi="Arial"/>
          <w:sz w:val="22"/>
          <w:szCs w:val="22"/>
          <w:color w:val="auto"/>
        </w:rPr>
        <w:t xml:space="preserve"> without being obligated to effect such extensions on a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basis among the Lenders. Furthermore, the Borrower may take all actions contemplated by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in connection with any Extension (including modifying pricing and repayments or prepayments), and in each case such actions shall be permitted, and the differing payments contemplated therein shall be permitted without giving rise to any violation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or any other provision of this Agreement.</w:t>
      </w:r>
    </w:p>
    <w:p>
      <w:pPr>
        <w:spacing w:after="0" w:line="1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1"/>
          <w:szCs w:val="21"/>
          <w:u w:val="single" w:color="auto"/>
          <w:color w:val="auto"/>
        </w:rPr>
        <w:t>Requirements of Law</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35" w:lineRule="auto"/>
        <w:tabs>
          <w:tab w:leader="none" w:pos="1184"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the adoption of or any change in any Requirement of Law or in the interpretation or application thereof or compliance by any Lender or Issuing Bank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w:t>
      </w:r>
    </w:p>
    <w:p>
      <w:pPr>
        <w:sectPr>
          <w:pgSz w:w="11900" w:h="16838" w:orient="portrait"/>
          <w:cols w:equalWidth="0" w:num="1">
            <w:col w:w="11240"/>
          </w:cols>
          <w:pgMar w:left="320" w:top="1413" w:right="339" w:bottom="1440" w:gutter="0" w:footer="0" w:header="0"/>
        </w:sectPr>
      </w:pPr>
    </w:p>
    <w:bookmarkStart w:id="131" w:name="page132"/>
    <w:bookmarkEnd w:id="131"/>
    <w:p>
      <w:pPr>
        <w:jc w:val="both"/>
        <w:spacing w:after="0" w:line="241" w:lineRule="auto"/>
        <w:rPr>
          <w:sz w:val="20"/>
          <w:szCs w:val="20"/>
          <w:color w:val="auto"/>
        </w:rPr>
      </w:pPr>
      <w:r>
        <w:rPr>
          <w:rFonts w:ascii="Arial" w:cs="Arial" w:eastAsia="Arial" w:hAnsi="Arial"/>
          <w:sz w:val="22"/>
          <w:szCs w:val="22"/>
          <w:color w:val="auto"/>
        </w:rPr>
        <w:t>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83" w:lineRule="exact"/>
        <w:rPr>
          <w:sz w:val="20"/>
          <w:szCs w:val="20"/>
          <w:color w:val="auto"/>
        </w:rPr>
      </w:pPr>
    </w:p>
    <w:p>
      <w:pPr>
        <w:jc w:val="both"/>
        <w:ind w:left="660" w:firstLine="644"/>
        <w:spacing w:after="0" w:line="241" w:lineRule="auto"/>
        <w:tabs>
          <w:tab w:leader="none" w:pos="1959"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shall subject the Administrative Agent, any Lender or Issuing Bank to any Tax of any kind whatsoever with respect to this Agreement or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made by it (except for Non-Excluded Taxes or Other Taxes covered by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and any Excluded Taxes);</w:t>
      </w:r>
    </w:p>
    <w:p>
      <w:pPr>
        <w:spacing w:after="0" w:line="169" w:lineRule="exact"/>
        <w:rPr>
          <w:rFonts w:ascii="Arial" w:cs="Arial" w:eastAsia="Arial" w:hAnsi="Arial"/>
          <w:sz w:val="22"/>
          <w:szCs w:val="22"/>
          <w:color w:val="auto"/>
        </w:rPr>
      </w:pPr>
    </w:p>
    <w:p>
      <w:pPr>
        <w:jc w:val="both"/>
        <w:ind w:left="660" w:firstLine="644"/>
        <w:spacing w:after="0" w:line="238" w:lineRule="auto"/>
        <w:tabs>
          <w:tab w:leader="none" w:pos="1877"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Bank that is not otherwise included in the determination of the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Rate; or</w:t>
      </w:r>
    </w:p>
    <w:p>
      <w:pPr>
        <w:spacing w:after="0" w:line="184" w:lineRule="exact"/>
        <w:rPr>
          <w:rFonts w:ascii="Arial" w:cs="Arial" w:eastAsia="Arial" w:hAnsi="Arial"/>
          <w:sz w:val="22"/>
          <w:szCs w:val="22"/>
          <w:color w:val="auto"/>
        </w:rPr>
      </w:pPr>
    </w:p>
    <w:p>
      <w:pPr>
        <w:jc w:val="both"/>
        <w:ind w:left="660" w:firstLine="644"/>
        <w:spacing w:after="0" w:line="238" w:lineRule="auto"/>
        <w:tabs>
          <w:tab w:leader="none" w:pos="1878" w:val="left"/>
        </w:tabs>
        <w:numPr>
          <w:ilvl w:val="0"/>
          <w:numId w:val="92"/>
        </w:numPr>
        <w:rPr>
          <w:rFonts w:ascii="Arial" w:cs="Arial" w:eastAsia="Arial" w:hAnsi="Arial"/>
          <w:sz w:val="22"/>
          <w:szCs w:val="22"/>
          <w:color w:val="auto"/>
        </w:rPr>
      </w:pPr>
      <w:r>
        <w:rPr>
          <w:rFonts w:ascii="Arial" w:cs="Arial" w:eastAsia="Arial" w:hAnsi="Arial"/>
          <w:sz w:val="22"/>
          <w:szCs w:val="22"/>
          <w:color w:val="auto"/>
        </w:rPr>
        <w:t>shall impose on any such Lender or Issuing Bank or the London interbank market (by reasons of such Lender or Issuing Bank’s participation in the London interbank market) any other condition, cost or expense (other than Taxes) affecting this Agreement or Loans made by such Lender or any Documentary Credit or participation therein;</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and the result of any of the foregoing is to increase the cost to such Lender or Issuing Bank, by an amount that such Lender or Issuing Bank deems to be material, of making, converting into, continuing or maintaining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or any Documentary Credit, or to reduce any amount receivable hereunder in respect thereof, then, in any such case, the Borrower shall promptly pay such Lender or Issuing Bank, upon its demand, any additional amounts necessary to compensate such Lender or Issuing Bank for such increased cost or reduced amount receivable. If any Lender or Issuing Bank becomes entitled to claim any additional amounts pursuant to this paragraph, it shall promptly notify the Borrower (with a copy to the Administrative Agent) of the event by reason of which it has become so entitled.</w:t>
      </w:r>
    </w:p>
    <w:p>
      <w:pPr>
        <w:spacing w:after="0" w:line="190" w:lineRule="exact"/>
        <w:rPr>
          <w:sz w:val="20"/>
          <w:szCs w:val="20"/>
          <w:color w:val="auto"/>
        </w:rPr>
      </w:pPr>
    </w:p>
    <w:p>
      <w:pPr>
        <w:jc w:val="both"/>
        <w:ind w:firstLine="656"/>
        <w:spacing w:after="0" w:line="232" w:lineRule="auto"/>
        <w:tabs>
          <w:tab w:leader="none" w:pos="1366" w:val="left"/>
        </w:tabs>
        <w:numPr>
          <w:ilvl w:val="0"/>
          <w:numId w:val="93"/>
        </w:numPr>
        <w:rPr>
          <w:rFonts w:ascii="Arial" w:cs="Arial" w:eastAsia="Arial" w:hAnsi="Arial"/>
          <w:sz w:val="22"/>
          <w:szCs w:val="22"/>
          <w:color w:val="auto"/>
        </w:rPr>
      </w:pPr>
      <w:r>
        <w:rPr>
          <w:rFonts w:ascii="Arial" w:cs="Arial" w:eastAsia="Arial" w:hAnsi="Arial"/>
          <w:sz w:val="22"/>
          <w:szCs w:val="22"/>
          <w:color w:val="auto"/>
        </w:rPr>
        <w:t>If any Lender or Issuing Bank shall have determined that the adoption of or any change in any Requirement of Law regarding capital adequacy or liquidity requirements or in the interpretation or application thereof or compliance by such Lender or Issuing Bank or any corporation controlling such Lender or Issuing Bank with any request or directive regarding capital adequacy or liquidity requirements (whether or not having the force of law) from any Governmental Authority made subsequent to the Closing Date shall have the effect of reducing the rate of return on such Lender’s, such Issuing Bank’s or such corporation’s capital as a consequence of its obligations hereunder to a level below that which such Lender, such Issuing Bank’s or such corporation could have achieved but for such adoption, change or compliance (taking into consideration such Lender’s, such Issuing Bank’s or such corporation’s policies with respect to capital adequacy or liquidity requirements) by an amount deemed by such Lender to be material, then from time to time, after submission by such Lender or Issuing Bank to the Borrower (with a copy to the Administrative Agent) of a written request therefor, the Borrower shall pay to such Lender or Issuing Bank such additional</w:t>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amount or amounts as will compensate such Lender, such Issuing Bank or such corporation for such reduction.</w:t>
      </w:r>
    </w:p>
    <w:p>
      <w:pPr>
        <w:spacing w:after="0" w:line="206" w:lineRule="exact"/>
        <w:rPr>
          <w:sz w:val="20"/>
          <w:szCs w:val="20"/>
          <w:color w:val="auto"/>
        </w:rPr>
      </w:pPr>
    </w:p>
    <w:p>
      <w:pPr>
        <w:jc w:val="both"/>
        <w:ind w:firstLine="656"/>
        <w:spacing w:after="0" w:line="232" w:lineRule="auto"/>
        <w:tabs>
          <w:tab w:leader="none" w:pos="1211" w:val="left"/>
        </w:tabs>
        <w:numPr>
          <w:ilvl w:val="0"/>
          <w:numId w:val="94"/>
        </w:numPr>
        <w:rPr>
          <w:rFonts w:ascii="Arial" w:cs="Arial" w:eastAsia="Arial" w:hAnsi="Arial"/>
          <w:sz w:val="22"/>
          <w:szCs w:val="22"/>
          <w:color w:val="auto"/>
        </w:rPr>
      </w:pPr>
      <w:r>
        <w:rPr>
          <w:rFonts w:ascii="Arial" w:cs="Arial" w:eastAsia="Arial" w:hAnsi="Arial"/>
          <w:sz w:val="22"/>
          <w:szCs w:val="22"/>
          <w:color w:val="auto"/>
        </w:rPr>
        <w:t xml:space="preserve">A certificate as to any additional amounts payable pursuant to this Section submitted by any Lender or Issuing Bank to the Borrower (with a copy to the Administrative Agent) shall be conclusive in the absence of manifest error. Notwithstanding anything to the contrary in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the Borrower shall not be required to compensate any Lender or Issuing Bank pursuant to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for any amounts incurred more than 180 days prior to the date that such Lender or Issuing Bank notifies the Borrower of such Lender’s or Issuing Bank’s intention to claim compensation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shall survive the termination of this Agreement and the payment of the Loans and all other amounts payable hereunder.</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color w:val="auto"/>
        </w:rPr>
        <w:t>Taxes.</w:t>
      </w:r>
    </w:p>
    <w:p>
      <w:pPr>
        <w:spacing w:after="0" w:line="206" w:lineRule="exact"/>
        <w:rPr>
          <w:sz w:val="20"/>
          <w:szCs w:val="20"/>
          <w:color w:val="auto"/>
        </w:rPr>
      </w:pPr>
    </w:p>
    <w:p>
      <w:pPr>
        <w:jc w:val="both"/>
        <w:ind w:firstLine="656"/>
        <w:spacing w:after="0" w:line="230" w:lineRule="auto"/>
        <w:tabs>
          <w:tab w:leader="none" w:pos="1214"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22"/>
          <w:szCs w:val="22"/>
          <w:u w:val="single" w:color="auto"/>
          <w:color w:val="auto"/>
        </w:rPr>
        <w:t>Section 2.16(a)</w:t>
      </w:r>
      <w:r>
        <w:rPr>
          <w:rFonts w:ascii="Arial" w:cs="Arial" w:eastAsia="Arial" w:hAnsi="Arial"/>
          <w:sz w:val="22"/>
          <w:szCs w:val="22"/>
          <w:color w:val="auto"/>
        </w:rPr>
        <w:t xml:space="preserve">; (iv) any withholding Tax that is attributable to the recipient’s failure to comply with </w:t>
      </w:r>
      <w:r>
        <w:rPr>
          <w:rFonts w:ascii="Arial" w:cs="Arial" w:eastAsia="Arial" w:hAnsi="Arial"/>
          <w:sz w:val="22"/>
          <w:szCs w:val="22"/>
          <w:u w:val="single" w:color="auto"/>
          <w:color w:val="auto"/>
        </w:rPr>
        <w:t>Section 2.16(e)</w:t>
      </w:r>
      <w:r>
        <w:rPr>
          <w:rFonts w:ascii="Arial" w:cs="Arial" w:eastAsia="Arial" w:hAnsi="Arial"/>
          <w:sz w:val="22"/>
          <w:szCs w:val="22"/>
          <w:color w:val="auto"/>
        </w:rPr>
        <w:t xml:space="preserve"> hereof; and (v) any withholding Taxes imposed pursuant to FATCA. If any such non-excluded Taxes (“</w:t>
      </w:r>
      <w:r>
        <w:rPr>
          <w:rFonts w:ascii="Arial" w:cs="Arial" w:eastAsia="Arial" w:hAnsi="Arial"/>
          <w:sz w:val="22"/>
          <w:szCs w:val="22"/>
          <w:u w:val="single" w:color="auto"/>
          <w:color w:val="auto"/>
        </w:rPr>
        <w:t>Non-Excluded Taxes</w:t>
      </w:r>
      <w:r>
        <w:rPr>
          <w:rFonts w:ascii="Arial" w:cs="Arial" w:eastAsia="Arial" w:hAnsi="Arial"/>
          <w:sz w:val="22"/>
          <w:szCs w:val="22"/>
          <w:color w:val="auto"/>
        </w:rPr>
        <w:t>”)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w:t>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35" w:lineRule="auto"/>
        <w:rPr>
          <w:sz w:val="20"/>
          <w:szCs w:val="20"/>
          <w:color w:val="auto"/>
        </w:rPr>
      </w:pPr>
      <w:r>
        <w:rPr>
          <w:rFonts w:ascii="Arial" w:cs="Arial" w:eastAsia="Arial" w:hAnsi="Arial"/>
          <w:sz w:val="22"/>
          <w:szCs w:val="22"/>
          <w:color w:val="auto"/>
        </w:rPr>
        <w:t xml:space="preserve">Taxes and Other Taxes (including deductions for Non-Excluded Taxes and Other Taxes applicable to additional sums payable under this </w:t>
      </w:r>
      <w:r>
        <w:rPr>
          <w:rFonts w:ascii="Arial" w:cs="Arial" w:eastAsia="Arial" w:hAnsi="Arial"/>
          <w:sz w:val="22"/>
          <w:szCs w:val="22"/>
          <w:u w:val="single" w:color="auto"/>
          <w:color w:val="auto"/>
        </w:rPr>
        <w:t>Section 2.16</w:t>
      </w:r>
      <w:r>
        <w:rPr>
          <w:rFonts w:ascii="Arial" w:cs="Arial" w:eastAsia="Arial" w:hAnsi="Arial"/>
          <w:sz w:val="22"/>
          <w:szCs w:val="22"/>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 (z) the applicable withholding agent shall timely pay the full amount deducted to the relevant Governmental Authority in accordance with applicable law.</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2.16(b)</w:t>
      </w:r>
      <w:r>
        <w:rPr>
          <w:rFonts w:ascii="Arial" w:cs="Arial" w:eastAsia="Arial" w:hAnsi="Arial"/>
          <w:sz w:val="22"/>
          <w:szCs w:val="22"/>
          <w:color w:val="auto"/>
        </w:rPr>
        <w:t xml:space="preserve">, unless the Administrative Agent or a Lender gives notice to the applicable Loan Party that such Loan Party is obligated to pay an amount under </w:t>
      </w:r>
      <w:r>
        <w:rPr>
          <w:rFonts w:ascii="Arial" w:cs="Arial" w:eastAsia="Arial" w:hAnsi="Arial"/>
          <w:sz w:val="22"/>
          <w:szCs w:val="22"/>
          <w:u w:val="single" w:color="auto"/>
          <w:color w:val="auto"/>
        </w:rPr>
        <w:t>Section 2.16(a)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2.16(b)</w:t>
      </w:r>
      <w:r>
        <w:rPr>
          <w:rFonts w:ascii="Arial" w:cs="Arial" w:eastAsia="Arial" w:hAnsi="Arial"/>
          <w:sz w:val="22"/>
          <w:szCs w:val="22"/>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93" w:lineRule="exact"/>
        <w:rPr>
          <w:sz w:val="20"/>
          <w:szCs w:val="20"/>
          <w:color w:val="auto"/>
        </w:rPr>
      </w:pPr>
    </w:p>
    <w:p>
      <w:pPr>
        <w:ind w:firstLine="656"/>
        <w:spacing w:after="0" w:line="251" w:lineRule="auto"/>
        <w:tabs>
          <w:tab w:leader="none" w:pos="1303"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 addition, the relevant Loan Party shall timely pay any Other Taxes to the relevant Governmental Authority in accordance with applicable law.</w:t>
      </w:r>
    </w:p>
    <w:p>
      <w:pPr>
        <w:spacing w:after="0" w:line="159" w:lineRule="exact"/>
        <w:rPr>
          <w:rFonts w:ascii="Arial" w:cs="Arial" w:eastAsia="Arial" w:hAnsi="Arial"/>
          <w:sz w:val="22"/>
          <w:szCs w:val="22"/>
          <w:color w:val="auto"/>
        </w:rPr>
      </w:pPr>
    </w:p>
    <w:p>
      <w:pPr>
        <w:jc w:val="both"/>
        <w:ind w:firstLine="656"/>
        <w:spacing w:after="0" w:line="238" w:lineRule="auto"/>
        <w:tabs>
          <w:tab w:leader="none" w:pos="1167"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Whenever any Taxes are payable by a Loan Party pursuant to this </w:t>
      </w:r>
      <w:r>
        <w:rPr>
          <w:rFonts w:ascii="Arial" w:cs="Arial" w:eastAsia="Arial" w:hAnsi="Arial"/>
          <w:sz w:val="22"/>
          <w:szCs w:val="22"/>
          <w:u w:val="single" w:color="auto"/>
          <w:color w:val="auto"/>
        </w:rPr>
        <w:t>Section 2.16</w:t>
      </w:r>
      <w:r>
        <w:rPr>
          <w:rFonts w:ascii="Arial" w:cs="Arial" w:eastAsia="Arial" w:hAnsi="Arial"/>
          <w:sz w:val="22"/>
          <w:szCs w:val="22"/>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84" w:lineRule="exact"/>
        <w:rPr>
          <w:rFonts w:ascii="Arial" w:cs="Arial" w:eastAsia="Arial" w:hAnsi="Arial"/>
          <w:sz w:val="22"/>
          <w:szCs w:val="22"/>
          <w:color w:val="auto"/>
        </w:rPr>
      </w:pPr>
    </w:p>
    <w:p>
      <w:pPr>
        <w:jc w:val="both"/>
        <w:ind w:firstLine="656"/>
        <w:spacing w:after="0" w:line="243" w:lineRule="auto"/>
        <w:tabs>
          <w:tab w:leader="none" w:pos="1239"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ectPr>
          <w:pgSz w:w="11900" w:h="16838" w:orient="portrait"/>
          <w:cols w:equalWidth="0" w:num="1">
            <w:col w:w="11240"/>
          </w:cols>
          <w:pgMar w:left="320" w:top="1413" w:right="339" w:bottom="1440" w:gutter="0" w:footer="0" w:header="0"/>
        </w:sectPr>
      </w:pPr>
    </w:p>
    <w:bookmarkStart w:id="134" w:name="page135"/>
    <w:bookmarkEnd w:id="134"/>
    <w:p>
      <w:pPr>
        <w:jc w:val="both"/>
        <w:ind w:left="-656" w:firstLine="656"/>
        <w:spacing w:after="0" w:line="241" w:lineRule="auto"/>
        <w:tabs>
          <w:tab w:leader="none" w:pos="614"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21"/>
          <w:szCs w:val="21"/>
          <w:u w:val="single" w:color="auto"/>
          <w:color w:val="auto"/>
        </w:rPr>
        <w:t>Section 2.16(e)</w:t>
      </w:r>
      <w:r>
        <w:rPr>
          <w:rFonts w:ascii="Arial" w:cs="Arial" w:eastAsia="Arial" w:hAnsi="Arial"/>
          <w:sz w:val="21"/>
          <w:szCs w:val="21"/>
          <w:color w:val="auto"/>
        </w:rPr>
        <w:t>.</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22"/>
          <w:szCs w:val="22"/>
          <w:color w:val="auto"/>
        </w:rPr>
        <w:t>Without limiting the generality of the foregoing:</w:t>
      </w:r>
    </w:p>
    <w:p>
      <w:pPr>
        <w:spacing w:after="0" w:line="206" w:lineRule="exact"/>
        <w:rPr>
          <w:sz w:val="20"/>
          <w:szCs w:val="20"/>
          <w:color w:val="auto"/>
        </w:rPr>
      </w:pPr>
    </w:p>
    <w:p>
      <w:pPr>
        <w:jc w:val="both"/>
        <w:ind w:left="4" w:firstLine="644"/>
        <w:spacing w:after="0" w:line="238" w:lineRule="auto"/>
        <w:tabs>
          <w:tab w:leader="none" w:pos="1116"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84" w:lineRule="exact"/>
        <w:rPr>
          <w:rFonts w:ascii="Arial" w:cs="Arial" w:eastAsia="Arial" w:hAnsi="Arial"/>
          <w:sz w:val="22"/>
          <w:szCs w:val="22"/>
          <w:color w:val="auto"/>
        </w:rPr>
      </w:pPr>
    </w:p>
    <w:p>
      <w:pPr>
        <w:jc w:val="both"/>
        <w:ind w:left="4" w:firstLine="644"/>
        <w:spacing w:after="0" w:line="241" w:lineRule="auto"/>
        <w:tabs>
          <w:tab w:leader="none" w:pos="1184" w:val="left"/>
        </w:tabs>
        <w:numPr>
          <w:ilvl w:val="0"/>
          <w:numId w:val="98"/>
        </w:numPr>
        <w:rPr>
          <w:rFonts w:ascii="Arial" w:cs="Arial" w:eastAsia="Arial" w:hAnsi="Arial"/>
          <w:sz w:val="22"/>
          <w:szCs w:val="22"/>
          <w:color w:val="auto"/>
        </w:rPr>
      </w:pPr>
      <w:r>
        <w:rPr>
          <w:rFonts w:ascii="Arial" w:cs="Arial" w:eastAsia="Arial" w:hAnsi="Arial"/>
          <w:sz w:val="22"/>
          <w:szCs w:val="22"/>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69" w:lineRule="exact"/>
        <w:rPr>
          <w:rFonts w:ascii="Arial" w:cs="Arial" w:eastAsia="Arial" w:hAnsi="Arial"/>
          <w:sz w:val="22"/>
          <w:szCs w:val="22"/>
          <w:color w:val="auto"/>
        </w:rPr>
      </w:pPr>
    </w:p>
    <w:p>
      <w:pPr>
        <w:jc w:val="both"/>
        <w:ind w:left="644" w:firstLine="652"/>
        <w:spacing w:after="0" w:line="241" w:lineRule="auto"/>
        <w:tabs>
          <w:tab w:leader="none" w:pos="1908" w:val="left"/>
        </w:tabs>
        <w:numPr>
          <w:ilvl w:val="1"/>
          <w:numId w:val="98"/>
        </w:numPr>
        <w:rPr>
          <w:rFonts w:ascii="Arial" w:cs="Arial" w:eastAsia="Arial" w:hAnsi="Arial"/>
          <w:sz w:val="22"/>
          <w:szCs w:val="22"/>
          <w:color w:val="010000"/>
        </w:rPr>
      </w:pPr>
      <w:r>
        <w:rPr>
          <w:rFonts w:ascii="Arial" w:cs="Arial" w:eastAsia="Arial" w:hAnsi="Arial"/>
          <w:sz w:val="22"/>
          <w:szCs w:val="22"/>
          <w:color w:val="auto"/>
        </w:rPr>
        <w:t>two duly completed copies of Internal Revenue Service Form W-8BEN or W-8BEN-E (or any successor forms) claiming eligibility for benefits of an income tax treaty to which the United States of America is a party,</w:t>
      </w:r>
    </w:p>
    <w:p>
      <w:pPr>
        <w:spacing w:after="0" w:line="182" w:lineRule="exact"/>
        <w:rPr>
          <w:rFonts w:ascii="Arial" w:cs="Arial" w:eastAsia="Arial" w:hAnsi="Arial"/>
          <w:sz w:val="22"/>
          <w:szCs w:val="22"/>
          <w:color w:val="010000"/>
        </w:rPr>
      </w:pPr>
    </w:p>
    <w:p>
      <w:pPr>
        <w:ind w:left="1924" w:hanging="628"/>
        <w:spacing w:after="0"/>
        <w:tabs>
          <w:tab w:leader="none" w:pos="1924" w:val="left"/>
        </w:tabs>
        <w:numPr>
          <w:ilvl w:val="1"/>
          <w:numId w:val="98"/>
        </w:numPr>
        <w:rPr>
          <w:rFonts w:ascii="Arial" w:cs="Arial" w:eastAsia="Arial" w:hAnsi="Arial"/>
          <w:sz w:val="22"/>
          <w:szCs w:val="22"/>
          <w:color w:val="010000"/>
        </w:rPr>
      </w:pPr>
      <w:r>
        <w:rPr>
          <w:rFonts w:ascii="Arial" w:cs="Arial" w:eastAsia="Arial" w:hAnsi="Arial"/>
          <w:sz w:val="22"/>
          <w:szCs w:val="22"/>
          <w:color w:val="auto"/>
        </w:rPr>
        <w:t>two duly completed copies of Internal Revenue Service Form W-8ECI (or any successor</w:t>
      </w:r>
    </w:p>
    <w:p>
      <w:pPr>
        <w:spacing w:after="0" w:line="6" w:lineRule="exact"/>
        <w:rPr>
          <w:rFonts w:ascii="Arial" w:cs="Arial" w:eastAsia="Arial" w:hAnsi="Arial"/>
          <w:sz w:val="22"/>
          <w:szCs w:val="22"/>
          <w:color w:val="010000"/>
        </w:rPr>
      </w:pPr>
    </w:p>
    <w:p>
      <w:pPr>
        <w:ind w:left="644"/>
        <w:spacing w:after="0"/>
        <w:rPr>
          <w:rFonts w:ascii="Arial" w:cs="Arial" w:eastAsia="Arial" w:hAnsi="Arial"/>
          <w:sz w:val="22"/>
          <w:szCs w:val="22"/>
          <w:color w:val="010000"/>
        </w:rPr>
      </w:pPr>
      <w:r>
        <w:rPr>
          <w:rFonts w:ascii="Arial" w:cs="Arial" w:eastAsia="Arial" w:hAnsi="Arial"/>
          <w:sz w:val="22"/>
          <w:szCs w:val="22"/>
          <w:color w:val="auto"/>
        </w:rPr>
        <w:t>forms),</w:t>
      </w:r>
    </w:p>
    <w:p>
      <w:pPr>
        <w:sectPr>
          <w:pgSz w:w="11900" w:h="16838" w:orient="portrait"/>
          <w:cols w:equalWidth="0" w:num="1">
            <w:col w:w="10584"/>
          </w:cols>
          <w:pgMar w:left="976" w:top="1413" w:right="339" w:bottom="1440" w:gutter="0" w:footer="0" w:header="0"/>
        </w:sectPr>
      </w:pPr>
    </w:p>
    <w:bookmarkStart w:id="135" w:name="page136"/>
    <w:bookmarkEnd w:id="135"/>
    <w:p>
      <w:pPr>
        <w:jc w:val="both"/>
        <w:ind w:left="180" w:firstLine="652"/>
        <w:spacing w:after="0" w:line="245" w:lineRule="auto"/>
        <w:tabs>
          <w:tab w:leader="none" w:pos="1440" w:val="left"/>
        </w:tabs>
        <w:numPr>
          <w:ilvl w:val="1"/>
          <w:numId w:val="99"/>
        </w:numPr>
        <w:rPr>
          <w:rFonts w:ascii="Arial" w:cs="Arial" w:eastAsia="Arial" w:hAnsi="Arial"/>
          <w:sz w:val="21"/>
          <w:szCs w:val="21"/>
          <w:color w:val="010000"/>
        </w:rPr>
      </w:pPr>
      <w:r>
        <w:rPr>
          <w:rFonts w:ascii="Arial" w:cs="Arial" w:eastAsia="Arial" w:hAnsi="Arial"/>
          <w:sz w:val="21"/>
          <w:szCs w:val="21"/>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(any such certificate a “</w:t>
      </w:r>
      <w:r>
        <w:rPr>
          <w:rFonts w:ascii="Arial" w:cs="Arial" w:eastAsia="Arial" w:hAnsi="Arial"/>
          <w:sz w:val="21"/>
          <w:szCs w:val="21"/>
          <w:u w:val="single" w:color="auto"/>
          <w:color w:val="auto"/>
        </w:rPr>
        <w:t>United States Tax Compliance Certificate</w:t>
      </w:r>
      <w:r>
        <w:rPr>
          <w:rFonts w:ascii="Arial" w:cs="Arial" w:eastAsia="Arial" w:hAnsi="Arial"/>
          <w:sz w:val="21"/>
          <w:szCs w:val="21"/>
          <w:color w:val="auto"/>
        </w:rPr>
        <w:t>”), or any other form approved by the Administrative Agent, to the effect that such Lender is not (A) a “bank” within the meaning of Section 881(c)(3)(A) of the Code,</w:t>
      </w:r>
    </w:p>
    <w:p>
      <w:pPr>
        <w:spacing w:after="0" w:line="1" w:lineRule="exact"/>
        <w:rPr>
          <w:rFonts w:ascii="Arial" w:cs="Arial" w:eastAsia="Arial" w:hAnsi="Arial"/>
          <w:sz w:val="21"/>
          <w:szCs w:val="21"/>
          <w:color w:val="010000"/>
        </w:rPr>
      </w:pPr>
    </w:p>
    <w:p>
      <w:pPr>
        <w:jc w:val="both"/>
        <w:ind w:left="180" w:firstLine="4"/>
        <w:spacing w:after="0" w:line="231" w:lineRule="auto"/>
        <w:tabs>
          <w:tab w:leader="none" w:pos="53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84" w:lineRule="exact"/>
        <w:rPr>
          <w:rFonts w:ascii="Arial" w:cs="Arial" w:eastAsia="Arial" w:hAnsi="Arial"/>
          <w:sz w:val="22"/>
          <w:szCs w:val="22"/>
          <w:color w:val="auto"/>
        </w:rPr>
      </w:pPr>
    </w:p>
    <w:p>
      <w:pPr>
        <w:jc w:val="both"/>
        <w:ind w:left="180" w:firstLine="652"/>
        <w:spacing w:after="0" w:line="234" w:lineRule="auto"/>
        <w:tabs>
          <w:tab w:leader="none" w:pos="1494"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73" w:lineRule="exact"/>
        <w:rPr>
          <w:rFonts w:ascii="Arial" w:cs="Arial" w:eastAsia="Arial" w:hAnsi="Arial"/>
          <w:sz w:val="22"/>
          <w:szCs w:val="22"/>
          <w:color w:val="010000"/>
        </w:rPr>
      </w:pPr>
    </w:p>
    <w:p>
      <w:pPr>
        <w:jc w:val="both"/>
        <w:ind w:left="180" w:firstLine="652"/>
        <w:spacing w:after="0" w:line="236" w:lineRule="auto"/>
        <w:tabs>
          <w:tab w:leader="none" w:pos="1414" w:val="left"/>
        </w:tabs>
        <w:numPr>
          <w:ilvl w:val="1"/>
          <w:numId w:val="100"/>
        </w:numPr>
        <w:rPr>
          <w:rFonts w:ascii="Arial" w:cs="Arial" w:eastAsia="Arial" w:hAnsi="Arial"/>
          <w:sz w:val="22"/>
          <w:szCs w:val="22"/>
          <w:color w:val="010000"/>
        </w:rPr>
      </w:pPr>
      <w:r>
        <w:rPr>
          <w:rFonts w:ascii="Arial" w:cs="Arial" w:eastAsia="Arial" w:hAnsi="Arial"/>
          <w:sz w:val="22"/>
          <w:szCs w:val="22"/>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87" w:lineRule="exact"/>
        <w:rPr>
          <w:sz w:val="20"/>
          <w:szCs w:val="20"/>
          <w:color w:val="auto"/>
        </w:rPr>
      </w:pPr>
    </w:p>
    <w:p>
      <w:pPr>
        <w:jc w:val="both"/>
        <w:ind w:left="-460" w:firstLine="644"/>
        <w:spacing w:after="0" w:line="243" w:lineRule="auto"/>
        <w:tabs>
          <w:tab w:leader="none" w:pos="86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ectPr>
          <w:pgSz w:w="11900" w:h="16838" w:orient="portrait"/>
          <w:cols w:equalWidth="0" w:num="1">
            <w:col w:w="10120"/>
          </w:cols>
          <w:pgMar w:left="1440" w:top="1413" w:right="339" w:bottom="1440" w:gutter="0" w:footer="0" w:header="0"/>
        </w:sectPr>
      </w:pPr>
    </w:p>
    <w:bookmarkStart w:id="136" w:name="page137"/>
    <w:bookmarkEnd w:id="136"/>
    <w:p>
      <w:pPr>
        <w:jc w:val="both"/>
        <w:ind w:firstLine="648"/>
        <w:spacing w:after="0" w:line="236"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187" w:lineRule="exact"/>
        <w:rPr>
          <w:sz w:val="20"/>
          <w:szCs w:val="20"/>
          <w:color w:val="auto"/>
        </w:rPr>
      </w:pPr>
    </w:p>
    <w:p>
      <w:pPr>
        <w:jc w:val="both"/>
        <w:ind w:firstLine="656"/>
        <w:spacing w:after="0" w:line="230" w:lineRule="auto"/>
        <w:tabs>
          <w:tab w:leader="none" w:pos="110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it shall pay over such refund the applicable Loan Party (but only to the extent of indemnity payments made, or additional amounts paid, by such Loan Party under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97" w:lineRule="exact"/>
        <w:rPr>
          <w:rFonts w:ascii="Arial" w:cs="Arial" w:eastAsia="Arial" w:hAnsi="Arial"/>
          <w:sz w:val="22"/>
          <w:szCs w:val="22"/>
          <w:color w:val="auto"/>
        </w:rPr>
      </w:pPr>
    </w:p>
    <w:p>
      <w:pPr>
        <w:jc w:val="both"/>
        <w:ind w:firstLine="656"/>
        <w:spacing w:after="0" w:line="241" w:lineRule="auto"/>
        <w:tabs>
          <w:tab w:leader="none" w:pos="1199"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The agreements in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shall survive the termination of this Agreement, any assignment by or replacement of a Lender, resignation of the Administrative Agent and the payment of the Loans and all other amounts payable hereunder or any other Loan Document.</w:t>
      </w:r>
    </w:p>
    <w:p>
      <w:pPr>
        <w:spacing w:after="0" w:line="182" w:lineRule="exact"/>
        <w:rPr>
          <w:rFonts w:ascii="Arial" w:cs="Arial" w:eastAsia="Arial" w:hAnsi="Arial"/>
          <w:sz w:val="22"/>
          <w:szCs w:val="22"/>
          <w:color w:val="auto"/>
        </w:rPr>
      </w:pPr>
    </w:p>
    <w:p>
      <w:pPr>
        <w:ind w:firstLine="656"/>
        <w:spacing w:after="0" w:line="251" w:lineRule="auto"/>
        <w:tabs>
          <w:tab w:leader="none" w:pos="127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For the avoidance of doubt, any payments made by the Administrative Agent to any Lender shall be treated as payments made by the applicable Loan Party.</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u w:val="single" w:color="auto"/>
          <w:color w:val="auto"/>
        </w:rPr>
        <w:t>Indemnity</w:t>
      </w:r>
      <w:r>
        <w:rPr>
          <w:rFonts w:ascii="Arial" w:cs="Arial" w:eastAsia="Arial" w:hAnsi="Arial"/>
          <w:sz w:val="22"/>
          <w:szCs w:val="22"/>
          <w:color w:val="auto"/>
        </w:rPr>
        <w:t xml:space="preserve">. The Borrower agrees to indemnify each Lender for, and to hold each Lender harmless from, any loss or expense that such Lender may sustain or incur as a consequence of (a) default by the Borrower in making a borrowing of, conversion into or continuation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after the Borrower has given a notice requesting the same in accordance with the provisions of this Agreement, (b) default by the Borrower in making any prepayment of or conversion from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after the Borrower has given a notice thereof in accordance with the provisions of this Agreement, or (c) the making of a prepayment or conversion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on a day that is not the last day of an Interest Period with respect thereto. Such</w:t>
      </w:r>
      <w:r>
        <w:rPr>
          <w:rFonts w:ascii="Arial" w:cs="Arial" w:eastAsia="Arial" w:hAnsi="Arial"/>
          <w:sz w:val="22"/>
          <w:szCs w:val="22"/>
          <w:color w:val="FF0000"/>
        </w:rPr>
        <w:t xml:space="preserve"> </w:t>
      </w:r>
      <w:r>
        <w:rPr>
          <w:rFonts w:ascii="Arial" w:cs="Arial" w:eastAsia="Arial" w:hAnsi="Arial"/>
          <w:sz w:val="22"/>
          <w:szCs w:val="22"/>
          <w:color w:val="000000"/>
        </w:rPr>
        <w:t>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w:t>
      </w:r>
    </w:p>
    <w:p>
      <w:pPr>
        <w:sectPr>
          <w:pgSz w:w="11900" w:h="16838" w:orient="portrait"/>
          <w:cols w:equalWidth="0" w:num="1">
            <w:col w:w="11240"/>
          </w:cols>
          <w:pgMar w:left="320" w:top="1413" w:right="339" w:bottom="1440" w:gutter="0" w:footer="0" w:header="0"/>
        </w:sectPr>
      </w:pPr>
    </w:p>
    <w:bookmarkStart w:id="137" w:name="page138"/>
    <w:bookmarkEnd w:id="137"/>
    <w:p>
      <w:pPr>
        <w:jc w:val="both"/>
        <w:spacing w:after="0" w:line="232" w:lineRule="auto"/>
        <w:rPr>
          <w:sz w:val="20"/>
          <w:szCs w:val="20"/>
          <w:color w:val="auto"/>
        </w:rPr>
      </w:pPr>
      <w:r>
        <w:rPr>
          <w:rFonts w:ascii="Arial" w:cs="Arial" w:eastAsia="Arial" w:hAnsi="Arial"/>
          <w:sz w:val="22"/>
          <w:szCs w:val="22"/>
          <w:color w:val="auto"/>
        </w:rPr>
        <w:t xml:space="preserve">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w:t>
      </w:r>
      <w:r>
        <w:rPr>
          <w:rFonts w:ascii="Arial" w:cs="Arial" w:eastAsia="Arial" w:hAnsi="Arial"/>
          <w:sz w:val="22"/>
          <w:szCs w:val="22"/>
          <w:u w:val="single" w:color="auto"/>
          <w:color w:val="0000FF"/>
        </w:rPr>
        <w:t>applicable</w:t>
      </w:r>
      <w:r>
        <w:rPr>
          <w:rFonts w:ascii="Arial" w:cs="Arial" w:eastAsia="Arial" w:hAnsi="Arial"/>
          <w:sz w:val="22"/>
          <w:szCs w:val="22"/>
          <w:color w:val="auto"/>
        </w:rPr>
        <w:t xml:space="preserve"> interbank </w:t>
      </w:r>
      <w:r>
        <w:rPr>
          <w:rFonts w:ascii="Arial" w:cs="Arial" w:eastAsia="Arial" w:hAnsi="Arial"/>
          <w:sz w:val="22"/>
          <w:szCs w:val="22"/>
          <w:color w:val="FF0000"/>
          <w:strike w:val="1"/>
        </w:rPr>
        <w:t>eurodollar</w:t>
      </w:r>
      <w:r>
        <w:rPr>
          <w:rFonts w:ascii="Arial" w:cs="Arial" w:eastAsia="Arial" w:hAnsi="Arial"/>
          <w:sz w:val="22"/>
          <w:szCs w:val="22"/>
          <w:color w:val="auto"/>
        </w:rPr>
        <w:t xml:space="preserve"> market. A certificate as to any amounts payable pursuant to this Section submitted to the Borrower by any Lender shall be conclusive in the absence of manifest error. Notwithstanding anything to the contrary in this Section 2.17, the Borrower shall not be required to compensate a Lender pursuant to this Section 2.17 for any amounts incurred more than 180 days prior to the date that such Lender notifies the Borrower of such Lender’s intention to claim compensation therefor; provided that, if the circumstances giving rise to such claim have a retroactive effect, then such 180 days period shall be extended to include the period of such retroactive effect. This covenant shall survive the termination of this Agreement and the payment of the Loans and all other amounts payable hereunder.</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Change of Lending Office</w:t>
      </w:r>
      <w:r>
        <w:rPr>
          <w:rFonts w:ascii="Arial" w:cs="Arial" w:eastAsia="Arial" w:hAnsi="Arial"/>
          <w:sz w:val="22"/>
          <w:szCs w:val="22"/>
          <w:color w:val="auto"/>
        </w:rPr>
        <w:t>. Each Lender agrees that, upon the occurrence of any event giving rise to the operation of Section 2.15 or 2.16(a) with respect to such Lender, it will, if requested by the Borrower, use reasonable efforts (subject to overall policy considerations of such Lender) to designate another lending office for any Loans affected by such event with the object of avoiding the consequences of such event; provided that such designation is made on terms that, in the good faith judgment of such Lender, cause such Lender and its lending office(s) to suffer no economic, legal or regulatory disadvantage, and provided, further, that nothing in this Section shall affect or postpone any of the obligations of the Borrower or the rights of any Lender pursuant to Section 2.15 or 2.16(a).</w:t>
      </w:r>
    </w:p>
    <w:p>
      <w:pPr>
        <w:spacing w:after="0" w:line="19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1"/>
          <w:szCs w:val="21"/>
          <w:u w:val="single" w:color="auto"/>
          <w:color w:val="auto"/>
        </w:rPr>
        <w:t>Fees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8" w:lineRule="auto"/>
        <w:tabs>
          <w:tab w:leader="none" w:pos="119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(i) the fees in the amounts and on the dates as set forth in the Engagement Letter and (ii) for its own account, the annual administration fee separately agreed in writing between the Borrower and the Administrative Agent, and, in each case, to perform any other obligations contained therein.</w:t>
      </w:r>
    </w:p>
    <w:p>
      <w:pPr>
        <w:spacing w:after="0" w:line="184" w:lineRule="exact"/>
        <w:rPr>
          <w:rFonts w:ascii="Arial" w:cs="Arial" w:eastAsia="Arial" w:hAnsi="Arial"/>
          <w:sz w:val="22"/>
          <w:szCs w:val="22"/>
          <w:color w:val="auto"/>
        </w:rPr>
      </w:pPr>
    </w:p>
    <w:p>
      <w:pPr>
        <w:jc w:val="both"/>
        <w:ind w:firstLine="656"/>
        <w:spacing w:after="0" w:line="232" w:lineRule="auto"/>
        <w:tabs>
          <w:tab w:leader="none" w:pos="116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the ratable account of each Lender according to its Revolving Loan Percentage a commitment fee at a rate per annum equal to the Commitment Fee Percentage (computed on the basis of a year of 360 days and the actual number of days elapsed) on the average daily aggregate Unused Revolving Commitments (the “</w:t>
      </w: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Commitment Fee shall accrue to the Unused Revolving Credit Commitment of a Defaulting Lender, or be payable for the benefit of such Lender, so long as such Lender shall be a Defaulting Lender. Such Commitment Fee amount accrued through and including the last day of March, June, September and December of each year shall be payable quarterly in arrears on the third Business Day following the Borrower’s receipt of an invoice from Administrative Agent for such period, commencing on the first such date to occur after the date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w:t>
      </w:r>
    </w:p>
    <w:p>
      <w:pPr>
        <w:sectPr>
          <w:pgSz w:w="11900" w:h="16838" w:orient="portrait"/>
          <w:cols w:equalWidth="0" w:num="1">
            <w:col w:w="11240"/>
          </w:cols>
          <w:pgMar w:left="320" w:top="1413" w:right="3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Commitment Fee shall also be payable on the date on which the Revolving Commitments terminate.</w:t>
      </w:r>
    </w:p>
    <w:p>
      <w:pPr>
        <w:spacing w:after="0" w:line="206" w:lineRule="exact"/>
        <w:rPr>
          <w:sz w:val="20"/>
          <w:szCs w:val="20"/>
          <w:color w:val="auto"/>
        </w:rPr>
      </w:pPr>
    </w:p>
    <w:p>
      <w:pPr>
        <w:jc w:val="both"/>
        <w:ind w:firstLine="656"/>
        <w:spacing w:after="0" w:line="241" w:lineRule="auto"/>
        <w:tabs>
          <w:tab w:leader="none" w:pos="1189"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The Borrower agrees to pay (i) to the Administrative Agent for the account of each Lender (other than a Defaulting Lender) a participation fee with respect to its participations in Documentary Credits, which shall accrue at the same Applicable Margin used to determine the interest rate applicable to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Revolving Borrowings on the average daily amount of such Lender’s DC Exposure (excluding any portion thereof attributable to unreimbursed DC Disbursements) during the period from and including the Closing Date to but excluding the later of the date on which such Lender’s Revolving Commitment terminates and the date on which such Lender ceases to have any DC Exposure, and (ii) to the relevant Issuing Bank a fronting fee, as may be agreed between the Issuing Bank and the Borrower, as well as such Issuing Bank’s standard fees with respect to the issuance, amendment, renewal or extension of any Documentary Credit or processing of drawings thereunder. Participation fees and fronting fees accrued through and including the last day of March, June, September and December of each year shall be payable on the third Business Day following the Borrower’s receipt of an invoice from Administrative Agent for such period, commencing on the first such date to occur after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such fees shall be payable on the date on which the Commitments terminate and any such fees accruing after the date on which the Commitments terminate shall be payable on demand. Any other fees payable to any Issuing Bank pursuant to this paragraph shall be payable within 10 days after demand (accompanied by reasonable back-up documentation relating thereto). All participation fees and fronting fees shall be computed on the basis of a year of 360 days and shall be payable for the actual number of days elapsed (including the first day but excluding the last day).</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u w:val="single" w:color="auto"/>
          <w:color w:val="auto"/>
        </w:rPr>
        <w:t>Nature of Fees</w:t>
      </w:r>
      <w:r>
        <w:rPr>
          <w:rFonts w:ascii="Arial" w:cs="Arial" w:eastAsia="Arial" w:hAnsi="Arial"/>
          <w:sz w:val="22"/>
          <w:szCs w:val="22"/>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u w:val="single" w:color="auto"/>
          <w:color w:val="auto"/>
        </w:rPr>
        <w:t>Incremental Revolving Facilities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58" w:lineRule="auto"/>
        <w:tabs>
          <w:tab w:leader="none" w:pos="117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The Borrower may at any time or from time to time after the Closing Date, by notice to the Administrative Agent, request, during the Availability Period, the establishment of Incremental Revolving Commitments by an aggregate amount not in excess of the Maximum Incremental Commitment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66" w:lineRule="exact"/>
        <w:rPr>
          <w:rFonts w:ascii="Arial" w:cs="Arial" w:eastAsia="Arial" w:hAnsi="Arial"/>
          <w:sz w:val="21"/>
          <w:szCs w:val="21"/>
          <w:color w:val="auto"/>
        </w:rPr>
      </w:pPr>
    </w:p>
    <w:p>
      <w:pPr>
        <w:ind w:firstLine="1304"/>
        <w:spacing w:after="0" w:line="251" w:lineRule="auto"/>
        <w:tabs>
          <w:tab w:leader="none" w:pos="1759"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(y) no Default or Event of Default shall have occurred and be continuing or would exist after giving effect thereto and (z) the conditions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are satisfied;</w:t>
      </w:r>
    </w:p>
    <w:p>
      <w:pPr>
        <w:spacing w:after="0" w:line="159" w:lineRule="exact"/>
        <w:rPr>
          <w:rFonts w:ascii="Arial" w:cs="Arial" w:eastAsia="Arial" w:hAnsi="Arial"/>
          <w:sz w:val="22"/>
          <w:szCs w:val="22"/>
          <w:color w:val="auto"/>
        </w:rPr>
      </w:pPr>
    </w:p>
    <w:p>
      <w:pPr>
        <w:jc w:val="both"/>
        <w:ind w:firstLine="1304"/>
        <w:spacing w:after="0" w:line="238" w:lineRule="auto"/>
        <w:tabs>
          <w:tab w:leader="none" w:pos="178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on the date of the incurrence or effectiveness of such Incremental Revolving Facility (in the case of the incurrence or effectiveness of Incremental Revolving Commitments, assuming such increase has been drawn in full), the Borrower shall be in compliance, on a pro forma basis, with the financial covenants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recomputed as of the last day of the most recently ended fiscal quarter for</w:t>
      </w:r>
    </w:p>
    <w:p>
      <w:pPr>
        <w:sectPr>
          <w:pgSz w:w="11900" w:h="16838" w:orient="portrait"/>
          <w:cols w:equalWidth="0" w:num="1">
            <w:col w:w="11240"/>
          </w:cols>
          <w:pgMar w:left="320" w:top="1413" w:right="3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 xml:space="preserve">which financial statements have been or were required to be delivered pursuant to </w:t>
      </w:r>
      <w:r>
        <w:rPr>
          <w:rFonts w:ascii="Arial" w:cs="Arial" w:eastAsia="Arial" w:hAnsi="Arial"/>
          <w:sz w:val="22"/>
          <w:szCs w:val="22"/>
          <w:u w:val="single" w:color="auto"/>
          <w:color w:val="auto"/>
        </w:rPr>
        <w:t>Section 5.1;</w:t>
      </w:r>
    </w:p>
    <w:p>
      <w:pPr>
        <w:spacing w:after="0" w:line="206" w:lineRule="exact"/>
        <w:rPr>
          <w:sz w:val="20"/>
          <w:szCs w:val="20"/>
          <w:color w:val="auto"/>
        </w:rPr>
      </w:pPr>
    </w:p>
    <w:p>
      <w:pPr>
        <w:jc w:val="both"/>
        <w:ind w:firstLine="1304"/>
        <w:spacing w:after="0" w:line="233" w:lineRule="auto"/>
        <w:tabs>
          <w:tab w:leader="none" w:pos="1909"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the Borrower shall have delivered to the Administrative Agent a certificate of a Financial Officer certifying to the effect set forth in subclauses (i) and (ii) above, together with reasonably detailed calculations demonstrating compliance with subclause (ii) above (which calculations shall, if made as of the last day of any fiscal quarter of the Borrower for which the Borrower has not delivered to the Administrative Agent the financial statements and Compliance Certificate required to be delivered by </w:t>
      </w:r>
      <w:r>
        <w:rPr>
          <w:rFonts w:ascii="Arial" w:cs="Arial" w:eastAsia="Arial" w:hAnsi="Arial"/>
          <w:sz w:val="22"/>
          <w:szCs w:val="22"/>
          <w:u w:val="single" w:color="auto"/>
          <w:color w:val="auto"/>
        </w:rPr>
        <w:t>Section 5.2</w:t>
      </w:r>
      <w:r>
        <w:rPr>
          <w:rFonts w:ascii="Arial" w:cs="Arial" w:eastAsia="Arial" w:hAnsi="Arial"/>
          <w:sz w:val="22"/>
          <w:szCs w:val="22"/>
          <w:color w:val="auto"/>
        </w:rPr>
        <w:t>, be accompanied by a reasonably detailed calculation of Consolidated EBITDA of the Borrower for the relevant period);</w:t>
      </w:r>
    </w:p>
    <w:p>
      <w:pPr>
        <w:spacing w:after="0" w:line="186" w:lineRule="exact"/>
        <w:rPr>
          <w:rFonts w:ascii="Arial" w:cs="Arial" w:eastAsia="Arial" w:hAnsi="Arial"/>
          <w:sz w:val="22"/>
          <w:szCs w:val="22"/>
          <w:color w:val="auto"/>
        </w:rPr>
      </w:pPr>
    </w:p>
    <w:p>
      <w:pPr>
        <w:ind w:firstLine="1304"/>
        <w:spacing w:after="0" w:line="251" w:lineRule="auto"/>
        <w:tabs>
          <w:tab w:leader="none" w:pos="1883" w:val="left"/>
        </w:tabs>
        <w:numPr>
          <w:ilvl w:val="1"/>
          <w:numId w:val="106"/>
        </w:numPr>
        <w:rPr>
          <w:rFonts w:ascii="Arial" w:cs="Arial" w:eastAsia="Arial" w:hAnsi="Arial"/>
          <w:sz w:val="22"/>
          <w:szCs w:val="22"/>
          <w:color w:val="auto"/>
        </w:rPr>
      </w:pPr>
      <w:r>
        <w:rPr>
          <w:rFonts w:ascii="Arial" w:cs="Arial" w:eastAsia="Arial" w:hAnsi="Arial"/>
          <w:sz w:val="22"/>
          <w:szCs w:val="22"/>
          <w:color w:val="auto"/>
        </w:rPr>
        <w:t>all fees or other payments owing pursuant to this Agreement or as otherwise agreed in writing to the Administrative Agent and the applicable Incremental Lenders shall have been paid; and</w:t>
      </w:r>
    </w:p>
    <w:p>
      <w:pPr>
        <w:spacing w:after="0" w:line="172" w:lineRule="exact"/>
        <w:rPr>
          <w:rFonts w:ascii="Arial" w:cs="Arial" w:eastAsia="Arial" w:hAnsi="Arial"/>
          <w:sz w:val="22"/>
          <w:szCs w:val="22"/>
          <w:color w:val="auto"/>
        </w:rPr>
      </w:pPr>
    </w:p>
    <w:p>
      <w:pPr>
        <w:jc w:val="both"/>
        <w:ind w:firstLine="1304"/>
        <w:spacing w:after="0" w:line="236" w:lineRule="auto"/>
        <w:tabs>
          <w:tab w:leader="none" w:pos="183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 xml:space="preserve">the other terms and conditions of any Incremental Revolving Facility shall be identical to those of the Revolving Commitments and Revolving Loans then outstanding with a like Revolving Maturity Date, and shall be treated as a single Class with such Revolving Commitments and Revolving Loans with a like Revolving Maturity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upfront fees applicable to any Incremental Revolving Facility shall be as determined by the Borrower and the Incremental Lenders providing such Incremental Revolving Facility.</w:t>
      </w:r>
    </w:p>
    <w:p>
      <w:pPr>
        <w:spacing w:after="0" w:line="187" w:lineRule="exact"/>
        <w:rPr>
          <w:rFonts w:ascii="Arial" w:cs="Arial" w:eastAsia="Arial" w:hAnsi="Arial"/>
          <w:sz w:val="22"/>
          <w:szCs w:val="22"/>
          <w:color w:val="auto"/>
        </w:rPr>
      </w:pPr>
    </w:p>
    <w:p>
      <w:pPr>
        <w:jc w:val="both"/>
        <w:ind w:firstLine="656"/>
        <w:spacing w:after="0" w:line="232" w:lineRule="auto"/>
        <w:tabs>
          <w:tab w:leader="none" w:pos="129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Each notice from the Borrower pursuant to this </w:t>
      </w:r>
      <w:r>
        <w:rPr>
          <w:rFonts w:ascii="Arial" w:cs="Arial" w:eastAsia="Arial" w:hAnsi="Arial"/>
          <w:sz w:val="22"/>
          <w:szCs w:val="22"/>
          <w:u w:val="single" w:color="auto"/>
          <w:color w:val="auto"/>
        </w:rPr>
        <w:t>Section 2.21</w:t>
      </w:r>
      <w:r>
        <w:rPr>
          <w:rFonts w:ascii="Arial" w:cs="Arial" w:eastAsia="Arial" w:hAnsi="Arial"/>
          <w:sz w:val="22"/>
          <w:szCs w:val="22"/>
          <w:color w:val="auto"/>
        </w:rPr>
        <w:t xml:space="preserve"> shall specify (i) the date on which the Borrower proposes that the Incremental Revolving Facility shall, as applicable shall be effective, which shall be a date not less than five (5) Business Days (or such shorter period as may be agreed to by the Administrative Agent) after the date on which such notice is delivered to the Administrative Agent and (ii) the requested amount and proposed terms of the relevant Incremental Revolving Commitments, as applicable (it being agreed that (x) any Lender approached to provide any Incremental Revolving Commitment may elect or decline, in its sole discretion, to provide such Incremental Revolving Commitment and (y) any Person that the Borrower proposes to become an Incremental Lender, must be consented to (such consent not to be unreasonably withheld, delayed or conditioned) by the Administrative Agent and each Issuing Bank if such consent would be required under </w:t>
      </w:r>
      <w:r>
        <w:rPr>
          <w:rFonts w:ascii="Arial" w:cs="Arial" w:eastAsia="Arial" w:hAnsi="Arial"/>
          <w:sz w:val="22"/>
          <w:szCs w:val="22"/>
          <w:u w:val="single" w:color="auto"/>
          <w:color w:val="auto"/>
        </w:rPr>
        <w:t>Section 9.4</w:t>
      </w:r>
      <w:r>
        <w:rPr>
          <w:rFonts w:ascii="Arial" w:cs="Arial" w:eastAsia="Arial" w:hAnsi="Arial"/>
          <w:sz w:val="22"/>
          <w:szCs w:val="22"/>
          <w:color w:val="auto"/>
        </w:rPr>
        <w:t xml:space="preserve"> for an assignment of Loans or Commitments, as applicable to such Lender or Incremental Lender.</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Incremental Revolving Commitments in respect of Incremental Loans shall become Commitments under this Agreement pursuant to an amendment (an “</w:t>
      </w:r>
      <w:r>
        <w:rPr>
          <w:rFonts w:ascii="Arial" w:cs="Arial" w:eastAsia="Arial" w:hAnsi="Arial"/>
          <w:sz w:val="21"/>
          <w:szCs w:val="21"/>
          <w:u w:val="single" w:color="auto"/>
          <w:color w:val="auto"/>
        </w:rPr>
        <w:t>Incremental Amendment</w:t>
      </w:r>
      <w:r>
        <w:rPr>
          <w:rFonts w:ascii="Arial" w:cs="Arial" w:eastAsia="Arial" w:hAnsi="Arial"/>
          <w:sz w:val="21"/>
          <w:szCs w:val="21"/>
          <w:color w:val="auto"/>
        </w:rPr>
        <w:t>”) to this Agreement and, as appropriate, the other Loan Documents, executed (in the case of such amendment to this Agreement) by the Borrower, each Lender agreeing to provide such Commitment, if any, each Incremental Lender and the Administrative Agent.</w:t>
      </w:r>
    </w:p>
    <w:p>
      <w:pPr>
        <w:spacing w:after="0" w:line="176" w:lineRule="exact"/>
        <w:rPr>
          <w:rFonts w:ascii="Arial" w:cs="Arial" w:eastAsia="Arial" w:hAnsi="Arial"/>
          <w:sz w:val="21"/>
          <w:szCs w:val="21"/>
          <w:color w:val="auto"/>
        </w:rPr>
      </w:pPr>
    </w:p>
    <w:p>
      <w:pPr>
        <w:jc w:val="both"/>
        <w:ind w:firstLine="656"/>
        <w:spacing w:after="0" w:line="241" w:lineRule="auto"/>
        <w:tabs>
          <w:tab w:leader="none" w:pos="118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Upon each increase in the Revolving Commitments pursuant to this </w:t>
      </w:r>
      <w:r>
        <w:rPr>
          <w:rFonts w:ascii="Arial" w:cs="Arial" w:eastAsia="Arial" w:hAnsi="Arial"/>
          <w:sz w:val="22"/>
          <w:szCs w:val="22"/>
          <w:u w:val="single" w:color="auto"/>
          <w:color w:val="auto"/>
        </w:rPr>
        <w:t>Section 2.21</w:t>
      </w:r>
      <w:r>
        <w:rPr>
          <w:rFonts w:ascii="Arial" w:cs="Arial" w:eastAsia="Arial" w:hAnsi="Arial"/>
          <w:sz w:val="22"/>
          <w:szCs w:val="22"/>
          <w:color w:val="auto"/>
        </w:rPr>
        <w:t>, (i) each Lender with a Revolving Commitment immediately prior to such increase will automatically and without further act be deemed to have assigned to each Incremental Lender in respect of such increase, and each Incremental Lender will</w:t>
      </w:r>
    </w:p>
    <w:p>
      <w:pPr>
        <w:sectPr>
          <w:pgSz w:w="11900" w:h="16838" w:orient="portrait"/>
          <w:cols w:equalWidth="0" w:num="1">
            <w:col w:w="11240"/>
          </w:cols>
          <w:pgMar w:left="320" w:top="1413" w:right="339" w:bottom="1440" w:gutter="0" w:footer="0" w:header="0"/>
        </w:sectPr>
      </w:pPr>
    </w:p>
    <w:bookmarkStart w:id="140" w:name="page141"/>
    <w:bookmarkEnd w:id="140"/>
    <w:p>
      <w:pPr>
        <w:jc w:val="both"/>
        <w:spacing w:after="0" w:line="231" w:lineRule="auto"/>
        <w:rPr>
          <w:sz w:val="20"/>
          <w:szCs w:val="20"/>
          <w:color w:val="auto"/>
        </w:rPr>
      </w:pPr>
      <w:r>
        <w:rPr>
          <w:rFonts w:ascii="Arial" w:cs="Arial" w:eastAsia="Arial" w:hAnsi="Arial"/>
          <w:sz w:val="22"/>
          <w:szCs w:val="22"/>
          <w:color w:val="auto"/>
        </w:rPr>
        <w:t xml:space="preserve">automatically and without further act be deemed to have assumed, a portion of such Lender’s participations hereunder in outstanding Documentary Credits such that, immediately after giving effect to each such deemed assignment and assumption of participations, the percentage of the aggregate outstanding participations hereunder in Documentary Credits held by each Lender with a Revolving Commitment (including each Incremental Lender) will equal the percentage of the aggregate Revolving Commitments of all Lenders with Revolving Commitments represented by such Lender’s Revolving Commitment and (ii) if, on the date of such increase, there are any Revolving Loans outstanding, such Revolving Loans shall on or prior to the effectiveness of such increase in the Revolving Commitments be prepaid from the proceeds of additional Revolving Loans made hereunder (reflecting such increase in Revolving Commitments), which prepayment shall be accompanied by accrued interest on the Revolving Loans being prepaid and any costs incurred by any Lender in accordance with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The Administrative Agent and the Lenders hereby agree that the minimum Borrowing,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Borrowing and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payment requirements contained elsewhere in this Agreement shall not apply to the transactions effected pursuant to the immediately preceding sentence.</w:t>
      </w:r>
    </w:p>
    <w:p>
      <w:pPr>
        <w:spacing w:after="0" w:line="196" w:lineRule="exact"/>
        <w:rPr>
          <w:sz w:val="20"/>
          <w:szCs w:val="20"/>
          <w:color w:val="auto"/>
        </w:rPr>
      </w:pPr>
    </w:p>
    <w:p>
      <w:pPr>
        <w:ind w:left="1160" w:hanging="504"/>
        <w:spacing w:after="0"/>
        <w:tabs>
          <w:tab w:leader="none" w:pos="116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2.21</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to the contrary.</w:t>
      </w:r>
    </w:p>
    <w:p>
      <w:pPr>
        <w:spacing w:after="0" w:line="20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Replacement of Lenders</w:t>
      </w:r>
      <w:r>
        <w:rPr>
          <w:rFonts w:ascii="Arial" w:cs="Arial" w:eastAsia="Arial" w:hAnsi="Arial"/>
          <w:sz w:val="22"/>
          <w:szCs w:val="22"/>
          <w:color w:val="auto"/>
        </w:rPr>
        <w:t xml:space="preserve">. The Borrower shall be permitted to replace any Lender that (a) requests reimbursement for amounts owing pursuant to Section 2.15, 2.16 or 2.17, and is unable to designate a different lending office in accordance with Section 2.18 so as to eliminate the continued need for payment of amounts owing pursuant to Sections 2.15, 2.16 or 2.17, (b) refuses to extend its Loans pursuant to an Extension Offer pursuant to Section 2.23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Loans or the affected Classes of Loans) has been obtained), in each case with a replacement financial institution(s); provided that (i) such replacement does not conflict with any Requirement of Law, (ii) no Event of Default shall have occurred and be continuing at the time of such replacement, (iii) the replacement financial institution(s) shall purchase, at par, all Loans outstanding, Commitments, DC Exposure and other amounts related thereto owing to such replaced Lender on or prior to the date of replacement, (iv) the Borrower shall be liable to such replaced Lender under Section 2.17 if any </w:t>
      </w:r>
      <w:r>
        <w:rPr>
          <w:rFonts w:ascii="Arial" w:cs="Arial" w:eastAsia="Arial" w:hAnsi="Arial"/>
          <w:sz w:val="22"/>
          <w:szCs w:val="22"/>
          <w:color w:val="FF0000"/>
          <w:strike w:val="1"/>
        </w:rPr>
        <w:t>Eurodollar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 (vi) the replaced Lender shall be obligated to make such replacement in accordance with the provisions of Section 9.6 (provided that the Borrower shall be obligated to pay the registration and processing fee referred to therein), (vii) until such time as such replacement shall be consummated, the Borrower shall pay all additional amounts (if any) required pursuant to Section 2.15, 2.16 or 2.17, as the case may be, and (viii) any such replacement shall not be deemed</w:t>
      </w:r>
    </w:p>
    <w:p>
      <w:pPr>
        <w:sectPr>
          <w:pgSz w:w="11900" w:h="16838" w:orient="portrait"/>
          <w:cols w:equalWidth="0" w:num="1">
            <w:col w:w="11240"/>
          </w:cols>
          <w:pgMar w:left="320" w:top="1413" w:right="339" w:bottom="1440" w:gutter="0" w:footer="0" w:header="0"/>
        </w:sectPr>
      </w:pPr>
    </w:p>
    <w:bookmarkStart w:id="141" w:name="page142"/>
    <w:bookmarkEnd w:id="141"/>
    <w:p>
      <w:pPr>
        <w:spacing w:after="0" w:line="251" w:lineRule="auto"/>
        <w:rPr>
          <w:sz w:val="20"/>
          <w:szCs w:val="20"/>
          <w:color w:val="auto"/>
        </w:rPr>
      </w:pPr>
      <w:r>
        <w:rPr>
          <w:rFonts w:ascii="Arial" w:cs="Arial" w:eastAsia="Arial" w:hAnsi="Arial"/>
          <w:sz w:val="22"/>
          <w:szCs w:val="22"/>
          <w:color w:val="auto"/>
        </w:rPr>
        <w:t>to be a waiver of any rights that the Borrower, the Administrative Agent or any other Lender shall have against the replaced Lender.</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1"/>
          <w:szCs w:val="21"/>
          <w:u w:val="single" w:color="auto"/>
          <w:color w:val="auto"/>
        </w:rPr>
        <w:t>Extensions of Commitments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1" w:lineRule="auto"/>
        <w:tabs>
          <w:tab w:leader="none" w:pos="126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pursuant to one or more offers (each, an “</w:t>
      </w:r>
      <w:r>
        <w:rPr>
          <w:rFonts w:ascii="Arial" w:cs="Arial" w:eastAsia="Arial" w:hAnsi="Arial"/>
          <w:sz w:val="21"/>
          <w:szCs w:val="21"/>
          <w:u w:val="single" w:color="auto"/>
          <w:color w:val="auto"/>
        </w:rPr>
        <w:t>Extension Offer</w:t>
      </w:r>
      <w:r>
        <w:rPr>
          <w:rFonts w:ascii="Arial" w:cs="Arial" w:eastAsia="Arial" w:hAnsi="Arial"/>
          <w:sz w:val="21"/>
          <w:szCs w:val="21"/>
          <w:color w:val="auto"/>
        </w:rPr>
        <w:t>”) made from time to time by the Borrower to any or all Lenders holding Commitments with a like Revolving Maturity Date, the Borrower may from time to time request an extension to such Revolving Maturity Date and otherwise modify the terms of such Commitments pursuant to the terms of the relevant Extension Offer (including, without limitation, by increasing the interest rate or fees payable in respect of such Loans (and related outstandings)) (an “</w:t>
      </w:r>
      <w:r>
        <w:rPr>
          <w:rFonts w:ascii="Arial" w:cs="Arial" w:eastAsia="Arial" w:hAnsi="Arial"/>
          <w:sz w:val="21"/>
          <w:szCs w:val="21"/>
          <w:u w:val="single" w:color="auto"/>
          <w:color w:val="auto"/>
        </w:rPr>
        <w:t>Extension</w:t>
      </w:r>
      <w:r>
        <w:rPr>
          <w:rFonts w:ascii="Arial" w:cs="Arial" w:eastAsia="Arial" w:hAnsi="Arial"/>
          <w:sz w:val="21"/>
          <w:szCs w:val="21"/>
          <w:color w:val="auto"/>
        </w:rPr>
        <w:t>”, such Commitments so extended, “</w:t>
      </w:r>
      <w:r>
        <w:rPr>
          <w:rFonts w:ascii="Arial" w:cs="Arial" w:eastAsia="Arial" w:hAnsi="Arial"/>
          <w:sz w:val="21"/>
          <w:szCs w:val="21"/>
          <w:u w:val="single" w:color="auto"/>
          <w:color w:val="auto"/>
        </w:rPr>
        <w:t>Extended Revolving Commitments</w:t>
      </w:r>
      <w:r>
        <w:rPr>
          <w:rFonts w:ascii="Arial" w:cs="Arial" w:eastAsia="Arial" w:hAnsi="Arial"/>
          <w:sz w:val="21"/>
          <w:szCs w:val="21"/>
          <w:color w:val="auto"/>
        </w:rPr>
        <w:t>”; and each group of Commitments so extended, as well as the original Commitments of such Credit Facility (not so extended), being a “</w:t>
      </w:r>
      <w:r>
        <w:rPr>
          <w:rFonts w:ascii="Arial" w:cs="Arial" w:eastAsia="Arial" w:hAnsi="Arial"/>
          <w:sz w:val="21"/>
          <w:szCs w:val="21"/>
          <w:u w:val="single" w:color="auto"/>
          <w:color w:val="auto"/>
        </w:rPr>
        <w:t>tranche</w:t>
      </w:r>
      <w:r>
        <w:rPr>
          <w:rFonts w:ascii="Arial" w:cs="Arial" w:eastAsia="Arial" w:hAnsi="Arial"/>
          <w:sz w:val="21"/>
          <w:szCs w:val="21"/>
          <w:color w:val="auto"/>
        </w:rPr>
        <w:t xml:space="preserve">”; any Extended Revolving Commitments shall constitute a separate tranche of Commitments from the tranche of Commitments from which they were converted and Loans made pursuant to Extended Revolving Commitments shall constitute a separate Class of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each applicable Lender shall have the right (but not the obligation) to agree to the extension of such Revolving Maturity Date, (ii) no Default or Event of Default shall have occurred and be continuing at the time any the offering document (if any) in respect of an Extension Offer is delivered to the Lenders, (iii) except as to interest rates, fees and final maturity, the Extended Revolving Commitments of any Lender shall have the same terms as the original Commitments in the applicable Credit Facility;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no time shall there be more than three different Revolving Maturity Dates, (iv) if the aggregate principal amount of Commitments in respect of which Lenders shall have accepted the relevant Extension Offer shall exceed the maximum aggregate principal amount of Commitments offered to be extended by the Borrower pursuant to such Extension Offer, then the Commitments of such Lenders shall be extended ratably up to such maximum amount based on the respective principal amounts (but not to exceed actual holdings of record) with respect to which such Lenders have accepted such Extension Offer, (v) all documentation in respect of such Extension shall be consistent with the foregoing, and all written communications by the Borrower generally directed to the Lenders in connection therewith shall be in form and substance consistent with the foregoing and otherwise reasonably satisfactory to the Administrative Agent and (vi) any applicable Minimum Extension Condition shall be satisfied.</w:t>
      </w:r>
    </w:p>
    <w:p>
      <w:pPr>
        <w:spacing w:after="0" w:line="200" w:lineRule="exact"/>
        <w:rPr>
          <w:rFonts w:ascii="Arial" w:cs="Arial" w:eastAsia="Arial" w:hAnsi="Arial"/>
          <w:sz w:val="21"/>
          <w:szCs w:val="21"/>
          <w:color w:val="auto"/>
        </w:rPr>
      </w:pPr>
    </w:p>
    <w:p>
      <w:pPr>
        <w:jc w:val="both"/>
        <w:ind w:firstLine="656"/>
        <w:spacing w:after="0" w:line="233" w:lineRule="auto"/>
        <w:tabs>
          <w:tab w:leader="none" w:pos="13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With respect to an Extension consummated by the Borrower pursuant to this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(i) such Extensions shall not constitute prepayments for purposes of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(ii) no Extension Offer is required to be in any minimum amount or any minimum increment,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may at its election specify as a condition (a “</w:t>
      </w:r>
      <w:r>
        <w:rPr>
          <w:rFonts w:ascii="Arial" w:cs="Arial" w:eastAsia="Arial" w:hAnsi="Arial"/>
          <w:sz w:val="22"/>
          <w:szCs w:val="22"/>
          <w:u w:val="single" w:color="auto"/>
          <w:color w:val="auto"/>
        </w:rPr>
        <w:t>Minimum Extension Condition</w:t>
      </w:r>
      <w:r>
        <w:rPr>
          <w:rFonts w:ascii="Arial" w:cs="Arial" w:eastAsia="Arial" w:hAnsi="Arial"/>
          <w:sz w:val="22"/>
          <w:szCs w:val="22"/>
          <w:color w:val="auto"/>
        </w:rPr>
        <w:t>”) to consummating any such Extension that a minimum amount (to be determined and specified in the relevant Extension Offer in the Borrower’s discretion) of Commitments of any or all applicable tranches be tendered.</w:t>
      </w:r>
    </w:p>
    <w:p>
      <w:pPr>
        <w:spacing w:after="0" w:line="186" w:lineRule="exact"/>
        <w:rPr>
          <w:rFonts w:ascii="Arial" w:cs="Arial" w:eastAsia="Arial" w:hAnsi="Arial"/>
          <w:sz w:val="22"/>
          <w:szCs w:val="22"/>
          <w:color w:val="auto"/>
        </w:rPr>
      </w:pPr>
    </w:p>
    <w:p>
      <w:pPr>
        <w:ind w:firstLine="656"/>
        <w:spacing w:after="0" w:line="251" w:lineRule="auto"/>
        <w:tabs>
          <w:tab w:leader="none" w:pos="127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Lenders hereby irrevocably authorize the Administrative Agent to enter into amendments to this Agreement and the other Loan Documents with the</w:t>
      </w:r>
    </w:p>
    <w:p>
      <w:pPr>
        <w:sectPr>
          <w:pgSz w:w="11900" w:h="16838" w:orient="portrait"/>
          <w:cols w:equalWidth="0" w:num="1">
            <w:col w:w="11240"/>
          </w:cols>
          <w:pgMar w:left="320" w:top="1413" w:right="339" w:bottom="1440" w:gutter="0" w:footer="0" w:header="0"/>
        </w:sectPr>
      </w:pPr>
    </w:p>
    <w:bookmarkStart w:id="142" w:name="page143"/>
    <w:bookmarkEnd w:id="142"/>
    <w:p>
      <w:pPr>
        <w:jc w:val="both"/>
        <w:spacing w:after="0" w:line="232" w:lineRule="auto"/>
        <w:rPr>
          <w:sz w:val="20"/>
          <w:szCs w:val="20"/>
          <w:color w:val="auto"/>
        </w:rPr>
      </w:pPr>
      <w:r>
        <w:rPr>
          <w:rFonts w:ascii="Arial" w:cs="Arial" w:eastAsia="Arial" w:hAnsi="Arial"/>
          <w:sz w:val="22"/>
          <w:szCs w:val="22"/>
          <w:color w:val="auto"/>
        </w:rPr>
        <w:t xml:space="preserve">Borrower as may be necessary in order establish new tranches or sub-tranches in respect of Commitments so extended and such technical amendments as may be necessary in connection with the establishment of such new tranches or sub-tranches, in each case on terms consistent with this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Notwithstanding the foregoing, the Administrative Agent shall have the right (but not the obligation) to seek the advice or concurrence of the Required Lenders (of one or more Classes of Loans) with respect to any matter contemplated by this </w:t>
      </w:r>
      <w:r>
        <w:rPr>
          <w:rFonts w:ascii="Arial" w:cs="Arial" w:eastAsia="Arial" w:hAnsi="Arial"/>
          <w:sz w:val="22"/>
          <w:szCs w:val="22"/>
          <w:u w:val="single" w:color="auto"/>
          <w:color w:val="auto"/>
        </w:rPr>
        <w:t>Section 2.23(c)</w:t>
      </w:r>
      <w:r>
        <w:rPr>
          <w:rFonts w:ascii="Arial" w:cs="Arial" w:eastAsia="Arial" w:hAnsi="Arial"/>
          <w:sz w:val="22"/>
          <w:szCs w:val="22"/>
          <w:color w:val="auto"/>
        </w:rPr>
        <w:t xml:space="preserve"> and, if the Administrative Agent seeks such advice or concurrence, the Administrative Agent shall be permitted to enter into such amendments with the Borrower in accordance with any instructions actually received by such Required Lenders and shall also be entitled to refrain from entering into such amendments with the Borrower unless and until it shall have received such advice or concurrence;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whether or not there has been a request by the Administrative Agent for any such advice or concurrence, all such amendments entered into with the Borrower by the Administrative Agent hereunder shall be binding and conclusive on the Lenders.</w:t>
      </w:r>
    </w:p>
    <w:p>
      <w:pPr>
        <w:spacing w:after="0" w:line="186" w:lineRule="exact"/>
        <w:rPr>
          <w:sz w:val="20"/>
          <w:szCs w:val="20"/>
          <w:color w:val="auto"/>
        </w:rPr>
      </w:pPr>
    </w:p>
    <w:p>
      <w:pPr>
        <w:jc w:val="both"/>
        <w:ind w:firstLine="656"/>
        <w:spacing w:after="0" w:line="238" w:lineRule="auto"/>
        <w:tabs>
          <w:tab w:leader="none" w:pos="124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In connection with any Extension, the Borrower shall provide the Administrative Agent at least five (5) Business Days’ (or such shorter period as may be agreed by the Administrative Agent) prior written notice thereof, and shall agree to such procedures, if any, as may be established by, or acceptable to, the Administrative Agent, in each case acting reasonably to accomplish the purposes of this </w:t>
      </w:r>
      <w:r>
        <w:rPr>
          <w:rFonts w:ascii="Arial" w:cs="Arial" w:eastAsia="Arial" w:hAnsi="Arial"/>
          <w:sz w:val="22"/>
          <w:szCs w:val="22"/>
          <w:u w:val="single" w:color="auto"/>
          <w:color w:val="auto"/>
        </w:rPr>
        <w:t>Section 2.23</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5" w:lineRule="exact"/>
        <w:rPr>
          <w:sz w:val="20"/>
          <w:szCs w:val="20"/>
          <w:color w:val="auto"/>
        </w:rPr>
      </w:pPr>
    </w:p>
    <w:p>
      <w:pPr>
        <w:jc w:val="both"/>
        <w:ind w:firstLine="656"/>
        <w:spacing w:after="0" w:line="235" w:lineRule="auto"/>
        <w:tabs>
          <w:tab w:leader="none" w:pos="116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The Loans and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amendment, waiver or other modification requiring the consent of all Lenders or all Lenders affected thereby shall, except as otherwise provided in </w:t>
      </w:r>
      <w:r>
        <w:rPr>
          <w:rFonts w:ascii="Arial" w:cs="Arial" w:eastAsia="Arial" w:hAnsi="Arial"/>
          <w:sz w:val="22"/>
          <w:szCs w:val="22"/>
          <w:u w:val="single" w:color="auto"/>
          <w:color w:val="auto"/>
        </w:rPr>
        <w:t>Section 9.1</w:t>
      </w:r>
      <w:r>
        <w:rPr>
          <w:rFonts w:ascii="Arial" w:cs="Arial" w:eastAsia="Arial" w:hAnsi="Arial"/>
          <w:sz w:val="22"/>
          <w:szCs w:val="22"/>
          <w:color w:val="auto"/>
        </w:rPr>
        <w:t>, require the consent of such Defaulting Lender in accordance with the terms hereof.</w:t>
      </w:r>
    </w:p>
    <w:p>
      <w:pPr>
        <w:spacing w:after="0" w:line="187" w:lineRule="exact"/>
        <w:rPr>
          <w:rFonts w:ascii="Arial" w:cs="Arial" w:eastAsia="Arial" w:hAnsi="Arial"/>
          <w:sz w:val="22"/>
          <w:szCs w:val="22"/>
          <w:color w:val="auto"/>
        </w:rPr>
      </w:pPr>
    </w:p>
    <w:p>
      <w:pPr>
        <w:jc w:val="both"/>
        <w:ind w:firstLine="656"/>
        <w:spacing w:after="0" w:line="232" w:lineRule="auto"/>
        <w:tabs>
          <w:tab w:leader="none" w:pos="124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Defaulting Lender Waterfall</w:t>
      </w:r>
      <w:r>
        <w:rPr>
          <w:rFonts w:ascii="Arial" w:cs="Arial" w:eastAsia="Arial" w:hAnsi="Arial"/>
          <w:sz w:val="22"/>
          <w:szCs w:val="22"/>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Loans under this Agreement; fourth, to the payment of any amounts owing to the Lenders or Issuing Banks as a result of any judgment of a court of competent jurisdiction obtained by any</w:t>
      </w:r>
    </w:p>
    <w:p>
      <w:pPr>
        <w:sectPr>
          <w:pgSz w:w="11900" w:h="16838" w:orient="portrait"/>
          <w:cols w:equalWidth="0" w:num="1">
            <w:col w:w="11240"/>
          </w:cols>
          <w:pgMar w:left="320" w:top="1413" w:right="339" w:bottom="1440" w:gutter="0" w:footer="0" w:header="0"/>
        </w:sectPr>
      </w:pPr>
    </w:p>
    <w:bookmarkStart w:id="143" w:name="page144"/>
    <w:bookmarkEnd w:id="143"/>
    <w:p>
      <w:pPr>
        <w:jc w:val="both"/>
        <w:spacing w:after="0" w:line="243" w:lineRule="auto"/>
        <w:rPr>
          <w:sz w:val="20"/>
          <w:szCs w:val="20"/>
          <w:color w:val="auto"/>
        </w:rPr>
      </w:pPr>
      <w:r>
        <w:rPr>
          <w:rFonts w:ascii="Arial" w:cs="Arial" w:eastAsia="Arial" w:hAnsi="Arial"/>
          <w:sz w:val="21"/>
          <w:szCs w:val="21"/>
          <w:color w:val="auto"/>
        </w:rPr>
        <w:t xml:space="preserve">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were satisfied or waived, such payment shall be applied solely to pay the Loans of the same Class of all non-Defaulting Lenders on a pro rata basis prior to being applied to the payment of any Loans of such Class of such Defaulting Lender until such time as all Loans of such Class are held by the Lenders pro rata in accordance with the applicable Commitments.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83" w:lineRule="exact"/>
        <w:rPr>
          <w:sz w:val="20"/>
          <w:szCs w:val="20"/>
          <w:color w:val="auto"/>
        </w:rPr>
      </w:pPr>
    </w:p>
    <w:p>
      <w:pPr>
        <w:ind w:left="1140" w:hanging="484"/>
        <w:spacing w:after="0"/>
        <w:tabs>
          <w:tab w:leader="none" w:pos="11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any DC Exposure exists at the time such Lender becomes a Defaulting Lender then:</w:t>
      </w:r>
    </w:p>
    <w:p>
      <w:pPr>
        <w:spacing w:after="0" w:line="206" w:lineRule="exact"/>
        <w:rPr>
          <w:rFonts w:ascii="Arial" w:cs="Arial" w:eastAsia="Arial" w:hAnsi="Arial"/>
          <w:sz w:val="22"/>
          <w:szCs w:val="22"/>
          <w:color w:val="auto"/>
        </w:rPr>
      </w:pPr>
    </w:p>
    <w:p>
      <w:pPr>
        <w:jc w:val="both"/>
        <w:ind w:left="660" w:firstLine="644"/>
        <w:spacing w:after="0" w:line="231" w:lineRule="auto"/>
        <w:tabs>
          <w:tab w:leader="none" w:pos="1785" w:val="left"/>
        </w:tabs>
        <w:numPr>
          <w:ilvl w:val="1"/>
          <w:numId w:val="112"/>
        </w:numPr>
        <w:rPr>
          <w:rFonts w:ascii="Arial" w:cs="Arial" w:eastAsia="Arial" w:hAnsi="Arial"/>
          <w:sz w:val="22"/>
          <w:szCs w:val="22"/>
          <w:color w:val="auto"/>
        </w:rPr>
      </w:pPr>
      <w:r>
        <w:rPr>
          <w:rFonts w:ascii="Arial" w:cs="Arial" w:eastAsia="Arial" w:hAnsi="Arial"/>
          <w:sz w:val="22"/>
          <w:szCs w:val="22"/>
          <w:color w:val="auto"/>
        </w:rPr>
        <w:t>all or any part of the DC Exposure of such Defaulting Lender shall be reallocated among the non-Defaulting Lenders in accordance with their respective Revolving Credit Exposure Percentages but only to the extent (i) the sum of all non-Defaulting Lenders’ Loans and DC Exposure then outstanding plus such Defaulting Lender’s DC Exposure does not exceed the total of all non-Defaulting Lenders’ Commitments and</w:t>
      </w:r>
    </w:p>
    <w:p>
      <w:pPr>
        <w:ind w:left="660" w:hanging="4"/>
        <w:spacing w:after="0" w:line="238" w:lineRule="auto"/>
        <w:tabs>
          <w:tab w:leader="none" w:pos="96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that after giving effect to such reallocation, no non-Defaulting Lender’s Loans and DC Exposure exceeds its Commitment;</w:t>
      </w:r>
    </w:p>
    <w:p>
      <w:pPr>
        <w:spacing w:after="0" w:line="184" w:lineRule="exact"/>
        <w:rPr>
          <w:rFonts w:ascii="Arial" w:cs="Arial" w:eastAsia="Arial" w:hAnsi="Arial"/>
          <w:sz w:val="22"/>
          <w:szCs w:val="22"/>
          <w:color w:val="auto"/>
        </w:rPr>
      </w:pPr>
    </w:p>
    <w:p>
      <w:pPr>
        <w:jc w:val="both"/>
        <w:ind w:left="660" w:firstLine="644"/>
        <w:spacing w:after="0" w:line="235" w:lineRule="auto"/>
        <w:tabs>
          <w:tab w:leader="none" w:pos="1943"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if the reallocation described in clause (i) above cannot, or can only partially, be effected, the Borrower shall within one Business Day following notice by the Administrative Agent cash collateralize in Dollars (or, at the option of the Administrative Agent, in the applicable currency) for the benefit of the Issuing Banks only the Borrower’s obligations corresponding to such Defaulting Lender’s DC Exposure (after giving effect to any partial reallocation pursuant to clause (i) above) in accordance with the procedures set forth in </w:t>
      </w:r>
      <w:r>
        <w:rPr>
          <w:rFonts w:ascii="Arial" w:cs="Arial" w:eastAsia="Arial" w:hAnsi="Arial"/>
          <w:sz w:val="22"/>
          <w:szCs w:val="22"/>
          <w:u w:val="single" w:color="auto"/>
          <w:color w:val="auto"/>
        </w:rPr>
        <w:t>Section 7</w:t>
      </w:r>
      <w:r>
        <w:rPr>
          <w:rFonts w:ascii="Arial" w:cs="Arial" w:eastAsia="Arial" w:hAnsi="Arial"/>
          <w:sz w:val="22"/>
          <w:szCs w:val="22"/>
          <w:color w:val="auto"/>
        </w:rPr>
        <w:t xml:space="preserve"> for so long as such DC Exposure is outstanding;</w:t>
      </w:r>
    </w:p>
    <w:p>
      <w:pPr>
        <w:spacing w:after="0" w:line="187" w:lineRule="exact"/>
        <w:rPr>
          <w:rFonts w:ascii="Arial" w:cs="Arial" w:eastAsia="Arial" w:hAnsi="Arial"/>
          <w:sz w:val="22"/>
          <w:szCs w:val="22"/>
          <w:color w:val="auto"/>
        </w:rPr>
      </w:pPr>
    </w:p>
    <w:p>
      <w:pPr>
        <w:jc w:val="both"/>
        <w:ind w:left="660" w:firstLine="644"/>
        <w:spacing w:after="0" w:line="235" w:lineRule="auto"/>
        <w:tabs>
          <w:tab w:leader="none" w:pos="186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 xml:space="preserve">if the Borrower cash collateralizes any portion of such Defaulting Lender’s DC Exposure pursuant to clause (ii) above, the Borrower shall not be required to pay any fees to such Defaulting Lender pursuant to </w:t>
      </w:r>
      <w:r>
        <w:rPr>
          <w:rFonts w:ascii="Arial" w:cs="Arial" w:eastAsia="Arial" w:hAnsi="Arial"/>
          <w:sz w:val="22"/>
          <w:szCs w:val="22"/>
          <w:u w:val="single" w:color="auto"/>
          <w:color w:val="auto"/>
        </w:rPr>
        <w:t>Section 2.19(c)</w:t>
      </w:r>
      <w:r>
        <w:rPr>
          <w:rFonts w:ascii="Arial" w:cs="Arial" w:eastAsia="Arial" w:hAnsi="Arial"/>
          <w:sz w:val="22"/>
          <w:szCs w:val="22"/>
          <w:color w:val="auto"/>
        </w:rPr>
        <w:t xml:space="preserve"> with respect to such Defaulting Lender’s DC Exposure during the period such Defaulting Lender’s DC Exposure is cash collateralized;</w:t>
      </w:r>
    </w:p>
    <w:p>
      <w:pPr>
        <w:spacing w:after="0" w:line="183" w:lineRule="exact"/>
        <w:rPr>
          <w:rFonts w:ascii="Arial" w:cs="Arial" w:eastAsia="Arial" w:hAnsi="Arial"/>
          <w:sz w:val="22"/>
          <w:szCs w:val="22"/>
          <w:color w:val="auto"/>
        </w:rPr>
      </w:pPr>
    </w:p>
    <w:p>
      <w:pPr>
        <w:ind w:left="660" w:firstLine="644"/>
        <w:spacing w:after="0" w:line="251" w:lineRule="auto"/>
        <w:tabs>
          <w:tab w:leader="none" w:pos="1864" w:val="left"/>
        </w:tabs>
        <w:numPr>
          <w:ilvl w:val="1"/>
          <w:numId w:val="113"/>
        </w:numPr>
        <w:rPr>
          <w:rFonts w:ascii="Arial" w:cs="Arial" w:eastAsia="Arial" w:hAnsi="Arial"/>
          <w:sz w:val="22"/>
          <w:szCs w:val="22"/>
          <w:color w:val="auto"/>
        </w:rPr>
      </w:pPr>
      <w:r>
        <w:rPr>
          <w:rFonts w:ascii="Arial" w:cs="Arial" w:eastAsia="Arial" w:hAnsi="Arial"/>
          <w:sz w:val="22"/>
          <w:szCs w:val="22"/>
          <w:color w:val="auto"/>
        </w:rPr>
        <w:t>if the DC Exposure of the non-Defaulting Lenders is reallocated pursuant to clause (i) above, then the fees payable to the Lenders pursuant to</w:t>
      </w:r>
    </w:p>
    <w:p>
      <w:pPr>
        <w:sectPr>
          <w:pgSz w:w="11900" w:h="16838" w:orient="portrait"/>
          <w:cols w:equalWidth="0" w:num="1">
            <w:col w:w="11240"/>
          </w:cols>
          <w:pgMar w:left="320" w:top="1413" w:right="339" w:bottom="1440" w:gutter="0" w:footer="0" w:header="0"/>
        </w:sectPr>
      </w:pPr>
    </w:p>
    <w:bookmarkStart w:id="144" w:name="page145"/>
    <w:bookmarkEnd w:id="144"/>
    <w:p>
      <w:pPr>
        <w:ind w:left="4"/>
        <w:spacing w:after="0" w:line="251" w:lineRule="auto"/>
        <w:rPr>
          <w:sz w:val="20"/>
          <w:szCs w:val="20"/>
          <w:color w:val="auto"/>
        </w:rPr>
      </w:pPr>
      <w:r>
        <w:rPr>
          <w:rFonts w:ascii="Arial" w:cs="Arial" w:eastAsia="Arial" w:hAnsi="Arial"/>
          <w:sz w:val="22"/>
          <w:szCs w:val="22"/>
          <w:u w:val="single" w:color="auto"/>
          <w:color w:val="auto"/>
        </w:rPr>
        <w:t>Section 2.19(c)</w:t>
      </w:r>
      <w:r>
        <w:rPr>
          <w:rFonts w:ascii="Arial" w:cs="Arial" w:eastAsia="Arial" w:hAnsi="Arial"/>
          <w:sz w:val="22"/>
          <w:szCs w:val="22"/>
          <w:color w:val="auto"/>
        </w:rPr>
        <w:t xml:space="preserve"> shall be adjusted in accordance with such non-Defaulting Lenders’ Revolving Credit Exposure Percentages; and</w:t>
      </w:r>
    </w:p>
    <w:p>
      <w:pPr>
        <w:spacing w:after="0" w:line="173" w:lineRule="exact"/>
        <w:rPr>
          <w:sz w:val="20"/>
          <w:szCs w:val="20"/>
          <w:color w:val="auto"/>
        </w:rPr>
      </w:pPr>
    </w:p>
    <w:p>
      <w:pPr>
        <w:jc w:val="both"/>
        <w:ind w:left="4" w:firstLine="644"/>
        <w:spacing w:after="0" w:line="234" w:lineRule="auto"/>
        <w:tabs>
          <w:tab w:leader="none" w:pos="1294"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if all or any portion of such Defaulting Lender’s DC Exposure is neither reallocated nor cash collateralized pursuant to clause (i) or (ii) above, then, without prejudice to any rights or remedies of the Issuing Banks or any other Lender hereunder, all fees payable under </w:t>
      </w:r>
      <w:r>
        <w:rPr>
          <w:rFonts w:ascii="Arial" w:cs="Arial" w:eastAsia="Arial" w:hAnsi="Arial"/>
          <w:sz w:val="22"/>
          <w:szCs w:val="22"/>
          <w:u w:val="single" w:color="auto"/>
          <w:color w:val="auto"/>
        </w:rPr>
        <w:t>Section 2.19(c)</w:t>
      </w:r>
      <w:r>
        <w:rPr>
          <w:rFonts w:ascii="Arial" w:cs="Arial" w:eastAsia="Arial" w:hAnsi="Arial"/>
          <w:sz w:val="22"/>
          <w:szCs w:val="22"/>
          <w:color w:val="auto"/>
        </w:rPr>
        <w:t xml:space="preserve"> with respect to such Defaulting Lender’s DC Exposure shall be payable to the Issuing Banks until and to the extent that such DC Exposure is reallocated and/or cash collateralized; and</w:t>
      </w:r>
    </w:p>
    <w:p>
      <w:pPr>
        <w:spacing w:after="0" w:line="184" w:lineRule="exact"/>
        <w:rPr>
          <w:rFonts w:ascii="Arial" w:cs="Arial" w:eastAsia="Arial" w:hAnsi="Arial"/>
          <w:sz w:val="22"/>
          <w:szCs w:val="22"/>
          <w:color w:val="auto"/>
        </w:rPr>
      </w:pPr>
    </w:p>
    <w:p>
      <w:pPr>
        <w:jc w:val="both"/>
        <w:ind w:left="-656" w:firstLine="656"/>
        <w:spacing w:after="0" w:line="235" w:lineRule="auto"/>
        <w:tabs>
          <w:tab w:leader="none" w:pos="539"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So long as such Lender is a Defaulting Lender, the Issuing Banks shall not be required to issue, amend or increase any Documentary Credit, unless it is satisfied that the related exposure and the Defaulting Lender’s then outstanding DC Exposure will be 100% covered by the Commitments of the non-Defaulting Lenders and/or cash collateral will be provided by the Borrower in accordance with </w:t>
      </w:r>
      <w:r>
        <w:rPr>
          <w:rFonts w:ascii="Arial" w:cs="Arial" w:eastAsia="Arial" w:hAnsi="Arial"/>
          <w:sz w:val="22"/>
          <w:szCs w:val="22"/>
          <w:u w:val="single" w:color="auto"/>
          <w:color w:val="auto"/>
        </w:rPr>
        <w:t>Section 2.24(c)</w:t>
      </w:r>
      <w:r>
        <w:rPr>
          <w:rFonts w:ascii="Arial" w:cs="Arial" w:eastAsia="Arial" w:hAnsi="Arial"/>
          <w:sz w:val="22"/>
          <w:szCs w:val="22"/>
          <w:color w:val="auto"/>
        </w:rPr>
        <w:t xml:space="preserve">, and participating interests in any newly issued or increased Documentary Credit shall be allocated among non-Defaulting Lenders in a manner consistent with </w:t>
      </w:r>
      <w:r>
        <w:rPr>
          <w:rFonts w:ascii="Arial" w:cs="Arial" w:eastAsia="Arial" w:hAnsi="Arial"/>
          <w:sz w:val="22"/>
          <w:szCs w:val="22"/>
          <w:u w:val="single" w:color="auto"/>
          <w:color w:val="auto"/>
        </w:rPr>
        <w:t>Section 2.24(c)(i)</w:t>
      </w:r>
      <w:r>
        <w:rPr>
          <w:rFonts w:ascii="Arial" w:cs="Arial" w:eastAsia="Arial" w:hAnsi="Arial"/>
          <w:sz w:val="22"/>
          <w:szCs w:val="22"/>
          <w:color w:val="auto"/>
        </w:rPr>
        <w:t xml:space="preserve"> (and such Defaulting Lender shall not participate therein).</w:t>
      </w:r>
    </w:p>
    <w:p>
      <w:pPr>
        <w:spacing w:after="0" w:line="187" w:lineRule="exact"/>
        <w:rPr>
          <w:rFonts w:ascii="Arial" w:cs="Arial" w:eastAsia="Arial" w:hAnsi="Arial"/>
          <w:sz w:val="22"/>
          <w:szCs w:val="22"/>
          <w:color w:val="auto"/>
        </w:rPr>
      </w:pPr>
    </w:p>
    <w:p>
      <w:pPr>
        <w:jc w:val="both"/>
        <w:ind w:left="-656" w:firstLine="656"/>
        <w:spacing w:after="0" w:line="231" w:lineRule="auto"/>
        <w:tabs>
          <w:tab w:leader="none" w:pos="532"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Defaulting Lender Cure</w:t>
      </w:r>
      <w:r>
        <w:rPr>
          <w:rFonts w:ascii="Arial" w:cs="Arial" w:eastAsia="Arial" w:hAnsi="Arial"/>
          <w:sz w:val="22"/>
          <w:szCs w:val="22"/>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the DC Exposure of the Lenders will be readjusted to reflect the inclusion of such Lender’s Commitment and such Lender will, to the extent applicable, purchase at par that portion of outstanding Loans of the other Lenders or take such other actions as the Administrative Agent (unless the Administrative Agent is the Defaulting Lender) may determine to be necessary to cause the Loans to be held pro rata by the Lenders in accordance with the relative amounts of their Commitments for each applicable Class of Loans, whereupon such Lender will cease to be a Defaulting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82" w:lineRule="exact"/>
        <w:rPr>
          <w:sz w:val="20"/>
          <w:szCs w:val="20"/>
          <w:color w:val="auto"/>
        </w:rPr>
      </w:pPr>
    </w:p>
    <w:p>
      <w:pPr>
        <w:ind w:left="4"/>
        <w:spacing w:after="0"/>
        <w:tabs>
          <w:tab w:leader="none" w:pos="704"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1"/>
          <w:szCs w:val="21"/>
          <w:u w:val="single" w:color="auto"/>
          <w:color w:val="auto"/>
        </w:rPr>
        <w:t>Sustainability Adjustments</w:t>
      </w:r>
      <w:r>
        <w:rPr>
          <w:rFonts w:ascii="Arial" w:cs="Arial" w:eastAsia="Arial" w:hAnsi="Arial"/>
          <w:sz w:val="21"/>
          <w:szCs w:val="21"/>
          <w:color w:val="auto"/>
        </w:rPr>
        <w:t>.</w:t>
      </w:r>
    </w:p>
    <w:p>
      <w:pPr>
        <w:spacing w:after="0" w:line="206" w:lineRule="exact"/>
        <w:rPr>
          <w:sz w:val="20"/>
          <w:szCs w:val="20"/>
          <w:color w:val="auto"/>
        </w:rPr>
      </w:pPr>
    </w:p>
    <w:p>
      <w:pPr>
        <w:jc w:val="both"/>
        <w:ind w:left="-656" w:firstLine="656"/>
        <w:spacing w:after="0" w:line="236" w:lineRule="auto"/>
        <w:tabs>
          <w:tab w:leader="none" w:pos="62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Each of the Sustainability Margin Adjustment and the Sustainability Commitment Fee Adjustment shall be effective on the Sustainability Adjustment Date and (B) each change in the Applicable Margin and the Commitment Fee Percentage resulting from a Sustainability Pricing Certificate shall be effective during the period commencing on and including the applicable Sustainability Adjustment Date and ending on the date immediately preceding the next such Sustainability Adjustment Date.</w:t>
      </w:r>
    </w:p>
    <w:p>
      <w:pPr>
        <w:sectPr>
          <w:pgSz w:w="11900" w:h="16838" w:orient="portrait"/>
          <w:cols w:equalWidth="0" w:num="1">
            <w:col w:w="10584"/>
          </w:cols>
          <w:pgMar w:left="976" w:top="1413" w:right="339" w:bottom="1440" w:gutter="0" w:footer="0" w:header="0"/>
        </w:sectPr>
      </w:pPr>
    </w:p>
    <w:bookmarkStart w:id="145" w:name="page146"/>
    <w:bookmarkEnd w:id="145"/>
    <w:p>
      <w:pPr>
        <w:jc w:val="both"/>
        <w:ind w:left="-656" w:firstLine="656"/>
        <w:spacing w:after="0" w:line="232" w:lineRule="auto"/>
        <w:tabs>
          <w:tab w:leader="none" w:pos="51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For the avoidance of doubt, the Sustainability Pricing Certificate may be delivered only once in respect of any calendar year. It is further understood and agreed that the Applicable Margin will never be reduced or increased by more than 5.00 basis points and the Commitment Fee Percentage will never be reduced or increased by more than 1.00 basis points, in each case pursuant to the Sustainability Margin Adjustment or the Sustainability Commitment Fee Adjustment, as applicable, during any calendar year (the “</w:t>
      </w:r>
      <w:r>
        <w:rPr>
          <w:rFonts w:ascii="Arial" w:cs="Arial" w:eastAsia="Arial" w:hAnsi="Arial"/>
          <w:sz w:val="22"/>
          <w:szCs w:val="22"/>
          <w:u w:val="single" w:color="auto"/>
          <w:color w:val="auto"/>
        </w:rPr>
        <w:t>Maximum Adjustment</w:t>
      </w:r>
      <w:r>
        <w:rPr>
          <w:rFonts w:ascii="Arial" w:cs="Arial" w:eastAsia="Arial" w:hAnsi="Arial"/>
          <w:sz w:val="22"/>
          <w:szCs w:val="22"/>
          <w:color w:val="auto"/>
        </w:rPr>
        <w:t>”). For the avoidance of doubt, any adjustment to the Applicable Margin due to a Sustainability Margin Adjustment or any adjustment to the Commitment Fee Percentage due to a Sustainability Commitment Fee Adjustment in any calendar year shall not be cumulative year-over-year. Each applicable adjustment shall only apply until the date on which the next adjustment is due to take place.</w:t>
      </w:r>
    </w:p>
    <w:p>
      <w:pPr>
        <w:spacing w:after="0" w:line="188" w:lineRule="exact"/>
        <w:rPr>
          <w:rFonts w:ascii="Arial" w:cs="Arial" w:eastAsia="Arial" w:hAnsi="Arial"/>
          <w:sz w:val="22"/>
          <w:szCs w:val="22"/>
          <w:color w:val="auto"/>
        </w:rPr>
      </w:pPr>
    </w:p>
    <w:p>
      <w:pPr>
        <w:jc w:val="both"/>
        <w:ind w:left="-656" w:firstLine="656"/>
        <w:spacing w:after="0" w:line="246" w:lineRule="auto"/>
        <w:tabs>
          <w:tab w:leader="none" w:pos="49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 xml:space="preserve">If the Borrower fails to provide the Administrative Agent with the Sustainability Pricing Certificate or one or more of the KPI Metrics for any calendar year within the timeframe indicated in Section 5.2(d), the Applicable Margin shall be increased by 1.67 basis points and the Commitment Fee Percentage shall be increased by 0.34 basis points for each applicable Key Performance Indicator for which a KPI Metric has not been submitted, commencing on the day by which such Sustainability Pricing Certificate was required to have been delivered pursuant to the terms of </w:t>
      </w:r>
      <w:r>
        <w:rPr>
          <w:rFonts w:ascii="Arial" w:cs="Arial" w:eastAsia="Arial" w:hAnsi="Arial"/>
          <w:sz w:val="21"/>
          <w:szCs w:val="21"/>
          <w:u w:val="single" w:color="auto"/>
          <w:color w:val="auto"/>
        </w:rPr>
        <w:t>Section 5.2(d)</w:t>
      </w:r>
      <w:r>
        <w:rPr>
          <w:rFonts w:ascii="Arial" w:cs="Arial" w:eastAsia="Arial" w:hAnsi="Arial"/>
          <w:sz w:val="21"/>
          <w:szCs w:val="21"/>
          <w:color w:val="auto"/>
        </w:rPr>
        <w:t xml:space="preserve"> and continuing until the Borrower submits another Sustainability Pricing Certificate for the subsequent calendar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is understood and agreed that the Applicable Margin and the Commitment Fee Percentage, as applicable, will never be increased by more than the Maximum Adjustment.</w:t>
      </w:r>
    </w:p>
    <w:p>
      <w:pPr>
        <w:spacing w:after="0" w:line="166" w:lineRule="exact"/>
        <w:rPr>
          <w:rFonts w:ascii="Arial" w:cs="Arial" w:eastAsia="Arial" w:hAnsi="Arial"/>
          <w:sz w:val="21"/>
          <w:szCs w:val="21"/>
          <w:color w:val="auto"/>
        </w:rPr>
      </w:pPr>
    </w:p>
    <w:p>
      <w:pPr>
        <w:jc w:val="both"/>
        <w:ind w:left="-656" w:firstLine="656"/>
        <w:spacing w:after="0" w:line="231" w:lineRule="auto"/>
        <w:tabs>
          <w:tab w:leader="none" w:pos="624"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(i)(A) the Borrower or any Lender becomes aware of any material inaccuracy in any Sustainability Applicable Rate Adjustment or any KPI Metric calculation as reported in a Sustainability Pricing Certificate (any such material inaccuracy, a “</w:t>
      </w:r>
      <w:r>
        <w:rPr>
          <w:rFonts w:ascii="Arial" w:cs="Arial" w:eastAsia="Arial" w:hAnsi="Arial"/>
          <w:sz w:val="22"/>
          <w:szCs w:val="22"/>
          <w:u w:val="single" w:color="auto"/>
          <w:color w:val="auto"/>
        </w:rPr>
        <w:t>Sustainability Pricing Certificate Inaccuracy</w:t>
      </w:r>
      <w:r>
        <w:rPr>
          <w:rFonts w:ascii="Arial" w:cs="Arial" w:eastAsia="Arial" w:hAnsi="Arial"/>
          <w:sz w:val="22"/>
          <w:szCs w:val="22"/>
          <w:color w:val="auto"/>
        </w:rPr>
        <w:t>”) and, in the case of any Lender, such Lender delivers, not later than 10 Business Days after obtaining knowledge thereof, a written notice to the Administrative Agent and the Sustainability Structuring Agent describing such Sustainability Pricing Certificate Inaccuracy in reasonable detail (which description shall be promptly shared with each Lender and the Borrower), or (B) the Borrower and the Lenders agree that there was a Sustainability Pricing Certificate Inaccuracy at the time of delivery of a Sustainability Pricing Certificate, and (ii) a proper calculation of the Sustainability Applicable Rate Adjustments or the KPI Metrics would have resulted in an increase in the Applicable Margin and/or Commitment Fee Percentage for any applicable period, the Borrower shall pay to the Administrative Agent for the account of the Lenders promptly following written demand by the Administrative Agent (or, after the occurrence of an actual or deemed entry of an order for relief with respect to the Borrower under the Bankruptcy Code, automatically and without further action by the Administrative Agent, any Lender), but in any event within 10 Business Days after the Borrower has received written notice in reasonable detail of, or has agreed in writing that there was, a Sustainability Pricing Certificate Inaccuracy, an amount equal to the excess of (1) the amount of interest or fee that should have been paid for such period over (2) the amount of interest or fee actually paid for such period. If the Borrower becomes aware of any Sustainability Pricing Certificate Inaccuracy and, in connection therewith, if a proper calculation of the Sustainability Applicable Rate Adjustment or the KPI Metrics would have resulted in a</w:t>
      </w:r>
    </w:p>
    <w:p>
      <w:pPr>
        <w:sectPr>
          <w:pgSz w:w="11900" w:h="16838" w:orient="portrait"/>
          <w:cols w:equalWidth="0" w:num="1">
            <w:col w:w="10584"/>
          </w:cols>
          <w:pgMar w:left="976" w:top="1413" w:right="339" w:bottom="1440" w:gutter="0" w:footer="0" w:header="0"/>
        </w:sectPr>
      </w:pPr>
    </w:p>
    <w:bookmarkStart w:id="146" w:name="page147"/>
    <w:bookmarkEnd w:id="146"/>
    <w:p>
      <w:pPr>
        <w:jc w:val="both"/>
        <w:spacing w:after="0" w:line="230" w:lineRule="auto"/>
        <w:rPr>
          <w:sz w:val="20"/>
          <w:szCs w:val="20"/>
          <w:color w:val="auto"/>
        </w:rPr>
      </w:pPr>
      <w:r>
        <w:rPr>
          <w:rFonts w:ascii="Arial" w:cs="Arial" w:eastAsia="Arial" w:hAnsi="Arial"/>
          <w:sz w:val="22"/>
          <w:szCs w:val="22"/>
          <w:color w:val="auto"/>
        </w:rPr>
        <w:t xml:space="preserve">decrease in the Applicable Margin or Commitment Fee Percentage for any period, then, upon receipt by the Administrative Agent of notice from the Borrower of such Sustainability Pricing Certificate Inaccuracy (which notice shall include corrections to the calculations of the Sustainability Applicable Rate Adjustment or the KPI Metrics, as applicable and be certified to by a Responsible Officer of the Borrower), commencing on the Business Day following receipt by the Administrative Agent of such notice, the Applicable Margin or the Commitment Fee Percentage, as applicable, shall be adjusted to reflect the corrected calculations of the Sustainability Applicable Rate Adjustment or the KPI Metrics, as applicable. It is understood and agreed that any Sustainability Pricing Certificate Inaccuracy with respect to any applicable period shall not constitute a Default or Event of Default unless the Borrower fails to make a payment required by the foregoing terms of this </w:t>
      </w:r>
      <w:r>
        <w:rPr>
          <w:rFonts w:ascii="Arial" w:cs="Arial" w:eastAsia="Arial" w:hAnsi="Arial"/>
          <w:sz w:val="22"/>
          <w:szCs w:val="22"/>
          <w:u w:val="single" w:color="auto"/>
          <w:color w:val="auto"/>
        </w:rPr>
        <w:t>Section 2.25(d)</w:t>
      </w:r>
      <w:r>
        <w:rPr>
          <w:rFonts w:ascii="Arial" w:cs="Arial" w:eastAsia="Arial" w:hAnsi="Arial"/>
          <w:sz w:val="22"/>
          <w:szCs w:val="22"/>
          <w:color w:val="auto"/>
        </w:rPr>
        <w:t xml:space="preserve"> with respect to such Sustainability Pricing Certificate Inaccuracy following demand for payment by the Administrative Agent made in accordance with the foregoing terms of this </w:t>
      </w:r>
      <w:r>
        <w:rPr>
          <w:rFonts w:ascii="Arial" w:cs="Arial" w:eastAsia="Arial" w:hAnsi="Arial"/>
          <w:sz w:val="22"/>
          <w:szCs w:val="22"/>
          <w:u w:val="single" w:color="auto"/>
          <w:color w:val="auto"/>
        </w:rPr>
        <w:t>Section 2.25(d)</w:t>
      </w:r>
      <w:r>
        <w:rPr>
          <w:rFonts w:ascii="Arial" w:cs="Arial" w:eastAsia="Arial" w:hAnsi="Arial"/>
          <w:sz w:val="22"/>
          <w:szCs w:val="22"/>
          <w:color w:val="auto"/>
        </w:rPr>
        <w:t>. Notwithstanding anything to the contrary herein, unless such amounts shall be due upon the occurrence of an actual or deemed entry of an order for relief with respect to the Borrower under the Bankruptcy Code, (a) any additional amounts required to be paid pursuant the immediately preceding paragraph shall not be due and payable until a written demand is made for such payment by the Administrative Agent in accordance with such paragraph, (b) any nonpayment of such additional amounts prior to or upon such demand for payment by Administrative Agent shall not constitute a Default or Event of Default (whether retroactively or otherwise) and (c) none of such additional amounts shall be deemed overdue prior to such a demand or shall accrue interest at the Default Rate prior to such a demand.</w:t>
      </w:r>
    </w:p>
    <w:p>
      <w:pPr>
        <w:spacing w:after="0" w:line="199" w:lineRule="exact"/>
        <w:rPr>
          <w:sz w:val="20"/>
          <w:szCs w:val="20"/>
          <w:color w:val="auto"/>
        </w:rPr>
      </w:pPr>
    </w:p>
    <w:p>
      <w:pPr>
        <w:jc w:val="both"/>
        <w:ind w:firstLine="656"/>
        <w:spacing w:after="0" w:line="235" w:lineRule="auto"/>
        <w:tabs>
          <w:tab w:leader="none" w:pos="121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party hereto hereby agrees that neither the Administrative Agent nor the Sustainability Structuring Agent shall have any responsibility for (or liability in respect of) reviewing, auditing or otherwise evaluating any calculation by the Borrower of any Sustainability Applicable Rate Adjustment (or any of the data or computations that are part of or related to any such calculation) set forth in the Initial KPI Metrics Report, any KPI Metrics Report or any Sustainability Pricing Certificate (and the Administrative Agent may rely conclusively on any such certificate, without further inquiry).</w:t>
      </w:r>
    </w:p>
    <w:p>
      <w:pPr>
        <w:spacing w:after="0" w:line="187" w:lineRule="exact"/>
        <w:rPr>
          <w:rFonts w:ascii="Arial" w:cs="Arial" w:eastAsia="Arial" w:hAnsi="Arial"/>
          <w:sz w:val="22"/>
          <w:szCs w:val="22"/>
          <w:color w:val="auto"/>
        </w:rPr>
      </w:pPr>
    </w:p>
    <w:p>
      <w:pPr>
        <w:jc w:val="both"/>
        <w:ind w:firstLine="656"/>
        <w:spacing w:after="0" w:line="232" w:lineRule="auto"/>
        <w:tabs>
          <w:tab w:leader="none" w:pos="114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In the event of a Regulatory Change in relation to any Key Performance Indicator, the Borrower and the Sustainability Structuring Agent shall negotiate in good faith, by no later than 60 days following such Regulatory Change any necessary amendment, modification or other supplement to Schedule 1.3 (Sustainability Performance Thresholds) (and any component definitions thereof). Such amendment, modification or other supplement, shall be consented to by the Administrative Agent, Sustainability Structuring Agent and the Borrower and will take effect so long as Lenders constituting Required Lenders do not object to such changes within five Business Days after notice of such proposed amendment, modification or other supplement. If the Borrower and the Structuring Sustainability Agent do not agree to any such amendment, modification or supplement following the 60 day period, then, upon the written agreement among the Sustainability Structuring Agent, the Borrower and the Administrative Agent, which will take effect so long as Lenders constituting Required Lenders do not object to such agreement within five Business Days after notice of such</w:t>
      </w:r>
    </w:p>
    <w:p>
      <w:pPr>
        <w:sectPr>
          <w:pgSz w:w="11900" w:h="16838" w:orient="portrait"/>
          <w:cols w:equalWidth="0" w:num="1">
            <w:col w:w="11240"/>
          </w:cols>
          <w:pgMar w:left="320" w:top="1413" w:right="339" w:bottom="1440" w:gutter="0" w:footer="0" w:header="0"/>
        </w:sectPr>
      </w:pPr>
    </w:p>
    <w:bookmarkStart w:id="147" w:name="page148"/>
    <w:bookmarkEnd w:id="147"/>
    <w:p>
      <w:pPr>
        <w:jc w:val="both"/>
        <w:spacing w:after="0" w:line="236" w:lineRule="auto"/>
        <w:rPr>
          <w:sz w:val="20"/>
          <w:szCs w:val="20"/>
          <w:color w:val="auto"/>
        </w:rPr>
      </w:pPr>
      <w:r>
        <w:rPr>
          <w:rFonts w:ascii="Arial" w:cs="Arial" w:eastAsia="Arial" w:hAnsi="Arial"/>
          <w:sz w:val="22"/>
          <w:szCs w:val="22"/>
          <w:color w:val="auto"/>
        </w:rPr>
        <w:t>proposed agreement, the Sustainability Applicable Rate Adjustment shall cease to apply for the relevant Key Performance Indicator and, notwithstanding anything to the contrary herein, for all purposes hereunder, the Sustainability Applicable Rate Adjustment for such Key Performance Indicator shall be deemed to be zero. In the case such Key Performance Indicator no longer applies, the Borrower will then cease to refer to the applicable Key Performance Indicator in the Sustainability Pricing Certificate.</w:t>
      </w:r>
    </w:p>
    <w:p>
      <w:pPr>
        <w:spacing w:after="0" w:line="180" w:lineRule="exact"/>
        <w:rPr>
          <w:sz w:val="20"/>
          <w:szCs w:val="20"/>
          <w:color w:val="auto"/>
        </w:rPr>
      </w:pPr>
    </w:p>
    <w:p>
      <w:pPr>
        <w:ind w:left="4820"/>
        <w:spacing w:after="0"/>
        <w:rPr>
          <w:sz w:val="20"/>
          <w:szCs w:val="20"/>
          <w:color w:val="auto"/>
        </w:rPr>
      </w:pPr>
      <w:r>
        <w:rPr>
          <w:rFonts w:ascii="Arial" w:cs="Arial" w:eastAsia="Arial" w:hAnsi="Arial"/>
          <w:sz w:val="22"/>
          <w:szCs w:val="22"/>
          <w:color w:val="010000"/>
        </w:rPr>
        <w:t>Section 3______</w:t>
      </w: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Borrower represents and warrant on the Closing Date to the Administrative Agent, each Lender and each</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Issuing Bank as follows:</w:t>
      </w:r>
    </w:p>
    <w:p>
      <w:pPr>
        <w:spacing w:after="0" w:line="19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Existence; Compliance with Law</w:t>
      </w:r>
      <w:r>
        <w:rPr>
          <w:rFonts w:ascii="Arial" w:cs="Arial" w:eastAsia="Arial" w:hAnsi="Arial"/>
          <w:sz w:val="22"/>
          <w:szCs w:val="22"/>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18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Power; Authorizations; Enforceable Obligations</w:t>
      </w:r>
      <w:r>
        <w:rPr>
          <w:rFonts w:ascii="Arial" w:cs="Arial" w:eastAsia="Arial" w:hAnsi="Arial"/>
          <w:sz w:val="22"/>
          <w:szCs w:val="22"/>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and (ii)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ectPr>
          <w:pgSz w:w="11900" w:h="16838" w:orient="portrait"/>
          <w:cols w:equalWidth="0" w:num="1">
            <w:col w:w="11240"/>
          </w:cols>
          <w:pgMar w:left="320" w:top="1413" w:right="339" w:bottom="1440" w:gutter="0" w:footer="0" w:header="0"/>
        </w:sectPr>
      </w:pPr>
    </w:p>
    <w:bookmarkStart w:id="148" w:name="page149"/>
    <w:bookmarkEnd w:id="148"/>
    <w:p>
      <w:pPr>
        <w:jc w:val="both"/>
        <w:ind w:firstLine="648"/>
        <w:spacing w:after="0" w:line="23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 Legal Bar</w:t>
      </w:r>
      <w:r>
        <w:rPr>
          <w:rFonts w:ascii="Arial" w:cs="Arial" w:eastAsia="Arial" w:hAnsi="Arial"/>
          <w:sz w:val="22"/>
          <w:szCs w:val="22"/>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Accuracy of Information</w:t>
      </w:r>
      <w:r>
        <w:rPr>
          <w:rFonts w:ascii="Arial" w:cs="Arial" w:eastAsia="Arial" w:hAnsi="Arial"/>
          <w:sz w:val="22"/>
          <w:szCs w:val="22"/>
          <w:color w:val="auto"/>
        </w:rPr>
        <w:t>. No statement or information contained in this Agreement, any other Loan Document, or any other document, certificate or statement, including, without limitation, with respect to the KPI Metrics and any reporting in connection therewith,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provided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Title to Assets; Liens</w:t>
      </w:r>
      <w:r>
        <w:rPr>
          <w:rFonts w:ascii="Arial" w:cs="Arial" w:eastAsia="Arial" w:hAnsi="Arial"/>
          <w:sz w:val="22"/>
          <w:szCs w:val="22"/>
          <w:color w:val="auto"/>
        </w:rPr>
        <w:t>. The Borrower and its Restricted Subsidiaries have good and marketable title to, or a valid leasehold or easement interest in, all their other material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Liens permitted under Section 6.2.</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ectPr>
          <w:pgSz w:w="11900" w:h="16838" w:orient="portrait"/>
          <w:cols w:equalWidth="0" w:num="1">
            <w:col w:w="11240"/>
          </w:cols>
          <w:pgMar w:left="320" w:top="1413" w:right="339" w:bottom="1440" w:gutter="0" w:footer="0" w:header="0"/>
        </w:sectPr>
      </w:pPr>
    </w:p>
    <w:bookmarkStart w:id="149" w:name="page150"/>
    <w:bookmarkEnd w:id="149"/>
    <w:p>
      <w:pPr>
        <w:jc w:val="both"/>
        <w:ind w:firstLine="648"/>
        <w:spacing w:after="0" w:line="251"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Loans shall be utilized for the Refinancing and general corporate purposes.</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Litigation</w:t>
      </w:r>
      <w:r>
        <w:rPr>
          <w:rFonts w:ascii="Arial" w:cs="Arial" w:eastAsia="Arial" w:hAnsi="Arial"/>
          <w:sz w:val="22"/>
          <w:szCs w:val="22"/>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xml:space="preserve"> . No part of the proceeds of any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Solvency</w:t>
      </w:r>
      <w:r>
        <w:rPr>
          <w:rFonts w:ascii="Arial" w:cs="Arial" w:eastAsia="Arial" w:hAnsi="Arial"/>
          <w:sz w:val="22"/>
          <w:szCs w:val="22"/>
          <w:color w:val="auto"/>
        </w:rPr>
        <w:t>. The Borrower and its Subsidiaries, taken as a whole, are, and after giving effect to the incurrence of all Indebtedness and obligations being incurred in connection herewith will be, Solvent.</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ERISA</w:t>
      </w:r>
      <w:r>
        <w:rPr>
          <w:rFonts w:ascii="Arial" w:cs="Arial" w:eastAsia="Arial" w:hAnsi="Arial"/>
          <w:sz w:val="22"/>
          <w:szCs w:val="22"/>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w:t>
      </w:r>
    </w:p>
    <w:p>
      <w:pPr>
        <w:sectPr>
          <w:pgSz w:w="11900" w:h="16838" w:orient="portrait"/>
          <w:cols w:equalWidth="0" w:num="1">
            <w:col w:w="11240"/>
          </w:cols>
          <w:pgMar w:left="320" w:top="1413" w:right="339" w:bottom="1440" w:gutter="0" w:footer="0" w:header="0"/>
        </w:sectPr>
      </w:pPr>
    </w:p>
    <w:bookmarkStart w:id="150" w:name="page151"/>
    <w:bookmarkEnd w:id="150"/>
    <w:p>
      <w:pPr>
        <w:jc w:val="both"/>
        <w:spacing w:after="0" w:line="233" w:lineRule="auto"/>
        <w:rPr>
          <w:sz w:val="20"/>
          <w:szCs w:val="20"/>
          <w:color w:val="auto"/>
        </w:rPr>
      </w:pPr>
      <w:r>
        <w:rPr>
          <w:rFonts w:ascii="Arial" w:cs="Arial" w:eastAsia="Arial" w:hAnsi="Arial"/>
          <w:sz w:val="22"/>
          <w:szCs w:val="22"/>
          <w:color w:val="auto"/>
        </w:rPr>
        <w:t>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Environmental Matters; Hazardous Material</w:t>
      </w:r>
      <w:r>
        <w:rPr>
          <w:rFonts w:ascii="Arial" w:cs="Arial" w:eastAsia="Arial" w:hAnsi="Arial"/>
          <w:sz w:val="22"/>
          <w:szCs w:val="22"/>
          <w:color w:val="auto"/>
        </w:rPr>
        <w:t>. There has been no matter with respect to Environmental Laws or Materials of Environmental Concern which, in the aggregate, would reasonably be expected to have a Material Adverse Effect.</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Investment Company Act; Other Regulations</w:t>
      </w:r>
      <w:r>
        <w:rPr>
          <w:rFonts w:ascii="Arial" w:cs="Arial" w:eastAsia="Arial" w:hAnsi="Arial"/>
          <w:sz w:val="22"/>
          <w:szCs w:val="22"/>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8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Labor Matters</w:t>
      </w:r>
      <w:r>
        <w:rPr>
          <w:rFonts w:ascii="Arial" w:cs="Arial" w:eastAsia="Arial" w:hAnsi="Arial"/>
          <w:sz w:val="22"/>
          <w:szCs w:val="22"/>
          <w:color w:val="auto"/>
        </w:rPr>
        <w:t xml:space="preserve"> . Except as, in the aggregate, would not reasonably be expected to have a Material Adverse Effect: (a) there are no strikes or other labor disputes against the Borrower or any Restricted Subsidiary pending or, to the knowledge of the Borrower, threatened; (b) 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21"/>
          <w:szCs w:val="21"/>
          <w:u w:val="single" w:color="auto"/>
          <w:color w:val="auto"/>
        </w:rPr>
        <w:t>Affected Financial Institutions</w:t>
      </w:r>
      <w:r>
        <w:rPr>
          <w:rFonts w:ascii="Arial" w:cs="Arial" w:eastAsia="Arial" w:hAnsi="Arial"/>
          <w:sz w:val="21"/>
          <w:szCs w:val="21"/>
          <w:color w:val="auto"/>
        </w:rPr>
        <w:t>. No Loan Party is an Affected Financial Institution.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 As of the Closing Date, to the best knowledge of the Borrower, the information included in the Beneficial Ownership Certification provided on or prior to</w:t>
      </w:r>
    </w:p>
    <w:p>
      <w:pPr>
        <w:sectPr>
          <w:pgSz w:w="11900" w:h="16838" w:orient="portrait"/>
          <w:cols w:equalWidth="0" w:num="1">
            <w:col w:w="11240"/>
          </w:cols>
          <w:pgMar w:left="320" w:top="1413" w:right="339" w:bottom="1440" w:gutter="0" w:footer="0" w:header="0"/>
        </w:sectPr>
      </w:pPr>
    </w:p>
    <w:bookmarkStart w:id="151" w:name="page152"/>
    <w:bookmarkEnd w:id="151"/>
    <w:p>
      <w:pPr>
        <w:spacing w:after="0"/>
        <w:rPr>
          <w:sz w:val="20"/>
          <w:szCs w:val="20"/>
          <w:color w:val="auto"/>
        </w:rPr>
      </w:pPr>
      <w:r>
        <w:rPr>
          <w:rFonts w:ascii="Arial" w:cs="Arial" w:eastAsia="Arial" w:hAnsi="Arial"/>
          <w:sz w:val="22"/>
          <w:szCs w:val="22"/>
          <w:color w:val="auto"/>
        </w:rPr>
        <w:t>the Closing Date to any Lender in connection with this Agreement is true and correct in all respects.</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3.20. </w:t>
      </w:r>
      <w:r>
        <w:rPr>
          <w:rFonts w:ascii="Arial" w:cs="Arial" w:eastAsia="Arial" w:hAnsi="Arial"/>
          <w:sz w:val="22"/>
          <w:szCs w:val="22"/>
          <w:u w:val="single" w:color="auto"/>
          <w:color w:val="auto"/>
        </w:rPr>
        <w:t>ERISA Event</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83" w:lineRule="exact"/>
        <w:rPr>
          <w:sz w:val="20"/>
          <w:szCs w:val="20"/>
          <w:color w:val="auto"/>
        </w:rPr>
      </w:pPr>
    </w:p>
    <w:p>
      <w:pPr>
        <w:ind w:left="4700"/>
        <w:spacing w:after="0"/>
        <w:rPr>
          <w:sz w:val="20"/>
          <w:szCs w:val="20"/>
          <w:color w:val="auto"/>
        </w:rPr>
      </w:pPr>
      <w:r>
        <w:rPr>
          <w:rFonts w:ascii="Arial" w:cs="Arial" w:eastAsia="Arial" w:hAnsi="Arial"/>
          <w:sz w:val="22"/>
          <w:szCs w:val="22"/>
          <w:color w:val="010000"/>
        </w:rPr>
        <w:t>Section 4________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 Precedent</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Conditions to the Closing Date</w:t>
      </w:r>
      <w:r>
        <w:rPr>
          <w:rFonts w:ascii="Arial" w:cs="Arial" w:eastAsia="Arial" w:hAnsi="Arial"/>
          <w:sz w:val="22"/>
          <w:szCs w:val="22"/>
          <w:color w:val="auto"/>
        </w:rPr>
        <w:t>. The obligations of the Lenders to make Loans and of the Issuing Banks to issue Documentary Credits hereunder shall not become effective until the date on which each of the following conditions is satisfied (or waived in accordance with Section 9.1):</w:t>
      </w:r>
    </w:p>
    <w:p>
      <w:pPr>
        <w:spacing w:after="0" w:line="183" w:lineRule="exact"/>
        <w:rPr>
          <w:sz w:val="20"/>
          <w:szCs w:val="20"/>
          <w:color w:val="auto"/>
        </w:rPr>
      </w:pPr>
    </w:p>
    <w:p>
      <w:pPr>
        <w:jc w:val="both"/>
        <w:ind w:firstLine="656"/>
        <w:spacing w:after="0" w:line="241" w:lineRule="auto"/>
        <w:tabs>
          <w:tab w:leader="none" w:pos="1350"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The Administrative Agent shall have received counterparts hereof executed and delivered by the Borrower, the Administrative Agent, the Sustainability Structuring Agent, and each other Lender and Issuing Bank and Schedules to this Agreement.</w:t>
      </w:r>
    </w:p>
    <w:p>
      <w:pPr>
        <w:spacing w:after="0" w:line="182" w:lineRule="exact"/>
        <w:rPr>
          <w:rFonts w:ascii="Arial" w:cs="Arial" w:eastAsia="Arial" w:hAnsi="Arial"/>
          <w:sz w:val="22"/>
          <w:szCs w:val="22"/>
          <w:color w:val="auto"/>
        </w:rPr>
      </w:pPr>
    </w:p>
    <w:p>
      <w:pPr>
        <w:jc w:val="both"/>
        <w:ind w:firstLine="656"/>
        <w:spacing w:after="0" w:line="238" w:lineRule="auto"/>
        <w:tabs>
          <w:tab w:leader="none" w:pos="1203"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Corporate Documents and Proceedings</w:t>
      </w:r>
      <w:r>
        <w:rPr>
          <w:rFonts w:ascii="Arial" w:cs="Arial" w:eastAsia="Arial" w:hAnsi="Arial"/>
          <w:sz w:val="22"/>
          <w:szCs w:val="22"/>
          <w:color w:val="auto"/>
        </w:rPr>
        <w:t xml:space="preserve">. The Administrative Agent shall have received (i) a certificate of each Borrower, dated the Closing Date,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with appropriate insertions and attachments, including the certificate of incorporation of Borrower, and (ii) a long form good standing certificate for Borrower from its jurisdiction of organization.</w:t>
      </w:r>
    </w:p>
    <w:p>
      <w:pPr>
        <w:spacing w:after="0" w:line="184" w:lineRule="exact"/>
        <w:rPr>
          <w:rFonts w:ascii="Arial" w:cs="Arial" w:eastAsia="Arial" w:hAnsi="Arial"/>
          <w:sz w:val="22"/>
          <w:szCs w:val="22"/>
          <w:color w:val="auto"/>
        </w:rPr>
      </w:pPr>
    </w:p>
    <w:p>
      <w:pPr>
        <w:ind w:firstLine="656"/>
        <w:spacing w:after="0" w:line="239" w:lineRule="auto"/>
        <w:tabs>
          <w:tab w:leader="none" w:pos="1171"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September 3, 2020, there has been no development or event that has had or would reasonably be expected to have a Material Adverse Effect.</w:t>
      </w:r>
    </w:p>
    <w:p>
      <w:pPr>
        <w:spacing w:after="0" w:line="184" w:lineRule="exact"/>
        <w:rPr>
          <w:rFonts w:ascii="Arial" w:cs="Arial" w:eastAsia="Arial" w:hAnsi="Arial"/>
          <w:sz w:val="22"/>
          <w:szCs w:val="22"/>
          <w:color w:val="auto"/>
        </w:rPr>
      </w:pPr>
    </w:p>
    <w:p>
      <w:pPr>
        <w:jc w:val="both"/>
        <w:ind w:firstLine="656"/>
        <w:spacing w:after="0" w:line="241" w:lineRule="auto"/>
        <w:tabs>
          <w:tab w:leader="none" w:pos="1229"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22"/>
          <w:szCs w:val="22"/>
          <w:u w:val="single" w:color="auto"/>
          <w:color w:val="auto"/>
        </w:rPr>
        <w:t>Section 4.1(c)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covering all representations and warranties in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82" w:lineRule="exact"/>
        <w:rPr>
          <w:rFonts w:ascii="Arial" w:cs="Arial" w:eastAsia="Arial" w:hAnsi="Arial"/>
          <w:sz w:val="22"/>
          <w:szCs w:val="22"/>
          <w:color w:val="auto"/>
        </w:rPr>
      </w:pPr>
    </w:p>
    <w:p>
      <w:pPr>
        <w:jc w:val="both"/>
        <w:ind w:firstLine="656"/>
        <w:spacing w:after="0" w:line="238" w:lineRule="auto"/>
        <w:tabs>
          <w:tab w:leader="none" w:pos="119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84" w:lineRule="exact"/>
        <w:rPr>
          <w:rFonts w:ascii="Arial" w:cs="Arial" w:eastAsia="Arial" w:hAnsi="Arial"/>
          <w:sz w:val="22"/>
          <w:szCs w:val="22"/>
          <w:color w:val="auto"/>
        </w:rPr>
      </w:pPr>
    </w:p>
    <w:p>
      <w:pPr>
        <w:jc w:val="both"/>
        <w:ind w:firstLine="656"/>
        <w:spacing w:after="0" w:line="236" w:lineRule="auto"/>
        <w:tabs>
          <w:tab w:leader="none" w:pos="1204"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Payment of Fees; Expenses</w:t>
      </w:r>
      <w:r>
        <w:rPr>
          <w:rFonts w:ascii="Arial" w:cs="Arial" w:eastAsia="Arial" w:hAnsi="Arial"/>
          <w:sz w:val="22"/>
          <w:szCs w:val="22"/>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ectPr>
          <w:pgSz w:w="11900" w:h="16838" w:orient="portrait"/>
          <w:cols w:equalWidth="0" w:num="1">
            <w:col w:w="11240"/>
          </w:cols>
          <w:pgMar w:left="320" w:top="1413" w:right="339" w:bottom="1440" w:gutter="0" w:footer="0" w:header="0"/>
        </w:sectPr>
      </w:pPr>
    </w:p>
    <w:bookmarkStart w:id="152" w:name="page153"/>
    <w:bookmarkEnd w:id="152"/>
    <w:p>
      <w:pPr>
        <w:ind w:firstLine="656"/>
        <w:spacing w:after="0" w:line="251" w:lineRule="auto"/>
        <w:tabs>
          <w:tab w:leader="none" w:pos="136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The Administrative Agent shall have received a legal opinion from Wilson Sonsini Goodrich &amp; Rosati P.C., counsel to the Borrower, in form and substance satisfactory to the Administrative Agent.</w:t>
      </w:r>
    </w:p>
    <w:p>
      <w:pPr>
        <w:spacing w:after="0" w:line="172" w:lineRule="exact"/>
        <w:rPr>
          <w:rFonts w:ascii="Arial" w:cs="Arial" w:eastAsia="Arial" w:hAnsi="Arial"/>
          <w:sz w:val="22"/>
          <w:szCs w:val="22"/>
          <w:color w:val="auto"/>
        </w:rPr>
      </w:pPr>
    </w:p>
    <w:p>
      <w:pPr>
        <w:ind w:left="1160" w:hanging="504"/>
        <w:spacing w:after="0"/>
        <w:tabs>
          <w:tab w:leader="none" w:pos="1160"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Refinancing</w:t>
      </w:r>
      <w:r>
        <w:rPr>
          <w:rFonts w:ascii="Arial" w:cs="Arial" w:eastAsia="Arial" w:hAnsi="Arial"/>
          <w:sz w:val="21"/>
          <w:szCs w:val="21"/>
          <w:color w:val="auto"/>
        </w:rPr>
        <w:t>. Substantially simultaneously with the Closing Date, the Refinancing shall be consummated.</w:t>
      </w:r>
    </w:p>
    <w:p>
      <w:pPr>
        <w:spacing w:after="0" w:line="217" w:lineRule="exact"/>
        <w:rPr>
          <w:rFonts w:ascii="Arial" w:cs="Arial" w:eastAsia="Arial" w:hAnsi="Arial"/>
          <w:sz w:val="21"/>
          <w:szCs w:val="21"/>
          <w:color w:val="auto"/>
        </w:rPr>
      </w:pPr>
    </w:p>
    <w:p>
      <w:pPr>
        <w:jc w:val="both"/>
        <w:ind w:firstLine="656"/>
        <w:spacing w:after="0" w:line="232" w:lineRule="auto"/>
        <w:tabs>
          <w:tab w:leader="none" w:pos="1098"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Patriot Act and Beneficial Ownership Regulation</w:t>
      </w:r>
      <w:r>
        <w:rPr>
          <w:rFonts w:ascii="Arial" w:cs="Arial" w:eastAsia="Arial" w:hAnsi="Arial"/>
          <w:sz w:val="22"/>
          <w:szCs w:val="22"/>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execution and delivery by such Lender of its signature page to this Agreement, the condition set forth in this clause (ii) shall be deemed to be satisfied).</w:t>
      </w:r>
    </w:p>
    <w:p>
      <w:pPr>
        <w:spacing w:after="0" w:line="187" w:lineRule="exact"/>
        <w:rPr>
          <w:rFonts w:ascii="Arial" w:cs="Arial" w:eastAsia="Arial" w:hAnsi="Arial"/>
          <w:sz w:val="22"/>
          <w:szCs w:val="22"/>
          <w:color w:val="auto"/>
        </w:rPr>
      </w:pPr>
    </w:p>
    <w:p>
      <w:pPr>
        <w:jc w:val="both"/>
        <w:ind w:firstLine="656"/>
        <w:spacing w:after="0" w:line="241" w:lineRule="auto"/>
        <w:tabs>
          <w:tab w:leader="none" w:pos="1135"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Initial KPI Metrics Report</w:t>
      </w:r>
      <w:r>
        <w:rPr>
          <w:rFonts w:ascii="Arial" w:cs="Arial" w:eastAsia="Arial" w:hAnsi="Arial"/>
          <w:sz w:val="22"/>
          <w:szCs w:val="22"/>
          <w:color w:val="auto"/>
        </w:rPr>
        <w:t>. The Administrative Agent shall have received the Initial KPI Metrics Report, of which all data and information in such Initial KPI Metrics Report has been made publicly available by the Borrower via the Borrower’s annual report on environmental, social and governance issues.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Each Credit Event</w:t>
      </w:r>
      <w:r>
        <w:rPr>
          <w:rFonts w:ascii="Arial" w:cs="Arial" w:eastAsia="Arial" w:hAnsi="Arial"/>
          <w:sz w:val="22"/>
          <w:szCs w:val="22"/>
          <w:color w:val="auto"/>
        </w:rPr>
        <w:t>. The obligation of each Lender to make a Revolving Loan on the occasion of any Borrowing, and of each Issuing Bank to issue, amend, renew or extend any Documentary Credit, is subject to the satisfaction of the following conditions:</w:t>
      </w:r>
    </w:p>
    <w:p>
      <w:pPr>
        <w:spacing w:after="0" w:line="185" w:lineRule="exact"/>
        <w:rPr>
          <w:sz w:val="20"/>
          <w:szCs w:val="20"/>
          <w:color w:val="auto"/>
        </w:rPr>
      </w:pPr>
    </w:p>
    <w:p>
      <w:pPr>
        <w:jc w:val="both"/>
        <w:ind w:firstLine="656"/>
        <w:spacing w:after="0" w:line="234" w:lineRule="auto"/>
        <w:tabs>
          <w:tab w:leader="none" w:pos="141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representations and warranties contained in this Agreement (except the representations and warranties contained in Sections 3.5 and 3.9, which are only made as of the Closing Date) shall be true and correct in all material respects on and as of the date of such Borrowing or the date of issuance, amendment, renewal or extension of such Documentary Credit, as applicable,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90" w:lineRule="exact"/>
        <w:rPr>
          <w:rFonts w:ascii="Arial" w:cs="Arial" w:eastAsia="Arial" w:hAnsi="Arial"/>
          <w:sz w:val="22"/>
          <w:szCs w:val="22"/>
          <w:color w:val="auto"/>
        </w:rPr>
      </w:pPr>
    </w:p>
    <w:p>
      <w:pPr>
        <w:jc w:val="both"/>
        <w:ind w:firstLine="656"/>
        <w:spacing w:after="0" w:line="236" w:lineRule="auto"/>
        <w:tabs>
          <w:tab w:leader="none" w:pos="121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Revolving Loan or the issuance, amendment, renewal or extension of such Documentary Credit, as applicable, no Default or Event of Default shall have occurred and be continuing.</w:t>
      </w:r>
    </w:p>
    <w:p>
      <w:pPr>
        <w:spacing w:after="0" w:line="185" w:lineRule="exact"/>
        <w:rPr>
          <w:rFonts w:ascii="Arial" w:cs="Arial" w:eastAsia="Arial" w:hAnsi="Arial"/>
          <w:sz w:val="22"/>
          <w:szCs w:val="22"/>
          <w:color w:val="auto"/>
        </w:rPr>
      </w:pPr>
    </w:p>
    <w:p>
      <w:pPr>
        <w:ind w:firstLine="656"/>
        <w:spacing w:after="0" w:line="251" w:lineRule="auto"/>
        <w:tabs>
          <w:tab w:leader="none" w:pos="132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Administrative Agent shall have received a notice requesting such Borrowing or the issuance, amendment, renewal or extension of such Documentary Credit, as applicable to the extent required hereunder.</w:t>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line="241" w:lineRule="auto"/>
        <w:rPr>
          <w:sz w:val="20"/>
          <w:szCs w:val="20"/>
          <w:color w:val="auto"/>
        </w:rPr>
      </w:pPr>
      <w:r>
        <w:rPr>
          <w:rFonts w:ascii="Arial" w:cs="Arial" w:eastAsia="Arial" w:hAnsi="Arial"/>
          <w:sz w:val="22"/>
          <w:szCs w:val="22"/>
          <w:color w:val="auto"/>
        </w:rPr>
        <w:t>Each Borrowing and each issuance, amendment, renewal or extension of a Documentary Credit shall be deemed to constitute a representation and warranty by the Borrower on the date thereof as to the matters specified in paragraphs (a) and (b) of this Section.</w:t>
      </w:r>
    </w:p>
    <w:p>
      <w:pPr>
        <w:spacing w:after="0" w:line="183"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5_____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Financial Statements, etc</w:t>
      </w:r>
      <w:r>
        <w:rPr>
          <w:rFonts w:ascii="Arial" w:cs="Arial" w:eastAsia="Arial" w:hAnsi="Arial"/>
          <w:sz w:val="22"/>
          <w:szCs w:val="22"/>
          <w:color w:val="auto"/>
        </w:rPr>
        <w:t>.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Section 13 or 15(d) of the Exchange Act (other than confidential filings, documents subject to confidential treatment and correspondence with the SEC); provided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Section 5.1.</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Compliance Certificate; Reporting</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5" w:lineRule="auto"/>
        <w:tabs>
          <w:tab w:leader="none" w:pos="132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Promptly (and in any event within 5 Business Days) following delivery of the quarterly and annual financial statements provided for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on Form 10-Q or 10-K, as applicable, a certificate of a Financial Officer of the Borrower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34" w:lineRule="auto"/>
        <w:tabs>
          <w:tab w:leader="none" w:pos="121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84" w:lineRule="exact"/>
        <w:rPr>
          <w:rFonts w:ascii="Arial" w:cs="Arial" w:eastAsia="Arial" w:hAnsi="Arial"/>
          <w:sz w:val="22"/>
          <w:szCs w:val="22"/>
          <w:color w:val="auto"/>
        </w:rPr>
      </w:pPr>
    </w:p>
    <w:p>
      <w:pPr>
        <w:jc w:val="both"/>
        <w:ind w:firstLine="656"/>
        <w:spacing w:after="0" w:line="238" w:lineRule="auto"/>
        <w:tabs>
          <w:tab w:leader="none" w:pos="138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w:t>
      </w:r>
    </w:p>
    <w:p>
      <w:pPr>
        <w:sectPr>
          <w:pgSz w:w="11900" w:h="16838" w:orient="portrait"/>
          <w:cols w:equalWidth="0" w:num="1">
            <w:col w:w="11240"/>
          </w:cols>
          <w:pgMar w:left="320" w:top="1413" w:right="339" w:bottom="1440" w:gutter="0" w:footer="0" w:header="0"/>
        </w:sectPr>
      </w:pPr>
    </w:p>
    <w:bookmarkStart w:id="154" w:name="page155"/>
    <w:bookmarkEnd w:id="154"/>
    <w:p>
      <w:pPr>
        <w:spacing w:after="0" w:line="251" w:lineRule="auto"/>
        <w:rPr>
          <w:sz w:val="20"/>
          <w:szCs w:val="20"/>
          <w:color w:val="auto"/>
        </w:rPr>
      </w:pPr>
      <w:r>
        <w:rPr>
          <w:rFonts w:ascii="Arial" w:cs="Arial" w:eastAsia="Arial" w:hAnsi="Arial"/>
          <w:sz w:val="22"/>
          <w:szCs w:val="22"/>
          <w:color w:val="auto"/>
        </w:rPr>
        <w:t>provide written notice of any change in the list of beneficial owners identified in the most recent Beneficial Ownership Certification delivered to Administrative Agent or a Lender.</w:t>
      </w:r>
    </w:p>
    <w:p>
      <w:pPr>
        <w:spacing w:after="0" w:line="173" w:lineRule="exact"/>
        <w:rPr>
          <w:sz w:val="20"/>
          <w:szCs w:val="20"/>
          <w:color w:val="auto"/>
        </w:rPr>
      </w:pPr>
    </w:p>
    <w:p>
      <w:pPr>
        <w:jc w:val="both"/>
        <w:ind w:firstLine="656"/>
        <w:spacing w:after="0" w:line="233" w:lineRule="auto"/>
        <w:tabs>
          <w:tab w:leader="none" w:pos="136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as soon as available and in any event within 180 days following the end of each calendar year (commencing with the calendar year ending December 31, 2021, the Borrower will furnish to the Administrative Agent a Sustainability Pricing Certificate for the most recently-ended calendar year; provided, however, that for any calendar year the Borrower may elect not to deliver a Sustainability Pricing Certificate, and such election shall not constitute a Default or Event of Default under this Agreement (but such failure to so deliver a Sustainability Pricing Certificate by the end of such 180-day period shall result in the Sustainability Applicable Rate Adjustment being applied as set forth in </w:t>
      </w:r>
      <w:r>
        <w:rPr>
          <w:rFonts w:ascii="Arial" w:cs="Arial" w:eastAsia="Arial" w:hAnsi="Arial"/>
          <w:sz w:val="22"/>
          <w:szCs w:val="22"/>
          <w:u w:val="single" w:color="auto"/>
          <w:color w:val="auto"/>
        </w:rPr>
        <w:t>Section 2.25(c)</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Maintenance of Existence</w:t>
      </w:r>
      <w:r>
        <w:rPr>
          <w:rFonts w:ascii="Arial" w:cs="Arial" w:eastAsia="Arial" w:hAnsi="Arial"/>
          <w:sz w:val="22"/>
          <w:szCs w:val="22"/>
          <w:color w:val="auto"/>
        </w:rPr>
        <w:t>. The Borrower and its Restricted Subsidiaries shall (i) preserve, renew and keep in full force and effect its organizational existence and (ii) take all reasonable action to maintain all rights, privileges and franchises reasonably necessary in the normal conduct of its business, except, in each case, (x) as otherwise permitted by Section 6.3 or (y) to the extent that failure to do so would not, in the aggregate, reasonably be expected to have a Material Adverse Effect.</w:t>
      </w:r>
    </w:p>
    <w:p>
      <w:pPr>
        <w:spacing w:after="0" w:line="18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u w:val="single" w:color="auto"/>
          <w:color w:val="auto"/>
        </w:rPr>
        <w:t>Maintenance of Insurance</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shall be deemed satisfied if the Borrower obtains insurance policies that are customary and appropriate for the applicable jurisdiction.</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Use of Proceeds and Documentary Credits</w:t>
      </w:r>
      <w:r>
        <w:rPr>
          <w:rFonts w:ascii="Arial" w:cs="Arial" w:eastAsia="Arial" w:hAnsi="Arial"/>
          <w:sz w:val="22"/>
          <w:szCs w:val="22"/>
          <w:color w:val="auto"/>
        </w:rPr>
        <w:t xml:space="preserve"> . The proceeds of the Loans and the Documentary Credits will be used only for general corporate purposes. No part of the proceeds of any Loan or any Documentary Credit will be used, whether directly or indirectly, for any purpose that entails a violation of any of the regulations of the Federal Reserve Board, including Regulations T, U and X.</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u w:val="single" w:color="auto"/>
          <w:color w:val="auto"/>
        </w:rPr>
        <w:t>Designation of Subsidiaries</w:t>
      </w:r>
      <w:r>
        <w:rPr>
          <w:rFonts w:ascii="Arial" w:cs="Arial" w:eastAsia="Arial" w:hAnsi="Arial"/>
          <w:sz w:val="21"/>
          <w:szCs w:val="21"/>
          <w:color w:val="auto"/>
        </w:rPr>
        <w:t>. The Borrower may at any time by written notice to the Administrative Agent</w:t>
      </w:r>
    </w:p>
    <w:p>
      <w:pPr>
        <w:spacing w:after="0" w:line="6" w:lineRule="exact"/>
        <w:rPr>
          <w:sz w:val="20"/>
          <w:szCs w:val="20"/>
          <w:color w:val="auto"/>
        </w:rPr>
      </w:pPr>
    </w:p>
    <w:p>
      <w:pPr>
        <w:jc w:val="both"/>
        <w:ind w:firstLine="8"/>
        <w:spacing w:after="0" w:line="235" w:lineRule="auto"/>
        <w:tabs>
          <w:tab w:leader="none" w:pos="2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designate any Restricted Subsidiary as an Unrestricted Subsidiary or (ii) designate any Unrestricted Subsidiary as a Restricted Subsidiary; provided that no Default or Event of Default shall have occurred and be continuing or would result therefrom.</w:t>
      </w:r>
    </w:p>
    <w:p>
      <w:pPr>
        <w:sectPr>
          <w:pgSz w:w="11900" w:h="16838" w:orient="portrait"/>
          <w:cols w:equalWidth="0" w:num="1">
            <w:col w:w="11240"/>
          </w:cols>
          <w:pgMar w:left="320" w:top="1413" w:right="339" w:bottom="1440" w:gutter="0" w:footer="0" w:header="0"/>
        </w:sectPr>
      </w:pPr>
    </w:p>
    <w:bookmarkStart w:id="155" w:name="page156"/>
    <w:bookmarkEnd w:id="155"/>
    <w:p>
      <w:pPr>
        <w:ind w:left="4880"/>
        <w:spacing w:after="0"/>
        <w:rPr>
          <w:sz w:val="20"/>
          <w:szCs w:val="20"/>
          <w:color w:val="auto"/>
        </w:rPr>
      </w:pPr>
      <w:r>
        <w:rPr>
          <w:rFonts w:ascii="Arial" w:cs="Arial" w:eastAsia="Arial" w:hAnsi="Arial"/>
          <w:sz w:val="22"/>
          <w:szCs w:val="22"/>
          <w:color w:val="010000"/>
        </w:rPr>
        <w:t>Section 6_____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19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Documentary Credits shall have expired or terminated and all DC Disbursements shall have been reimbursed, the Borrower covenants and agrees that:</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Limitation on Indebtedness</w:t>
      </w:r>
      <w:r>
        <w:rPr>
          <w:rFonts w:ascii="Arial" w:cs="Arial" w:eastAsia="Arial" w:hAnsi="Arial"/>
          <w:sz w:val="22"/>
          <w:szCs w:val="22"/>
          <w:color w:val="auto"/>
        </w:rPr>
        <w:t>. The Borrower will not permit any of its Restricted Subsidiaries to create, assume, incur, Guarantee or otherwise become liable for any Indebtedness, without causing such Restricted Subsidiary (excluding any Subsidiary that is not a Material Subsidiary) to become a Guarantor, other than:</w:t>
      </w:r>
    </w:p>
    <w:p>
      <w:pPr>
        <w:spacing w:after="0" w:line="185" w:lineRule="exact"/>
        <w:rPr>
          <w:sz w:val="20"/>
          <w:szCs w:val="20"/>
          <w:color w:val="auto"/>
        </w:rPr>
      </w:pPr>
    </w:p>
    <w:p>
      <w:pPr>
        <w:ind w:left="1160" w:hanging="504"/>
        <w:spacing w:after="0"/>
        <w:tabs>
          <w:tab w:leader="none" w:pos="116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Indebtedness in respect of or under the Obligations or Guarantees thereof;</w:t>
      </w:r>
    </w:p>
    <w:p>
      <w:pPr>
        <w:spacing w:after="0" w:line="206" w:lineRule="exact"/>
        <w:rPr>
          <w:rFonts w:ascii="Arial" w:cs="Arial" w:eastAsia="Arial" w:hAnsi="Arial"/>
          <w:sz w:val="22"/>
          <w:szCs w:val="22"/>
          <w:color w:val="auto"/>
        </w:rPr>
      </w:pPr>
    </w:p>
    <w:p>
      <w:pPr>
        <w:jc w:val="both"/>
        <w:ind w:firstLine="656"/>
        <w:spacing w:after="0" w:line="232" w:lineRule="auto"/>
        <w:tabs>
          <w:tab w:leader="none" w:pos="132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188" w:lineRule="exact"/>
        <w:rPr>
          <w:rFonts w:ascii="Arial" w:cs="Arial" w:eastAsia="Arial" w:hAnsi="Arial"/>
          <w:sz w:val="22"/>
          <w:szCs w:val="22"/>
          <w:color w:val="auto"/>
        </w:rPr>
      </w:pPr>
    </w:p>
    <w:p>
      <w:pPr>
        <w:ind w:left="1140" w:hanging="484"/>
        <w:spacing w:after="0"/>
        <w:tabs>
          <w:tab w:leader="none" w:pos="114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Indebtedness owed to the Borrower or any Restricted Subsidiary;</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01" w:val="left"/>
        </w:tabs>
        <w:numPr>
          <w:ilvl w:val="1"/>
          <w:numId w:val="125"/>
        </w:numPr>
        <w:rPr>
          <w:rFonts w:ascii="Arial" w:cs="Arial" w:eastAsia="Arial" w:hAnsi="Arial"/>
          <w:sz w:val="21"/>
          <w:szCs w:val="21"/>
          <w:color w:val="auto"/>
        </w:rPr>
      </w:pPr>
      <w:r>
        <w:rPr>
          <w:rFonts w:ascii="Arial" w:cs="Arial" w:eastAsia="Arial" w:hAnsi="Arial"/>
          <w:sz w:val="21"/>
          <w:szCs w:val="21"/>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Indebtedness is created, incurred, issued, assumed or Guaranteed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w:t>
      </w:r>
    </w:p>
    <w:p>
      <w:pPr>
        <w:spacing w:after="0" w:line="5" w:lineRule="exact"/>
        <w:rPr>
          <w:rFonts w:ascii="Arial" w:cs="Arial" w:eastAsia="Arial" w:hAnsi="Arial"/>
          <w:sz w:val="21"/>
          <w:szCs w:val="21"/>
          <w:color w:val="auto"/>
        </w:rPr>
      </w:pPr>
    </w:p>
    <w:p>
      <w:pPr>
        <w:jc w:val="both"/>
        <w:ind w:firstLine="8"/>
        <w:spacing w:after="0" w:line="231" w:lineRule="auto"/>
        <w:tabs>
          <w:tab w:leader="none" w:pos="38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 without duplication, does not exceed 100% of the fair value of the property or equipment acquired or developed, operated, constructed, altered, repaired or improved at the time such Indebtedness is incurred;</w:t>
      </w:r>
    </w:p>
    <w:p>
      <w:pPr>
        <w:sectPr>
          <w:pgSz w:w="11900" w:h="16838" w:orient="portrait"/>
          <w:cols w:equalWidth="0" w:num="1">
            <w:col w:w="11240"/>
          </w:cols>
          <w:pgMar w:left="320" w:top="1413" w:right="339" w:bottom="1440" w:gutter="0" w:footer="0" w:header="0"/>
        </w:sectPr>
      </w:pPr>
    </w:p>
    <w:bookmarkStart w:id="156" w:name="page157"/>
    <w:bookmarkEnd w:id="156"/>
    <w:p>
      <w:pPr>
        <w:ind w:firstLine="656"/>
        <w:spacing w:after="0" w:line="251" w:lineRule="auto"/>
        <w:tabs>
          <w:tab w:leader="none" w:pos="132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Indebtedness permitted to be secured by Liens permitted by clauses (5) or (6) of the definition of Permitted Lien (whether or not such Indebtedness is in fact secured by such Liens) and any Guarantees thereof;</w:t>
      </w:r>
    </w:p>
    <w:p>
      <w:pPr>
        <w:spacing w:after="0" w:line="172" w:lineRule="exact"/>
        <w:rPr>
          <w:rFonts w:ascii="Arial" w:cs="Arial" w:eastAsia="Arial" w:hAnsi="Arial"/>
          <w:sz w:val="22"/>
          <w:szCs w:val="22"/>
          <w:color w:val="auto"/>
        </w:rPr>
      </w:pPr>
    </w:p>
    <w:p>
      <w:pPr>
        <w:jc w:val="both"/>
        <w:ind w:firstLine="656"/>
        <w:spacing w:after="0" w:line="231" w:lineRule="auto"/>
        <w:tabs>
          <w:tab w:leader="none" w:pos="124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any extension, renewal, substitution, replacement, refinancing or refunding of Indebtedness that was permitted pursuant to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at the time such Indebtedness was created or incurred;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195" w:lineRule="exact"/>
        <w:rPr>
          <w:rFonts w:ascii="Arial" w:cs="Arial" w:eastAsia="Arial" w:hAnsi="Arial"/>
          <w:sz w:val="22"/>
          <w:szCs w:val="22"/>
          <w:color w:val="auto"/>
        </w:rPr>
      </w:pPr>
    </w:p>
    <w:p>
      <w:pPr>
        <w:jc w:val="both"/>
        <w:ind w:firstLine="656"/>
        <w:spacing w:after="0" w:line="234" w:lineRule="auto"/>
        <w:tabs>
          <w:tab w:leader="none" w:pos="125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in the event that any Indebtedness meets the criteria of more exceptions in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the Borrower, in its sole discretion, will classify, and may reclassify, such Indebtedness and such Indebtedness may be divided and classified and reclassified into more than one of the exceptions in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described above. In addition, for purposes of calculating compliance with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Arial" w:cs="Arial" w:eastAsia="Arial" w:hAnsi="Arial"/>
          <w:sz w:val="22"/>
          <w:szCs w:val="22"/>
          <w:u w:val="single" w:color="auto"/>
          <w:color w:val="auto"/>
        </w:rPr>
        <w:t>Section 6.1</w:t>
      </w:r>
      <w:r>
        <w:rPr>
          <w:rFonts w:ascii="Arial" w:cs="Arial" w:eastAsia="Arial" w:hAnsi="Arial"/>
          <w:sz w:val="22"/>
          <w:szCs w:val="22"/>
          <w:color w:val="auto"/>
        </w:rPr>
        <w:t>, the amount of such Indebtedness shall only be included once for purposes of such calculations).</w:t>
      </w:r>
    </w:p>
    <w:p>
      <w:pPr>
        <w:sectPr>
          <w:pgSz w:w="11900" w:h="16838" w:orient="portrait"/>
          <w:cols w:equalWidth="0" w:num="1">
            <w:col w:w="11240"/>
          </w:cols>
          <w:pgMar w:left="320" w:top="1413" w:right="339" w:bottom="1440" w:gutter="0" w:footer="0" w:header="0"/>
        </w:sectPr>
      </w:pPr>
    </w:p>
    <w:bookmarkStart w:id="157" w:name="page158"/>
    <w:bookmarkEnd w:id="157"/>
    <w:p>
      <w:pPr>
        <w:jc w:val="both"/>
        <w:ind w:firstLine="648"/>
        <w:spacing w:after="0" w:line="241"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The Borrower will not, and will not permit any of its Restricted Subsidiaries, to create or incur any Lien on Property, whether now owned or hereafter acquired, in order to secure any Indebtedness, other than:</w:t>
      </w:r>
    </w:p>
    <w:p>
      <w:pPr>
        <w:spacing w:after="0" w:line="183" w:lineRule="exact"/>
        <w:rPr>
          <w:sz w:val="20"/>
          <w:szCs w:val="20"/>
          <w:color w:val="auto"/>
        </w:rPr>
      </w:pPr>
    </w:p>
    <w:p>
      <w:pPr>
        <w:ind w:left="1160" w:hanging="504"/>
        <w:spacing w:after="0"/>
        <w:tabs>
          <w:tab w:leader="none" w:pos="11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Permitted Liens; and</w:t>
      </w:r>
    </w:p>
    <w:p>
      <w:pPr>
        <w:spacing w:after="0" w:line="206" w:lineRule="exact"/>
        <w:rPr>
          <w:rFonts w:ascii="Arial" w:cs="Arial" w:eastAsia="Arial" w:hAnsi="Arial"/>
          <w:sz w:val="22"/>
          <w:szCs w:val="22"/>
          <w:color w:val="auto"/>
        </w:rPr>
      </w:pPr>
    </w:p>
    <w:p>
      <w:pPr>
        <w:jc w:val="both"/>
        <w:ind w:firstLine="656"/>
        <w:spacing w:after="0" w:line="233" w:lineRule="auto"/>
        <w:tabs>
          <w:tab w:leader="none" w:pos="116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 incurrence; provided that, for the avoidance of doubt, any Liens will be excluded from this clause (b) to the extent the Lien relating thereto is included in clause (a) of this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the Borrower, in its sole discretion, will classify, and may reclassify, such Lien and such Lien may be divided and classified and reclassified into more than one of the exceptions in this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Merger, Consolidation, or Sale of Assets</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41" w:lineRule="auto"/>
        <w:tabs>
          <w:tab w:leader="none" w:pos="122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2" w:lineRule="exact"/>
        <w:rPr>
          <w:rFonts w:ascii="Arial" w:cs="Arial" w:eastAsia="Arial" w:hAnsi="Arial"/>
          <w:sz w:val="22"/>
          <w:szCs w:val="22"/>
          <w:color w:val="auto"/>
        </w:rPr>
      </w:pPr>
    </w:p>
    <w:p>
      <w:pPr>
        <w:jc w:val="both"/>
        <w:ind w:left="660" w:firstLine="644"/>
        <w:spacing w:after="0" w:line="234" w:lineRule="auto"/>
        <w:tabs>
          <w:tab w:leader="none" w:pos="1830"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22"/>
          <w:szCs w:val="22"/>
          <w:u w:val="single" w:color="auto"/>
          <w:color w:val="auto"/>
        </w:rPr>
        <w:t>Successor Company</w:t>
      </w:r>
      <w:r>
        <w:rPr>
          <w:rFonts w:ascii="Arial" w:cs="Arial" w:eastAsia="Arial" w:hAnsi="Arial"/>
          <w:sz w:val="22"/>
          <w:szCs w:val="22"/>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77" w:lineRule="exact"/>
        <w:rPr>
          <w:rFonts w:ascii="Arial" w:cs="Arial" w:eastAsia="Arial" w:hAnsi="Arial"/>
          <w:sz w:val="22"/>
          <w:szCs w:val="22"/>
          <w:color w:val="010000"/>
        </w:rPr>
      </w:pPr>
    </w:p>
    <w:p>
      <w:pPr>
        <w:jc w:val="both"/>
        <w:ind w:left="660" w:firstLine="644"/>
        <w:spacing w:after="0" w:line="241" w:lineRule="auto"/>
        <w:tabs>
          <w:tab w:leader="none" w:pos="2029"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in any such transaction in which there is a Successor Company, the Successor Company expressly assumes the Obligations pursuant to joinder agreements or other documents reasonably satisfactory to the Administrative Agent; and</w:t>
      </w:r>
    </w:p>
    <w:p>
      <w:pPr>
        <w:sectPr>
          <w:pgSz w:w="11900" w:h="16838" w:orient="portrait"/>
          <w:cols w:equalWidth="0" w:num="1">
            <w:col w:w="11240"/>
          </w:cols>
          <w:pgMar w:left="320" w:top="1413" w:right="339" w:bottom="1440" w:gutter="0" w:footer="0" w:header="0"/>
        </w:sectPr>
      </w:pPr>
    </w:p>
    <w:bookmarkStart w:id="158" w:name="page159"/>
    <w:bookmarkEnd w:id="158"/>
    <w:p>
      <w:pPr>
        <w:ind w:left="4" w:firstLine="644"/>
        <w:spacing w:after="0" w:line="251" w:lineRule="auto"/>
        <w:tabs>
          <w:tab w:leader="none" w:pos="1242" w:val="left"/>
        </w:tabs>
        <w:numPr>
          <w:ilvl w:val="0"/>
          <w:numId w:val="130"/>
        </w:numPr>
        <w:rPr>
          <w:rFonts w:ascii="Arial" w:cs="Arial" w:eastAsia="Arial" w:hAnsi="Arial"/>
          <w:sz w:val="22"/>
          <w:szCs w:val="22"/>
          <w:color w:val="010000"/>
        </w:rPr>
      </w:pPr>
      <w:r>
        <w:rPr>
          <w:rFonts w:ascii="Arial" w:cs="Arial" w:eastAsia="Arial" w:hAnsi="Arial"/>
          <w:sz w:val="22"/>
          <w:szCs w:val="22"/>
          <w:color w:val="auto"/>
        </w:rPr>
        <w:t>immediately after giving effect to the transaction, no Event of Default and no Default shall have occurred and be continuing.</w:t>
      </w:r>
    </w:p>
    <w:p>
      <w:pPr>
        <w:spacing w:after="0" w:line="173" w:lineRule="exact"/>
        <w:rPr>
          <w:sz w:val="20"/>
          <w:szCs w:val="20"/>
          <w:color w:val="auto"/>
        </w:rPr>
      </w:pPr>
    </w:p>
    <w:p>
      <w:pPr>
        <w:jc w:val="both"/>
        <w:ind w:left="4"/>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77" w:lineRule="exact"/>
        <w:rPr>
          <w:sz w:val="20"/>
          <w:szCs w:val="20"/>
          <w:color w:val="auto"/>
        </w:rPr>
      </w:pPr>
    </w:p>
    <w:p>
      <w:pPr>
        <w:jc w:val="both"/>
        <w:ind w:left="-656" w:firstLine="656"/>
        <w:spacing w:after="0" w:line="233" w:lineRule="auto"/>
        <w:tabs>
          <w:tab w:leader="none" w:pos="577"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22"/>
          <w:szCs w:val="22"/>
          <w:u w:val="single" w:color="auto"/>
          <w:color w:val="auto"/>
        </w:rPr>
        <w:t>Section 6.3(a)</w:t>
      </w:r>
      <w:r>
        <w:rPr>
          <w:rFonts w:ascii="Arial" w:cs="Arial" w:eastAsia="Arial" w:hAnsi="Arial"/>
          <w:sz w:val="22"/>
          <w:szCs w:val="22"/>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18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Limitation on Sale and Leaseback Transactions</w:t>
      </w:r>
      <w:r>
        <w:rPr>
          <w:rFonts w:ascii="Arial" w:cs="Arial" w:eastAsia="Arial" w:hAnsi="Arial"/>
          <w:sz w:val="21"/>
          <w:szCs w:val="21"/>
          <w:color w:val="auto"/>
        </w:rPr>
        <w:t>.</w:t>
      </w:r>
    </w:p>
    <w:p>
      <w:pPr>
        <w:spacing w:after="0" w:line="206" w:lineRule="exact"/>
        <w:rPr>
          <w:sz w:val="20"/>
          <w:szCs w:val="20"/>
          <w:color w:val="auto"/>
        </w:rPr>
      </w:pPr>
    </w:p>
    <w:p>
      <w:pPr>
        <w:ind w:left="-656" w:firstLine="656"/>
        <w:spacing w:after="0" w:line="251" w:lineRule="auto"/>
        <w:tabs>
          <w:tab w:leader="none" w:pos="578"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Borrower will not, and will not permit any of its Restricted Subsidiaries, to enter into any sale and lease-back transaction with respect to any Property, whether now owned or hereafter acquired, unless:</w:t>
      </w:r>
    </w:p>
    <w:p>
      <w:pPr>
        <w:spacing w:after="0" w:line="172" w:lineRule="exact"/>
        <w:rPr>
          <w:rFonts w:ascii="Arial" w:cs="Arial" w:eastAsia="Arial" w:hAnsi="Arial"/>
          <w:sz w:val="22"/>
          <w:szCs w:val="22"/>
          <w:color w:val="auto"/>
        </w:rPr>
      </w:pPr>
    </w:p>
    <w:p>
      <w:pPr>
        <w:ind w:left="1144" w:hanging="496"/>
        <w:spacing w:after="0"/>
        <w:tabs>
          <w:tab w:leader="none" w:pos="1144"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such transaction was entered into prior to the Closing Date;</w:t>
      </w:r>
    </w:p>
    <w:p>
      <w:pPr>
        <w:spacing w:after="0" w:line="206" w:lineRule="exact"/>
        <w:rPr>
          <w:rFonts w:ascii="Arial" w:cs="Arial" w:eastAsia="Arial" w:hAnsi="Arial"/>
          <w:sz w:val="22"/>
          <w:szCs w:val="22"/>
          <w:color w:val="010000"/>
        </w:rPr>
      </w:pPr>
    </w:p>
    <w:p>
      <w:pPr>
        <w:ind w:left="4" w:firstLine="644"/>
        <w:spacing w:after="0" w:line="251" w:lineRule="auto"/>
        <w:tabs>
          <w:tab w:leader="none" w:pos="1206"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such transaction was for the sale and leasing back to the Borrower or a Restricted Subsidiary by the Borrower or any Restricted Subsidiary of any Property;</w:t>
      </w:r>
    </w:p>
    <w:p>
      <w:pPr>
        <w:spacing w:after="0" w:line="172" w:lineRule="exact"/>
        <w:rPr>
          <w:rFonts w:ascii="Arial" w:cs="Arial" w:eastAsia="Arial" w:hAnsi="Arial"/>
          <w:sz w:val="22"/>
          <w:szCs w:val="22"/>
          <w:color w:val="010000"/>
        </w:rPr>
      </w:pPr>
    </w:p>
    <w:p>
      <w:pPr>
        <w:jc w:val="both"/>
        <w:ind w:left="4" w:firstLine="644"/>
        <w:spacing w:after="0" w:line="233" w:lineRule="auto"/>
        <w:tabs>
          <w:tab w:leader="none" w:pos="1157"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86" w:lineRule="exact"/>
        <w:rPr>
          <w:rFonts w:ascii="Arial" w:cs="Arial" w:eastAsia="Arial" w:hAnsi="Arial"/>
          <w:sz w:val="22"/>
          <w:szCs w:val="22"/>
          <w:color w:val="010000"/>
        </w:rPr>
      </w:pPr>
    </w:p>
    <w:p>
      <w:pPr>
        <w:ind w:left="4" w:firstLine="644"/>
        <w:spacing w:after="0" w:line="251" w:lineRule="auto"/>
        <w:tabs>
          <w:tab w:leader="none" w:pos="1225"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such transaction involves a lease for not more than three years (or which may be terminated by the Borrower or the applicable Restricted Subsidiary within a period of not more than three years);</w:t>
      </w:r>
    </w:p>
    <w:p>
      <w:pPr>
        <w:spacing w:after="0" w:line="172" w:lineRule="exact"/>
        <w:rPr>
          <w:rFonts w:ascii="Arial" w:cs="Arial" w:eastAsia="Arial" w:hAnsi="Arial"/>
          <w:sz w:val="22"/>
          <w:szCs w:val="22"/>
          <w:color w:val="010000"/>
        </w:rPr>
      </w:pPr>
    </w:p>
    <w:p>
      <w:pPr>
        <w:jc w:val="both"/>
        <w:ind w:left="4" w:firstLine="644"/>
        <w:spacing w:after="0" w:line="241" w:lineRule="auto"/>
        <w:tabs>
          <w:tab w:leader="none" w:pos="1317"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 or</w:t>
      </w:r>
    </w:p>
    <w:p>
      <w:pPr>
        <w:spacing w:after="0" w:line="182" w:lineRule="exact"/>
        <w:rPr>
          <w:rFonts w:ascii="Arial" w:cs="Arial" w:eastAsia="Arial" w:hAnsi="Arial"/>
          <w:sz w:val="22"/>
          <w:szCs w:val="22"/>
          <w:color w:val="010000"/>
        </w:rPr>
      </w:pPr>
    </w:p>
    <w:p>
      <w:pPr>
        <w:jc w:val="both"/>
        <w:ind w:left="4" w:firstLine="644"/>
        <w:spacing w:after="0" w:line="241" w:lineRule="auto"/>
        <w:tabs>
          <w:tab w:leader="none" w:pos="1184"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the Borrower or the applicable Restricted Subsidiary applies an amount equal to the net proceeds from the sale of the Property to the purchase of other Property or to the retirement, repurchase or other repayment or</w:t>
      </w:r>
    </w:p>
    <w:p>
      <w:pPr>
        <w:sectPr>
          <w:pgSz w:w="11900" w:h="16838" w:orient="portrait"/>
          <w:cols w:equalWidth="0" w:num="1">
            <w:col w:w="10584"/>
          </w:cols>
          <w:pgMar w:left="976" w:top="1413" w:right="339" w:bottom="1440" w:gutter="0" w:footer="0" w:header="0"/>
        </w:sectPr>
      </w:pPr>
    </w:p>
    <w:bookmarkStart w:id="159" w:name="page160"/>
    <w:bookmarkEnd w:id="159"/>
    <w:p>
      <w:pPr>
        <w:ind w:left="660"/>
        <w:spacing w:after="0" w:line="251" w:lineRule="auto"/>
        <w:rPr>
          <w:sz w:val="20"/>
          <w:szCs w:val="20"/>
          <w:color w:val="auto"/>
        </w:rPr>
      </w:pPr>
      <w:r>
        <w:rPr>
          <w:rFonts w:ascii="Arial" w:cs="Arial" w:eastAsia="Arial" w:hAnsi="Arial"/>
          <w:sz w:val="22"/>
          <w:szCs w:val="22"/>
          <w:color w:val="auto"/>
        </w:rPr>
        <w:t>prepayment of the Loans within 365 calendar days before or after the effective date of any such sale and lease-back transaction; and</w:t>
      </w:r>
    </w:p>
    <w:p>
      <w:pPr>
        <w:spacing w:after="0" w:line="173" w:lineRule="exact"/>
        <w:rPr>
          <w:sz w:val="20"/>
          <w:szCs w:val="20"/>
          <w:color w:val="auto"/>
        </w:rPr>
      </w:pPr>
    </w:p>
    <w:p>
      <w:pPr>
        <w:jc w:val="both"/>
        <w:ind w:firstLine="656"/>
        <w:spacing w:after="0" w:line="234" w:lineRule="auto"/>
        <w:tabs>
          <w:tab w:leader="none" w:pos="13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Notwithstanding the other provisions of </w:t>
      </w:r>
      <w:r>
        <w:rPr>
          <w:rFonts w:ascii="Arial" w:cs="Arial" w:eastAsia="Arial" w:hAnsi="Arial"/>
          <w:sz w:val="22"/>
          <w:szCs w:val="22"/>
          <w:u w:val="single" w:color="auto"/>
          <w:color w:val="auto"/>
        </w:rPr>
        <w:t>Section 6.4(a)</w:t>
      </w:r>
      <w:r>
        <w:rPr>
          <w:rFonts w:ascii="Arial" w:cs="Arial" w:eastAsia="Arial" w:hAnsi="Arial"/>
          <w:sz w:val="22"/>
          <w:szCs w:val="22"/>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The Borrower will not request any Borrowing or Documentary Credit, and the Borrower shall not use, and shall procure that its Subsidiaries and its or their respective directors, officers, employees and agents shall not use, the proceeds of any Borrowing or Documentary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9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Financial Covenant</w:t>
      </w:r>
      <w:r>
        <w:rPr>
          <w:rFonts w:ascii="Arial" w:cs="Arial" w:eastAsia="Arial" w:hAnsi="Arial"/>
          <w:sz w:val="22"/>
          <w:szCs w:val="22"/>
          <w:color w:val="auto"/>
        </w:rPr>
        <w:t>. The Borrower will not permit, (a) as of the last day of any fiscal quarter of the Borrower other than a Specified Fiscal Quarter, the Total Leverage Ratio to exceed 3.25 to 1.00 and (b) as of the last day of any Specified Fiscal Quarter, either of the following (i) or (ii) (at the Borrower’s sole election as to the applicability of (i) or (ii) for such Specified Fiscal Quarter (provided that (ii) shall not be elected in more than three (3) of such Specified Fiscal Quarters)): (i) the Total Net Leverage Ratio to exceed 3.25 to 1.00 or (ii) Liquidity to be less than $5,000,000,000; provided that following the consummation of a Qualified Acquisition for the four fiscal quarters of the Borrower then ended as set forth in the last Compliance Certificate delivered pursuant to Section 5.2, the Total Leverage Ratio and Total Net Leverage Ratio set forth above shall increase for each of the four fiscal quarters of the Borrower ending following the consummation of a Qualified Acquisition to 3.75 to 1.00.</w:t>
      </w:r>
    </w:p>
    <w:p>
      <w:pPr>
        <w:spacing w:after="0" w:line="189"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7_____</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Events of Default</w:t>
      </w:r>
    </w:p>
    <w:p>
      <w:pPr>
        <w:spacing w:after="0" w:line="17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Each of the following is an “Event of Default”:</w:t>
      </w:r>
    </w:p>
    <w:p>
      <w:pPr>
        <w:spacing w:after="0" w:line="206" w:lineRule="exact"/>
        <w:rPr>
          <w:sz w:val="20"/>
          <w:szCs w:val="20"/>
          <w:color w:val="auto"/>
        </w:rPr>
      </w:pPr>
    </w:p>
    <w:p>
      <w:pPr>
        <w:ind w:left="1160" w:hanging="504"/>
        <w:spacing w:after="0"/>
        <w:tabs>
          <w:tab w:leader="none" w:pos="116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failure by the Borrower to pay principal of a Loan when due;</w:t>
      </w:r>
    </w:p>
    <w:p>
      <w:pPr>
        <w:spacing w:after="0" w:line="206" w:lineRule="exact"/>
        <w:rPr>
          <w:rFonts w:ascii="Arial" w:cs="Arial" w:eastAsia="Arial" w:hAnsi="Arial"/>
          <w:sz w:val="22"/>
          <w:szCs w:val="22"/>
          <w:color w:val="auto"/>
        </w:rPr>
      </w:pPr>
    </w:p>
    <w:p>
      <w:pPr>
        <w:jc w:val="both"/>
        <w:ind w:firstLine="656"/>
        <w:spacing w:after="0" w:line="241" w:lineRule="auto"/>
        <w:tabs>
          <w:tab w:leader="none" w:pos="130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182" w:lineRule="exact"/>
        <w:rPr>
          <w:rFonts w:ascii="Arial" w:cs="Arial" w:eastAsia="Arial" w:hAnsi="Arial"/>
          <w:sz w:val="22"/>
          <w:szCs w:val="22"/>
          <w:color w:val="auto"/>
        </w:rPr>
      </w:pPr>
    </w:p>
    <w:p>
      <w:pPr>
        <w:ind w:left="1140" w:hanging="484"/>
        <w:spacing w:after="0"/>
        <w:tabs>
          <w:tab w:leader="none" w:pos="114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failure by the Borrower to comply with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160" w:name="page161"/>
    <w:bookmarkEnd w:id="160"/>
    <w:p>
      <w:pPr>
        <w:jc w:val="both"/>
        <w:ind w:left="-656" w:firstLine="656"/>
        <w:spacing w:after="0" w:line="238" w:lineRule="auto"/>
        <w:tabs>
          <w:tab w:leader="none" w:pos="521"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failure by the Borrower or any of its Restricted Subsidiaries to perform, or breach by the Borrower or any of its Restricted Subsidiaries of, any other covenant (other than Section 5.2(d)),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84" w:lineRule="exact"/>
        <w:rPr>
          <w:rFonts w:ascii="Arial" w:cs="Arial" w:eastAsia="Arial" w:hAnsi="Arial"/>
          <w:sz w:val="22"/>
          <w:szCs w:val="22"/>
          <w:color w:val="auto"/>
        </w:rPr>
      </w:pPr>
    </w:p>
    <w:p>
      <w:pPr>
        <w:jc w:val="both"/>
        <w:ind w:left="-656" w:firstLine="656"/>
        <w:spacing w:after="0" w:line="232" w:lineRule="auto"/>
        <w:tabs>
          <w:tab w:leader="none" w:pos="596"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87" w:lineRule="exact"/>
        <w:rPr>
          <w:rFonts w:ascii="Arial" w:cs="Arial" w:eastAsia="Arial" w:hAnsi="Arial"/>
          <w:sz w:val="22"/>
          <w:szCs w:val="22"/>
          <w:color w:val="auto"/>
        </w:rPr>
      </w:pPr>
    </w:p>
    <w:p>
      <w:pPr>
        <w:ind w:left="444" w:hanging="444"/>
        <w:spacing w:after="0"/>
        <w:tabs>
          <w:tab w:leader="none" w:pos="4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Borrower or any Significant Subsidiary, pursuant to or within the meaning of any Debtor Relief Law:</w:t>
      </w:r>
    </w:p>
    <w:p>
      <w:pPr>
        <w:spacing w:after="0" w:line="206" w:lineRule="exact"/>
        <w:rPr>
          <w:rFonts w:ascii="Arial" w:cs="Arial" w:eastAsia="Arial" w:hAnsi="Arial"/>
          <w:sz w:val="22"/>
          <w:szCs w:val="22"/>
          <w:color w:val="auto"/>
        </w:rPr>
      </w:pPr>
    </w:p>
    <w:p>
      <w:pPr>
        <w:ind w:left="1144" w:hanging="496"/>
        <w:spacing w:after="0"/>
        <w:tabs>
          <w:tab w:leader="none" w:pos="1144"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commences proceedings to be adjudicated bankrupt or insolvent;</w:t>
      </w:r>
    </w:p>
    <w:p>
      <w:pPr>
        <w:spacing w:after="0" w:line="206" w:lineRule="exact"/>
        <w:rPr>
          <w:rFonts w:ascii="Arial" w:cs="Arial" w:eastAsia="Arial" w:hAnsi="Arial"/>
          <w:sz w:val="22"/>
          <w:szCs w:val="22"/>
          <w:color w:val="010000"/>
        </w:rPr>
      </w:pPr>
    </w:p>
    <w:p>
      <w:pPr>
        <w:jc w:val="both"/>
        <w:ind w:left="4" w:firstLine="644"/>
        <w:spacing w:after="0" w:line="236" w:lineRule="auto"/>
        <w:tabs>
          <w:tab w:leader="none" w:pos="1176"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85" w:lineRule="exact"/>
        <w:rPr>
          <w:rFonts w:ascii="Arial" w:cs="Arial" w:eastAsia="Arial" w:hAnsi="Arial"/>
          <w:sz w:val="22"/>
          <w:szCs w:val="22"/>
          <w:color w:val="010000"/>
        </w:rPr>
      </w:pPr>
    </w:p>
    <w:p>
      <w:pPr>
        <w:ind w:left="4" w:firstLine="644"/>
        <w:spacing w:after="0" w:line="251" w:lineRule="auto"/>
        <w:tabs>
          <w:tab w:leader="none" w:pos="1317"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consents to the appointment of a receiver, interim receiver, receiver and manager, liquidator, assignee, trustee, sequestrator or other similar official of it or for all or substantially all of its property; or</w:t>
      </w:r>
    </w:p>
    <w:p>
      <w:pPr>
        <w:spacing w:after="0" w:line="172" w:lineRule="exact"/>
        <w:rPr>
          <w:rFonts w:ascii="Arial" w:cs="Arial" w:eastAsia="Arial" w:hAnsi="Arial"/>
          <w:sz w:val="22"/>
          <w:szCs w:val="22"/>
          <w:color w:val="010000"/>
        </w:rPr>
      </w:pPr>
    </w:p>
    <w:p>
      <w:pPr>
        <w:ind w:left="1144" w:hanging="496"/>
        <w:spacing w:after="0"/>
        <w:tabs>
          <w:tab w:leader="none" w:pos="1144"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makes a general assignment for the benefit of its creditors;</w:t>
      </w:r>
    </w:p>
    <w:p>
      <w:pPr>
        <w:spacing w:after="0" w:line="206" w:lineRule="exact"/>
        <w:rPr>
          <w:rFonts w:ascii="Arial" w:cs="Arial" w:eastAsia="Arial" w:hAnsi="Arial"/>
          <w:sz w:val="22"/>
          <w:szCs w:val="22"/>
          <w:color w:val="010000"/>
        </w:rPr>
      </w:pPr>
    </w:p>
    <w:p>
      <w:pPr>
        <w:ind w:left="504" w:hanging="504"/>
        <w:spacing w:after="0"/>
        <w:tabs>
          <w:tab w:leader="none" w:pos="50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Debtor Relief Law that:</w:t>
      </w:r>
    </w:p>
    <w:p>
      <w:pPr>
        <w:spacing w:after="0" w:line="206" w:lineRule="exact"/>
        <w:rPr>
          <w:rFonts w:ascii="Arial" w:cs="Arial" w:eastAsia="Arial" w:hAnsi="Arial"/>
          <w:sz w:val="22"/>
          <w:szCs w:val="22"/>
          <w:color w:val="auto"/>
        </w:rPr>
      </w:pPr>
    </w:p>
    <w:p>
      <w:pPr>
        <w:ind w:left="4" w:firstLine="644"/>
        <w:spacing w:after="0" w:line="251" w:lineRule="auto"/>
        <w:tabs>
          <w:tab w:leader="none" w:pos="1337"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is for relief against the Borrower or any Significant Subsidiary in a proceeding in which the Borrower or any Significant Subsidiary is to be adjudicated bankrupt or insolvent;</w:t>
      </w:r>
    </w:p>
    <w:p>
      <w:pPr>
        <w:spacing w:after="0" w:line="172" w:lineRule="exact"/>
        <w:rPr>
          <w:rFonts w:ascii="Arial" w:cs="Arial" w:eastAsia="Arial" w:hAnsi="Arial"/>
          <w:sz w:val="22"/>
          <w:szCs w:val="22"/>
          <w:color w:val="010000"/>
        </w:rPr>
      </w:pPr>
    </w:p>
    <w:p>
      <w:pPr>
        <w:jc w:val="both"/>
        <w:ind w:left="4" w:firstLine="644"/>
        <w:spacing w:after="0" w:line="236" w:lineRule="auto"/>
        <w:tabs>
          <w:tab w:leader="none" w:pos="1446"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ectPr>
          <w:pgSz w:w="11900" w:h="16838" w:orient="portrait"/>
          <w:cols w:equalWidth="0" w:num="1">
            <w:col w:w="10584"/>
          </w:cols>
          <w:pgMar w:left="976" w:top="1413" w:right="339" w:bottom="1440" w:gutter="0" w:footer="0" w:header="0"/>
        </w:sectPr>
      </w:pPr>
    </w:p>
    <w:bookmarkStart w:id="161" w:name="page162"/>
    <w:bookmarkEnd w:id="161"/>
    <w:p>
      <w:pPr>
        <w:ind w:right="560" w:firstLine="1304"/>
        <w:spacing w:after="0" w:line="435" w:lineRule="auto"/>
        <w:tabs>
          <w:tab w:leader="none" w:pos="1800"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orders the liquidation, dissolution or winding up of the Borrower or any Significant Subsidiary; and the order or decree remains unstayed and in effect for 60 consecutive days;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90" w:lineRule="exact"/>
        <w:rPr>
          <w:sz w:val="20"/>
          <w:szCs w:val="20"/>
          <w:color w:val="auto"/>
        </w:rPr>
      </w:pPr>
    </w:p>
    <w:p>
      <w:pPr>
        <w:jc w:val="both"/>
        <w:ind w:firstLine="656"/>
        <w:spacing w:after="0" w:line="241" w:lineRule="auto"/>
        <w:tabs>
          <w:tab w:leader="none" w:pos="1167"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82" w:lineRule="exact"/>
        <w:rPr>
          <w:rFonts w:ascii="Arial" w:cs="Arial" w:eastAsia="Arial" w:hAnsi="Arial"/>
          <w:sz w:val="22"/>
          <w:szCs w:val="22"/>
          <w:color w:val="auto"/>
        </w:rPr>
      </w:pPr>
    </w:p>
    <w:p>
      <w:pPr>
        <w:ind w:left="1080" w:hanging="424"/>
        <w:spacing w:after="0"/>
        <w:tabs>
          <w:tab w:leader="none" w:pos="108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any Change of Control shall occur.</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 xml:space="preserve">In the case of an Event of Default, then, and in every such event (other than an event with respect to the Borrower described in clause (f) or (g) of this Section), and at any time thereafter during the continuance of such event, the Administrative Agent may take any and all of the following actions: (A) at the request of the Required Lenders, the Administrative Agent shall, by notice to the Borrower, (i) terminate the Revolving Commitments, and thereupon the Revolving Commitments shall terminate immediately and (ii) require that the Borrower provide cash collateral as required in </w:t>
      </w:r>
      <w:r>
        <w:rPr>
          <w:rFonts w:ascii="Arial" w:cs="Arial" w:eastAsia="Arial" w:hAnsi="Arial"/>
          <w:sz w:val="21"/>
          <w:szCs w:val="21"/>
          <w:u w:val="single" w:color="auto"/>
          <w:color w:val="auto"/>
        </w:rPr>
        <w:t>Section 2.4(j)</w:t>
      </w:r>
      <w:r>
        <w:rPr>
          <w:rFonts w:ascii="Arial" w:cs="Arial" w:eastAsia="Arial" w:hAnsi="Arial"/>
          <w:sz w:val="21"/>
          <w:szCs w:val="21"/>
          <w:color w:val="auto"/>
        </w:rPr>
        <w:t xml:space="preserve"> and (B) at the request of the Required Lenders, the Administrative Agent shall, by notice to the Borrower (i)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the Lenders and the Issuing Banks all rights and remedies available to it, the Lenders and the Issuing Banks under the Loan Documents and applicable law. In case of any event with respect to the Borrower described in clause (f) or (g) of this Section, the Commitments shall automatically terminate and the principal of the Loans then outstanding, together with accrued interest thereon and all fees and other obligations of the Borrower accrued hereunder, shall automatically become due and payable, and the obligation of the Borrower to cash collateralize the DC Exposure as provided in clause (ii) above shall automatically become effective, in each case, without presentment, demand, protest or other notice of any kind, all of which are hereby waived by the Borrower.</w:t>
      </w:r>
    </w:p>
    <w:p>
      <w:pPr>
        <w:sectPr>
          <w:pgSz w:w="11900" w:h="16838" w:orient="portrait"/>
          <w:cols w:equalWidth="0" w:num="1">
            <w:col w:w="11240"/>
          </w:cols>
          <w:pgMar w:left="320" w:top="1413" w:right="339" w:bottom="1440" w:gutter="0" w:footer="0" w:header="0"/>
        </w:sectPr>
      </w:pPr>
    </w:p>
    <w:bookmarkStart w:id="162" w:name="page163"/>
    <w:bookmarkEnd w:id="162"/>
    <w:p>
      <w:pPr>
        <w:jc w:val="both"/>
        <w:ind w:firstLine="648"/>
        <w:spacing w:after="0" w:line="244" w:lineRule="auto"/>
        <w:rPr>
          <w:sz w:val="20"/>
          <w:szCs w:val="20"/>
          <w:color w:val="auto"/>
        </w:rPr>
      </w:pPr>
      <w:r>
        <w:rPr>
          <w:rFonts w:ascii="Arial" w:cs="Arial" w:eastAsia="Arial" w:hAnsi="Arial"/>
          <w:sz w:val="21"/>
          <w:szCs w:val="21"/>
          <w:color w:val="auto"/>
        </w:rPr>
        <w:t xml:space="preserve">In the event of a declaration of acceleration of the Loans because an Event of Default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7.1(e)</w:t>
      </w:r>
      <w:r>
        <w:rPr>
          <w:rFonts w:ascii="Arial" w:cs="Arial" w:eastAsia="Arial" w:hAnsi="Arial"/>
          <w:sz w:val="21"/>
          <w:szCs w:val="21"/>
          <w:color w:val="auto"/>
        </w:rPr>
        <w:t xml:space="preserve"> has occurred and is continuing, the declaration of acceleration of the Loans shall be automatically annulled if the event of default or payment default triggering such Event of Default pursuant to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Loans would not conflict with any judgment or decree of a court of competent jurisdiction and (2) all existing Events of Default, except nonpayment of principal, premium or interest on the Loans that became due solely because of the acceleration of the Loans, have been cured or waived.</w:t>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8_____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Agents</w:t>
      </w:r>
    </w:p>
    <w:p>
      <w:pPr>
        <w:spacing w:after="0" w:line="19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Appointment</w:t>
      </w:r>
      <w:r>
        <w:rPr>
          <w:rFonts w:ascii="Arial" w:cs="Arial" w:eastAsia="Arial" w:hAnsi="Arial"/>
          <w:sz w:val="22"/>
          <w:szCs w:val="22"/>
          <w:color w:val="auto"/>
        </w:rPr>
        <w:t>. Each Lender and each Issuing Bank hereby irrevocably designates and appoints the Administrative Agent as the agent of such Lender under this Agreement and the other Loan Documents, and each such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and each Issuing Bank hereby irrevocably designates and appoints the Sustainability Structuring Agent as the agent of such Lender and Issuing Bank under this Agreement and the other Loan Documents, and each such Lender and Issuing Bank irrevocably authorizes the Sustainability Structuring Agent, in such capacity, to take such action on its behalf under the provisions of this Agreement and the other Loan Documents and to exercise such powers and perform such duties as are expressly delegated to the Sustainability Structuring Agent by the terms of this Agreement and the other Loan Documents, together with such other powers as are reasonably incidental thereto. Notwithstanding any provision to the contrary elsewhere in this Agreement, none of the Administrative Agent and the Sustainability Structuring Agent shall have any duties or responsibilities, except those expressly set forth herein, or any fiduciary relationship with any Lender or Issuing Bank, and no implied covenants, functions, responsibilities, duties, obligations or liabilities shall be read into this Agreement or any other Loan Document or otherwise exist against the Administrative Agent or the Sustainability Structuring Agent.</w:t>
      </w:r>
    </w:p>
    <w:p>
      <w:pPr>
        <w:spacing w:after="0" w:line="18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Each of the Administrative Agent and the Sustainability Structuring Agent may execute any of their duties under this Agreement and the other Loan Documents by or through agents or attorneys in fact and shall be entitled to advice of counsel concerning all matters pertaining to such duties. None of the Administrative Agent and the Sustainability Structuring Agent shall be responsible for the negligence or misconduct of any agents or attorneys in fact selected by it with reasonable care.</w:t>
      </w:r>
    </w:p>
    <w:p>
      <w:pPr>
        <w:sectPr>
          <w:pgSz w:w="11900" w:h="16838" w:orient="portrait"/>
          <w:cols w:equalWidth="0" w:num="1">
            <w:col w:w="11240"/>
          </w:cols>
          <w:pgMar w:left="320" w:top="1413" w:right="339" w:bottom="1440" w:gutter="0" w:footer="0" w:header="0"/>
        </w:sectPr>
      </w:pPr>
    </w:p>
    <w:bookmarkStart w:id="163" w:name="page164"/>
    <w:bookmarkEnd w:id="163"/>
    <w:p>
      <w:pPr>
        <w:jc w:val="both"/>
        <w:ind w:firstLine="648"/>
        <w:spacing w:after="0" w:line="230"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“Use of the term “agent” in the Agreement or in any other Loan Documents (or any other similar term) with reference to the Administrative Agent or Sustainability Structuring Agent does not connote (and is not intended to connote), any fiduciary or other implied (or express) obligation arising under agency doctrine of any applicable law. Instead such term is used as a matter of market custom, and is intended to create or reflect only an administrative relationship between the contracting parties. The Administrative Agent and Sustainability Structuring Agent shall not have any duty to take any discretionary action or exercise any discretionary power, except discretionary rights and powers expressly contemplated by the Agreement that the Administrative Agent and Sustainability Structuring Agent are required to exercise and only so long as so directed in writing to take such discretionary action by the “Required Lenders” provided, however, that the Administrative Agent and Sustainability Structuring Agent shall not be required to take any action that, in its opinion or the opinion of its counsel, may expose the Administrative Agent or Sustainability Structuring Agent to liability or that is contrary to any Loan Document or Applicable Law, including, for the avoidance of doubt, any action that may be in violation of the automatic stay or that may effect a forfeiture, modification or termination of a property interest in violation of any applicable bankruptcy/insolvency laws and the Administrative Agent and Sustainability Structuring Agent shall in all cases be fully justified in failing or refusing to act under the Agreement or any other Loan Document unless it first receives further assurances of its indemnification from the Lenders that the Administrative Agent and Sustainability Structuring Agent reasonably believe it may require, including prepayment of any related expenses and any other protection it requires against any and all costs, expenses and liabilities it may incur in taking or continuing to take any such discretionary action at the direction of the Required Lenders. The Administrative Agent and Sustainability Structuring Agent shall not have any duty to disclose, and shall not be liable for the failure to disclose, except as expressly set forth in the Agreement and in the other Loan Documents, any information relating to the borrower or any of its affiliates that is communicated to or obtained by the Administrative Agent, Sustainability Structuring Agent, or any of their affiliates in any capacity. The Administrative Agent and Sustainability Structuring Agent shall not be responsible for or have any duty to ascertain or inquire into (i) any statement, warranty or representation made in or in connection with the Loan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instrument or document, or (v) the satisfaction of any conditions precedent set forth in the Loan Agreement, other than to confirm receipt of items expressly required to be delivered to the Administrative Agent or Sustainability Structuring Agent.</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Reliance by the Administrative Agent</w:t>
      </w:r>
      <w:r>
        <w:rPr>
          <w:rFonts w:ascii="Arial" w:cs="Arial" w:eastAsia="Arial" w:hAnsi="Arial"/>
          <w:sz w:val="22"/>
          <w:szCs w:val="22"/>
          <w:color w:val="auto"/>
        </w:rPr>
        <w:t>. The Administrative Agent and Sustainability Structuring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31" w:lineRule="auto"/>
        <w:rPr>
          <w:sz w:val="20"/>
          <w:szCs w:val="20"/>
          <w:color w:val="auto"/>
        </w:rPr>
      </w:pPr>
      <w:r>
        <w:rPr>
          <w:rFonts w:ascii="Arial" w:cs="Arial" w:eastAsia="Arial" w:hAnsi="Arial"/>
          <w:sz w:val="22"/>
          <w:szCs w:val="22"/>
          <w:color w:val="auto"/>
        </w:rPr>
        <w:t>counsel to the Borrower), independent accountants and other experts reasonably selected by the Administrative Agent and Sustainability Structuring Agent. The Administrative Agent and Sustainability Structuring Agent shall be fully justified in failing or refusing to take any action under this Agreement or any other Loan Document unless the Administrative Agent and Sustainability Structuring Agent shall first receive such advice or concurrence of the Required Lenders (or, if so specified by this Agreement, all Lenders and Issuing Banks) as it deems appropriate or it shall first be indemnified to its satisfaction by the Lenders and Issuing Banks against any and all liability and expense that may be incurred by it by reason of taking or continuing to take any such action. In determining compliance with any condition to the making of a loan, or the issuance, extension, renewal or increase of a Documentary Credit, the Administrative Agent may presume that such condition is satisfactory to such Lender or Issuing Bank unless the Administrative Agent receives notice to the contrary from such Lender or Issuing Bank prior to the making of such loan or the issuance of such Documentary Credit. The Administrative Agent and Sustainability Structuring Agent shall in all cases be fully protected in acting, or in refraining from acting, under this Agreement and the other Loan Documents in accordance with a request of the Required Lenders (or, if so specified by this Agreement or any other Loan Document, all Lenders and Issuing Banks), and such request and any action taken or failure to act pursuant thereto shall be binding upon all the Lenders and Issuing Banks and all future holders of the Loans. The Administrative Agent and Sustainability Structuring Agent shall not be liable for any action taken or not taken by it in accordance with the advice of any such counsel, accountants or experts.</w:t>
      </w:r>
    </w:p>
    <w:p>
      <w:pPr>
        <w:spacing w:after="0" w:line="18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Notice of Default</w:t>
      </w:r>
      <w:r>
        <w:rPr>
          <w:rFonts w:ascii="Arial" w:cs="Arial" w:eastAsia="Arial" w:hAnsi="Arial"/>
          <w:sz w:val="22"/>
          <w:szCs w:val="22"/>
          <w:color w:val="auto"/>
        </w:rPr>
        <w:t>. The Administrative Agent shall not be deemed to have knowledge or notice of the occurrence of any Default or Event of Default unless it has received written notice from a Lender, Issuing Bank or the Borrower referring to this Agreement, describing such Default or Event of Default and stating that such notice is a “notice of default”. In the event that the Administrative Agent receives such a notice, it shall give notice thereof to the Lenders and Issuing Banks. The Administrative Agent shall take such action with respect to such Default or Event of Default as shall be reasonably directed by the Required Lenders (or, if so specified by this Agreement or any other Loan Document, all Lenders and Issuing Banks); provided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and Issuing Banks. The Administrative Agent shall not be obligated to follow any direction by Required Lenders if the Administrative Agent reasonably determines that such direction is in conflict with any provisions of any applicable law, and the Administrative Agent shall not, under any circumstances, be liable to any Lenders, Issuing Banks, the Borrower or any other person or entity for following the direction of Required Lenders. At all 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ectPr>
          <w:pgSz w:w="11900" w:h="16838" w:orient="portrait"/>
          <w:cols w:equalWidth="0" w:num="1">
            <w:col w:w="11240"/>
          </w:cols>
          <w:pgMar w:left="320" w:top="1413" w:right="339" w:bottom="1440" w:gutter="0" w:footer="0" w:header="0"/>
        </w:sectPr>
      </w:pPr>
    </w:p>
    <w:bookmarkStart w:id="165" w:name="page166"/>
    <w:bookmarkEnd w:id="165"/>
    <w:p>
      <w:pPr>
        <w:jc w:val="both"/>
        <w:ind w:firstLine="648"/>
        <w:spacing w:after="0" w:line="23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Non-Reliance on the Agent and Other Lenders</w:t>
      </w:r>
      <w:r>
        <w:rPr>
          <w:rFonts w:ascii="Arial" w:cs="Arial" w:eastAsia="Arial" w:hAnsi="Arial"/>
          <w:sz w:val="22"/>
          <w:szCs w:val="22"/>
          <w:color w:val="auto"/>
        </w:rPr>
        <w:t>. Each Lender and each Issuing Bank expressly acknowledges that neither the Agent, the Sustainability Structuring Agent, nor any of their respective officers, directors, employees, agents, attorneys in fact or affiliates have made any representations or warranties to it and that no act by any Agent or the Sustainability Structuring Agent hereafter taken, including any review of the affairs of a Loan Party or any affiliate of a Loan Party, shall be deemed to constitute any representation or warranty by any Agent or the Sustainability Structuring Agent to any Lender or Issuing Bank. Each Lender and Issuing Bank represents to the Agent and Sustainability Structuring Agent that it has, independently and without reliance upon any Agent or the Sustainability Structuring Agent, any other Lender or any Issuing Bank,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and Issuing Bank also represents that it will, independently and without reliance upon any Agent, the Sustainability Structuring Agent, any other Lender or any Issuing Bank,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and Issuing Banks by the Administrative Agent or the Sustainability Structuring Agent hereunder, the Administrative Agent and Sustainability Structuring Agent shall not have any duty or responsibility to provide any Lender or Issuing Bank with any credit or other information concerning the business, operations, property, condition (financial or otherwise), prospects or creditworthiness of any Loan Party or any affiliate of a Loan Party that may come into the possession of the Administrative Agent, the Sustainability Structuring Agent, or any of their officers, directors, employees, agents, attorneys in fact or affiliates.</w:t>
      </w:r>
    </w:p>
    <w:p>
      <w:pPr>
        <w:spacing w:after="0" w:line="2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It is understood and agreed that the Administrative Agent and the Sustainability Structuring Agent make no assurances as to (i) whether this Agreement meets any Loan Party or Lender criteria or expectations with regard to environmental impact and sustainability performance, or (ii) whether the characteristics of the relevant sustainability performance targets and/or key performance indicators included in the Agreement, including any environmental and sustainability criteria or any computation methodology with respect thereto, meet any industry standards for sustainability-linked credit facilities. It is further understood and agreed that neither the Administrative Agent nor the Sustainability Structuring Agent shall have any responsibility for (or liability in respect of) reviewing, auditing or otherwise evaluating any calculation by any Loan Party of (i) the relevant sustainability performance targets and/or key performance indicators or (ii) any Sustainability Adjustment (or any of the data or computations that are part of or related to any such calculation) set forth in any Sustainability Pricing Certificate (and the Administrative Agent may rely conclusively on any such certificate, without further inquiry, when implementing any such pricing adjustment).</w:t>
      </w:r>
    </w:p>
    <w:p>
      <w:pPr>
        <w:sectPr>
          <w:pgSz w:w="11900" w:h="16838" w:orient="portrait"/>
          <w:cols w:equalWidth="0" w:num="1">
            <w:col w:w="11240"/>
          </w:cols>
          <w:pgMar w:left="320" w:top="1413" w:right="339" w:bottom="1440" w:gutter="0" w:footer="0" w:header="0"/>
        </w:sectPr>
      </w:pPr>
    </w:p>
    <w:bookmarkStart w:id="166" w:name="page167"/>
    <w:bookmarkEnd w:id="166"/>
    <w:p>
      <w:pPr>
        <w:jc w:val="both"/>
        <w:ind w:firstLine="648"/>
        <w:spacing w:after="0" w:line="231"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the Borrower fails to pay any amount required to be paid by it to the Administrative Agent, the Sustainability Structuring Agent or any other agent under Section 9.5, the Lenders and Issuing Banks severally agree to indemnify the Agent in their capacity as such (to the extent not reimbursed by the Borrower and without limiting the obligation of the Borrower to do so), ratably according to their respective Revolving Loan Percentage in effect on the date on which indemnification is sought under this Section 8.7 (or, if indemnification is sought after the date upon which the Commitments shall have terminated and the Loans shall have been paid in full, ratably in accordance with such Revolving Loan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8.7 shall survive the payment of the Loans and all other amounts payable hereunder.</w:t>
      </w:r>
    </w:p>
    <w:p>
      <w:pPr>
        <w:spacing w:after="0" w:line="18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Agent and Sustainability Structuring Agent in Their Individual Capacity</w:t>
      </w:r>
      <w:r>
        <w:rPr>
          <w:rFonts w:ascii="Arial" w:cs="Arial" w:eastAsia="Arial" w:hAnsi="Arial"/>
          <w:sz w:val="22"/>
          <w:szCs w:val="22"/>
          <w:color w:val="auto"/>
        </w:rPr>
        <w:t>. Each Agent, the Sustainability Structuring Agent and their affiliates may make loans to, accept deposits from and generally engage in any kind of business with any Loan Party as though such Agent or Sustainability Structuring Agent, as applicable, were not an Agent or Sustainability Structuring Agent, as applicable. With respect to its Loans made or renewed by it, each Agent and the Sustainability Structuring Agent shall have the same rights and powers under this Agreement and the other Loan Documents as any Lender and may exercise the same as though it were not an Agent or the Sustainability Structuring Agent, as applicable, and the terms “Lender” and “Lenders” shall include each Agent or the Sustainability Structuring Agent in their individual capacity.</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 The Administrative Agent may resign as Administrative Agent upon 30 days’ notice to the Lenders, Issuing Bank and any Loan Party. If the Administrative Agent shall resign as Administrative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Loans. If no successor agent has accepted</w:t>
      </w:r>
    </w:p>
    <w:p>
      <w:pPr>
        <w:sectPr>
          <w:pgSz w:w="11900" w:h="16838" w:orient="portrait"/>
          <w:cols w:equalWidth="0" w:num="1">
            <w:col w:w="11240"/>
          </w:cols>
          <w:pgMar w:left="320" w:top="1413" w:right="339" w:bottom="1440" w:gutter="0" w:footer="0" w:header="0"/>
        </w:sectPr>
      </w:pPr>
    </w:p>
    <w:bookmarkStart w:id="167" w:name="page168"/>
    <w:bookmarkEnd w:id="167"/>
    <w:p>
      <w:pPr>
        <w:jc w:val="both"/>
        <w:spacing w:after="0" w:line="233" w:lineRule="auto"/>
        <w:rPr>
          <w:sz w:val="20"/>
          <w:szCs w:val="20"/>
          <w:color w:val="auto"/>
        </w:rPr>
      </w:pPr>
      <w:r>
        <w:rPr>
          <w:rFonts w:ascii="Arial" w:cs="Arial" w:eastAsia="Arial" w:hAnsi="Arial"/>
          <w:sz w:val="22"/>
          <w:szCs w:val="22"/>
          <w:color w:val="auto"/>
        </w:rPr>
        <w:t>appointment as an Administrative Agent by the date that is ten (10) days following the retiring Administrative Agent’s notice of resignation, the retiring Administrative Agent’s resignation shall nevertheless thereupon become effective, and the Lenders and Issuing Banks shall assume and perform all of the duties of the Administrative Agent hereunder until such time, if any, as the Required Lenders appoint a successor agent as provided for above. After the retiring Administrative Agent’s resignation, the provisions of this Section 8 and Section 9.5 shall inure to its benefit as to any actions taken or omitted to be taken by it while it was Administrative Agent under this Agreement and the other Loan Documents.</w:t>
      </w:r>
    </w:p>
    <w:p>
      <w:pPr>
        <w:spacing w:after="0" w:line="18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Successor Sustainability Structuring Agent</w:t>
      </w:r>
      <w:r>
        <w:rPr>
          <w:rFonts w:ascii="Arial" w:cs="Arial" w:eastAsia="Arial" w:hAnsi="Arial"/>
          <w:sz w:val="22"/>
          <w:szCs w:val="22"/>
          <w:color w:val="auto"/>
        </w:rPr>
        <w:t>. The Sustainability Structuring Agent may resign as Sustainability Structuring Agent upon 30 days’ notice to the Lenders, Issuing Bank and any Loan Party. If the Sustainability Structuring Agent shall resign as Sustainability Structuring Agent under this Agreement and the other Loan Documents, then the Required Lenders shall appoint from among the Lenders and Issuing Banks a successor agent for the Lenders and Issuing Banks, which successor agent shall be subject to approval by the Borrower (which approval shall not be unreasonably withheld or delayed), whereupon such successor agent shall succeed to the rights, powers and duties of the Sustainability Structuring Agent, and the term “Sustainability Structuring Agent” shall mean such successor agent effective upon such appointment and approval, and the former Sustainability Structuring Agent’s rights, powers and duties as an Sustainability Structuring Agent shall be terminated, without any other or further act or deed on the part of such former Sustainability Structuring Agent or any of the parties to this Agreement or any holders of the Loans. If no successor agent has accepted appointment as an Sustainability Structuring Agent by the date that is ten (10) days following the retiring Sustainability Structuring Agent’s notice of resignation, the retiring Sustainability Structuring Agent’s resignation shall nevertheless thereupon become effective, and the Lenders and Issuing Banks shall assume and perform all of the duties of the Sustainability Structuring Agent hereunder until such time, if any, as the Required Lenders appoint a successor agent as provided for above. After the retiring Sustainability Structuring Agent’s resignation, the provisions of this Section 8 and Section 9.5 shall inure to its benefit as to any actions taken or omitted to be taken by it while it was Sustainability Structuring Agent under this Agreement and the other Loan Documents.</w:t>
      </w:r>
    </w:p>
    <w:p>
      <w:pPr>
        <w:spacing w:after="0" w:line="19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21"/>
          <w:szCs w:val="21"/>
          <w:u w:val="single" w:color="auto"/>
          <w:color w:val="auto"/>
        </w:rPr>
        <w:t>Payments</w:t>
      </w:r>
    </w:p>
    <w:p>
      <w:pPr>
        <w:spacing w:after="0" w:line="206" w:lineRule="exact"/>
        <w:rPr>
          <w:sz w:val="20"/>
          <w:szCs w:val="20"/>
          <w:color w:val="auto"/>
        </w:rPr>
      </w:pPr>
    </w:p>
    <w:p>
      <w:pPr>
        <w:jc w:val="both"/>
        <w:ind w:firstLine="656"/>
        <w:spacing w:after="0" w:line="244" w:lineRule="auto"/>
        <w:tabs>
          <w:tab w:leader="none" w:pos="120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If the Administrative Agent notifies a Lender or Issuing Bank, or any Person who has received funds on behalf of a Lender or Issuing Bank (any such Lender, Issuing Bank or other recipient, a “</w:t>
      </w:r>
      <w:r>
        <w:rPr>
          <w:rFonts w:ascii="Arial" w:cs="Arial" w:eastAsia="Arial" w:hAnsi="Arial"/>
          <w:sz w:val="21"/>
          <w:szCs w:val="21"/>
          <w:u w:val="single" w:color="auto"/>
          <w:color w:val="auto"/>
        </w:rPr>
        <w:t>Payment Recipient</w:t>
      </w:r>
      <w:r>
        <w:rPr>
          <w:rFonts w:ascii="Arial" w:cs="Arial" w:eastAsia="Arial" w:hAnsi="Arial"/>
          <w:sz w:val="21"/>
          <w:szCs w:val="21"/>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Arial" w:cs="Arial" w:eastAsia="Arial" w:hAnsi="Arial"/>
          <w:sz w:val="21"/>
          <w:szCs w:val="21"/>
          <w:u w:val="single" w:color="auto"/>
          <w:color w:val="auto"/>
        </w:rPr>
        <w:t>Erroneous Payment</w:t>
      </w:r>
      <w:r>
        <w:rPr>
          <w:rFonts w:ascii="Arial" w:cs="Arial" w:eastAsia="Arial" w:hAnsi="Arial"/>
          <w:sz w:val="21"/>
          <w:szCs w:val="21"/>
          <w:color w:val="auto"/>
        </w:rPr>
        <w:t>”) and demands the return of such Erroneous</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line="232" w:lineRule="auto"/>
        <w:rPr>
          <w:sz w:val="20"/>
          <w:szCs w:val="20"/>
          <w:color w:val="auto"/>
        </w:rPr>
      </w:pPr>
      <w:r>
        <w:rPr>
          <w:rFonts w:ascii="Arial" w:cs="Arial" w:eastAsia="Arial" w:hAnsi="Arial"/>
          <w:sz w:val="22"/>
          <w:szCs w:val="22"/>
          <w:color w:val="auto"/>
        </w:rPr>
        <w:t>Payment (or a portion thereof), such Erroneous Payment shall at all times remain the property of the Administrative Agent, and such Lender or Issuing Bank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87" w:lineRule="exact"/>
        <w:rPr>
          <w:sz w:val="20"/>
          <w:szCs w:val="20"/>
          <w:color w:val="auto"/>
        </w:rPr>
      </w:pPr>
    </w:p>
    <w:p>
      <w:pPr>
        <w:jc w:val="both"/>
        <w:ind w:firstLine="656"/>
        <w:spacing w:after="0" w:line="232" w:lineRule="auto"/>
        <w:tabs>
          <w:tab w:leader="none" w:pos="116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Arial" w:cs="Arial" w:eastAsia="Arial" w:hAnsi="Arial"/>
          <w:sz w:val="22"/>
          <w:szCs w:val="22"/>
          <w:u w:val="single" w:color="auto"/>
          <w:color w:val="auto"/>
        </w:rPr>
        <w:t>Payment Notice</w:t>
      </w:r>
      <w:r>
        <w:rPr>
          <w:rFonts w:ascii="Arial" w:cs="Arial" w:eastAsia="Arial" w:hAnsi="Arial"/>
          <w:sz w:val="22"/>
          <w:szCs w:val="22"/>
          <w:color w:val="auto"/>
        </w:rPr>
        <w:t>”), (y) that was not preceded or accompanied by a Payment Notice, or (z) that such Payment Recipient otherwise becomes aware was transmitted, or received, in error or by mistake (in whole or in part) in each case:</w:t>
      </w:r>
    </w:p>
    <w:p>
      <w:pPr>
        <w:spacing w:after="0" w:line="190" w:lineRule="exact"/>
        <w:rPr>
          <w:rFonts w:ascii="Arial" w:cs="Arial" w:eastAsia="Arial" w:hAnsi="Arial"/>
          <w:sz w:val="22"/>
          <w:szCs w:val="22"/>
          <w:color w:val="auto"/>
        </w:rPr>
      </w:pPr>
    </w:p>
    <w:p>
      <w:pPr>
        <w:jc w:val="both"/>
        <w:ind w:left="660" w:firstLine="644"/>
        <w:spacing w:after="0" w:line="241" w:lineRule="auto"/>
        <w:tabs>
          <w:tab w:leader="none" w:pos="177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 error may have been made (in the case of immediately preceding clauses (x) or (y)) or an error has been made (in the case of immediately preceding clause (z)) with respect to such payment, prepayment or repayment; and</w:t>
      </w:r>
    </w:p>
    <w:p>
      <w:pPr>
        <w:spacing w:after="0" w:line="182" w:lineRule="exact"/>
        <w:rPr>
          <w:rFonts w:ascii="Arial" w:cs="Arial" w:eastAsia="Arial" w:hAnsi="Arial"/>
          <w:sz w:val="22"/>
          <w:szCs w:val="22"/>
          <w:color w:val="auto"/>
        </w:rPr>
      </w:pPr>
    </w:p>
    <w:p>
      <w:pPr>
        <w:jc w:val="both"/>
        <w:ind w:left="660" w:firstLine="644"/>
        <w:spacing w:after="0" w:line="241" w:lineRule="auto"/>
        <w:tabs>
          <w:tab w:leader="none" w:pos="2008" w:val="left"/>
        </w:tabs>
        <w:numPr>
          <w:ilvl w:val="1"/>
          <w:numId w:val="139"/>
        </w:numPr>
        <w:rPr>
          <w:rFonts w:ascii="Arial" w:cs="Arial" w:eastAsia="Arial" w:hAnsi="Arial"/>
          <w:sz w:val="22"/>
          <w:szCs w:val="22"/>
          <w:color w:val="auto"/>
        </w:rPr>
      </w:pPr>
      <w:r>
        <w:rPr>
          <w:rFonts w:ascii="Arial" w:cs="Arial" w:eastAsia="Arial" w:hAnsi="Arial"/>
          <w:sz w:val="22"/>
          <w:szCs w:val="22"/>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182" w:lineRule="exact"/>
        <w:rPr>
          <w:rFonts w:ascii="Arial" w:cs="Arial" w:eastAsia="Arial" w:hAnsi="Arial"/>
          <w:sz w:val="22"/>
          <w:szCs w:val="22"/>
          <w:color w:val="auto"/>
        </w:rPr>
      </w:pPr>
    </w:p>
    <w:p>
      <w:pPr>
        <w:jc w:val="both"/>
        <w:ind w:firstLine="656"/>
        <w:spacing w:after="0" w:line="234" w:lineRule="auto"/>
        <w:tabs>
          <w:tab w:leader="none" w:pos="114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from any source, against any amount due to the Administrative Agent under immediately preceding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under the indemnification provisions of this Agreement.</w:t>
      </w:r>
    </w:p>
    <w:p>
      <w:pPr>
        <w:spacing w:after="0" w:line="184" w:lineRule="exact"/>
        <w:rPr>
          <w:rFonts w:ascii="Arial" w:cs="Arial" w:eastAsia="Arial" w:hAnsi="Arial"/>
          <w:sz w:val="22"/>
          <w:szCs w:val="22"/>
          <w:color w:val="auto"/>
        </w:rPr>
      </w:pPr>
    </w:p>
    <w:p>
      <w:pPr>
        <w:jc w:val="both"/>
        <w:ind w:firstLine="656"/>
        <w:spacing w:after="0" w:line="238" w:lineRule="auto"/>
        <w:tabs>
          <w:tab w:leader="none" w:pos="120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In the event an Erroneous Payment (or portion thereof) is not recovered by the Administrative Agent for any reason, after demand therefor by the Administrative Agent in accordance with immediately preceding </w:t>
      </w:r>
      <w:r>
        <w:rPr>
          <w:rFonts w:ascii="Arial" w:cs="Arial" w:eastAsia="Arial" w:hAnsi="Arial"/>
          <w:sz w:val="22"/>
          <w:szCs w:val="22"/>
          <w:u w:val="single" w:color="auto"/>
          <w:color w:val="auto"/>
        </w:rPr>
        <w:t>clause (a)</w:t>
      </w:r>
      <w:r>
        <w:rPr>
          <w:rFonts w:ascii="Arial" w:cs="Arial" w:eastAsia="Arial" w:hAnsi="Arial"/>
          <w:sz w:val="22"/>
          <w:szCs w:val="22"/>
          <w:color w:val="auto"/>
        </w:rPr>
        <w:t>, from any Lender or Issuing Bank that has received such Erroneous Payment (or portion thereof) (or from any Payment Recipient who received such Erroneous Payment (or portion thereof) on its</w:t>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41" w:lineRule="auto"/>
        <w:rPr>
          <w:sz w:val="20"/>
          <w:szCs w:val="20"/>
          <w:color w:val="auto"/>
        </w:rPr>
      </w:pPr>
      <w:r>
        <w:rPr>
          <w:rFonts w:ascii="Arial" w:cs="Arial" w:eastAsia="Arial" w:hAnsi="Arial"/>
          <w:sz w:val="21"/>
          <w:szCs w:val="21"/>
          <w:color w:val="auto"/>
        </w:rPr>
        <w:t>respective behalf) (such unrecovered amount, an “</w:t>
      </w:r>
      <w:r>
        <w:rPr>
          <w:rFonts w:ascii="Arial" w:cs="Arial" w:eastAsia="Arial" w:hAnsi="Arial"/>
          <w:sz w:val="21"/>
          <w:szCs w:val="21"/>
          <w:u w:val="single" w:color="auto"/>
          <w:color w:val="auto"/>
        </w:rPr>
        <w:t>Erroneous Payment Return Deficiency</w:t>
      </w:r>
      <w:r>
        <w:rPr>
          <w:rFonts w:ascii="Arial" w:cs="Arial" w:eastAsia="Arial" w:hAnsi="Arial"/>
          <w:sz w:val="21"/>
          <w:szCs w:val="21"/>
          <w:color w:val="auto"/>
        </w:rPr>
        <w:t>”), upon the Administrative Agent’s request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21"/>
          <w:szCs w:val="21"/>
          <w:u w:val="single" w:color="auto"/>
          <w:color w:val="auto"/>
        </w:rPr>
        <w:t>Erroneous Payment Impacted Class</w:t>
      </w:r>
      <w:r>
        <w:rPr>
          <w:rFonts w:ascii="Arial" w:cs="Arial" w:eastAsia="Arial" w:hAnsi="Arial"/>
          <w:sz w:val="21"/>
          <w:szCs w:val="21"/>
          <w:color w:val="auto"/>
        </w:rPr>
        <w:t>”) in an amount equal to the Erroneous Payment Return Deficiency (such assignment of the Loans (but not Commitments) of the Erroneous Payment Impacted Class, the “</w:t>
      </w:r>
      <w:r>
        <w:rPr>
          <w:rFonts w:ascii="Arial" w:cs="Arial" w:eastAsia="Arial" w:hAnsi="Arial"/>
          <w:sz w:val="21"/>
          <w:szCs w:val="21"/>
          <w:u w:val="single" w:color="auto"/>
          <w:color w:val="auto"/>
        </w:rPr>
        <w:t>Erroneous Payment Deficiency Assignment</w:t>
      </w:r>
      <w:r>
        <w:rPr>
          <w:rFonts w:ascii="Arial" w:cs="Arial" w:eastAsia="Arial" w:hAnsi="Arial"/>
          <w:sz w:val="21"/>
          <w:szCs w:val="21"/>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or Issuing Bank shall deliver any Notes evidencing such Loans to the Borrower or the Administrative Agent,</w:t>
      </w:r>
    </w:p>
    <w:p>
      <w:pPr>
        <w:spacing w:after="0" w:line="8" w:lineRule="exact"/>
        <w:rPr>
          <w:sz w:val="20"/>
          <w:szCs w:val="20"/>
          <w:color w:val="auto"/>
        </w:rPr>
      </w:pPr>
    </w:p>
    <w:p>
      <w:pPr>
        <w:jc w:val="both"/>
        <w:ind w:firstLine="8"/>
        <w:spacing w:after="0" w:line="230" w:lineRule="auto"/>
        <w:tabs>
          <w:tab w:leader="none" w:pos="31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Administrative Agent as the assignee Lender shall be deemed to acquire the Erroneous Payment Deficiency Assignment and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For the avoidance of doubt, no Erroneous Payment Deficiency Assignment will reduce the Commitments of any Lender or Issuing Bank and such Commitments shall remain available in accordance with the terms of this Agreement.</w:t>
      </w:r>
    </w:p>
    <w:p>
      <w:pPr>
        <w:spacing w:after="0" w:line="191" w:lineRule="exact"/>
        <w:rPr>
          <w:rFonts w:ascii="Arial" w:cs="Arial" w:eastAsia="Arial" w:hAnsi="Arial"/>
          <w:sz w:val="22"/>
          <w:szCs w:val="22"/>
          <w:color w:val="auto"/>
        </w:rPr>
      </w:pPr>
    </w:p>
    <w:p>
      <w:pPr>
        <w:jc w:val="both"/>
        <w:ind w:firstLine="656"/>
        <w:spacing w:after="0" w:line="236" w:lineRule="auto"/>
        <w:tabs>
          <w:tab w:leader="none" w:pos="1166"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87" w:lineRule="exact"/>
        <w:rPr>
          <w:rFonts w:ascii="Arial" w:cs="Arial" w:eastAsia="Arial" w:hAnsi="Arial"/>
          <w:sz w:val="22"/>
          <w:szCs w:val="22"/>
          <w:color w:val="auto"/>
        </w:rPr>
      </w:pPr>
    </w:p>
    <w:p>
      <w:pPr>
        <w:jc w:val="both"/>
        <w:ind w:firstLine="656"/>
        <w:spacing w:after="0" w:line="234" w:lineRule="auto"/>
        <w:tabs>
          <w:tab w:leader="none" w:pos="1210" w:val="left"/>
        </w:tabs>
        <w:numPr>
          <w:ilvl w:val="1"/>
          <w:numId w:val="140"/>
        </w:numPr>
        <w:rPr>
          <w:rFonts w:ascii="Arial" w:cs="Arial" w:eastAsia="Arial" w:hAnsi="Arial"/>
          <w:sz w:val="22"/>
          <w:szCs w:val="22"/>
          <w:color w:val="auto"/>
        </w:rPr>
      </w:pPr>
      <w:r>
        <w:rPr>
          <w:rFonts w:ascii="Arial" w:cs="Arial" w:eastAsia="Arial" w:hAnsi="Arial"/>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4" w:lineRule="exact"/>
        <w:rPr>
          <w:rFonts w:ascii="Arial" w:cs="Arial" w:eastAsia="Arial" w:hAnsi="Arial"/>
          <w:sz w:val="22"/>
          <w:szCs w:val="22"/>
          <w:color w:val="auto"/>
        </w:rPr>
      </w:pPr>
    </w:p>
    <w:p>
      <w:pPr>
        <w:jc w:val="both"/>
        <w:ind w:firstLine="656"/>
        <w:spacing w:after="0" w:line="238" w:lineRule="auto"/>
        <w:tabs>
          <w:tab w:leader="none" w:pos="1174" w:val="left"/>
        </w:tabs>
        <w:numPr>
          <w:ilvl w:val="1"/>
          <w:numId w:val="140"/>
        </w:numPr>
        <w:rPr>
          <w:rFonts w:ascii="Arial" w:cs="Arial" w:eastAsia="Arial" w:hAnsi="Arial"/>
          <w:sz w:val="22"/>
          <w:szCs w:val="22"/>
          <w:color w:val="auto"/>
        </w:rPr>
      </w:pPr>
      <w:r>
        <w:rPr>
          <w:rFonts w:ascii="Arial" w:cs="Arial" w:eastAsia="Arial" w:hAnsi="Arial"/>
          <w:sz w:val="22"/>
          <w:szCs w:val="22"/>
          <w:color w:val="auto"/>
        </w:rPr>
        <w:t>Each party’s obligations, agreements and waivers under this Section 8.11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ectPr>
          <w:pgSz w:w="11900" w:h="16838" w:orient="portrait"/>
          <w:cols w:equalWidth="0" w:num="1">
            <w:col w:w="11240"/>
          </w:cols>
          <w:pgMar w:left="320" w:top="1413" w:right="339" w:bottom="1440" w:gutter="0" w:footer="0" w:header="0"/>
        </w:sectPr>
      </w:pPr>
    </w:p>
    <w:bookmarkStart w:id="170" w:name="page171"/>
    <w:bookmarkEnd w:id="170"/>
    <w:p>
      <w:pPr>
        <w:ind w:left="660"/>
        <w:spacing w:after="0"/>
        <w:tabs>
          <w:tab w:leader="none" w:pos="136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21"/>
          <w:szCs w:val="21"/>
          <w:u w:val="single" w:color="auto"/>
          <w:color w:val="auto"/>
        </w:rPr>
        <w:t>Other Terms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8" w:lineRule="auto"/>
        <w:tabs>
          <w:tab w:leader="none" w:pos="129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Administrative Agent and Sustainability Structuring Agent shall be entitled to take any action or refuse to take any action which the Administrative Agent or Sustainability Structuring Agent regards as necessary for the Administrative Agent or Sustainability Structuring Agent to comply with any applicable law, regulation or court order.</w:t>
      </w:r>
    </w:p>
    <w:p>
      <w:pPr>
        <w:spacing w:after="0" w:line="184" w:lineRule="exact"/>
        <w:rPr>
          <w:rFonts w:ascii="Arial" w:cs="Arial" w:eastAsia="Arial" w:hAnsi="Arial"/>
          <w:sz w:val="22"/>
          <w:szCs w:val="22"/>
          <w:color w:val="auto"/>
        </w:rPr>
      </w:pPr>
    </w:p>
    <w:p>
      <w:pPr>
        <w:jc w:val="both"/>
        <w:ind w:firstLine="656"/>
        <w:spacing w:after="0" w:line="233" w:lineRule="auto"/>
        <w:tabs>
          <w:tab w:leader="none" w:pos="1359" w:val="left"/>
        </w:tabs>
        <w:numPr>
          <w:ilvl w:val="0"/>
          <w:numId w:val="141"/>
        </w:numPr>
        <w:rPr>
          <w:rFonts w:ascii="Arial" w:cs="Arial" w:eastAsia="Arial" w:hAnsi="Arial"/>
          <w:sz w:val="22"/>
          <w:szCs w:val="22"/>
          <w:color w:val="auto"/>
        </w:rPr>
      </w:pPr>
      <w:r>
        <w:rPr>
          <w:rFonts w:ascii="Arial" w:cs="Arial" w:eastAsia="Arial" w:hAnsi="Arial"/>
          <w:sz w:val="22"/>
          <w:szCs w:val="22"/>
          <w:color w:val="auto"/>
        </w:rPr>
        <w:t>Notwithstanding anything to the contrary set forth herein, each reference to any discretion of the Administrative Agent or Sustainability Structuring Agent herein or to any action that is required to be satisfactory to any Administrative Agent or the Sustainability Structuring Agent or determined by any Administrative Agent or Sustainability Structuring Agent, shall be deemed to refer to the Administrative Agent or Sustainability Structuring Agent taking direction from the Lenders or the Required Lenders with respect to such discretion or approval, as applicable.</w:t>
      </w:r>
    </w:p>
    <w:p>
      <w:pPr>
        <w:spacing w:after="0" w:line="18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8.13. </w:t>
      </w:r>
      <w:r>
        <w:rPr>
          <w:rFonts w:ascii="Arial" w:cs="Arial" w:eastAsia="Arial" w:hAnsi="Arial"/>
          <w:sz w:val="21"/>
          <w:szCs w:val="21"/>
          <w:u w:val="single" w:color="auto"/>
          <w:color w:val="auto"/>
        </w:rPr>
        <w:t>Enforcement by the Administrative Agent.</w:t>
      </w:r>
      <w:r>
        <w:rPr>
          <w:rFonts w:ascii="Arial" w:cs="Arial" w:eastAsia="Arial" w:hAnsi="Arial"/>
          <w:sz w:val="21"/>
          <w:szCs w:val="21"/>
          <w:color w:val="auto"/>
        </w:rPr>
        <w:t xml:space="preserve"> All rights of action under this Agreement and under the Notes hereunder may be enforced by the Administrative Agent and any suit or proceeding instituted by the Administrative Agent in furtherance of such enforcement shall be brought in its name as Administrative Agent without the necessity of joining as plaintiffs or defendants any other Lenders or Issuing Banks, and the recovery of any judgment shall be for the benefit of Lenders and Issuing Banks subject to the expenses of the Administrative Agent.</w:t>
      </w:r>
    </w:p>
    <w:p>
      <w:pPr>
        <w:spacing w:after="0" w:line="178"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Withholding Tax</w:t>
      </w:r>
      <w:r>
        <w:rPr>
          <w:rFonts w:ascii="Arial" w:cs="Arial" w:eastAsia="Arial" w:hAnsi="Arial"/>
          <w:sz w:val="22"/>
          <w:szCs w:val="22"/>
          <w:color w:val="auto"/>
        </w:rPr>
        <w:t>. Each Lender and Issuing Bank shall severally indemnify the Administrative Agent, within 10 days after demand therefor, for (i) any Non-Excluded Taxes or Other Taxes attributable to such Lender or Issuing Bank (but only to the extent that the Borrower has not already indemnified the Administrative Agent for such Non-Excluded Taxes or Other Taxes and without limiting the obligation of the Borrower to do so), (ii) any Taxes attributable to such Lender or Issuing Bank’s failure to comply with the provisions of Section 9.6(c) relating to the maintenance of a Participant Register and (iii) any Excluded Taxes attributable to such Lender or Issuing Bank,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and Issuing Bank under this Agreement or any other Loan Document against any amount due to the Administrative Agent under this Section 8.14. The agreements in this Section 8.14 shall survive the resignation and/or replacement of the Administrative Agent, any assignment of rights by, or the replacement of, a Lender or Issuing Bank, the termination of this Agreement and the repayment, satisfaction or discharge of all other Obligations.</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8.15.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 (a) Each Lender (x) represents and warrants, as of the date such Person became a Lender party hereto, to, and (y) covenants, from the date such Person became a Lender party hereto to the date such Person ceases being</w:t>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41" w:lineRule="auto"/>
        <w:rPr>
          <w:sz w:val="20"/>
          <w:szCs w:val="20"/>
          <w:color w:val="auto"/>
        </w:rPr>
      </w:pPr>
      <w:r>
        <w:rPr>
          <w:rFonts w:ascii="Arial" w:cs="Arial" w:eastAsia="Arial" w:hAnsi="Arial"/>
          <w:sz w:val="22"/>
          <w:szCs w:val="22"/>
          <w:color w:val="auto"/>
        </w:rPr>
        <w:t>a Lender party hereto, for the benefit of, the Administrative Agent, the Sustainability Structuring Agent and each Arranger and their respective Affiliates, and not, for the avoidance of doubt, to or for the benefit of the Borrower or any other Loan Party, that at least one of the following is and will be true:</w:t>
      </w:r>
    </w:p>
    <w:p>
      <w:pPr>
        <w:spacing w:after="0" w:line="183" w:lineRule="exact"/>
        <w:rPr>
          <w:sz w:val="20"/>
          <w:szCs w:val="20"/>
          <w:color w:val="auto"/>
        </w:rPr>
      </w:pPr>
    </w:p>
    <w:p>
      <w:pPr>
        <w:jc w:val="both"/>
        <w:ind w:left="660" w:firstLine="644"/>
        <w:spacing w:after="0" w:line="241" w:lineRule="auto"/>
        <w:tabs>
          <w:tab w:leader="none" w:pos="1562" w:val="left"/>
        </w:tabs>
        <w:numPr>
          <w:ilvl w:val="1"/>
          <w:numId w:val="142"/>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Documentary Credits, the Commitments, or this Agreement.</w:t>
      </w:r>
    </w:p>
    <w:p>
      <w:pPr>
        <w:spacing w:after="0" w:line="169" w:lineRule="exact"/>
        <w:rPr>
          <w:rFonts w:ascii="Arial" w:cs="Arial" w:eastAsia="Arial" w:hAnsi="Arial"/>
          <w:sz w:val="22"/>
          <w:szCs w:val="22"/>
          <w:color w:val="auto"/>
        </w:rPr>
      </w:pPr>
    </w:p>
    <w:p>
      <w:pPr>
        <w:jc w:val="both"/>
        <w:ind w:left="660" w:firstLine="644"/>
        <w:spacing w:after="0" w:line="234" w:lineRule="auto"/>
        <w:tabs>
          <w:tab w:leader="none" w:pos="161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Documentary Credits, the Commitments and this Agreement.</w:t>
      </w:r>
    </w:p>
    <w:p>
      <w:pPr>
        <w:spacing w:after="0" w:line="186" w:lineRule="exact"/>
        <w:rPr>
          <w:rFonts w:ascii="Arial" w:cs="Arial" w:eastAsia="Arial" w:hAnsi="Arial"/>
          <w:sz w:val="22"/>
          <w:szCs w:val="22"/>
          <w:color w:val="auto"/>
        </w:rPr>
      </w:pPr>
    </w:p>
    <w:p>
      <w:pPr>
        <w:jc w:val="both"/>
        <w:ind w:left="660" w:firstLine="644"/>
        <w:spacing w:after="0" w:line="232" w:lineRule="auto"/>
        <w:tabs>
          <w:tab w:leader="none" w:pos="165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Documentary Credits, the Commitments and this Agreement, (C) the entrance into, participation in, administration of and performance of the Loans, the Documentary Credits,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Documentary Credits, the Commitments and this Agreement, or</w:t>
      </w:r>
    </w:p>
    <w:p>
      <w:pPr>
        <w:spacing w:after="0" w:line="188" w:lineRule="exact"/>
        <w:rPr>
          <w:rFonts w:ascii="Arial" w:cs="Arial" w:eastAsia="Arial" w:hAnsi="Arial"/>
          <w:sz w:val="22"/>
          <w:szCs w:val="22"/>
          <w:color w:val="auto"/>
        </w:rPr>
      </w:pPr>
    </w:p>
    <w:p>
      <w:pPr>
        <w:ind w:left="660" w:firstLine="644"/>
        <w:spacing w:after="0" w:line="251" w:lineRule="auto"/>
        <w:tabs>
          <w:tab w:leader="none" w:pos="1731" w:val="left"/>
        </w:tabs>
        <w:numPr>
          <w:ilvl w:val="1"/>
          <w:numId w:val="142"/>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2" w:lineRule="exact"/>
        <w:rPr>
          <w:rFonts w:ascii="Arial" w:cs="Arial" w:eastAsia="Arial" w:hAnsi="Arial"/>
          <w:sz w:val="22"/>
          <w:szCs w:val="22"/>
          <w:color w:val="auto"/>
        </w:rPr>
      </w:pPr>
    </w:p>
    <w:p>
      <w:pPr>
        <w:jc w:val="both"/>
        <w:ind w:firstLine="656"/>
        <w:spacing w:after="0" w:line="232" w:lineRule="auto"/>
        <w:tabs>
          <w:tab w:leader="none" w:pos="97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Sustainability Structuring Agent, and not, for the avoidance of doubt, to or for the benefit of the Borrower or any other Loan Party, that the Administrative Agent and Sustainability Structuring Agent are not fiduciaries with respect to the assets of such Lender involved in such Lender’s entrance</w:t>
      </w:r>
    </w:p>
    <w:p>
      <w:pPr>
        <w:sectPr>
          <w:pgSz w:w="11900" w:h="16838" w:orient="portrait"/>
          <w:cols w:equalWidth="0" w:num="1">
            <w:col w:w="11240"/>
          </w:cols>
          <w:pgMar w:left="320" w:top="1413" w:right="339" w:bottom="1440" w:gutter="0" w:footer="0" w:header="0"/>
        </w:sectPr>
      </w:pPr>
    </w:p>
    <w:bookmarkStart w:id="172" w:name="page173"/>
    <w:bookmarkEnd w:id="172"/>
    <w:p>
      <w:pPr>
        <w:jc w:val="both"/>
        <w:spacing w:after="0" w:line="241" w:lineRule="auto"/>
        <w:rPr>
          <w:sz w:val="20"/>
          <w:szCs w:val="20"/>
          <w:color w:val="auto"/>
        </w:rPr>
      </w:pPr>
      <w:r>
        <w:rPr>
          <w:rFonts w:ascii="Arial" w:cs="Arial" w:eastAsia="Arial" w:hAnsi="Arial"/>
          <w:sz w:val="22"/>
          <w:szCs w:val="22"/>
          <w:color w:val="auto"/>
        </w:rPr>
        <w:t>into, participation in, administration of and performance of the Loans, the Documentary Credits, the Commitments and this Agreement (including in connection with the reservation or exercise of any rights by the Administrative Agent under this Agreement, any Loan Document or any documents related hereto or thereto).</w:t>
      </w:r>
    </w:p>
    <w:p>
      <w:pPr>
        <w:spacing w:after="0" w:line="183"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9_____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9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Amendments and Waivers</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30" w:lineRule="auto"/>
        <w:tabs>
          <w:tab w:leader="none" w:pos="120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2.25(f)</w:t>
      </w:r>
      <w:r>
        <w:rPr>
          <w:rFonts w:ascii="Arial" w:cs="Arial" w:eastAsia="Arial" w:hAnsi="Arial"/>
          <w:sz w:val="22"/>
          <w:szCs w:val="22"/>
          <w:color w:val="auto"/>
        </w:rPr>
        <w:t xml:space="preserve">, none of this Agreement, any Note, any other Loan Document, nor any terms hereof or thereof may be amended, supplemented or modified except in accordance with the provisions of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no such waiver and no such amendment, supplement or modification shall (A)(i) forgive the principal amount or extend the final scheduled date of maturity of any Loan, (ii) reduce the stated rate of any interest or fee payable hereunder (including, for the avoidance of doubt, the Sustainability Margin Adjustment and Sustainability Commitment Fee Adjustment)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Commitment (it being understood that a waiver of any Event of Default or Default shall not be deemed to be an increase in the amount of or extension of the expiration date of any Lender’s Commitments), (iv) release all or substantially all of the Guarantors (except as expressly permitted by the Loan Documents, including in accordance with Section 9.14) or (v) amend, modify or waive any provision of </w:t>
      </w:r>
      <w:r>
        <w:rPr>
          <w:rFonts w:ascii="Arial" w:cs="Arial" w:eastAsia="Arial" w:hAnsi="Arial"/>
          <w:sz w:val="22"/>
          <w:szCs w:val="22"/>
          <w:u w:val="single" w:color="auto"/>
          <w:color w:val="auto"/>
        </w:rPr>
        <w:t>Section 9.7(a)</w:t>
      </w:r>
      <w:r>
        <w:rPr>
          <w:rFonts w:ascii="Arial" w:cs="Arial" w:eastAsia="Arial" w:hAnsi="Arial"/>
          <w:sz w:val="22"/>
          <w:szCs w:val="22"/>
          <w:color w:val="auto"/>
        </w:rPr>
        <w:t xml:space="preserve">, in each case without the written consent of each Lender directly affected thereby, (B) without the consent of all the Lenders, (i) amend, modify or waive any provision of this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Commitments are included on the Closing Date), or (iii) change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in a manner that would alter the pro rata sharing of payments required thereby</w:t>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line="242" w:lineRule="auto"/>
        <w:rPr>
          <w:sz w:val="20"/>
          <w:szCs w:val="20"/>
          <w:color w:val="auto"/>
        </w:rPr>
      </w:pPr>
      <w:r>
        <w:rPr>
          <w:rFonts w:ascii="Arial" w:cs="Arial" w:eastAsia="Arial" w:hAnsi="Arial"/>
          <w:sz w:val="21"/>
          <w:szCs w:val="21"/>
          <w:color w:val="auto"/>
        </w:rPr>
        <w:t xml:space="preserve">(other than as permitted thereby or by </w:t>
      </w:r>
      <w:r>
        <w:rPr>
          <w:rFonts w:ascii="Arial" w:cs="Arial" w:eastAsia="Arial" w:hAnsi="Arial"/>
          <w:sz w:val="21"/>
          <w:szCs w:val="21"/>
          <w:u w:val="single" w:color="auto"/>
          <w:color w:val="auto"/>
        </w:rPr>
        <w:t>Section 9.1(b)</w:t>
      </w:r>
      <w:r>
        <w:rPr>
          <w:rFonts w:ascii="Arial" w:cs="Arial" w:eastAsia="Arial" w:hAnsi="Arial"/>
          <w:sz w:val="21"/>
          <w:szCs w:val="21"/>
          <w:color w:val="auto"/>
        </w:rPr>
        <w:t xml:space="preserve"> ), or (iv) extend any Documentary Credit beyond the Revolving Maturity Date, or to modify Section 2.4(c) in any way which would permit the same (C) amend, modify or waive any provision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or any other provision of this Agreement or the other Loan Documents, which affects, the rights, duties or obligations of the Administrative Agent without the written consent of the Administrative Agent and (D) require consent of any Person to an amendment to this Agreement made pursuant to </w:t>
      </w:r>
      <w:r>
        <w:rPr>
          <w:rFonts w:ascii="Arial" w:cs="Arial" w:eastAsia="Arial" w:hAnsi="Arial"/>
          <w:sz w:val="21"/>
          <w:szCs w:val="21"/>
          <w:u w:val="single" w:color="auto"/>
          <w:color w:val="auto"/>
        </w:rPr>
        <w:t>Section 2.23</w:t>
      </w:r>
      <w:r>
        <w:rPr>
          <w:rFonts w:ascii="Arial" w:cs="Arial" w:eastAsia="Arial" w:hAnsi="Arial"/>
          <w:sz w:val="21"/>
          <w:szCs w:val="21"/>
          <w:color w:val="auto"/>
        </w:rPr>
        <w:t xml:space="preserve"> other than the Borrower and each Lender participating in the respective Extension;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no such agreement shall amend, modify or otherwise affect the rights or duties of the Administrative Agent or Issuing Banks hereunder without the prior written consent of the Administrative Agent and Issuing Banks.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Notwithstanding anything to the contrary contained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any amendment, supplement or modification related to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1.3</w:t>
      </w:r>
      <w:r>
        <w:rPr>
          <w:rFonts w:ascii="Arial" w:cs="Arial" w:eastAsia="Arial" w:hAnsi="Arial"/>
          <w:sz w:val="21"/>
          <w:szCs w:val="21"/>
          <w:color w:val="auto"/>
        </w:rPr>
        <w:t xml:space="preserve"> (and any component definitions thereof related to sustainability provisions) shall require, in addition to the other requirements set forth in this Agreement, the consent of the Sustainability Structuring Agent.</w:t>
      </w:r>
    </w:p>
    <w:p>
      <w:pPr>
        <w:spacing w:after="0" w:line="181" w:lineRule="exact"/>
        <w:rPr>
          <w:sz w:val="20"/>
          <w:szCs w:val="20"/>
          <w:color w:val="auto"/>
        </w:rPr>
      </w:pPr>
    </w:p>
    <w:p>
      <w:pPr>
        <w:jc w:val="both"/>
        <w:ind w:firstLine="656"/>
        <w:spacing w:after="0" w:line="244" w:lineRule="auto"/>
        <w:tabs>
          <w:tab w:leader="none" w:pos="1168" w:val="left"/>
        </w:tabs>
        <w:numPr>
          <w:ilvl w:val="1"/>
          <w:numId w:val="145"/>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contained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w:t>
      </w:r>
    </w:p>
    <w:p>
      <w:pPr>
        <w:spacing w:after="0" w:line="3" w:lineRule="exact"/>
        <w:rPr>
          <w:rFonts w:ascii="Arial" w:cs="Arial" w:eastAsia="Arial" w:hAnsi="Arial"/>
          <w:sz w:val="21"/>
          <w:szCs w:val="21"/>
          <w:color w:val="auto"/>
        </w:rPr>
      </w:pPr>
    </w:p>
    <w:p>
      <w:pPr>
        <w:jc w:val="both"/>
        <w:ind w:firstLine="8"/>
        <w:spacing w:after="0" w:line="231" w:lineRule="auto"/>
        <w:tabs>
          <w:tab w:leader="none" w:pos="45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Business Days following receipt of notice thereof. Notwithstanding anything to the contrary in this Agreement or the other Loan Documents, the Administrative Agent is hereby irrevocably authorized by each Lender and Issuing Bank (and each such Lender and Issuing Bank expressly consents), without any further action or the consent of any other party to any Loan Document, to make any technical amendments to the Guarantee Agreement to correct any cross-references therein to any provision of this Agreement that may be necessary in order to properly reflect the amendments made to this Agreement.</w:t>
      </w:r>
    </w:p>
    <w:p>
      <w:pPr>
        <w:spacing w:after="0" w:line="183" w:lineRule="exact"/>
        <w:rPr>
          <w:rFonts w:ascii="Arial" w:cs="Arial" w:eastAsia="Arial" w:hAnsi="Arial"/>
          <w:sz w:val="22"/>
          <w:szCs w:val="22"/>
          <w:color w:val="auto"/>
        </w:rPr>
      </w:pPr>
    </w:p>
    <w:p>
      <w:pPr>
        <w:jc w:val="both"/>
        <w:ind w:firstLine="656"/>
        <w:spacing w:after="0" w:line="234" w:lineRule="auto"/>
        <w:tabs>
          <w:tab w:leader="none" w:pos="1159" w:val="left"/>
        </w:tabs>
        <w:numPr>
          <w:ilvl w:val="1"/>
          <w:numId w:val="146"/>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the Loan Documents, the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ectPr>
          <w:pgSz w:w="11900" w:h="16838" w:orient="portrait"/>
          <w:cols w:equalWidth="0" w:num="1">
            <w:col w:w="11240"/>
          </w:cols>
          <w:pgMar w:left="320" w:top="1413" w:right="339" w:bottom="1440" w:gutter="0" w:footer="0" w:header="0"/>
        </w:sectPr>
      </w:pPr>
    </w:p>
    <w:bookmarkStart w:id="174" w:name="page175"/>
    <w:bookmarkEnd w:id="174"/>
    <w:p>
      <w:pPr>
        <w:ind w:left="660"/>
        <w:spacing w:after="0"/>
        <w:tabs>
          <w:tab w:leader="none" w:pos="12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3" w:lineRule="auto"/>
        <w:tabs>
          <w:tab w:leader="none" w:pos="125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and Issuing Banks, or to such other address as may be hereafter notified by the respective parties hereto and any future parties:</w:t>
      </w:r>
    </w:p>
    <w:p>
      <w:pPr>
        <w:spacing w:after="0" w:line="187" w:lineRule="exact"/>
        <w:rPr>
          <w:sz w:val="20"/>
          <w:szCs w:val="20"/>
          <w:color w:val="auto"/>
        </w:rPr>
      </w:pPr>
    </w:p>
    <w:p>
      <w:pPr>
        <w:spacing w:after="0"/>
        <w:tabs>
          <w:tab w:leader="none" w:pos="208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21"/>
          <w:szCs w:val="21"/>
          <w:color w:val="auto"/>
        </w:rPr>
        <w:t>Micron Technology, Inc.</w:t>
      </w:r>
    </w:p>
    <w:p>
      <w:pPr>
        <w:ind w:left="1200"/>
        <w:spacing w:after="0" w:line="236" w:lineRule="auto"/>
        <w:rPr>
          <w:sz w:val="20"/>
          <w:szCs w:val="20"/>
          <w:color w:val="auto"/>
        </w:rPr>
      </w:pPr>
      <w:r>
        <w:rPr>
          <w:rFonts w:ascii="Arial" w:cs="Arial" w:eastAsia="Arial" w:hAnsi="Arial"/>
          <w:sz w:val="22"/>
          <w:szCs w:val="22"/>
          <w:color w:val="auto"/>
        </w:rPr>
        <w:t>8000 S. Federal Way</w:t>
      </w:r>
    </w:p>
    <w:p>
      <w:pPr>
        <w:ind w:left="1200"/>
        <w:spacing w:after="0" w:line="230" w:lineRule="auto"/>
        <w:rPr>
          <w:sz w:val="20"/>
          <w:szCs w:val="20"/>
          <w:color w:val="auto"/>
        </w:rPr>
      </w:pPr>
      <w:r>
        <w:rPr>
          <w:rFonts w:ascii="Arial" w:cs="Arial" w:eastAsia="Arial" w:hAnsi="Arial"/>
          <w:sz w:val="22"/>
          <w:szCs w:val="22"/>
          <w:color w:val="auto"/>
        </w:rPr>
        <w:t>Boise, ID 83716-9632</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Attention: General Counsel</w:t>
      </w:r>
    </w:p>
    <w:p>
      <w:pPr>
        <w:spacing w:after="0" w:line="1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with copies (which shall not constitute notice) to:</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Wilson Sonsini Goodrich &amp; Rosati</w:t>
      </w:r>
    </w:p>
    <w:p>
      <w:pPr>
        <w:ind w:left="3240"/>
        <w:spacing w:after="0" w:line="236" w:lineRule="auto"/>
        <w:rPr>
          <w:sz w:val="20"/>
          <w:szCs w:val="20"/>
          <w:color w:val="auto"/>
        </w:rPr>
      </w:pPr>
      <w:r>
        <w:rPr>
          <w:rFonts w:ascii="Arial" w:cs="Arial" w:eastAsia="Arial" w:hAnsi="Arial"/>
          <w:sz w:val="22"/>
          <w:szCs w:val="22"/>
          <w:color w:val="auto"/>
        </w:rPr>
        <w:t>650 Page Mill Road</w:t>
      </w:r>
    </w:p>
    <w:p>
      <w:pPr>
        <w:ind w:left="3240"/>
        <w:spacing w:after="0" w:line="230" w:lineRule="auto"/>
        <w:rPr>
          <w:sz w:val="20"/>
          <w:szCs w:val="20"/>
          <w:color w:val="auto"/>
        </w:rPr>
      </w:pPr>
      <w:r>
        <w:rPr>
          <w:rFonts w:ascii="Arial" w:cs="Arial" w:eastAsia="Arial" w:hAnsi="Arial"/>
          <w:sz w:val="22"/>
          <w:szCs w:val="22"/>
          <w:color w:val="auto"/>
        </w:rPr>
        <w:t>Palo Alto, CA 94304</w:t>
      </w:r>
    </w:p>
    <w:p>
      <w:pPr>
        <w:ind w:left="3240"/>
        <w:spacing w:after="0" w:line="231" w:lineRule="auto"/>
        <w:rPr>
          <w:sz w:val="20"/>
          <w:szCs w:val="20"/>
          <w:color w:val="auto"/>
        </w:rPr>
      </w:pPr>
      <w:r>
        <w:rPr>
          <w:rFonts w:ascii="Arial" w:cs="Arial" w:eastAsia="Arial" w:hAnsi="Arial"/>
          <w:sz w:val="22"/>
          <w:szCs w:val="22"/>
          <w:color w:val="auto"/>
        </w:rPr>
        <w:t>Attention: Erik Franks</w:t>
      </w:r>
    </w:p>
    <w:p>
      <w:pPr>
        <w:ind w:left="3240"/>
        <w:spacing w:after="0" w:line="218" w:lineRule="auto"/>
        <w:rPr>
          <w:sz w:val="20"/>
          <w:szCs w:val="20"/>
          <w:color w:val="auto"/>
        </w:rPr>
      </w:pPr>
      <w:r>
        <w:rPr>
          <w:rFonts w:ascii="Arial" w:cs="Arial" w:eastAsia="Arial" w:hAnsi="Arial"/>
          <w:sz w:val="22"/>
          <w:szCs w:val="22"/>
          <w:color w:val="auto"/>
        </w:rPr>
        <w:t>Email: [Omitted]@wsgr.com</w:t>
      </w:r>
    </w:p>
    <w:p>
      <w:pPr>
        <w:ind w:left="3240"/>
        <w:spacing w:after="0"/>
        <w:rPr>
          <w:sz w:val="20"/>
          <w:szCs w:val="20"/>
          <w:color w:val="auto"/>
        </w:rPr>
      </w:pPr>
      <w:r>
        <w:rPr>
          <w:rFonts w:ascii="Arial" w:cs="Arial" w:eastAsia="Arial" w:hAnsi="Arial"/>
          <w:sz w:val="22"/>
          <w:szCs w:val="22"/>
          <w:color w:val="auto"/>
        </w:rPr>
        <w:t>Telecopier No.: 650-493-6811</w:t>
      </w:r>
    </w:p>
    <w:p>
      <w:pPr>
        <w:spacing w:after="0" w:line="190" w:lineRule="exact"/>
        <w:rPr>
          <w:sz w:val="20"/>
          <w:szCs w:val="20"/>
          <w:color w:val="auto"/>
        </w:rPr>
      </w:pPr>
    </w:p>
    <w:p>
      <w:pPr>
        <w:spacing w:after="0"/>
        <w:tabs>
          <w:tab w:leader="none" w:pos="2920" w:val="left"/>
        </w:tabs>
        <w:rPr>
          <w:sz w:val="20"/>
          <w:szCs w:val="20"/>
          <w:color w:val="auto"/>
        </w:rPr>
      </w:pPr>
      <w:r>
        <w:rPr>
          <w:rFonts w:ascii="Arial" w:cs="Arial" w:eastAsia="Arial" w:hAnsi="Arial"/>
          <w:sz w:val="22"/>
          <w:szCs w:val="22"/>
          <w:color w:val="auto"/>
        </w:rPr>
        <w:t>The Administrative Agent:</w:t>
      </w:r>
      <w:r>
        <w:rPr>
          <w:sz w:val="20"/>
          <w:szCs w:val="20"/>
          <w:color w:val="auto"/>
        </w:rPr>
        <w:tab/>
      </w:r>
      <w:r>
        <w:rPr>
          <w:rFonts w:ascii="Arial" w:cs="Arial" w:eastAsia="Arial" w:hAnsi="Arial"/>
          <w:sz w:val="21"/>
          <w:szCs w:val="21"/>
          <w:color w:val="auto"/>
        </w:rPr>
        <w:t>HSBC Bank USA, National Association</w:t>
      </w:r>
    </w:p>
    <w:p>
      <w:pPr>
        <w:ind w:left="1200"/>
        <w:spacing w:after="0" w:line="236" w:lineRule="auto"/>
        <w:rPr>
          <w:sz w:val="20"/>
          <w:szCs w:val="20"/>
          <w:color w:val="auto"/>
        </w:rPr>
      </w:pPr>
      <w:r>
        <w:rPr>
          <w:rFonts w:ascii="Arial" w:cs="Arial" w:eastAsia="Arial" w:hAnsi="Arial"/>
          <w:sz w:val="22"/>
          <w:szCs w:val="22"/>
          <w:color w:val="auto"/>
        </w:rPr>
        <w:t>as Administrative Agent</w:t>
      </w:r>
    </w:p>
    <w:p>
      <w:pPr>
        <w:ind w:left="3240"/>
        <w:spacing w:after="0" w:line="230" w:lineRule="auto"/>
        <w:rPr>
          <w:sz w:val="20"/>
          <w:szCs w:val="20"/>
          <w:color w:val="auto"/>
        </w:rPr>
      </w:pPr>
      <w:r>
        <w:rPr>
          <w:rFonts w:ascii="Arial" w:cs="Arial" w:eastAsia="Arial" w:hAnsi="Arial"/>
          <w:sz w:val="22"/>
          <w:szCs w:val="22"/>
          <w:color w:val="auto"/>
        </w:rPr>
        <w:t>452 Fifth Avenue</w:t>
      </w:r>
    </w:p>
    <w:p>
      <w:pPr>
        <w:ind w:left="3240"/>
        <w:spacing w:after="0" w:line="231" w:lineRule="auto"/>
        <w:rPr>
          <w:sz w:val="20"/>
          <w:szCs w:val="20"/>
          <w:color w:val="auto"/>
        </w:rPr>
      </w:pPr>
      <w:r>
        <w:rPr>
          <w:rFonts w:ascii="Arial" w:cs="Arial" w:eastAsia="Arial" w:hAnsi="Arial"/>
          <w:sz w:val="22"/>
          <w:szCs w:val="22"/>
          <w:color w:val="auto"/>
        </w:rPr>
        <w:t>New York, NY, 10018</w:t>
      </w:r>
    </w:p>
    <w:p>
      <w:pPr>
        <w:ind w:left="3240"/>
        <w:spacing w:after="0" w:line="230" w:lineRule="auto"/>
        <w:rPr>
          <w:sz w:val="20"/>
          <w:szCs w:val="20"/>
          <w:color w:val="auto"/>
        </w:rPr>
      </w:pPr>
      <w:r>
        <w:rPr>
          <w:rFonts w:ascii="Arial" w:cs="Arial" w:eastAsia="Arial" w:hAnsi="Arial"/>
          <w:sz w:val="22"/>
          <w:szCs w:val="22"/>
          <w:color w:val="auto"/>
        </w:rPr>
        <w:t>Attention: Loan Agency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[Omitted]@us.hsbc.com</w:t>
      </w:r>
    </w:p>
    <w:p>
      <w:pPr>
        <w:spacing w:after="0" w:line="1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with copies (which shall not constitute notice) to:</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Simpson Thacher &amp; Bartlett LLP</w:t>
      </w:r>
    </w:p>
    <w:p>
      <w:pPr>
        <w:ind w:left="3240"/>
        <w:spacing w:after="0" w:line="223" w:lineRule="auto"/>
        <w:rPr>
          <w:sz w:val="20"/>
          <w:szCs w:val="20"/>
          <w:color w:val="auto"/>
        </w:rPr>
      </w:pPr>
      <w:r>
        <w:rPr>
          <w:rFonts w:ascii="Arial" w:cs="Arial" w:eastAsia="Arial" w:hAnsi="Arial"/>
          <w:sz w:val="22"/>
          <w:szCs w:val="22"/>
          <w:color w:val="auto"/>
        </w:rPr>
        <w:t>425 Lexington Ave New York, NY 10017</w:t>
      </w:r>
    </w:p>
    <w:p>
      <w:pPr>
        <w:ind w:left="3240"/>
        <w:spacing w:after="0" w:line="231" w:lineRule="auto"/>
        <w:rPr>
          <w:sz w:val="20"/>
          <w:szCs w:val="20"/>
          <w:color w:val="auto"/>
        </w:rPr>
      </w:pPr>
      <w:r>
        <w:rPr>
          <w:rFonts w:ascii="Arial" w:cs="Arial" w:eastAsia="Arial" w:hAnsi="Arial"/>
          <w:sz w:val="22"/>
          <w:szCs w:val="22"/>
          <w:color w:val="auto"/>
        </w:rPr>
        <w:t>Attention: Justin M. Lungstrum</w:t>
      </w:r>
    </w:p>
    <w:p>
      <w:pPr>
        <w:ind w:left="3240"/>
        <w:spacing w:after="0"/>
        <w:rPr>
          <w:sz w:val="20"/>
          <w:szCs w:val="20"/>
          <w:color w:val="auto"/>
        </w:rPr>
      </w:pPr>
      <w:r>
        <w:rPr>
          <w:rFonts w:ascii="Arial" w:cs="Arial" w:eastAsia="Arial" w:hAnsi="Arial"/>
          <w:sz w:val="22"/>
          <w:szCs w:val="22"/>
          <w:color w:val="auto"/>
        </w:rPr>
        <w:t>Telecopier No.: 212-455-2502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Sustainability</w:t>
      </w:r>
    </w:p>
    <w:p>
      <w:pPr>
        <w:spacing w:after="0"/>
        <w:tabs>
          <w:tab w:leader="none" w:pos="2420" w:val="left"/>
        </w:tabs>
        <w:rPr>
          <w:sz w:val="20"/>
          <w:szCs w:val="20"/>
          <w:color w:val="auto"/>
        </w:rPr>
      </w:pPr>
      <w:r>
        <w:rPr>
          <w:rFonts w:ascii="Arial" w:cs="Arial" w:eastAsia="Arial" w:hAnsi="Arial"/>
          <w:sz w:val="22"/>
          <w:szCs w:val="22"/>
          <w:color w:val="auto"/>
        </w:rPr>
        <w:t>Structuring Agent:</w:t>
      </w:r>
      <w:r>
        <w:rPr>
          <w:sz w:val="20"/>
          <w:szCs w:val="20"/>
          <w:color w:val="auto"/>
        </w:rPr>
        <w:tab/>
      </w:r>
      <w:r>
        <w:rPr>
          <w:rFonts w:ascii="Arial" w:cs="Arial" w:eastAsia="Arial" w:hAnsi="Arial"/>
          <w:sz w:val="21"/>
          <w:szCs w:val="21"/>
          <w:color w:val="auto"/>
        </w:rPr>
        <w:t>Credit Agricole Corporate and Investment Bank</w:t>
      </w:r>
    </w:p>
    <w:p>
      <w:pPr>
        <w:ind w:left="3240"/>
        <w:spacing w:after="0" w:line="230" w:lineRule="auto"/>
        <w:rPr>
          <w:sz w:val="20"/>
          <w:szCs w:val="20"/>
          <w:color w:val="auto"/>
        </w:rPr>
      </w:pPr>
      <w:r>
        <w:rPr>
          <w:rFonts w:ascii="Arial" w:cs="Arial" w:eastAsia="Arial" w:hAnsi="Arial"/>
          <w:sz w:val="22"/>
          <w:szCs w:val="22"/>
          <w:color w:val="auto"/>
        </w:rPr>
        <w:t>1301 Avenue of the Americas</w:t>
      </w:r>
    </w:p>
    <w:p>
      <w:pPr>
        <w:ind w:left="3240"/>
        <w:spacing w:after="0" w:line="231" w:lineRule="auto"/>
        <w:rPr>
          <w:sz w:val="20"/>
          <w:szCs w:val="20"/>
          <w:color w:val="auto"/>
        </w:rPr>
      </w:pPr>
      <w:r>
        <w:rPr>
          <w:rFonts w:ascii="Arial" w:cs="Arial" w:eastAsia="Arial" w:hAnsi="Arial"/>
          <w:sz w:val="22"/>
          <w:szCs w:val="22"/>
          <w:color w:val="auto"/>
        </w:rPr>
        <w:t>New York, NY, 10019</w:t>
      </w:r>
    </w:p>
    <w:p>
      <w:pPr>
        <w:ind w:left="3240"/>
        <w:spacing w:after="0" w:line="230" w:lineRule="auto"/>
        <w:rPr>
          <w:sz w:val="20"/>
          <w:szCs w:val="20"/>
          <w:color w:val="auto"/>
        </w:rPr>
      </w:pPr>
      <w:r>
        <w:rPr>
          <w:rFonts w:ascii="Arial" w:cs="Arial" w:eastAsia="Arial" w:hAnsi="Arial"/>
          <w:sz w:val="22"/>
          <w:szCs w:val="22"/>
          <w:color w:val="auto"/>
        </w:rPr>
        <w:t>Attn: Fanny Charrier</w:t>
      </w:r>
    </w:p>
    <w:p>
      <w:pPr>
        <w:ind w:left="3240"/>
        <w:spacing w:after="0" w:line="231" w:lineRule="auto"/>
        <w:rPr>
          <w:sz w:val="20"/>
          <w:szCs w:val="20"/>
          <w:color w:val="auto"/>
        </w:rPr>
      </w:pPr>
      <w:r>
        <w:rPr>
          <w:rFonts w:ascii="Arial" w:cs="Arial" w:eastAsia="Arial" w:hAnsi="Arial"/>
          <w:sz w:val="22"/>
          <w:szCs w:val="22"/>
          <w:color w:val="auto"/>
        </w:rPr>
        <w:t>Telephone: 212-261-3931</w:t>
      </w:r>
    </w:p>
    <w:p>
      <w:pPr>
        <w:ind w:left="3240"/>
        <w:spacing w:after="0"/>
        <w:rPr>
          <w:sz w:val="20"/>
          <w:szCs w:val="20"/>
          <w:color w:val="auto"/>
        </w:rPr>
      </w:pPr>
      <w:r>
        <w:rPr>
          <w:rFonts w:ascii="Arial" w:cs="Arial" w:eastAsia="Arial" w:hAnsi="Arial"/>
          <w:sz w:val="22"/>
          <w:szCs w:val="22"/>
          <w:color w:val="auto"/>
        </w:rPr>
        <w:t>Email: [Omitted]@ca-cib.com</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with copies (which shall not constitute notice) to:</w:t>
      </w:r>
    </w:p>
    <w:p>
      <w:pPr>
        <w:sectPr>
          <w:pgSz w:w="11900" w:h="16838" w:orient="portrait"/>
          <w:cols w:equalWidth="0" w:num="1">
            <w:col w:w="11240"/>
          </w:cols>
          <w:pgMar w:left="320" w:top="1413" w:right="339" w:bottom="1440" w:gutter="0" w:footer="0" w:header="0"/>
        </w:sectPr>
      </w:pPr>
    </w:p>
    <w:bookmarkStart w:id="175" w:name="page176"/>
    <w:bookmarkEnd w:id="175"/>
    <w:p>
      <w:pPr>
        <w:ind w:left="2584"/>
        <w:spacing w:after="0"/>
        <w:rPr>
          <w:sz w:val="20"/>
          <w:szCs w:val="20"/>
          <w:color w:val="auto"/>
        </w:rPr>
      </w:pPr>
      <w:r>
        <w:rPr>
          <w:rFonts w:ascii="Arial" w:cs="Arial" w:eastAsia="Arial" w:hAnsi="Arial"/>
          <w:sz w:val="22"/>
          <w:szCs w:val="22"/>
          <w:color w:val="auto"/>
        </w:rPr>
        <w:t>Simpson Thacher &amp; Bartlett LLP</w:t>
      </w:r>
    </w:p>
    <w:p>
      <w:pPr>
        <w:ind w:left="2584"/>
        <w:spacing w:after="0" w:line="236" w:lineRule="auto"/>
        <w:rPr>
          <w:sz w:val="20"/>
          <w:szCs w:val="20"/>
          <w:color w:val="auto"/>
        </w:rPr>
      </w:pPr>
      <w:r>
        <w:rPr>
          <w:rFonts w:ascii="Arial" w:cs="Arial" w:eastAsia="Arial" w:hAnsi="Arial"/>
          <w:sz w:val="22"/>
          <w:szCs w:val="22"/>
          <w:color w:val="auto"/>
        </w:rPr>
        <w:t>425 Lexington Ave New York, NY 10017</w:t>
      </w:r>
    </w:p>
    <w:p>
      <w:pPr>
        <w:ind w:left="2584"/>
        <w:spacing w:after="0" w:line="230" w:lineRule="auto"/>
        <w:rPr>
          <w:sz w:val="20"/>
          <w:szCs w:val="20"/>
          <w:color w:val="auto"/>
        </w:rPr>
      </w:pPr>
      <w:r>
        <w:rPr>
          <w:rFonts w:ascii="Arial" w:cs="Arial" w:eastAsia="Arial" w:hAnsi="Arial"/>
          <w:sz w:val="22"/>
          <w:szCs w:val="22"/>
          <w:color w:val="auto"/>
        </w:rPr>
        <w:t>Attention: Justin M. Lungstrum</w:t>
      </w:r>
    </w:p>
    <w:p>
      <w:pPr>
        <w:spacing w:after="0" w:line="1" w:lineRule="exact"/>
        <w:rPr>
          <w:sz w:val="20"/>
          <w:szCs w:val="20"/>
          <w:color w:val="auto"/>
        </w:rPr>
      </w:pPr>
    </w:p>
    <w:p>
      <w:pPr>
        <w:ind w:left="2584"/>
        <w:spacing w:after="0"/>
        <w:rPr>
          <w:sz w:val="20"/>
          <w:szCs w:val="20"/>
          <w:color w:val="auto"/>
        </w:rPr>
      </w:pPr>
      <w:r>
        <w:rPr>
          <w:rFonts w:ascii="Arial" w:cs="Arial" w:eastAsia="Arial" w:hAnsi="Arial"/>
          <w:sz w:val="22"/>
          <w:szCs w:val="22"/>
          <w:color w:val="auto"/>
        </w:rPr>
        <w:t>Telecopier No.: 212-455-2502</w:t>
      </w:r>
    </w:p>
    <w:p>
      <w:pPr>
        <w:spacing w:after="0" w:line="190" w:lineRule="exact"/>
        <w:rPr>
          <w:sz w:val="20"/>
          <w:szCs w:val="20"/>
          <w:color w:val="auto"/>
        </w:rPr>
      </w:pPr>
    </w:p>
    <w:p>
      <w:pPr>
        <w:jc w:val="both"/>
        <w:ind w:left="-656" w:firstLine="656"/>
        <w:spacing w:after="0" w:line="241" w:lineRule="auto"/>
        <w:tabs>
          <w:tab w:leader="none" w:pos="503" w:val="left"/>
        </w:tabs>
        <w:numPr>
          <w:ilvl w:val="0"/>
          <w:numId w:val="148"/>
        </w:numPr>
        <w:rPr>
          <w:rFonts w:ascii="Arial" w:cs="Arial" w:eastAsia="Arial" w:hAnsi="Arial"/>
          <w:sz w:val="21"/>
          <w:szCs w:val="21"/>
          <w:color w:val="auto"/>
        </w:rPr>
      </w:pPr>
      <w:r>
        <w:rPr>
          <w:rFonts w:ascii="Arial" w:cs="Arial" w:eastAsia="Arial" w:hAnsi="Arial"/>
          <w:sz w:val="21"/>
          <w:szCs w:val="21"/>
          <w:color w:val="auto"/>
        </w:rPr>
        <w:t>Notices and other communications to the Lenders, the Sustainability Structuring Agent and Issuing Banks hereunder may be delivered or furnished by electronic communications (including e-mail and Internet or intranet websites or other information platform) (the “</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w:t>
      </w:r>
      <w:r>
        <w:rPr>
          <w:rFonts w:ascii="Arial" w:cs="Arial" w:eastAsia="Arial" w:hAnsi="Arial"/>
          <w:sz w:val="21"/>
          <w:szCs w:val="21"/>
          <w:u w:val="single" w:color="auto"/>
          <w:color w:val="auto"/>
        </w:rPr>
        <w:t>Sections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2.4</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w:t>
      </w:r>
      <w:r>
        <w:rPr>
          <w:rFonts w:ascii="Arial" w:cs="Arial" w:eastAsia="Arial" w:hAnsi="Arial"/>
          <w:sz w:val="21"/>
          <w:szCs w:val="21"/>
          <w:u w:val="single" w:color="auto"/>
          <w:color w:val="auto"/>
        </w:rPr>
        <w:t>2.7(e)</w:t>
      </w:r>
      <w:r>
        <w:rPr>
          <w:rFonts w:ascii="Arial" w:cs="Arial" w:eastAsia="Arial" w:hAnsi="Arial"/>
          <w:sz w:val="21"/>
          <w:szCs w:val="21"/>
          <w:color w:val="auto"/>
        </w:rPr>
        <w:t xml:space="preserve">,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2.23(d)</w:t>
      </w:r>
      <w:r>
        <w:rPr>
          <w:rFonts w:ascii="Arial" w:cs="Arial" w:eastAsia="Arial" w:hAnsi="Arial"/>
          <w:sz w:val="21"/>
          <w:szCs w:val="21"/>
          <w:color w:val="auto"/>
        </w:rPr>
        <w:t xml:space="preserve"> unless otherwise agreed by the Administrative Agent and the applicable Lender or the applicable Issuing Bank.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7" w:lineRule="exact"/>
        <w:rPr>
          <w:rFonts w:ascii="Arial" w:cs="Arial" w:eastAsia="Arial" w:hAnsi="Arial"/>
          <w:sz w:val="21"/>
          <w:szCs w:val="21"/>
          <w:color w:val="auto"/>
        </w:rPr>
      </w:pPr>
    </w:p>
    <w:p>
      <w:pPr>
        <w:jc w:val="both"/>
        <w:ind w:left="-656" w:firstLine="656"/>
        <w:spacing w:after="0" w:line="236" w:lineRule="auto"/>
        <w:tabs>
          <w:tab w:leader="none" w:pos="492"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or Sustainability Structuring Agent, as determined by a final, non-appealable judgment of a court of competent jurisdiction.</w:t>
      </w:r>
    </w:p>
    <w:p>
      <w:pPr>
        <w:spacing w:after="0" w:line="187" w:lineRule="exact"/>
        <w:rPr>
          <w:rFonts w:ascii="Arial" w:cs="Arial" w:eastAsia="Arial" w:hAnsi="Arial"/>
          <w:sz w:val="22"/>
          <w:szCs w:val="22"/>
          <w:color w:val="auto"/>
        </w:rPr>
      </w:pPr>
    </w:p>
    <w:p>
      <w:pPr>
        <w:jc w:val="both"/>
        <w:ind w:left="-656" w:firstLine="656"/>
        <w:spacing w:after="0" w:line="244" w:lineRule="auto"/>
        <w:tabs>
          <w:tab w:leader="none" w:pos="50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the Sustainability Structuring Agent or any of their respective officers, directors, employees, agents, advisors or representatives in connection with the Platform or the Approved Electronic Communications. In no event shall the Agent or the Sustainability Structuring Agent have any liability to the Borrower, any Lender, Issue or</w:t>
      </w:r>
    </w:p>
    <w:p>
      <w:pPr>
        <w:sectPr>
          <w:pgSz w:w="11900" w:h="16838" w:orient="portrait"/>
          <w:cols w:equalWidth="0" w:num="1">
            <w:col w:w="10584"/>
          </w:cols>
          <w:pgMar w:left="976" w:top="1413" w:right="339" w:bottom="1440" w:gutter="0" w:footer="0" w:header="0"/>
        </w:sectPr>
      </w:pPr>
    </w:p>
    <w:bookmarkStart w:id="176" w:name="page177"/>
    <w:bookmarkEnd w:id="176"/>
    <w:p>
      <w:pPr>
        <w:jc w:val="both"/>
        <w:spacing w:after="0" w:line="235" w:lineRule="auto"/>
        <w:rPr>
          <w:sz w:val="20"/>
          <w:szCs w:val="20"/>
          <w:color w:val="auto"/>
        </w:rPr>
      </w:pPr>
      <w:r>
        <w:rPr>
          <w:rFonts w:ascii="Arial" w:cs="Arial" w:eastAsia="Arial" w:hAnsi="Arial"/>
          <w:sz w:val="22"/>
          <w:szCs w:val="22"/>
          <w:color w:val="auto"/>
        </w:rPr>
        <w:t>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 or Sustainability Structuring Agent’ bad faith, willful misconduct, gross negligence or material breach as determined in a final, nonappealable judgment by a court of competent jurisdiction.</w:t>
      </w:r>
    </w:p>
    <w:p>
      <w:pPr>
        <w:spacing w:after="0" w:line="174" w:lineRule="exact"/>
        <w:rPr>
          <w:sz w:val="20"/>
          <w:szCs w:val="20"/>
          <w:color w:val="auto"/>
        </w:rPr>
      </w:pPr>
    </w:p>
    <w:p>
      <w:pPr>
        <w:jc w:val="both"/>
        <w:ind w:firstLine="656"/>
        <w:spacing w:after="0" w:line="241" w:lineRule="auto"/>
        <w:tabs>
          <w:tab w:leader="none" w:pos="1159" w:val="left"/>
        </w:tabs>
        <w:numPr>
          <w:ilvl w:val="0"/>
          <w:numId w:val="149"/>
        </w:numPr>
        <w:rPr>
          <w:rFonts w:ascii="Arial" w:cs="Arial" w:eastAsia="Arial" w:hAnsi="Arial"/>
          <w:sz w:val="22"/>
          <w:szCs w:val="22"/>
          <w:color w:val="auto"/>
        </w:rPr>
      </w:pPr>
      <w:r>
        <w:rPr>
          <w:rFonts w:ascii="Arial" w:cs="Arial" w:eastAsia="Arial" w:hAnsi="Arial"/>
          <w:sz w:val="22"/>
          <w:szCs w:val="22"/>
          <w:color w:val="auto"/>
        </w:rPr>
        <w:t>Each of the Loan Parties, the Lenders, Issuing Banks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No failure to exercise and no delay in exercising, on the part of the Administrative Agent, any Lender or any Issuing Bank,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the other extensions of credit hereunder.</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1"/>
          <w:szCs w:val="21"/>
          <w:color w:val="auto"/>
        </w:rPr>
        <w:t xml:space="preserve">9.5. </w:t>
      </w:r>
      <w:r>
        <w:rPr>
          <w:rFonts w:ascii="Arial" w:cs="Arial" w:eastAsia="Arial" w:hAnsi="Arial"/>
          <w:sz w:val="21"/>
          <w:szCs w:val="21"/>
          <w:u w:val="single" w:color="auto"/>
          <w:color w:val="auto"/>
        </w:rPr>
        <w:t>Payment of Expenses</w:t>
      </w:r>
      <w:r>
        <w:rPr>
          <w:rFonts w:ascii="Arial" w:cs="Arial" w:eastAsia="Arial" w:hAnsi="Arial"/>
          <w:sz w:val="21"/>
          <w:szCs w:val="21"/>
          <w:color w:val="auto"/>
        </w:rPr>
        <w:t>. The Borrower agrees (a) to pay or reimburse each of the Administrative Agent and the Sustainability Structuring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Sustainability Structuring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Sustainability Structuring Agent, each Lender and each Issuing Bank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Sustainability Structuring Agent, the Lenders and Issuing</w:t>
      </w:r>
    </w:p>
    <w:p>
      <w:pPr>
        <w:sectPr>
          <w:pgSz w:w="11900" w:h="16838" w:orient="portrait"/>
          <w:cols w:equalWidth="0" w:num="1">
            <w:col w:w="11240"/>
          </w:cols>
          <w:pgMar w:left="320" w:top="1413" w:right="339" w:bottom="1440" w:gutter="0" w:footer="0" w:header="0"/>
        </w:sectPr>
      </w:pPr>
    </w:p>
    <w:bookmarkStart w:id="177" w:name="page178"/>
    <w:bookmarkEnd w:id="177"/>
    <w:p>
      <w:pPr>
        <w:jc w:val="both"/>
        <w:spacing w:after="0" w:line="241" w:lineRule="auto"/>
        <w:rPr>
          <w:sz w:val="20"/>
          <w:szCs w:val="20"/>
          <w:color w:val="auto"/>
        </w:rPr>
      </w:pPr>
      <w:r>
        <w:rPr>
          <w:rFonts w:ascii="Arial" w:cs="Arial" w:eastAsia="Arial" w:hAnsi="Arial"/>
          <w:sz w:val="21"/>
          <w:szCs w:val="21"/>
          <w:color w:val="auto"/>
        </w:rPr>
        <w:t>Banks and each of their respective affiliates, taken as a whole (other than during an Event of Default, in which case, the Administrative Agent shall be entitled to its own counsel separate from the Sustainability Structuring Agent, the Lenders and the Issuing Banks)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Sustainability Structuring Agent, the Administrative Agent, each Issuing Bank and each of their respective Affiliates, directors, officers, employees, representatives, partners, advisors and agents (each, an “Indemnitee”)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Documentary Credits, the other Loan Documents or the use of the proceeds of the Loans or Documentary Credits or any of the foregoing (including any refusal by an Issuing Bank to honor a demand for payment under a Documentary Credit if the documents presented in connection with such demand do not strictly comply with the terms of such Documentary Credit) in connection with (i) the violation of, 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 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“indemnified liabilities”), provided that the Borrower shall have no obligation hereunder to any Indemnitee with respect to indemnified liabilities to the extent determined by the final non-appealable judgment of a court of competent jurisdiction to have resulted from the bad faith, gross negligence or willful misconduct of such Indemnitee or any of such Indemnitee’s Related Persons; provided, further, that the Borrower shall in no event be responsible for consequential, indirect, special or punitive damages to any Indemnitee pursuant to this Section 9.5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party to this agreement shall assert, and each Loan Party hereby waives, on behalf of itself and its Subsidiaries, any claim against any Indemnitee and its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w:t>
      </w:r>
    </w:p>
    <w:p>
      <w:pPr>
        <w:sectPr>
          <w:pgSz w:w="11900" w:h="16838" w:orient="portrait"/>
          <w:cols w:equalWidth="0" w:num="1">
            <w:col w:w="11240"/>
          </w:cols>
          <w:pgMar w:left="320" w:top="1413" w:right="339" w:bottom="1440" w:gutter="0" w:footer="0" w:header="0"/>
        </w:sectPr>
      </w:pPr>
    </w:p>
    <w:bookmarkStart w:id="178" w:name="page179"/>
    <w:bookmarkEnd w:id="178"/>
    <w:p>
      <w:pPr>
        <w:jc w:val="both"/>
        <w:spacing w:after="0" w:line="231" w:lineRule="auto"/>
        <w:rPr>
          <w:sz w:val="20"/>
          <w:szCs w:val="20"/>
          <w:color w:val="auto"/>
        </w:rPr>
      </w:pPr>
      <w:r>
        <w:rPr>
          <w:rFonts w:ascii="Arial" w:cs="Arial" w:eastAsia="Arial" w:hAnsi="Arial"/>
          <w:sz w:val="22"/>
          <w:szCs w:val="22"/>
          <w:color w:val="auto"/>
        </w:rPr>
        <w:t>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each Loan Party hereby waives, releases and agrees, on behalf of itself and each of its respective Subsidiaries, not to sue upon any such claim or any such damages, whether or not accrued and whether or not known or suspected to exist in its favor. No Indemnitee referred to in clause above shall be liable for any damages arising from the use by unintended recipients of any information or other materials distributed by it through telecommunications, electronic or other information transmission systems in connection with the Agreement or the other Loan Documents or the transactions contemplated thereby. All amounts due under this Section 9.5 shall be payable not later than 10 days after written demand therefor. The agreements in this Section shall survive the termination of this Agreement and repayment of the Loans and all other amounts payable hereunder. This Section 9.5 shall not apply with respect to Taxes other than any Taxes that represent losses, claims, damages, etc. arising from any non-Tax claim.</w:t>
      </w:r>
    </w:p>
    <w:p>
      <w:pPr>
        <w:spacing w:after="0" w:line="19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1"/>
          <w:szCs w:val="21"/>
          <w:u w:val="single" w:color="auto"/>
          <w:color w:val="auto"/>
        </w:rPr>
        <w:t>Successors and Assigns; Participations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3" w:lineRule="auto"/>
        <w:tabs>
          <w:tab w:leader="none" w:pos="118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hereof, the Borrower may not assign or otherwise transfer any of its rights or obligations hereunder without the prior written consent of each Lender and Issuing Bank (and any attempted assignment or transfer by the Borrower without such consent shall be null and void) and (ii) no Lender may assign or otherwise transfer its rights or obligations hereunder except in accordance with this Section.</w:t>
      </w:r>
    </w:p>
    <w:p>
      <w:pPr>
        <w:spacing w:after="0" w:line="186" w:lineRule="exact"/>
        <w:rPr>
          <w:rFonts w:ascii="Arial" w:cs="Arial" w:eastAsia="Arial" w:hAnsi="Arial"/>
          <w:sz w:val="22"/>
          <w:szCs w:val="22"/>
          <w:color w:val="auto"/>
        </w:rPr>
      </w:pPr>
    </w:p>
    <w:p>
      <w:pPr>
        <w:jc w:val="both"/>
        <w:ind w:firstLine="656"/>
        <w:spacing w:after="0" w:line="241" w:lineRule="auto"/>
        <w:tabs>
          <w:tab w:leader="none" w:pos="121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any Lender may assign to one or more assignees (each, an “</w:t>
      </w:r>
      <w:r>
        <w:rPr>
          <w:rFonts w:ascii="Arial" w:cs="Arial" w:eastAsia="Arial" w:hAnsi="Arial"/>
          <w:sz w:val="22"/>
          <w:szCs w:val="22"/>
          <w:u w:val="single" w:color="auto"/>
          <w:color w:val="auto"/>
        </w:rPr>
        <w:t>Assignee</w:t>
      </w:r>
      <w:r>
        <w:rPr>
          <w:rFonts w:ascii="Arial" w:cs="Arial" w:eastAsia="Arial" w:hAnsi="Arial"/>
          <w:sz w:val="22"/>
          <w:szCs w:val="22"/>
          <w:color w:val="auto"/>
        </w:rPr>
        <w:t>”) all or a portion of its rights and obligations under this Agreement (including all or a portion of its Commitments and the Loans at the time owing to it) with the prior written consent of:</w:t>
      </w:r>
    </w:p>
    <w:p>
      <w:pPr>
        <w:spacing w:after="0" w:line="182" w:lineRule="exact"/>
        <w:rPr>
          <w:rFonts w:ascii="Arial" w:cs="Arial" w:eastAsia="Arial" w:hAnsi="Arial"/>
          <w:sz w:val="22"/>
          <w:szCs w:val="22"/>
          <w:color w:val="auto"/>
        </w:rPr>
      </w:pPr>
    </w:p>
    <w:p>
      <w:pPr>
        <w:jc w:val="both"/>
        <w:ind w:left="1300" w:firstLine="652"/>
        <w:spacing w:after="0" w:line="234" w:lineRule="auto"/>
        <w:tabs>
          <w:tab w:leader="none" w:pos="2631" w:val="left"/>
        </w:tabs>
        <w:numPr>
          <w:ilvl w:val="1"/>
          <w:numId w:val="150"/>
        </w:numPr>
        <w:rPr>
          <w:rFonts w:ascii="Arial" w:cs="Arial" w:eastAsia="Arial" w:hAnsi="Arial"/>
          <w:sz w:val="22"/>
          <w:szCs w:val="22"/>
          <w:color w:val="010000"/>
        </w:rPr>
      </w:pPr>
      <w:r>
        <w:rPr>
          <w:rFonts w:ascii="Arial" w:cs="Arial" w:eastAsia="Arial" w:hAnsi="Arial"/>
          <w:sz w:val="22"/>
          <w:szCs w:val="22"/>
          <w:color w:val="auto"/>
        </w:rPr>
        <w:t xml:space="preserve">the Borrower (such consent not to be unreasonably withheld, delayed or conditioned),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 depository institution affiliate of a Lender having access to discount window credit of the Federal Reserve (as defined below) or, if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has occurred and is continuing, any other Person;</w:t>
      </w:r>
    </w:p>
    <w:p>
      <w:pPr>
        <w:spacing w:after="0" w:line="184" w:lineRule="exact"/>
        <w:rPr>
          <w:rFonts w:ascii="Arial" w:cs="Arial" w:eastAsia="Arial" w:hAnsi="Arial"/>
          <w:sz w:val="22"/>
          <w:szCs w:val="22"/>
          <w:color w:val="010000"/>
        </w:rPr>
      </w:pPr>
    </w:p>
    <w:p>
      <w:pPr>
        <w:jc w:val="both"/>
        <w:ind w:left="1300" w:firstLine="652"/>
        <w:spacing w:after="0" w:line="241" w:lineRule="auto"/>
        <w:tabs>
          <w:tab w:leader="none" w:pos="2689" w:val="left"/>
        </w:tabs>
        <w:numPr>
          <w:ilvl w:val="1"/>
          <w:numId w:val="150"/>
        </w:numPr>
        <w:rPr>
          <w:rFonts w:ascii="Arial" w:cs="Arial" w:eastAsia="Arial" w:hAnsi="Arial"/>
          <w:sz w:val="22"/>
          <w:szCs w:val="22"/>
          <w:color w:val="010000"/>
        </w:rPr>
      </w:pPr>
      <w:r>
        <w:rPr>
          <w:rFonts w:ascii="Arial" w:cs="Arial" w:eastAsia="Arial" w:hAnsi="Arial"/>
          <w:sz w:val="22"/>
          <w:szCs w:val="22"/>
          <w:color w:val="auto"/>
        </w:rPr>
        <w:t xml:space="preserve">the Administrative Agent (such consent not to be unreasonably withheld, delayed or conditioned),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 of a Lender or an Approved Fund; and</w:t>
      </w:r>
    </w:p>
    <w:p>
      <w:pPr>
        <w:spacing w:after="0" w:line="182" w:lineRule="exact"/>
        <w:rPr>
          <w:rFonts w:ascii="Arial" w:cs="Arial" w:eastAsia="Arial" w:hAnsi="Arial"/>
          <w:sz w:val="22"/>
          <w:szCs w:val="22"/>
          <w:color w:val="010000"/>
        </w:rPr>
      </w:pPr>
    </w:p>
    <w:p>
      <w:pPr>
        <w:ind w:left="1300" w:firstLine="652"/>
        <w:spacing w:after="0" w:line="251" w:lineRule="auto"/>
        <w:tabs>
          <w:tab w:leader="none" w:pos="2499" w:val="left"/>
        </w:tabs>
        <w:numPr>
          <w:ilvl w:val="1"/>
          <w:numId w:val="150"/>
        </w:numPr>
        <w:rPr>
          <w:rFonts w:ascii="Arial" w:cs="Arial" w:eastAsia="Arial" w:hAnsi="Arial"/>
          <w:sz w:val="22"/>
          <w:szCs w:val="22"/>
          <w:color w:val="010000"/>
        </w:rPr>
      </w:pPr>
      <w:r>
        <w:rPr>
          <w:rFonts w:ascii="Arial" w:cs="Arial" w:eastAsia="Arial" w:hAnsi="Arial"/>
          <w:sz w:val="22"/>
          <w:szCs w:val="22"/>
          <w:color w:val="auto"/>
        </w:rPr>
        <w:t xml:space="preserve">each Issuing Bank (such consent not to be unreasonably withheld, delayed or conditioned),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Issuing</w:t>
      </w:r>
    </w:p>
    <w:p>
      <w:pPr>
        <w:sectPr>
          <w:pgSz w:w="11900" w:h="16838" w:orient="portrait"/>
          <w:cols w:equalWidth="0" w:num="1">
            <w:col w:w="11240"/>
          </w:cols>
          <w:pgMar w:left="320" w:top="1413" w:right="339" w:bottom="1440" w:gutter="0" w:footer="0" w:header="0"/>
        </w:sectPr>
      </w:pPr>
    </w:p>
    <w:bookmarkStart w:id="179" w:name="page180"/>
    <w:bookmarkEnd w:id="179"/>
    <w:p>
      <w:pPr>
        <w:ind w:left="1300"/>
        <w:spacing w:after="0"/>
        <w:rPr>
          <w:sz w:val="20"/>
          <w:szCs w:val="20"/>
          <w:color w:val="auto"/>
        </w:rPr>
      </w:pPr>
      <w:r>
        <w:rPr>
          <w:rFonts w:ascii="Arial" w:cs="Arial" w:eastAsia="Arial" w:hAnsi="Arial"/>
          <w:sz w:val="22"/>
          <w:szCs w:val="22"/>
          <w:color w:val="auto"/>
        </w:rPr>
        <w:t>Banks shall be required for an assignment to a Lender, an affiliate of a Lender or an Approved Fund.</w:t>
      </w:r>
    </w:p>
    <w:p>
      <w:pPr>
        <w:spacing w:after="0" w:line="206" w:lineRule="exact"/>
        <w:rPr>
          <w:sz w:val="20"/>
          <w:szCs w:val="20"/>
          <w:color w:val="auto"/>
        </w:rPr>
      </w:pPr>
    </w:p>
    <w:p>
      <w:pPr>
        <w:ind w:left="1780" w:hanging="476"/>
        <w:spacing w:after="0"/>
        <w:tabs>
          <w:tab w:leader="none" w:pos="17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rFonts w:ascii="Arial" w:cs="Arial" w:eastAsia="Arial" w:hAnsi="Arial"/>
          <w:sz w:val="22"/>
          <w:szCs w:val="22"/>
          <w:color w:val="auto"/>
        </w:rPr>
      </w:pPr>
    </w:p>
    <w:p>
      <w:pPr>
        <w:jc w:val="both"/>
        <w:ind w:left="1300" w:firstLine="652"/>
        <w:spacing w:after="0" w:line="232" w:lineRule="auto"/>
        <w:tabs>
          <w:tab w:leader="none" w:pos="2551"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 xml:space="preserve">except in the case of an assignment to a Lender, an affiliate of a Lender or an Approved Fund or an assignment of the entire remaining amount of the assigning Lender’s Commitments or Loans, the amount of the Commitments or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no such consent of the Borrower shall be required if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has occurred and is continuing and (2) such amounts shall be aggregated in respect of each Lender and its affiliates or Approved Funds, if any;</w:t>
      </w:r>
    </w:p>
    <w:p>
      <w:pPr>
        <w:spacing w:after="0" w:line="188" w:lineRule="exact"/>
        <w:rPr>
          <w:rFonts w:ascii="Arial" w:cs="Arial" w:eastAsia="Arial" w:hAnsi="Arial"/>
          <w:sz w:val="22"/>
          <w:szCs w:val="22"/>
          <w:color w:val="010000"/>
        </w:rPr>
      </w:pPr>
    </w:p>
    <w:p>
      <w:pPr>
        <w:jc w:val="both"/>
        <w:ind w:left="1300" w:firstLine="652"/>
        <w:spacing w:after="0" w:line="236" w:lineRule="auto"/>
        <w:tabs>
          <w:tab w:leader="none" w:pos="2507"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and (2) the assigning Lender shall have paid in full any amounts owing by it to the Administrative Agent;</w:t>
      </w:r>
    </w:p>
    <w:p>
      <w:pPr>
        <w:spacing w:after="0" w:line="187" w:lineRule="exact"/>
        <w:rPr>
          <w:rFonts w:ascii="Arial" w:cs="Arial" w:eastAsia="Arial" w:hAnsi="Arial"/>
          <w:sz w:val="22"/>
          <w:szCs w:val="22"/>
          <w:color w:val="010000"/>
        </w:rPr>
      </w:pPr>
    </w:p>
    <w:p>
      <w:pPr>
        <w:jc w:val="both"/>
        <w:ind w:left="1300" w:firstLine="652"/>
        <w:spacing w:after="0" w:line="233" w:lineRule="auto"/>
        <w:tabs>
          <w:tab w:leader="none" w:pos="2671"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6" w:lineRule="exact"/>
        <w:rPr>
          <w:rFonts w:ascii="Arial" w:cs="Arial" w:eastAsia="Arial" w:hAnsi="Arial"/>
          <w:sz w:val="22"/>
          <w:szCs w:val="22"/>
          <w:color w:val="010000"/>
        </w:rPr>
      </w:pPr>
    </w:p>
    <w:p>
      <w:pPr>
        <w:jc w:val="both"/>
        <w:ind w:left="1300" w:firstLine="652"/>
        <w:spacing w:after="0" w:line="236" w:lineRule="auto"/>
        <w:tabs>
          <w:tab w:leader="none" w:pos="2565"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any partial assignment shall be made as an assignment of a proportionate part of all the assigning Lender’s rights and obligations under this Agreement with respect to any single Class of Loans and related Commitments, except that this clause (D) shall not prohibit any Lender from assigning all or a portion of its rights and obligations among separate Classes on a non- pro rata basis; and</w:t>
      </w:r>
    </w:p>
    <w:p>
      <w:pPr>
        <w:spacing w:after="0" w:line="173" w:lineRule="exact"/>
        <w:rPr>
          <w:rFonts w:ascii="Arial" w:cs="Arial" w:eastAsia="Arial" w:hAnsi="Arial"/>
          <w:sz w:val="22"/>
          <w:szCs w:val="22"/>
          <w:color w:val="010000"/>
        </w:rPr>
      </w:pPr>
    </w:p>
    <w:p>
      <w:pPr>
        <w:ind w:left="1300" w:firstLine="652"/>
        <w:spacing w:after="0" w:line="251" w:lineRule="auto"/>
        <w:tabs>
          <w:tab w:leader="none" w:pos="2614"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none of the Loan Parties, their respective Affiliates, any natural person or a Defaulting Lender shall be an Assignee hereunder.</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9.6</w:t>
      </w:r>
      <w:r>
        <w:rPr>
          <w:rFonts w:ascii="Arial" w:cs="Arial" w:eastAsia="Arial" w:hAnsi="Arial"/>
          <w:sz w:val="22"/>
          <w:szCs w:val="22"/>
          <w:color w:val="auto"/>
        </w:rPr>
        <w:t>, “</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w:t>
      </w:r>
    </w:p>
    <w:p>
      <w:pPr>
        <w:sectPr>
          <w:pgSz w:w="11900" w:h="16838" w:orient="portrait"/>
          <w:cols w:equalWidth="0" w:num="1">
            <w:col w:w="11240"/>
          </w:cols>
          <w:pgMar w:left="320" w:top="1413" w:right="339" w:bottom="1440" w:gutter="0" w:footer="0" w:header="0"/>
        </w:sectPr>
      </w:pPr>
    </w:p>
    <w:bookmarkStart w:id="180" w:name="page181"/>
    <w:bookmarkEnd w:id="180"/>
    <w:p>
      <w:pPr>
        <w:spacing w:after="0" w:line="251" w:lineRule="auto"/>
        <w:rPr>
          <w:sz w:val="20"/>
          <w:szCs w:val="20"/>
          <w:color w:val="auto"/>
        </w:rPr>
      </w:pPr>
      <w:r>
        <w:rPr>
          <w:rFonts w:ascii="Arial" w:cs="Arial" w:eastAsia="Arial" w:hAnsi="Arial"/>
          <w:sz w:val="22"/>
          <w:szCs w:val="22"/>
          <w:color w:val="auto"/>
        </w:rPr>
        <w:t>that is administered or managed by (a) a Lender, (b) an affiliate of a Lender or (c) an entity or an affiliate of an entity that administers or manages a Lender.</w:t>
      </w:r>
    </w:p>
    <w:p>
      <w:pPr>
        <w:spacing w:after="0" w:line="173" w:lineRule="exact"/>
        <w:rPr>
          <w:sz w:val="20"/>
          <w:szCs w:val="20"/>
          <w:color w:val="auto"/>
        </w:rPr>
      </w:pPr>
    </w:p>
    <w:p>
      <w:pPr>
        <w:jc w:val="both"/>
        <w:ind w:left="660" w:firstLine="644"/>
        <w:spacing w:after="0" w:line="232" w:lineRule="auto"/>
        <w:tabs>
          <w:tab w:leader="none" w:pos="190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shall be treated for purposes of this Agreement as a sale by such Lender of a participation in such rights and obligations in accordance with paragraph (c) of this Section.</w:t>
      </w:r>
    </w:p>
    <w:p>
      <w:pPr>
        <w:spacing w:after="0" w:line="185" w:lineRule="exact"/>
        <w:rPr>
          <w:rFonts w:ascii="Arial" w:cs="Arial" w:eastAsia="Arial" w:hAnsi="Arial"/>
          <w:sz w:val="22"/>
          <w:szCs w:val="22"/>
          <w:color w:val="auto"/>
        </w:rPr>
      </w:pPr>
    </w:p>
    <w:p>
      <w:pPr>
        <w:jc w:val="both"/>
        <w:ind w:left="660" w:firstLine="644"/>
        <w:spacing w:after="0" w:line="232" w:lineRule="auto"/>
        <w:tabs>
          <w:tab w:leader="none" w:pos="2042"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Commitments of, and principal amount (and interest amounts) of the Loans owing to, each Lender pursuant to the terms hereof from time to time (the “</w:t>
      </w:r>
      <w:r>
        <w:rPr>
          <w:rFonts w:ascii="Arial" w:cs="Arial" w:eastAsia="Arial" w:hAnsi="Arial"/>
          <w:sz w:val="22"/>
          <w:szCs w:val="22"/>
          <w:u w:val="single" w:color="auto"/>
          <w:color w:val="auto"/>
        </w:rPr>
        <w:t>Register</w:t>
      </w:r>
      <w:r>
        <w:rPr>
          <w:rFonts w:ascii="Arial" w:cs="Arial" w:eastAsia="Arial" w:hAnsi="Arial"/>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87" w:lineRule="exact"/>
        <w:rPr>
          <w:rFonts w:ascii="Arial" w:cs="Arial" w:eastAsia="Arial" w:hAnsi="Arial"/>
          <w:sz w:val="22"/>
          <w:szCs w:val="22"/>
          <w:color w:val="auto"/>
        </w:rPr>
      </w:pPr>
    </w:p>
    <w:p>
      <w:pPr>
        <w:jc w:val="both"/>
        <w:ind w:left="660" w:firstLine="644"/>
        <w:spacing w:after="0" w:line="232" w:lineRule="auto"/>
        <w:tabs>
          <w:tab w:leader="none" w:pos="1847" w:val="left"/>
        </w:tabs>
        <w:numPr>
          <w:ilvl w:val="0"/>
          <w:numId w:val="152"/>
        </w:numPr>
        <w:rPr>
          <w:rFonts w:ascii="Arial" w:cs="Arial" w:eastAsia="Arial" w:hAnsi="Arial"/>
          <w:sz w:val="22"/>
          <w:szCs w:val="22"/>
          <w:color w:val="auto"/>
        </w:rPr>
      </w:pPr>
      <w:r>
        <w:rPr>
          <w:rFonts w:ascii="Arial" w:cs="Arial" w:eastAsia="Arial" w:hAnsi="Arial"/>
          <w:sz w:val="22"/>
          <w:szCs w:val="22"/>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22"/>
          <w:szCs w:val="22"/>
          <w:u w:val="single" w:color="auto"/>
          <w:color w:val="auto"/>
        </w:rPr>
        <w:t>Section 9.6</w:t>
      </w:r>
      <w:r>
        <w:rPr>
          <w:rFonts w:ascii="Arial" w:cs="Arial" w:eastAsia="Arial" w:hAnsi="Arial"/>
          <w:sz w:val="22"/>
          <w:szCs w:val="22"/>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 (iii) give notice of such acceptance and recordation to the transferor Lender, the Assignee and the Borrower.</w:t>
      </w:r>
    </w:p>
    <w:p>
      <w:pPr>
        <w:sectPr>
          <w:pgSz w:w="11900" w:h="16838" w:orient="portrait"/>
          <w:cols w:equalWidth="0" w:num="1">
            <w:col w:w="11240"/>
          </w:cols>
          <w:pgMar w:left="320" w:top="1413" w:right="339" w:bottom="1440" w:gutter="0" w:footer="0" w:header="0"/>
        </w:sectPr>
      </w:pPr>
    </w:p>
    <w:bookmarkStart w:id="181" w:name="page182"/>
    <w:bookmarkEnd w:id="181"/>
    <w:p>
      <w:pPr>
        <w:jc w:val="both"/>
        <w:ind w:left="-656" w:firstLine="656"/>
        <w:spacing w:after="0" w:line="230" w:lineRule="auto"/>
        <w:tabs>
          <w:tab w:leader="none" w:pos="49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Any Lender may, without the consent of or notice to the Borrower, the Administrative Agent or any Issuing Bank, sell participations to one or more banks or other entities (a “</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in all or a portion of such Lender’s rights and obligations under this Agreement (including all or a portion of its Loans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and (2) directly affects such Participant. Subject to paragraph (c)(i) of this Section, the Borrower agrees that each Participant shall be entitled to the benefits of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(subject to the requirements and limitations of such sections and </w:t>
      </w:r>
      <w:r>
        <w:rPr>
          <w:rFonts w:ascii="Arial" w:cs="Arial" w:eastAsia="Arial" w:hAnsi="Arial"/>
          <w:sz w:val="22"/>
          <w:szCs w:val="22"/>
          <w:u w:val="single" w:color="auto"/>
          <w:color w:val="auto"/>
        </w:rPr>
        <w:t>Sections 2.18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2.22</w:t>
      </w:r>
      <w:r>
        <w:rPr>
          <w:rFonts w:ascii="Arial" w:cs="Arial" w:eastAsia="Arial" w:hAnsi="Arial"/>
          <w:sz w:val="22"/>
          <w:szCs w:val="22"/>
          <w:color w:val="auto"/>
        </w:rPr>
        <w:t xml:space="preserve"> and it being understood that the documentation required under </w:t>
      </w:r>
      <w:r>
        <w:rPr>
          <w:rFonts w:ascii="Arial" w:cs="Arial" w:eastAsia="Arial" w:hAnsi="Arial"/>
          <w:sz w:val="22"/>
          <w:szCs w:val="22"/>
          <w:u w:val="single" w:color="auto"/>
          <w:color w:val="auto"/>
        </w:rPr>
        <w:t>Section 2.16(e)</w:t>
      </w:r>
      <w:r>
        <w:rPr>
          <w:rFonts w:ascii="Arial" w:cs="Arial" w:eastAsia="Arial" w:hAnsi="Arial"/>
          <w:sz w:val="22"/>
          <w:szCs w:val="22"/>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22"/>
          <w:szCs w:val="22"/>
          <w:u w:val="single" w:color="auto"/>
          <w:color w:val="auto"/>
        </w:rPr>
        <w:t>Section 9.7(b)</w:t>
      </w:r>
      <w:r>
        <w:rPr>
          <w:rFonts w:ascii="Arial" w:cs="Arial" w:eastAsia="Arial" w:hAnsi="Arial"/>
          <w:sz w:val="22"/>
          <w:szCs w:val="22"/>
          <w:color w:val="auto"/>
        </w:rPr>
        <w:t xml:space="preserve"> as though it were a Lender, provided such Participant shall be subject to </w:t>
      </w:r>
      <w:r>
        <w:rPr>
          <w:rFonts w:ascii="Arial" w:cs="Arial" w:eastAsia="Arial" w:hAnsi="Arial"/>
          <w:sz w:val="22"/>
          <w:szCs w:val="22"/>
          <w:u w:val="single" w:color="auto"/>
          <w:color w:val="auto"/>
        </w:rPr>
        <w:t>Section 9.7(a)</w:t>
      </w:r>
      <w:r>
        <w:rPr>
          <w:rFonts w:ascii="Arial" w:cs="Arial" w:eastAsia="Arial" w:hAnsi="Arial"/>
          <w:sz w:val="22"/>
          <w:szCs w:val="22"/>
          <w:color w:val="auto"/>
        </w:rPr>
        <w:t xml:space="preserve"> as though it were a Lender.</w:t>
      </w:r>
    </w:p>
    <w:p>
      <w:pPr>
        <w:spacing w:after="0" w:line="201" w:lineRule="exact"/>
        <w:rPr>
          <w:rFonts w:ascii="Arial" w:cs="Arial" w:eastAsia="Arial" w:hAnsi="Arial"/>
          <w:sz w:val="22"/>
          <w:szCs w:val="22"/>
          <w:color w:val="auto"/>
        </w:rPr>
      </w:pPr>
    </w:p>
    <w:p>
      <w:pPr>
        <w:jc w:val="both"/>
        <w:ind w:left="4" w:firstLine="644"/>
        <w:spacing w:after="0" w:line="238" w:lineRule="auto"/>
        <w:tabs>
          <w:tab w:leader="none" w:pos="1121"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A Participant shall not be entitled to receive any greater payment under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84" w:lineRule="exact"/>
        <w:rPr>
          <w:rFonts w:ascii="Arial" w:cs="Arial" w:eastAsia="Arial" w:hAnsi="Arial"/>
          <w:sz w:val="22"/>
          <w:szCs w:val="22"/>
          <w:color w:val="auto"/>
        </w:rPr>
      </w:pPr>
    </w:p>
    <w:p>
      <w:pPr>
        <w:jc w:val="both"/>
        <w:ind w:left="4" w:firstLine="644"/>
        <w:spacing w:after="0" w:line="232" w:lineRule="auto"/>
        <w:tabs>
          <w:tab w:leader="none" w:pos="1171" w:val="left"/>
        </w:tabs>
        <w:numPr>
          <w:ilvl w:val="1"/>
          <w:numId w:val="153"/>
        </w:numPr>
        <w:rPr>
          <w:rFonts w:ascii="Arial" w:cs="Arial" w:eastAsia="Arial" w:hAnsi="Arial"/>
          <w:sz w:val="22"/>
          <w:szCs w:val="22"/>
          <w:color w:val="auto"/>
        </w:rPr>
      </w:pPr>
      <w:r>
        <w:rPr>
          <w:rFonts w:ascii="Arial" w:cs="Arial" w:eastAsia="Arial" w:hAnsi="Arial"/>
          <w:sz w:val="22"/>
          <w:szCs w:val="22"/>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Loans) except to the extent that such disclosure is necessary to establish that such Loan</w:t>
      </w:r>
    </w:p>
    <w:p>
      <w:pPr>
        <w:sectPr>
          <w:pgSz w:w="11900" w:h="16838" w:orient="portrait"/>
          <w:cols w:equalWidth="0" w:num="1">
            <w:col w:w="10584"/>
          </w:cols>
          <w:pgMar w:left="976" w:top="1413" w:right="339" w:bottom="1440" w:gutter="0" w:footer="0" w:header="0"/>
        </w:sectPr>
      </w:pPr>
    </w:p>
    <w:bookmarkStart w:id="182" w:name="page183"/>
    <w:bookmarkEnd w:id="182"/>
    <w:p>
      <w:pPr>
        <w:ind w:left="4"/>
        <w:spacing w:after="0" w:line="251" w:lineRule="auto"/>
        <w:rPr>
          <w:sz w:val="20"/>
          <w:szCs w:val="20"/>
          <w:color w:val="auto"/>
        </w:rPr>
      </w:pPr>
      <w:r>
        <w:rPr>
          <w:rFonts w:ascii="Arial" w:cs="Arial" w:eastAsia="Arial" w:hAnsi="Arial"/>
          <w:sz w:val="22"/>
          <w:szCs w:val="22"/>
          <w:color w:val="auto"/>
        </w:rPr>
        <w:t>is in registered form under Section 5f.103(c) of the United States Treasury Regulations or, if different, under Sections 871(h) or 881(c) of the Code.</w:t>
      </w:r>
    </w:p>
    <w:p>
      <w:pPr>
        <w:spacing w:after="0" w:line="173" w:lineRule="exact"/>
        <w:rPr>
          <w:sz w:val="20"/>
          <w:szCs w:val="20"/>
          <w:color w:val="auto"/>
        </w:rPr>
      </w:pPr>
    </w:p>
    <w:p>
      <w:pPr>
        <w:jc w:val="both"/>
        <w:ind w:left="-656" w:firstLine="656"/>
        <w:spacing w:after="0" w:line="234" w:lineRule="auto"/>
        <w:tabs>
          <w:tab w:leader="none" w:pos="56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4" w:lineRule="exact"/>
        <w:rPr>
          <w:rFonts w:ascii="Arial" w:cs="Arial" w:eastAsia="Arial" w:hAnsi="Arial"/>
          <w:sz w:val="22"/>
          <w:szCs w:val="22"/>
          <w:color w:val="auto"/>
        </w:rPr>
      </w:pPr>
    </w:p>
    <w:p>
      <w:pPr>
        <w:jc w:val="both"/>
        <w:ind w:left="-656" w:firstLine="656"/>
        <w:spacing w:after="0" w:line="234" w:lineRule="auto"/>
        <w:tabs>
          <w:tab w:leader="none" w:pos="60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9.15</w:t>
      </w:r>
      <w:r>
        <w:rPr>
          <w:rFonts w:ascii="Arial" w:cs="Arial" w:eastAsia="Arial" w:hAnsi="Arial"/>
          <w:sz w:val="22"/>
          <w:szCs w:val="22"/>
          <w:color w:val="auto"/>
        </w:rPr>
        <w:t xml:space="preserve">, the Borrower authorizes each Lender to disclose to any Transferee and any prospective Transferee (in each case which agrees to comply with the provisions of </w:t>
      </w:r>
      <w:r>
        <w:rPr>
          <w:rFonts w:ascii="Arial" w:cs="Arial" w:eastAsia="Arial" w:hAnsi="Arial"/>
          <w:sz w:val="22"/>
          <w:szCs w:val="22"/>
          <w:u w:val="single" w:color="auto"/>
          <w:color w:val="auto"/>
        </w:rPr>
        <w:t>Section 9.15</w:t>
      </w:r>
      <w:r>
        <w:rPr>
          <w:rFonts w:ascii="Arial" w:cs="Arial" w:eastAsia="Arial" w:hAnsi="Arial"/>
          <w:sz w:val="22"/>
          <w:szCs w:val="22"/>
          <w:color w:val="auto"/>
        </w:rPr>
        <w:t xml:space="preserve"> or confidentiality requirements no less restrictive on such prospective transferee than those set forth in </w:t>
      </w:r>
      <w:r>
        <w:rPr>
          <w:rFonts w:ascii="Arial" w:cs="Arial" w:eastAsia="Arial" w:hAnsi="Arial"/>
          <w:sz w:val="22"/>
          <w:szCs w:val="22"/>
          <w:u w:val="single" w:color="auto"/>
          <w:color w:val="auto"/>
        </w:rPr>
        <w:t>Section 9.15</w:t>
      </w:r>
      <w:r>
        <w:rPr>
          <w:rFonts w:ascii="Arial" w:cs="Arial" w:eastAsia="Arial" w:hAnsi="Arial"/>
          <w:sz w:val="22"/>
          <w:szCs w:val="22"/>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91"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1"/>
          <w:szCs w:val="21"/>
          <w:u w:val="single" w:color="auto"/>
          <w:color w:val="auto"/>
        </w:rPr>
        <w:t>Adjustments; Setoff</w:t>
      </w:r>
      <w:r>
        <w:rPr>
          <w:rFonts w:ascii="Arial" w:cs="Arial" w:eastAsia="Arial" w:hAnsi="Arial"/>
          <w:sz w:val="21"/>
          <w:szCs w:val="21"/>
          <w:color w:val="auto"/>
        </w:rPr>
        <w:t>.</w:t>
      </w:r>
    </w:p>
    <w:p>
      <w:pPr>
        <w:spacing w:after="0" w:line="206" w:lineRule="exact"/>
        <w:rPr>
          <w:sz w:val="20"/>
          <w:szCs w:val="20"/>
          <w:color w:val="auto"/>
        </w:rPr>
      </w:pPr>
    </w:p>
    <w:p>
      <w:pPr>
        <w:jc w:val="both"/>
        <w:ind w:left="-656" w:firstLine="656"/>
        <w:spacing w:after="0" w:line="230" w:lineRule="auto"/>
        <w:tabs>
          <w:tab w:leader="none" w:pos="49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to the extent that this Agreement, any other Loan Document or a court order expressly provides or permits for payments to be allocated to a particular Lender or Issuing Bank or to the Lenders and Issuing Banks, if any Lender or Issuing Bank (a “</w:t>
      </w:r>
      <w:r>
        <w:rPr>
          <w:rFonts w:ascii="Arial" w:cs="Arial" w:eastAsia="Arial" w:hAnsi="Arial"/>
          <w:sz w:val="22"/>
          <w:szCs w:val="22"/>
          <w:u w:val="single" w:color="auto"/>
          <w:color w:val="auto"/>
        </w:rPr>
        <w:t>Benefited Lender</w:t>
      </w:r>
      <w:r>
        <w:rPr>
          <w:rFonts w:ascii="Arial" w:cs="Arial" w:eastAsia="Arial" w:hAnsi="Arial"/>
          <w:sz w:val="22"/>
          <w:szCs w:val="22"/>
          <w:color w:val="auto"/>
        </w:rPr>
        <w:t xml:space="preserve">”) shall receive any payment of all or part of the Obligations owing to it (other than in connection with an assignment or participation made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or receive any collateral in respect thereof (whether voluntarily or involuntarily, by setoff or otherwise), in a greater proportion than any such payment to or collateral received by any other Lender or Issuing Bank, if any, in respect of the Obligations owing to such other Lender or Issuing Bank, such Benefited Lender shall purchase for cash from the other Lenders and Issuing Banks a participating interest in such portion of the Obligations owing to each such other Lender and Issuing Bank, or shall provide such other Lenders and Issuing Banks with the benefits of any such collateral, as shall be necessary to cause such Benefited Lender to share the excess payment or benefits of such collateral ratably with each of the Lenders and Issuing Banks;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 Notwithstanding anything to the contrary contained in this </w:t>
      </w:r>
      <w:r>
        <w:rPr>
          <w:rFonts w:ascii="Arial" w:cs="Arial" w:eastAsia="Arial" w:hAnsi="Arial"/>
          <w:sz w:val="22"/>
          <w:szCs w:val="22"/>
          <w:u w:val="single" w:color="auto"/>
          <w:color w:val="auto"/>
        </w:rPr>
        <w:t>Section 9.7(a)</w:t>
      </w:r>
      <w:r>
        <w:rPr>
          <w:rFonts w:ascii="Arial" w:cs="Arial" w:eastAsia="Arial" w:hAnsi="Arial"/>
          <w:sz w:val="22"/>
          <w:szCs w:val="22"/>
          <w:color w:val="auto"/>
        </w:rPr>
        <w:t xml:space="preserve">, no extension of Loans that is permitted under </w:t>
      </w:r>
      <w:r>
        <w:rPr>
          <w:rFonts w:ascii="Arial" w:cs="Arial" w:eastAsia="Arial" w:hAnsi="Arial"/>
          <w:sz w:val="22"/>
          <w:szCs w:val="22"/>
          <w:u w:val="single" w:color="auto"/>
          <w:color w:val="auto"/>
        </w:rPr>
        <w:t>Section 2.23</w:t>
      </w:r>
      <w:r>
        <w:rPr>
          <w:rFonts w:ascii="Arial" w:cs="Arial" w:eastAsia="Arial" w:hAnsi="Arial"/>
          <w:sz w:val="22"/>
          <w:szCs w:val="22"/>
          <w:color w:val="auto"/>
        </w:rPr>
        <w:t xml:space="preserve"> shall constitute a payment of any of such Loans for purposes of this </w:t>
      </w:r>
      <w:r>
        <w:rPr>
          <w:rFonts w:ascii="Arial" w:cs="Arial" w:eastAsia="Arial" w:hAnsi="Arial"/>
          <w:sz w:val="22"/>
          <w:szCs w:val="22"/>
          <w:u w:val="single" w:color="auto"/>
          <w:color w:val="auto"/>
        </w:rPr>
        <w:t>Section 9.7</w:t>
      </w:r>
      <w:r>
        <w:rPr>
          <w:rFonts w:ascii="Arial" w:cs="Arial" w:eastAsia="Arial" w:hAnsi="Arial"/>
          <w:sz w:val="22"/>
          <w:szCs w:val="22"/>
          <w:color w:val="auto"/>
        </w:rPr>
        <w:t>.</w:t>
      </w:r>
    </w:p>
    <w:p>
      <w:pPr>
        <w:spacing w:after="0" w:line="197" w:lineRule="exact"/>
        <w:rPr>
          <w:rFonts w:ascii="Arial" w:cs="Arial" w:eastAsia="Arial" w:hAnsi="Arial"/>
          <w:sz w:val="22"/>
          <w:szCs w:val="22"/>
          <w:color w:val="auto"/>
        </w:rPr>
      </w:pPr>
    </w:p>
    <w:p>
      <w:pPr>
        <w:jc w:val="both"/>
        <w:ind w:left="-656" w:firstLine="656"/>
        <w:spacing w:after="0" w:line="241" w:lineRule="auto"/>
        <w:tabs>
          <w:tab w:leader="none" w:pos="56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In addition to any rights and remedies of the Lenders and Issuing Banks provided by law, each Lender and Issuing Bank shall have the right, unless otherwise agreed in writing by such Lender or Issuing Bank with the Borrower, without notice to the Borrower, any such notice being expressly waived by the Borrower to the extent</w:t>
      </w:r>
    </w:p>
    <w:p>
      <w:pPr>
        <w:sectPr>
          <w:pgSz w:w="11900" w:h="16838" w:orient="portrait"/>
          <w:cols w:equalWidth="0" w:num="1">
            <w:col w:w="10584"/>
          </w:cols>
          <w:pgMar w:left="976" w:top="1413" w:right="339" w:bottom="1440" w:gutter="0" w:footer="0" w:header="0"/>
        </w:sectPr>
      </w:pPr>
    </w:p>
    <w:bookmarkStart w:id="183" w:name="page184"/>
    <w:bookmarkEnd w:id="183"/>
    <w:p>
      <w:pPr>
        <w:jc w:val="both"/>
        <w:spacing w:after="0" w:line="232" w:lineRule="auto"/>
        <w:rPr>
          <w:sz w:val="20"/>
          <w:szCs w:val="20"/>
          <w:color w:val="auto"/>
        </w:rPr>
      </w:pPr>
      <w:r>
        <w:rPr>
          <w:rFonts w:ascii="Arial" w:cs="Arial" w:eastAsia="Arial" w:hAnsi="Arial"/>
          <w:sz w:val="22"/>
          <w:szCs w:val="22"/>
          <w:color w:val="auto"/>
        </w:rPr>
        <w:t xml:space="preserve">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such Issuing Bank, any affiliate thereof or any of their respective branches or agencies to or for the credit or the account of the Borrower. Each Lender and Issuing Bank agrees promptly to notify the Borrower and the Administrative Agent after any such application made by such Lender or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give such notice shall not affect the validity of such application.</w:t>
      </w:r>
    </w:p>
    <w:p>
      <w:pPr>
        <w:spacing w:after="0" w:line="19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 The words “execution”, “signed”, “signature” and words of like import in this Agreement or in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UNDER THIS AGREEMENT SHALL BE GOVERNED BY, AND CONSTRUED AND INTERPRETED IN ACCORDANCE WITH, THE LAW OF THE STATE OF NEW YORK.</w:t>
      </w:r>
    </w:p>
    <w:p>
      <w:pPr>
        <w:spacing w:after="0" w:line="18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1"/>
          <w:szCs w:val="21"/>
          <w:u w:val="single" w:color="auto"/>
          <w:color w:val="auto"/>
        </w:rPr>
        <w:t>Submission To Jurisdiction; Waivers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1" w:lineRule="auto"/>
        <w:tabs>
          <w:tab w:leader="none" w:pos="123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Subject to clause (b)(iii) of this </w:t>
      </w:r>
      <w:r>
        <w:rPr>
          <w:rFonts w:ascii="Arial" w:cs="Arial" w:eastAsia="Arial" w:hAnsi="Arial"/>
          <w:sz w:val="22"/>
          <w:szCs w:val="22"/>
          <w:u w:val="single" w:color="auto"/>
          <w:color w:val="auto"/>
        </w:rPr>
        <w:t>Section 9.12</w:t>
      </w:r>
      <w:r>
        <w:rPr>
          <w:rFonts w:ascii="Arial" w:cs="Arial" w:eastAsia="Arial" w:hAnsi="Arial"/>
          <w:sz w:val="22"/>
          <w:szCs w:val="22"/>
          <w:color w:val="auto"/>
        </w:rPr>
        <w:t>, each party hereto hereby irrevocably and unconditionally submits for itself and its property in any legal action or proceeding relating to this Agreement and the other Loan Documents to which it is a</w:t>
      </w:r>
    </w:p>
    <w:p>
      <w:pPr>
        <w:sectPr>
          <w:pgSz w:w="11900" w:h="16838" w:orient="portrait"/>
          <w:cols w:equalWidth="0" w:num="1">
            <w:col w:w="11240"/>
          </w:cols>
          <w:pgMar w:left="320" w:top="1413" w:right="339" w:bottom="1440" w:gutter="0" w:footer="0" w:header="0"/>
        </w:sectPr>
      </w:pPr>
    </w:p>
    <w:bookmarkStart w:id="184" w:name="page185"/>
    <w:bookmarkEnd w:id="184"/>
    <w:p>
      <w:pPr>
        <w:jc w:val="both"/>
        <w:spacing w:after="0" w:line="241" w:lineRule="auto"/>
        <w:rPr>
          <w:sz w:val="20"/>
          <w:szCs w:val="20"/>
          <w:color w:val="auto"/>
        </w:rPr>
      </w:pPr>
      <w:r>
        <w:rPr>
          <w:rFonts w:ascii="Arial" w:cs="Arial" w:eastAsia="Arial" w:hAnsi="Arial"/>
          <w:sz w:val="22"/>
          <w:szCs w:val="22"/>
          <w:color w:val="auto"/>
        </w:rPr>
        <w:t>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183" w:lineRule="exact"/>
        <w:rPr>
          <w:sz w:val="20"/>
          <w:szCs w:val="20"/>
          <w:color w:val="auto"/>
        </w:rPr>
      </w:pPr>
    </w:p>
    <w:p>
      <w:pPr>
        <w:ind w:left="1160" w:hanging="504"/>
        <w:spacing w:after="0"/>
        <w:tabs>
          <w:tab w:leader="none" w:pos="116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w:t>
      </w:r>
    </w:p>
    <w:p>
      <w:pPr>
        <w:spacing w:after="0" w:line="206" w:lineRule="exact"/>
        <w:rPr>
          <w:rFonts w:ascii="Arial" w:cs="Arial" w:eastAsia="Arial" w:hAnsi="Arial"/>
          <w:sz w:val="22"/>
          <w:szCs w:val="22"/>
          <w:color w:val="auto"/>
        </w:rPr>
      </w:pPr>
    </w:p>
    <w:p>
      <w:pPr>
        <w:jc w:val="both"/>
        <w:ind w:left="660" w:firstLine="644"/>
        <w:spacing w:after="0" w:line="251" w:lineRule="auto"/>
        <w:tabs>
          <w:tab w:leader="none" w:pos="1744" w:val="left"/>
        </w:tabs>
        <w:numPr>
          <w:ilvl w:val="1"/>
          <w:numId w:val="157"/>
        </w:numPr>
        <w:rPr>
          <w:rFonts w:ascii="Arial" w:cs="Arial" w:eastAsia="Arial" w:hAnsi="Arial"/>
          <w:sz w:val="21"/>
          <w:szCs w:val="21"/>
          <w:color w:val="auto"/>
        </w:rPr>
      </w:pPr>
      <w:r>
        <w:rPr>
          <w:rFonts w:ascii="Arial" w:cs="Arial" w:eastAsia="Arial" w:hAnsi="Arial"/>
          <w:sz w:val="21"/>
          <w:szCs w:val="21"/>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3" w:lineRule="exact"/>
        <w:rPr>
          <w:rFonts w:ascii="Arial" w:cs="Arial" w:eastAsia="Arial" w:hAnsi="Arial"/>
          <w:sz w:val="21"/>
          <w:szCs w:val="21"/>
          <w:color w:val="auto"/>
        </w:rPr>
      </w:pPr>
    </w:p>
    <w:p>
      <w:pPr>
        <w:jc w:val="both"/>
        <w:ind w:left="660" w:firstLine="644"/>
        <w:spacing w:after="0" w:line="238" w:lineRule="auto"/>
        <w:tabs>
          <w:tab w:leader="none" w:pos="1804" w:val="left"/>
        </w:tabs>
        <w:numPr>
          <w:ilvl w:val="1"/>
          <w:numId w:val="157"/>
        </w:numPr>
        <w:rPr>
          <w:rFonts w:ascii="Arial" w:cs="Arial" w:eastAsia="Arial" w:hAnsi="Arial"/>
          <w:sz w:val="22"/>
          <w:szCs w:val="22"/>
          <w:color w:val="auto"/>
        </w:rPr>
      </w:pPr>
      <w:r>
        <w:rPr>
          <w:rFonts w:ascii="Arial" w:cs="Arial" w:eastAsia="Arial" w:hAnsi="Arial"/>
          <w:sz w:val="22"/>
          <w:szCs w:val="22"/>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at such other address of which the Administrative Agent shall have been notified pursuant thereto;</w:t>
      </w:r>
    </w:p>
    <w:p>
      <w:pPr>
        <w:spacing w:after="0" w:line="184" w:lineRule="exact"/>
        <w:rPr>
          <w:rFonts w:ascii="Arial" w:cs="Arial" w:eastAsia="Arial" w:hAnsi="Arial"/>
          <w:sz w:val="22"/>
          <w:szCs w:val="22"/>
          <w:color w:val="auto"/>
        </w:rPr>
      </w:pPr>
    </w:p>
    <w:p>
      <w:pPr>
        <w:jc w:val="both"/>
        <w:ind w:left="660" w:firstLine="644"/>
        <w:spacing w:after="0" w:line="241" w:lineRule="auto"/>
        <w:tabs>
          <w:tab w:leader="none" w:pos="1908" w:val="left"/>
        </w:tabs>
        <w:numPr>
          <w:ilvl w:val="1"/>
          <w:numId w:val="157"/>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82" w:lineRule="exact"/>
        <w:rPr>
          <w:rFonts w:ascii="Arial" w:cs="Arial" w:eastAsia="Arial" w:hAnsi="Arial"/>
          <w:sz w:val="22"/>
          <w:szCs w:val="22"/>
          <w:color w:val="auto"/>
        </w:rPr>
      </w:pPr>
    </w:p>
    <w:p>
      <w:pPr>
        <w:jc w:val="both"/>
        <w:ind w:left="660" w:firstLine="644"/>
        <w:spacing w:after="0" w:line="241" w:lineRule="auto"/>
        <w:tabs>
          <w:tab w:leader="none" w:pos="1889" w:val="left"/>
        </w:tabs>
        <w:numPr>
          <w:ilvl w:val="1"/>
          <w:numId w:val="157"/>
        </w:numPr>
        <w:rPr>
          <w:rFonts w:ascii="Arial" w:cs="Arial" w:eastAsia="Arial" w:hAnsi="Arial"/>
          <w:sz w:val="22"/>
          <w:szCs w:val="22"/>
          <w:color w:val="auto"/>
        </w:rPr>
      </w:pPr>
      <w:r>
        <w:rPr>
          <w:rFonts w:ascii="Arial" w:cs="Arial" w:eastAsia="Arial" w:hAnsi="Arial"/>
          <w:sz w:val="22"/>
          <w:szCs w:val="22"/>
          <w:color w:val="auto"/>
        </w:rPr>
        <w:t>waives, to the maximum extent not prohibited by law, any right it may have to claim or recover in any legal action or proceeding referred to in this Section any special, exemplary, punitive or consequential damages.</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21"/>
          <w:szCs w:val="21"/>
          <w:u w:val="single" w:color="auto"/>
          <w:color w:val="auto"/>
        </w:rPr>
        <w:t>Acknowledgements</w:t>
      </w:r>
      <w:r>
        <w:rPr>
          <w:rFonts w:ascii="Arial" w:cs="Arial" w:eastAsia="Arial" w:hAnsi="Arial"/>
          <w:sz w:val="21"/>
          <w:szCs w:val="21"/>
          <w:color w:val="auto"/>
        </w:rPr>
        <w:t>. The Borrower hereby acknowledges that:</w:t>
      </w:r>
    </w:p>
    <w:p>
      <w:pPr>
        <w:spacing w:after="0" w:line="206" w:lineRule="exact"/>
        <w:rPr>
          <w:sz w:val="20"/>
          <w:szCs w:val="20"/>
          <w:color w:val="auto"/>
        </w:rPr>
      </w:pPr>
    </w:p>
    <w:p>
      <w:pPr>
        <w:ind w:firstLine="656"/>
        <w:spacing w:after="0" w:line="251" w:lineRule="auto"/>
        <w:tabs>
          <w:tab w:leader="none" w:pos="116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it has been advised by counsel in the negotiation, execution and delivery of this Agreement and the other Loan Documents;</w:t>
      </w:r>
    </w:p>
    <w:p>
      <w:pPr>
        <w:spacing w:after="0" w:line="172" w:lineRule="exact"/>
        <w:rPr>
          <w:rFonts w:ascii="Arial" w:cs="Arial" w:eastAsia="Arial" w:hAnsi="Arial"/>
          <w:sz w:val="22"/>
          <w:szCs w:val="22"/>
          <w:color w:val="auto"/>
        </w:rPr>
      </w:pPr>
    </w:p>
    <w:p>
      <w:pPr>
        <w:ind w:firstLine="656"/>
        <w:spacing w:after="0" w:line="275" w:lineRule="auto"/>
        <w:tabs>
          <w:tab w:leader="none" w:pos="1156" w:val="left"/>
        </w:tabs>
        <w:numPr>
          <w:ilvl w:val="0"/>
          <w:numId w:val="158"/>
        </w:numPr>
        <w:rPr>
          <w:rFonts w:ascii="Arial" w:cs="Arial" w:eastAsia="Arial" w:hAnsi="Arial"/>
          <w:sz w:val="21"/>
          <w:szCs w:val="21"/>
          <w:color w:val="auto"/>
        </w:rPr>
      </w:pPr>
      <w:r>
        <w:rPr>
          <w:rFonts w:ascii="Arial" w:cs="Arial" w:eastAsia="Arial" w:hAnsi="Arial"/>
          <w:sz w:val="21"/>
          <w:szCs w:val="21"/>
          <w:color w:val="auto"/>
        </w:rPr>
        <w:t>notwithstanding the provisions of this Agreement or any of the other Loan Documents, the Arrangers shall have no powers, duties, responsibilities or liabilities with respect to this Agreement and the other Loan Documents;</w:t>
      </w:r>
    </w:p>
    <w:p>
      <w:pPr>
        <w:spacing w:after="0" w:line="148" w:lineRule="exact"/>
        <w:rPr>
          <w:rFonts w:ascii="Arial" w:cs="Arial" w:eastAsia="Arial" w:hAnsi="Arial"/>
          <w:sz w:val="21"/>
          <w:szCs w:val="21"/>
          <w:color w:val="auto"/>
        </w:rPr>
      </w:pPr>
    </w:p>
    <w:p>
      <w:pPr>
        <w:ind w:firstLine="656"/>
        <w:spacing w:after="0" w:line="251" w:lineRule="auto"/>
        <w:tabs>
          <w:tab w:leader="none" w:pos="115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Agent, the Arrangers, the Lenders, the Issuing Banks and their Affiliates may have economic interests that conflict with those of the Borrower; and</w:t>
      </w:r>
    </w:p>
    <w:p>
      <w:pPr>
        <w:spacing w:after="0" w:line="172" w:lineRule="exact"/>
        <w:rPr>
          <w:rFonts w:ascii="Arial" w:cs="Arial" w:eastAsia="Arial" w:hAnsi="Arial"/>
          <w:sz w:val="22"/>
          <w:szCs w:val="22"/>
          <w:color w:val="auto"/>
        </w:rPr>
      </w:pPr>
    </w:p>
    <w:p>
      <w:pPr>
        <w:jc w:val="both"/>
        <w:ind w:firstLine="656"/>
        <w:spacing w:after="0" w:line="241" w:lineRule="auto"/>
        <w:tabs>
          <w:tab w:leader="none" w:pos="122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Lenders, among the Issuing Banks or among the Borrower and the Lenders</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u w:val="single" w:color="auto"/>
          <w:color w:val="auto"/>
        </w:rPr>
        <w:t>Guarantors; Release of Guarantors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656"/>
        <w:spacing w:after="0" w:line="251" w:lineRule="auto"/>
        <w:tabs>
          <w:tab w:leader="none" w:pos="126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Borrower may, at any time after the Closing Date, upon prior written notice to the Administrative Agent, cause any of its Subsidiaries to become a Guarantor</w:t>
      </w:r>
    </w:p>
    <w:p>
      <w:pPr>
        <w:sectPr>
          <w:pgSz w:w="11900" w:h="16838" w:orient="portrait"/>
          <w:cols w:equalWidth="0" w:num="1">
            <w:col w:w="11240"/>
          </w:cols>
          <w:pgMar w:left="320" w:top="1413" w:right="339" w:bottom="1440" w:gutter="0" w:footer="0" w:header="0"/>
        </w:sectPr>
      </w:pPr>
    </w:p>
    <w:bookmarkStart w:id="185" w:name="page186"/>
    <w:bookmarkEnd w:id="185"/>
    <w:p>
      <w:pPr>
        <w:spacing w:after="0" w:line="251" w:lineRule="auto"/>
        <w:rPr>
          <w:sz w:val="20"/>
          <w:szCs w:val="20"/>
          <w:color w:val="auto"/>
        </w:rPr>
      </w:pPr>
      <w:r>
        <w:rPr>
          <w:rFonts w:ascii="Arial" w:cs="Arial" w:eastAsia="Arial" w:hAnsi="Arial"/>
          <w:sz w:val="22"/>
          <w:szCs w:val="22"/>
          <w:color w:val="auto"/>
        </w:rPr>
        <w:t>by causing such Subsidiary to execute and deliver to the Administrative Agent a Subsidiary Guaranty, with respect to such Subsidiary, all in form and substance reasonably satisfactory to the Administrative Agent.</w:t>
      </w:r>
    </w:p>
    <w:p>
      <w:pPr>
        <w:spacing w:after="0" w:line="173" w:lineRule="exact"/>
        <w:rPr>
          <w:sz w:val="20"/>
          <w:szCs w:val="20"/>
          <w:color w:val="auto"/>
        </w:rPr>
      </w:pPr>
    </w:p>
    <w:p>
      <w:pPr>
        <w:jc w:val="both"/>
        <w:ind w:firstLine="656"/>
        <w:spacing w:after="0" w:line="232" w:lineRule="auto"/>
        <w:tabs>
          <w:tab w:leader="none" w:pos="141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or in any other Loan Document, the Administrative Agent is hereby irrevocably authorized by each Lender and Issuing Bank (and each such Lender and Issuing Bank hereby expressly consents) (without requirement of notice to or consent of any Lender or Issuing Bank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 9.1(a), including, in each case and without limitation, any sale, transfer or other disposition of any Guarantor (other than to the Borrower or another Guarantor), and (ii) under the circumstances described in paragraph (c) below (and, upon the consummation of any such transaction in preceding clause (i) or (ii), such Guarantor shall be released from its obligations hereunder).</w:t>
      </w:r>
    </w:p>
    <w:p>
      <w:pPr>
        <w:spacing w:after="0" w:line="187" w:lineRule="exact"/>
        <w:rPr>
          <w:rFonts w:ascii="Arial" w:cs="Arial" w:eastAsia="Arial" w:hAnsi="Arial"/>
          <w:sz w:val="22"/>
          <w:szCs w:val="22"/>
          <w:color w:val="auto"/>
        </w:rPr>
      </w:pPr>
    </w:p>
    <w:p>
      <w:pPr>
        <w:jc w:val="both"/>
        <w:ind w:firstLine="656"/>
        <w:spacing w:after="0" w:line="233" w:lineRule="auto"/>
        <w:tabs>
          <w:tab w:leader="none" w:pos="1205" w:val="left"/>
        </w:tabs>
        <w:numPr>
          <w:ilvl w:val="0"/>
          <w:numId w:val="160"/>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or in any other Loan Document, the Lenders and Issuing Banks hereby agree, and the Administrative Agent is hereby irrevocably authorized by each Lender and Issuing Bank (without requirement of notice to or consent of any Lender or Issuing Bank)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84" w:lineRule="exact"/>
        <w:rPr>
          <w:rFonts w:ascii="Arial" w:cs="Arial" w:eastAsia="Arial" w:hAnsi="Arial"/>
          <w:sz w:val="22"/>
          <w:szCs w:val="22"/>
          <w:color w:val="auto"/>
        </w:rPr>
      </w:pPr>
    </w:p>
    <w:p>
      <w:pPr>
        <w:ind w:left="1160" w:hanging="504"/>
        <w:spacing w:after="0"/>
        <w:tabs>
          <w:tab w:leader="none" w:pos="11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The Guarantee of the Obligations by any Guarantor will terminate upon:</w:t>
      </w:r>
    </w:p>
    <w:p>
      <w:pPr>
        <w:spacing w:after="0" w:line="206" w:lineRule="exact"/>
        <w:rPr>
          <w:rFonts w:ascii="Arial" w:cs="Arial" w:eastAsia="Arial" w:hAnsi="Arial"/>
          <w:sz w:val="22"/>
          <w:szCs w:val="22"/>
          <w:color w:val="auto"/>
        </w:rPr>
      </w:pPr>
    </w:p>
    <w:p>
      <w:pPr>
        <w:ind w:left="660" w:firstLine="644"/>
        <w:spacing w:after="0" w:line="251" w:lineRule="auto"/>
        <w:tabs>
          <w:tab w:leader="none" w:pos="1741"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sale or other disposition (including by way of consolidation or merger) of the Capital Stock of such Guarantor such that such Guarantor is no longer a Restricted Subsidiary of the Borrower; and</w:t>
      </w:r>
    </w:p>
    <w:p>
      <w:pPr>
        <w:spacing w:after="0" w:line="172" w:lineRule="exact"/>
        <w:rPr>
          <w:rFonts w:ascii="Arial" w:cs="Arial" w:eastAsia="Arial" w:hAnsi="Arial"/>
          <w:sz w:val="22"/>
          <w:szCs w:val="22"/>
          <w:color w:val="auto"/>
        </w:rPr>
      </w:pPr>
    </w:p>
    <w:p>
      <w:pPr>
        <w:jc w:val="both"/>
        <w:ind w:left="660" w:firstLine="644"/>
        <w:spacing w:after="0" w:line="241" w:lineRule="auto"/>
        <w:tabs>
          <w:tab w:leader="none" w:pos="1924"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Administrative Agent will execute any documents reasonably required in order to evidence the release of any Guarantor from its obligations under its Guarantee pursuant to the foregoing.</w:t>
      </w:r>
    </w:p>
    <w:p>
      <w:pPr>
        <w:spacing w:after="0" w:line="15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Confidentiality</w:t>
      </w:r>
      <w:r>
        <w:rPr>
          <w:rFonts w:ascii="Arial" w:cs="Arial" w:eastAsia="Arial" w:hAnsi="Arial"/>
          <w:sz w:val="22"/>
          <w:szCs w:val="22"/>
          <w:color w:val="auto"/>
        </w:rPr>
        <w:t>. Each Agent, each Arranger, each Lender, each Issuing Bank agrees to keep confidential all non-public information provided to it by any Loan Party, the Administrative Agent or any Lender pursuant to or in connection with this Agreement; provided that nothing herein shall prevent any Agent, any Arranger, any Lender or Issuing Bank from disclosing any such information (a) to the Administrative</w:t>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30" w:lineRule="auto"/>
        <w:rPr>
          <w:sz w:val="20"/>
          <w:szCs w:val="20"/>
          <w:color w:val="auto"/>
        </w:rPr>
      </w:pPr>
      <w:r>
        <w:rPr>
          <w:rFonts w:ascii="Arial" w:cs="Arial" w:eastAsia="Arial" w:hAnsi="Arial"/>
          <w:sz w:val="22"/>
          <w:szCs w:val="22"/>
          <w:color w:val="auto"/>
        </w:rPr>
        <w:t>Agent, any other Lender or any affiliate thereof (so long as such affiliate agrees to be bound by the provisions of this Section 9.15), (b) subject to an agreement to comply with provisions no less restrictive than this Section 9.15, or to any actual or prospective Transferee (or any professional advisor to such counterparty), (c) to its employees, directors, officers, agents, attorneys, accountants, partners and other professional advisors (including insurance brokers) or those of any of its affiliates, (d) upon the request or demand, or in accordance with the requirements (including reporting requirements), of any Governmental Authority having jurisdiction over such Lender, provided that to the extent permitted by law, such Lender shall promptly notify the applicable Loan Party of such disclosure (except with respect to any audit or examination conducted by bank accountants or any governmental bank authority exercising examination or regulatory authority), in response to any order of any court or other Governmental Authority or as may otherwise be required pursuant to any Requirement of Law or other legal process, provided that to the extent permitted by law, such Lender shall promptly notify the applicable Loan Party of such disclosure (except with respect to any audit or examination conducted by bank accountants or any governmental bank authority exercising examination or regulatory authority), (e) if requested or required to do so in connection with any litigation or similar proceeding; provided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20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and, if documents required to be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or otherwise are being distributed through the Platform, the Borrower agrees to designate those documents or other information that are suitable for delivery to the Public Lenders as</w:t>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32" w:lineRule="auto"/>
        <w:rPr>
          <w:sz w:val="20"/>
          <w:szCs w:val="20"/>
          <w:color w:val="auto"/>
        </w:rPr>
      </w:pPr>
      <w:r>
        <w:rPr>
          <w:rFonts w:ascii="Arial" w:cs="Arial" w:eastAsia="Arial" w:hAnsi="Arial"/>
          <w:sz w:val="22"/>
          <w:szCs w:val="22"/>
          <w:color w:val="auto"/>
        </w:rPr>
        <w:t xml:space="preserve">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9.16. </w:t>
      </w:r>
      <w:r>
        <w:rPr>
          <w:rFonts w:ascii="Arial" w:cs="Arial" w:eastAsia="Arial" w:hAnsi="Arial"/>
          <w:sz w:val="21"/>
          <w:szCs w:val="21"/>
          <w:u w:val="single" w:color="auto"/>
          <w:color w:val="auto"/>
        </w:rPr>
        <w:t>WAIVERS OF JURY TRIAL</w:t>
      </w:r>
      <w:r>
        <w:rPr>
          <w:rFonts w:ascii="Arial" w:cs="Arial" w:eastAsia="Arial" w:hAnsi="Arial"/>
          <w:sz w:val="21"/>
          <w:szCs w:val="21"/>
          <w:color w:val="auto"/>
        </w:rPr>
        <w:t>. THE BORROWER, THE ADMINISTRATIVE AGENT, THE SUSTAINABILITY STRUCTURING AGENT, THE LENDERS AND THE ISSUING BANKS HEREBY IRREVOCABLY AND UNCONDITIONALLY WAIVE TRIAL BY JURY IN ANY LEGAL ACTION OR PROCEEDING RELATING TO THIS AGREEMENT OR ANY OTHER LOAN DOCUMENT AND FOR ANY COUNTERCLAIM THEREIN.</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9.17. </w:t>
      </w:r>
      <w:r>
        <w:rPr>
          <w:rFonts w:ascii="Arial" w:cs="Arial" w:eastAsia="Arial" w:hAnsi="Arial"/>
          <w:sz w:val="22"/>
          <w:szCs w:val="22"/>
          <w:u w:val="single" w:color="auto"/>
          <w:color w:val="auto"/>
        </w:rPr>
        <w:t>Patriot Act</w:t>
      </w:r>
      <w:r>
        <w:rPr>
          <w:rFonts w:ascii="Arial" w:cs="Arial" w:eastAsia="Arial" w:hAnsi="Arial"/>
          <w:sz w:val="22"/>
          <w:szCs w:val="22"/>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8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9.18. </w:t>
      </w:r>
      <w:r>
        <w:rPr>
          <w:rFonts w:ascii="Arial" w:cs="Arial" w:eastAsia="Arial" w:hAnsi="Arial"/>
          <w:sz w:val="22"/>
          <w:szCs w:val="22"/>
          <w:u w:val="single" w:color="auto"/>
          <w:color w:val="auto"/>
        </w:rPr>
        <w:t>No Fiduciary Duty</w:t>
      </w:r>
      <w:r>
        <w:rPr>
          <w:rFonts w:ascii="Arial" w:cs="Arial" w:eastAsia="Arial" w:hAnsi="Arial"/>
          <w:sz w:val="22"/>
          <w:szCs w:val="22"/>
          <w:color w:val="auto"/>
        </w:rPr>
        <w:t>. Each Agent, each Lender, the Arrangers, the Issuing Banks and their respective Affiliates (collectively, solely for purposes of this paragraph, the “Lenders”)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w:t>
      </w:r>
    </w:p>
    <w:p>
      <w:pPr>
        <w:sectPr>
          <w:pgSz w:w="11900" w:h="16838" w:orient="portrait"/>
          <w:cols w:equalWidth="0" w:num="1">
            <w:col w:w="11240"/>
          </w:cols>
          <w:pgMar w:left="320" w:top="1413" w:right="339" w:bottom="1440" w:gutter="0" w:footer="0" w:header="0"/>
        </w:sectPr>
      </w:pPr>
    </w:p>
    <w:bookmarkStart w:id="188" w:name="page189"/>
    <w:bookmarkEnd w:id="188"/>
    <w:p>
      <w:pPr>
        <w:jc w:val="both"/>
        <w:spacing w:after="0" w:line="232" w:lineRule="auto"/>
        <w:rPr>
          <w:sz w:val="20"/>
          <w:szCs w:val="20"/>
          <w:color w:val="auto"/>
        </w:rPr>
      </w:pPr>
      <w:r>
        <w:rPr>
          <w:rFonts w:ascii="Arial" w:cs="Arial" w:eastAsia="Arial" w:hAnsi="Arial"/>
          <w:sz w:val="22"/>
          <w:szCs w:val="22"/>
          <w:color w:val="auto"/>
        </w:rPr>
        <w:t>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in their respective capacities as such shall have or be deemed to have any fiduciary relationship with any Lender, the Administrative Agent or any other Person by reason of this Agreement or any other Loan Document.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9.19.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jc w:val="both"/>
        <w:ind w:firstLine="656"/>
        <w:spacing w:after="0" w:line="241" w:lineRule="auto"/>
        <w:tabs>
          <w:tab w:leader="none" w:pos="1194"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9" w:lineRule="exact"/>
        <w:rPr>
          <w:rFonts w:ascii="Arial" w:cs="Arial" w:eastAsia="Arial" w:hAnsi="Arial"/>
          <w:sz w:val="22"/>
          <w:szCs w:val="22"/>
          <w:color w:val="auto"/>
        </w:rPr>
      </w:pPr>
    </w:p>
    <w:p>
      <w:pPr>
        <w:ind w:left="1160" w:hanging="504"/>
        <w:spacing w:after="0"/>
        <w:tabs>
          <w:tab w:leader="none" w:pos="11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1800" w:hanging="496"/>
        <w:spacing w:after="0"/>
        <w:tabs>
          <w:tab w:leader="none" w:pos="180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firstLine="1304"/>
        <w:spacing w:after="0" w:line="238" w:lineRule="auto"/>
        <w:tabs>
          <w:tab w:leader="none" w:pos="1865"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4" w:lineRule="exact"/>
        <w:rPr>
          <w:rFonts w:ascii="Arial" w:cs="Arial" w:eastAsia="Arial" w:hAnsi="Arial"/>
          <w:sz w:val="22"/>
          <w:szCs w:val="22"/>
          <w:color w:val="auto"/>
        </w:rPr>
      </w:pPr>
    </w:p>
    <w:p>
      <w:pPr>
        <w:ind w:firstLine="1304"/>
        <w:spacing w:after="0" w:line="251" w:lineRule="auto"/>
        <w:tabs>
          <w:tab w:leader="none" w:pos="1877"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9.20. </w:t>
      </w:r>
      <w:r>
        <w:rPr>
          <w:rFonts w:ascii="Arial" w:cs="Arial" w:eastAsia="Arial" w:hAnsi="Arial"/>
          <w:sz w:val="22"/>
          <w:szCs w:val="22"/>
          <w:u w:val="single" w:color="auto"/>
          <w:color w:val="auto"/>
        </w:rPr>
        <w:t>Interest Rate Limitations</w:t>
      </w:r>
      <w:r>
        <w:rPr>
          <w:rFonts w:ascii="Arial" w:cs="Arial" w:eastAsia="Arial" w:hAnsi="Arial"/>
          <w:sz w:val="22"/>
          <w:szCs w:val="22"/>
          <w:color w:val="auto"/>
        </w:rPr>
        <w:t>. Notwithstanding anything herein to the contrary, if at any time the interest rate applicable to any Loan or participation in any payment or disbursement made by an Issuing Bank pursuant to a Documentary Credit, together with all Charges, shall exceed the maximum lawful rate (the “Maximum Rate”) which may be contracted for, charged, taken, received or reserved by the Lender holding such Loan or participation in accordance with applicable law, the rate of interest payable in respect of such Loan or participation hereunder, together with all Charges payable in respect thereof, shall be limited to the Maximum Rate and, to the extent lawful, the interest and Charges that would have been payable in respect of such Loan or</w:t>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38" w:lineRule="auto"/>
        <w:rPr>
          <w:sz w:val="20"/>
          <w:szCs w:val="20"/>
          <w:color w:val="auto"/>
        </w:rPr>
      </w:pPr>
      <w:r>
        <w:rPr>
          <w:rFonts w:ascii="Arial" w:cs="Arial" w:eastAsia="Arial" w:hAnsi="Arial"/>
          <w:sz w:val="22"/>
          <w:szCs w:val="22"/>
          <w:color w:val="auto"/>
        </w:rPr>
        <w:t>participation but were not payable as a result of the operation of this Section 9.20 shall be cumulated and the interest and Charges payable to such Lender in respect of other Loans or participations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9.21.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In connection with the termination of the Existing Credit Agreement, the Borrower’s repayment of outstanding eurodollar loans under the Existing Credit Agreement is on a day that is not the last day of an Interest Period (as defined in the Existing Credit Agreement). Each Lender that is a party to the Existing Credit Agreement hereby waives its rights to indemnification and payment under clause (c) of the first sentence of Section 2.20 of the Existing Credit Agreement.</w:t>
      </w:r>
    </w:p>
    <w:p>
      <w:pPr>
        <w:sectPr>
          <w:pgSz w:w="11900" w:h="16838" w:orient="portrait"/>
          <w:cols w:equalWidth="0" w:num="1">
            <w:col w:w="11240"/>
          </w:cols>
          <w:pgMar w:left="320" w:top="1413" w:right="339" w:bottom="1440" w:gutter="0" w:footer="0" w:header="0"/>
        </w:sectPr>
      </w:pPr>
    </w:p>
    <w:bookmarkStart w:id="190" w:name="page191"/>
    <w:bookmarkEnd w:id="190"/>
    <w:p>
      <w:pPr>
        <w:spacing w:after="0" w:line="251" w:lineRule="auto"/>
        <w:rPr>
          <w:sz w:val="20"/>
          <w:szCs w:val="20"/>
          <w:color w:val="auto"/>
        </w:rPr>
      </w:pPr>
      <w:r>
        <w:rPr>
          <w:rFonts w:ascii="Arial" w:cs="Arial" w:eastAsia="Arial" w:hAnsi="Arial"/>
          <w:sz w:val="22"/>
          <w:szCs w:val="22"/>
          <w:color w:val="auto"/>
        </w:rPr>
        <w:t>IN WITNESS HEREOF, the parties hereto have caused this Agreement to be duly executed as of the day and the year first written.</w:t>
      </w:r>
    </w:p>
    <w:p>
      <w:pPr>
        <w:spacing w:after="0" w:line="163"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BORROWER:</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ind w:left="3740"/>
        <w:spacing w:after="0" w:line="223" w:lineRule="auto"/>
        <w:rPr>
          <w:sz w:val="20"/>
          <w:szCs w:val="20"/>
          <w:color w:val="auto"/>
        </w:rPr>
      </w:pPr>
      <w:r>
        <w:rPr>
          <w:rFonts w:ascii="Arial" w:cs="Arial" w:eastAsia="Arial" w:hAnsi="Arial"/>
          <w:sz w:val="22"/>
          <w:szCs w:val="22"/>
          <w:color w:val="auto"/>
        </w:rPr>
        <w:t>Name:</w:t>
      </w:r>
    </w:p>
    <w:p>
      <w:pPr>
        <w:ind w:left="37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Micron Technology, Inc. Credit Agreement]</w:t>
      </w:r>
    </w:p>
    <w:p>
      <w:pPr>
        <w:sectPr>
          <w:pgSz w:w="11900" w:h="16838" w:orient="portrait"/>
          <w:cols w:equalWidth="0" w:num="1">
            <w:col w:w="11240"/>
          </w:cols>
          <w:pgMar w:left="320" w:top="1413" w:right="339" w:bottom="1440" w:gutter="0" w:footer="0" w:header="0"/>
        </w:sectPr>
      </w:pPr>
    </w:p>
    <w:bookmarkStart w:id="191" w:name="page192"/>
    <w:bookmarkEnd w:id="191"/>
    <w:p>
      <w:pPr>
        <w:ind w:left="2120" w:right="2259"/>
        <w:spacing w:after="0" w:line="301" w:lineRule="auto"/>
        <w:rPr>
          <w:sz w:val="20"/>
          <w:szCs w:val="20"/>
          <w:color w:val="auto"/>
        </w:rPr>
      </w:pPr>
      <w:r>
        <w:rPr>
          <w:rFonts w:ascii="Arial" w:cs="Arial" w:eastAsia="Arial" w:hAnsi="Arial"/>
          <w:sz w:val="21"/>
          <w:szCs w:val="21"/>
          <w:b w:val="1"/>
          <w:bCs w:val="1"/>
          <w:color w:val="auto"/>
        </w:rPr>
        <w:t>HSBC BANK USA, NATIONAL ASSOCIATION, as Administrative Agent and a Lender</w:t>
      </w:r>
    </w:p>
    <w:p>
      <w:pPr>
        <w:spacing w:after="0" w:line="200" w:lineRule="exact"/>
        <w:rPr>
          <w:sz w:val="20"/>
          <w:szCs w:val="20"/>
          <w:color w:val="auto"/>
        </w:rPr>
      </w:pPr>
    </w:p>
    <w:p>
      <w:pPr>
        <w:spacing w:after="0" w:line="33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w:t>
      </w:r>
    </w:p>
    <w:p>
      <w:pPr>
        <w:ind w:left="2620"/>
        <w:spacing w:after="0" w:line="236" w:lineRule="auto"/>
        <w:rPr>
          <w:sz w:val="20"/>
          <w:szCs w:val="20"/>
          <w:color w:val="auto"/>
        </w:rPr>
      </w:pPr>
      <w:r>
        <w:rPr>
          <w:rFonts w:ascii="Arial" w:cs="Arial" w:eastAsia="Arial" w:hAnsi="Arial"/>
          <w:sz w:val="22"/>
          <w:szCs w:val="22"/>
          <w:color w:val="auto"/>
        </w:rPr>
        <w:t>Name:</w:t>
      </w:r>
    </w:p>
    <w:p>
      <w:pPr>
        <w:ind w:left="2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Micron Technology, Inc. Credit Agreement]</w:t>
      </w:r>
    </w:p>
    <w:p>
      <w:pPr>
        <w:sectPr>
          <w:pgSz w:w="11900" w:h="16838" w:orient="portrait"/>
          <w:cols w:equalWidth="0" w:num="1">
            <w:col w:w="9019"/>
          </w:cols>
          <w:pgMar w:left="1440" w:top="1403" w:right="1440" w:bottom="1440" w:gutter="0" w:footer="0" w:header="0"/>
        </w:sectPr>
      </w:pPr>
    </w:p>
    <w:bookmarkStart w:id="192" w:name="page193"/>
    <w:bookmarkEnd w:id="192"/>
    <w:p>
      <w:pPr>
        <w:ind w:left="26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ind w:left="3100"/>
        <w:spacing w:after="0" w:line="236" w:lineRule="auto"/>
        <w:rPr>
          <w:sz w:val="20"/>
          <w:szCs w:val="20"/>
          <w:color w:val="auto"/>
        </w:rPr>
      </w:pPr>
      <w:r>
        <w:rPr>
          <w:rFonts w:ascii="Arial" w:cs="Arial" w:eastAsia="Arial" w:hAnsi="Arial"/>
          <w:sz w:val="22"/>
          <w:szCs w:val="22"/>
          <w:color w:val="auto"/>
        </w:rPr>
        <w:t>Name:</w:t>
      </w: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Micron Technology, Inc. Credit Agreement]</w:t>
      </w:r>
    </w:p>
    <w:p>
      <w:pPr>
        <w:sectPr>
          <w:pgSz w:w="11900" w:h="16838" w:orient="portrait"/>
          <w:cols w:equalWidth="0" w:num="1">
            <w:col w:w="9019"/>
          </w:cols>
          <w:pgMar w:left="1440" w:top="1403" w:right="1440" w:bottom="1440" w:gutter="0" w:footer="0" w:header="0"/>
        </w:sectPr>
      </w:pPr>
    </w:p>
    <w:bookmarkStart w:id="193" w:name="page194"/>
    <w:bookmarkEnd w:id="193"/>
    <w:p>
      <w:pPr>
        <w:spacing w:after="0"/>
        <w:rPr>
          <w:sz w:val="20"/>
          <w:szCs w:val="20"/>
          <w:color w:val="auto"/>
        </w:rPr>
      </w:pPr>
      <w:r>
        <w:rPr>
          <w:rFonts w:ascii="Arial" w:cs="Arial" w:eastAsia="Arial" w:hAnsi="Arial"/>
          <w:sz w:val="21"/>
          <w:szCs w:val="21"/>
          <w:b w:val="1"/>
          <w:bCs w:val="1"/>
          <w:color w:val="auto"/>
        </w:rPr>
        <w:t>SCHEDULE 1.3- Sustainability Performance Thresholds</w:t>
      </w:r>
    </w:p>
    <w:p>
      <w:pPr>
        <w:sectPr>
          <w:pgSz w:w="11900" w:h="16838" w:orient="portrait"/>
          <w:cols w:equalWidth="0" w:num="1">
            <w:col w:w="9479"/>
          </w:cols>
          <w:pgMar w:left="980" w:top="1403" w:right="1440" w:bottom="1440" w:gutter="0" w:footer="0" w:header="0"/>
        </w:sectPr>
      </w:pPr>
    </w:p>
    <w:p>
      <w:pPr>
        <w:spacing w:after="0" w:line="255" w:lineRule="exact"/>
        <w:rPr>
          <w:sz w:val="20"/>
          <w:szCs w:val="20"/>
          <w:color w:val="auto"/>
        </w:rPr>
      </w:pPr>
    </w:p>
    <w:p>
      <w:pPr>
        <w:jc w:val="center"/>
        <w:ind w:right="-440"/>
        <w:spacing w:after="0"/>
        <w:rPr>
          <w:sz w:val="20"/>
          <w:szCs w:val="20"/>
          <w:color w:val="auto"/>
        </w:rPr>
      </w:pPr>
      <w:r>
        <w:rPr>
          <w:rFonts w:ascii="Arial" w:cs="Arial" w:eastAsia="Arial" w:hAnsi="Arial"/>
          <w:sz w:val="21"/>
          <w:szCs w:val="21"/>
          <w:color w:val="auto"/>
        </w:rPr>
        <w:t>[Omitted]</w:t>
      </w:r>
    </w:p>
    <w:p>
      <w:pPr>
        <w:sectPr>
          <w:pgSz w:w="11900" w:h="16838" w:orient="portrait"/>
          <w:cols w:equalWidth="0" w:num="1">
            <w:col w:w="9479"/>
          </w:cols>
          <w:pgMar w:left="980" w:top="1403" w:right="1440" w:bottom="1440" w:gutter="0" w:footer="0" w:header="0"/>
          <w:type w:val="continuous"/>
        </w:sectPr>
      </w:pPr>
    </w:p>
    <w:bookmarkStart w:id="194" w:name="page195"/>
    <w:bookmarkEnd w:id="194"/>
    <w:p>
      <w:pPr>
        <w:jc w:val="center"/>
        <w:ind w:right="19"/>
        <w:spacing w:after="0"/>
        <w:rPr>
          <w:sz w:val="20"/>
          <w:szCs w:val="20"/>
          <w:color w:val="auto"/>
        </w:rPr>
      </w:pPr>
      <w:r>
        <w:rPr>
          <w:rFonts w:ascii="Arial" w:cs="Arial" w:eastAsia="Arial" w:hAnsi="Arial"/>
          <w:sz w:val="21"/>
          <w:szCs w:val="21"/>
          <w:color w:val="auto"/>
        </w:rPr>
        <w:t>EXHIBIT B</w:t>
      </w:r>
    </w:p>
    <w:p>
      <w:pPr>
        <w:sectPr>
          <w:pgSz w:w="11900" w:h="16838" w:orient="portrait"/>
          <w:cols w:equalWidth="0" w:num="1">
            <w:col w:w="9019"/>
          </w:cols>
          <w:pgMar w:left="1440" w:top="1413"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[Omitted]</w:t>
      </w:r>
    </w:p>
    <w:p>
      <w:pPr>
        <w:sectPr>
          <w:pgSz w:w="11900" w:h="16838" w:orient="portrait"/>
          <w:cols w:equalWidth="0" w:num="1">
            <w:col w:w="9019"/>
          </w:cols>
          <w:pgMar w:left="1440" w:top="1413" w:right="1440" w:bottom="1440" w:gutter="0" w:footer="0" w:header="0"/>
          <w:type w:val="continuous"/>
        </w:sectPr>
      </w:pPr>
    </w:p>
    <w:bookmarkStart w:id="195" w:name="page196"/>
    <w:bookmarkEnd w:id="195"/>
    <w:p>
      <w:pPr>
        <w:jc w:val="center"/>
        <w:spacing w:after="0"/>
        <w:rPr>
          <w:sz w:val="20"/>
          <w:szCs w:val="20"/>
          <w:color w:val="auto"/>
        </w:rPr>
      </w:pPr>
      <w:r>
        <w:rPr>
          <w:rFonts w:ascii="Arial" w:cs="Arial" w:eastAsia="Arial" w:hAnsi="Arial"/>
          <w:sz w:val="21"/>
          <w:szCs w:val="21"/>
          <w:color w:val="auto"/>
        </w:rPr>
        <w:t>EXHIBIT C</w:t>
      </w:r>
    </w:p>
    <w:p>
      <w:pPr>
        <w:sectPr>
          <w:pgSz w:w="11900" w:h="16838" w:orient="portrait"/>
          <w:cols w:equalWidth="0" w:num="1">
            <w:col w:w="9019"/>
          </w:cols>
          <w:pgMar w:left="1440" w:top="1413"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[Omitted]</w:t>
      </w:r>
    </w:p>
    <w:p>
      <w:pPr>
        <w:sectPr>
          <w:pgSz w:w="11900" w:h="16838" w:orient="portrait"/>
          <w:cols w:equalWidth="0" w:num="1">
            <w:col w:w="9019"/>
          </w:cols>
          <w:pgMar w:left="1440" w:top="1413" w:right="1440" w:bottom="1440" w:gutter="0" w:footer="0" w:header="0"/>
          <w:type w:val="continuous"/>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10.2</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NO. 2 TO TERM LOAN CREDIT AGREEMENT</w:t>
      </w:r>
    </w:p>
    <w:p>
      <w:pPr>
        <w:spacing w:after="0" w:line="2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AMENDMENT NO. 2 TO TERM LOAN CREDIT AGREEMENT, dated as of June 7, 2023 (this “</w:t>
      </w:r>
      <w:r>
        <w:rPr>
          <w:rFonts w:ascii="Arial" w:cs="Arial" w:eastAsia="Arial" w:hAnsi="Arial"/>
          <w:sz w:val="21"/>
          <w:szCs w:val="21"/>
          <w:u w:val="single" w:color="auto"/>
          <w:color w:val="auto"/>
        </w:rPr>
        <w:t>Amendment</w:t>
      </w:r>
      <w:r>
        <w:rPr>
          <w:rFonts w:ascii="Arial" w:cs="Arial" w:eastAsia="Arial" w:hAnsi="Arial"/>
          <w:sz w:val="21"/>
          <w:szCs w:val="21"/>
          <w:color w:val="auto"/>
        </w:rPr>
        <w:t>”) by Wells Fargo Bank, National Association, as administrative agent under the Existing Term Loan Credit Agreement (as defined below) (in such capacity and including any successors in such 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20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WHEREAS, reference is hereby made to the Term Loan Credit Agreement, dated as of May 14, 2021 (as amended by Amendment No. 1 to Term Loan Credit Agreement, dated as of March 27, 2023 and as further amended, restated, amended and restated, supplemented or otherwise modified from time to time prior to the date hereof, the “</w:t>
      </w:r>
      <w:r>
        <w:rPr>
          <w:rFonts w:ascii="Arial" w:cs="Arial" w:eastAsia="Arial" w:hAnsi="Arial"/>
          <w:sz w:val="22"/>
          <w:szCs w:val="22"/>
          <w:u w:val="single" w:color="auto"/>
          <w:color w:val="auto"/>
        </w:rPr>
        <w:t>Existing Term Loan Credit Agreement</w:t>
      </w:r>
      <w:r>
        <w:rPr>
          <w:rFonts w:ascii="Arial" w:cs="Arial" w:eastAsia="Arial" w:hAnsi="Arial"/>
          <w:sz w:val="22"/>
          <w:szCs w:val="22"/>
          <w:color w:val="auto"/>
        </w:rPr>
        <w:t>” and as further amended by this Amendment, the “</w:t>
      </w:r>
      <w:r>
        <w:rPr>
          <w:rFonts w:ascii="Arial" w:cs="Arial" w:eastAsia="Arial" w:hAnsi="Arial"/>
          <w:sz w:val="22"/>
          <w:szCs w:val="22"/>
          <w:u w:val="single" w:color="auto"/>
          <w:color w:val="auto"/>
        </w:rPr>
        <w:t>Amended Term</w:t>
      </w:r>
      <w:r>
        <w:rPr>
          <w:rFonts w:ascii="Arial" w:cs="Arial" w:eastAsia="Arial" w:hAnsi="Arial"/>
          <w:sz w:val="22"/>
          <w:szCs w:val="22"/>
          <w:color w:val="auto"/>
        </w:rPr>
        <w:t xml:space="preserve"> </w:t>
      </w:r>
      <w:r>
        <w:rPr>
          <w:rFonts w:ascii="Arial" w:cs="Arial" w:eastAsia="Arial" w:hAnsi="Arial"/>
          <w:sz w:val="22"/>
          <w:szCs w:val="22"/>
          <w:u w:val="single" w:color="auto"/>
          <w:color w:val="auto"/>
        </w:rPr>
        <w:t>Loan Credit Agreement</w:t>
      </w:r>
      <w:r>
        <w:rPr>
          <w:rFonts w:ascii="Arial" w:cs="Arial" w:eastAsia="Arial" w:hAnsi="Arial"/>
          <w:sz w:val="22"/>
          <w:szCs w:val="22"/>
          <w:color w:val="auto"/>
        </w:rPr>
        <w:t>”), among Micron Technology, Inc. (the “Borrower”), the Administrative Agent, the other agents party thereto and each of the financial institutions from time to time party thereto;</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certain loans or other extensions of credit under the Existing Term Loan Credit Agreement bear or are permitted to bear interest, or incur or are permitted to incur fees, commissions or other amounts, based on the London Interbank Offered Rate as administered by the ICE Benchmark Administration (“</w:t>
      </w:r>
      <w:r>
        <w:rPr>
          <w:rFonts w:ascii="Arial" w:cs="Arial" w:eastAsia="Arial" w:hAnsi="Arial"/>
          <w:sz w:val="22"/>
          <w:szCs w:val="22"/>
          <w:u w:val="single" w:color="auto"/>
          <w:color w:val="auto"/>
        </w:rPr>
        <w:t>LIBOR</w:t>
      </w:r>
      <w:r>
        <w:rPr>
          <w:rFonts w:ascii="Arial" w:cs="Arial" w:eastAsia="Arial" w:hAnsi="Arial"/>
          <w:sz w:val="22"/>
          <w:szCs w:val="22"/>
          <w:color w:val="auto"/>
        </w:rPr>
        <w:t>”) in accordance with the terms of the Existing Term Loan Credit Agreement;</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a Benchmark Transition Event (as defined in the Existing Term Loan Credit Agreement) has occurred with respect to LIBOR and LIBOR will be replaced with an alternative benchmark rate for purposes of the Existing Term Loan Credit Agreement on the Benchmark Replacement Date (as defined in the Existing Term Loan Credit Agreement) in accordance with the benchmark replacement provisions set forth in the Existing Term Loan Credit Agreement, and pursuant thereto the Administrative Agent is exercising its right to make certain Benchmark Replacement Conforming Changes (as defined in the Existing Term Loan Credit Agreement) in connection with the implementation of the applicable benchmark replacement as set forth herein, without any further action or consent of any other party; and</w:t>
      </w:r>
    </w:p>
    <w:p>
      <w:pPr>
        <w:spacing w:after="0" w:line="19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WHEREAS, the amendments and modifications set forth in this Amendment constitute Benchmark Replacement Conforming Changes (as defined in the Existing Term Loan Credit Agreement) for purposes of the Existing Term Loan Credit Agreement;</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NOW, THEREFORE, in consideration of the foregoing premises and other good and valuable consideration, the receipt and sufficiency of which are hereby acknowledged, the following shall be effective:</w:t>
      </w:r>
    </w:p>
    <w:p>
      <w:pPr>
        <w:sectPr>
          <w:pgSz w:w="11900" w:h="16838" w:orient="portrait"/>
          <w:cols w:equalWidth="0" w:num="1">
            <w:col w:w="11240"/>
          </w:cols>
          <w:pgMar w:left="320" w:top="1408" w:right="339" w:bottom="1440" w:gutter="0" w:footer="0" w:header="0"/>
        </w:sectPr>
      </w:pPr>
    </w:p>
    <w:bookmarkStart w:id="197" w:name="page198"/>
    <w:bookmarkEnd w:id="197"/>
    <w:p>
      <w:pPr>
        <w:spacing w:after="0"/>
        <w:tabs>
          <w:tab w:leader="none" w:pos="1320" w:val="left"/>
        </w:tabs>
        <w:rPr>
          <w:sz w:val="20"/>
          <w:szCs w:val="20"/>
          <w:color w:val="auto"/>
        </w:rPr>
      </w:pPr>
      <w:r>
        <w:rPr>
          <w:rFonts w:ascii="Arial" w:cs="Arial" w:eastAsia="Arial" w:hAnsi="Arial"/>
          <w:sz w:val="22"/>
          <w:szCs w:val="22"/>
          <w:b w:val="1"/>
          <w:bCs w:val="1"/>
          <w:color w:val="auto"/>
        </w:rPr>
        <w:t>Article I.</w:t>
      </w:r>
      <w:r>
        <w:rPr>
          <w:sz w:val="20"/>
          <w:szCs w:val="20"/>
          <w:color w:val="auto"/>
        </w:rPr>
        <w:tab/>
      </w:r>
      <w:r>
        <w:rPr>
          <w:rFonts w:ascii="Arial" w:cs="Arial" w:eastAsia="Arial" w:hAnsi="Arial"/>
          <w:sz w:val="21"/>
          <w:szCs w:val="21"/>
          <w:b w:val="1"/>
          <w:bCs w:val="1"/>
          <w:u w:val="single" w:color="auto"/>
          <w:color w:val="auto"/>
        </w:rPr>
        <w:t>Amendment</w:t>
      </w:r>
      <w:r>
        <w:rPr>
          <w:rFonts w:ascii="Arial" w:cs="Arial" w:eastAsia="Arial" w:hAnsi="Arial"/>
          <w:sz w:val="21"/>
          <w:szCs w:val="21"/>
          <w:color w:val="auto"/>
        </w:rPr>
        <w:t>.</w:t>
      </w: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 xml:space="preserve">Section 1.01 Notwithstanding anything to the contrary contained in the Existing Term Loan Credit Agreement or in any other Loan Document, the Existing Term Loan Credit Agreement is hereby amended and modified to give effect to the provisions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on and as of July 1, 2023 (the “</w:t>
      </w:r>
      <w:r>
        <w:rPr>
          <w:rFonts w:ascii="Arial" w:cs="Arial" w:eastAsia="Arial" w:hAnsi="Arial"/>
          <w:sz w:val="22"/>
          <w:szCs w:val="22"/>
          <w:b w:val="1"/>
          <w:bCs w:val="1"/>
          <w:u w:val="single" w:color="auto"/>
          <w:color w:val="auto"/>
        </w:rPr>
        <w:t>Amendment No. 2 Effective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 Exhibit B to the Existing Term Loan Credit Agreement is hereby deleted in its entirety and replaced with Exhibit B attached as Exhibit B.</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Exhibit F</w:t>
      </w:r>
      <w:r>
        <w:rPr>
          <w:rFonts w:ascii="Arial" w:cs="Arial" w:eastAsia="Arial" w:hAnsi="Arial"/>
          <w:sz w:val="22"/>
          <w:szCs w:val="22"/>
          <w:color w:val="auto"/>
        </w:rPr>
        <w:t>. Exhibit F to the Existing Term Loan Credit Agreement is hereby deleted in its entirety and replaced with Exhibit F attached as Exhibit C.</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Article II. </w:t>
      </w: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To the extent that the Administrative Agent is required (pursuant to any Loan Document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to provide notice to the Borrower, any Lender or any other party party to the Existing Term Loan Credit Agreement of (i) a Benchmark Transition Event (as defined in the Existing Term Loan Credit Agreement) with respect to LIBOR, (ii) a Benchmark Replacement Date (as defined in the Existing Term Loan Credit Agreement), (iii) the implementation of Term SOFR as a Benchmark Replacement (as defined in the Existing Term Loan Credit Agreement) or (iv) any Benchmark Replacement Conforming Changes (as defined in the Existing Term Loan Credit Agreement) in connection with the adoption and implementation of Term SOFR or the use and administration thereof, this Amendment shall constitute such notice.</w:t>
      </w:r>
    </w:p>
    <w:p>
      <w:pPr>
        <w:spacing w:after="0" w:line="165"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b w:val="1"/>
          <w:bCs w:val="1"/>
          <w:color w:val="auto"/>
        </w:rPr>
        <w:t>Article III.</w:t>
      </w:r>
      <w:r>
        <w:rPr>
          <w:sz w:val="20"/>
          <w:szCs w:val="20"/>
          <w:color w:val="auto"/>
        </w:rPr>
        <w:tab/>
      </w: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Survival</w:t>
      </w:r>
      <w:r>
        <w:rPr>
          <w:rFonts w:ascii="Arial" w:cs="Arial" w:eastAsia="Arial" w:hAnsi="Arial"/>
          <w:sz w:val="22"/>
          <w:szCs w:val="22"/>
          <w:color w:val="auto"/>
        </w:rPr>
        <w:t>. Except as expressly provided in this Amendment, all of the terms, provisions, covenants, agreements, representations and warranties and conditions of the Existing Term Loan Credit Agreement and the other Loan Documents shall be and remain in full force and effect as written, unmodified hereby. In the event of any conflict between the terms, provisions, covenants, representations and warranties and conditions of this Amendment, on the one hand, and the Existing Term Loan Credit Agreement or any other applicable Loan Document, on the other hand, this Amendment shall control.</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Amendment that is invalid, illegal or unenforceable in any jurisdiction shall, solely as to that jurisdiction, be ineffective solely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claims, controversy, dispute or cause of action (whether in contract or tort or otherwise) based upon, arising out of or relating to this Amendment and the transactions contemplated hereby shall be governed</w:t>
      </w:r>
    </w:p>
    <w:p>
      <w:pPr>
        <w:sectPr>
          <w:pgSz w:w="11900" w:h="16838" w:orient="portrait"/>
          <w:cols w:equalWidth="0" w:num="1">
            <w:col w:w="11240"/>
          </w:cols>
          <w:pgMar w:left="320" w:top="1403" w:right="339" w:bottom="1440" w:gutter="0" w:footer="0" w:header="0"/>
        </w:sectPr>
      </w:pPr>
    </w:p>
    <w:bookmarkStart w:id="198" w:name="page199"/>
    <w:bookmarkEnd w:id="198"/>
    <w:p>
      <w:pPr>
        <w:jc w:val="both"/>
        <w:ind w:right="20"/>
        <w:spacing w:after="0" w:line="251" w:lineRule="auto"/>
        <w:rPr>
          <w:sz w:val="20"/>
          <w:szCs w:val="20"/>
          <w:color w:val="auto"/>
        </w:rPr>
      </w:pPr>
      <w:r>
        <w:rPr>
          <w:rFonts w:ascii="Arial" w:cs="Arial" w:eastAsia="Arial" w:hAnsi="Arial"/>
          <w:sz w:val="22"/>
          <w:szCs w:val="22"/>
          <w:color w:val="auto"/>
        </w:rPr>
        <w:t>by, and construed in accordance with, the laws of the jurisdiction that governs the Existing Term Loan Credit Agreement in accordance with the terms thereof.</w:t>
      </w:r>
    </w:p>
    <w:p>
      <w:pPr>
        <w:spacing w:after="0" w:line="173"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Submission To Jurisdiction; Waivers</w:t>
      </w:r>
      <w:r>
        <w:rPr>
          <w:rFonts w:ascii="Arial" w:cs="Arial" w:eastAsia="Arial" w:hAnsi="Arial"/>
          <w:sz w:val="22"/>
          <w:szCs w:val="22"/>
          <w:color w:val="auto"/>
        </w:rPr>
        <w:t xml:space="preserve"> . Reference is hereby made to </w:t>
      </w:r>
      <w:r>
        <w:rPr>
          <w:rFonts w:ascii="Arial" w:cs="Arial" w:eastAsia="Arial" w:hAnsi="Arial"/>
          <w:sz w:val="22"/>
          <w:szCs w:val="22"/>
          <w:u w:val="single" w:color="auto"/>
          <w:color w:val="auto"/>
        </w:rPr>
        <w:t>Section 9.12</w:t>
      </w:r>
      <w:r>
        <w:rPr>
          <w:rFonts w:ascii="Arial" w:cs="Arial" w:eastAsia="Arial" w:hAnsi="Arial"/>
          <w:sz w:val="22"/>
          <w:szCs w:val="22"/>
          <w:color w:val="auto"/>
        </w:rPr>
        <w:t xml:space="preserve"> of the Amended Term Loan Credit Agreement, the provisions of which are hereby incorporated by reference in this Amendment as if fully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-186055</wp:posOffset>
            </wp:positionV>
            <wp:extent cx="387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8735" cy="8255"/>
                    </a:xfrm>
                    <a:prstGeom prst="rect">
                      <a:avLst/>
                    </a:prstGeom>
                    <a:noFill/>
                  </pic:spPr>
                </pic:pic>
              </a:graphicData>
            </a:graphic>
          </wp:anchor>
        </w:drawing>
      </w:r>
    </w:p>
    <w:p>
      <w:pPr>
        <w:spacing w:after="0" w:line="16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Entire Agreement; Capitalized Terms</w:t>
      </w:r>
      <w:r>
        <w:rPr>
          <w:rFonts w:ascii="Arial" w:cs="Arial" w:eastAsia="Arial" w:hAnsi="Arial"/>
          <w:sz w:val="22"/>
          <w:szCs w:val="22"/>
          <w:color w:val="auto"/>
        </w:rPr>
        <w:t xml:space="preserve">. This Amendment and the Existing Term Loan Credit Agreement (as amended hereby) constitute the entire agreement among the parties to the Existing Term Loan Credit Agreement with respect to the subject matter hereof and supersede all other prior agreements and understandings, both written and verbal, among such parties or any of them with respect to the subject matter hereof. Any exhibits or annexes attached hereto (including, without limitation,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are hereby incorporated herein by reference and made a part hereof. Capitalized terms used and not defined herein shall have the meanings assigned to such terms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184"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Binding Effect, Beneficiaries</w:t>
      </w:r>
      <w:r>
        <w:rPr>
          <w:rFonts w:ascii="Arial" w:cs="Arial" w:eastAsia="Arial" w:hAnsi="Arial"/>
          <w:sz w:val="22"/>
          <w:szCs w:val="22"/>
          <w:color w:val="auto"/>
        </w:rPr>
        <w:t>. This Amendment shall be binding upon and inure to the benefit of the parties to the Existing Term Loan Credit Agreement and each other applicable Loan Document and their respective heirs, executors, administrators, successors, legal representatives and assigns, and no other party shall derive any rights or benefits herefrom.</w:t>
      </w:r>
    </w:p>
    <w:p>
      <w:pPr>
        <w:spacing w:after="0" w:line="185"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Construction</w:t>
      </w:r>
      <w:r>
        <w:rPr>
          <w:rFonts w:ascii="Arial" w:cs="Arial" w:eastAsia="Arial" w:hAnsi="Arial"/>
          <w:sz w:val="22"/>
          <w:szCs w:val="22"/>
          <w:color w:val="auto"/>
        </w:rPr>
        <w:t>. This Amendment shall be construed without regard to any presumption or other rule requiring construction against the party drafting this Amendment.</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relating to this Amendment shall be delivered in the manner and subject to the provisions set forth in the Existing Term Loan Credit Agreement.</w:t>
      </w:r>
    </w:p>
    <w:p>
      <w:pPr>
        <w:spacing w:after="0" w:line="173"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Electronic Execution</w:t>
      </w:r>
      <w:r>
        <w:rPr>
          <w:rFonts w:ascii="Arial" w:cs="Arial" w:eastAsia="Arial" w:hAnsi="Arial"/>
          <w:sz w:val="22"/>
          <w:szCs w:val="22"/>
          <w:color w:val="auto"/>
        </w:rPr>
        <w:t>. Delivery of an executed counterpart of a signature page of this Amendment by facsimile or in electronic (e.g.,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Headings</w:t>
      </w:r>
      <w:r>
        <w:rPr>
          <w:rFonts w:ascii="Arial" w:cs="Arial" w:eastAsia="Arial" w:hAnsi="Arial"/>
          <w:sz w:val="22"/>
          <w:szCs w:val="22"/>
          <w:color w:val="auto"/>
        </w:rPr>
        <w:t>. Article and Section headings used herein are for convenience of reference only, are not part of this Amendment and shall not affect the construction of, or be taken into consideration in interpreting, this Amendment.</w:t>
      </w:r>
    </w:p>
    <w:p>
      <w:pPr>
        <w:spacing w:after="0" w:line="183"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Reference to and Effect on the Existing Term Loan Credit Agreement</w:t>
      </w:r>
      <w:r>
        <w:rPr>
          <w:rFonts w:ascii="Arial" w:cs="Arial" w:eastAsia="Arial" w:hAnsi="Arial"/>
          <w:sz w:val="22"/>
          <w:szCs w:val="22"/>
          <w:color w:val="auto"/>
        </w:rPr>
        <w:t xml:space="preserve"> . On and after the Amendment No. 2 Effective Date, each reference in the Existing Term Loan Credit Agreement and the use therein of “hereunder”, “herein” or words of like</w:t>
      </w:r>
    </w:p>
    <w:p>
      <w:pPr>
        <w:sectPr>
          <w:pgSz w:w="11900" w:h="16838" w:orient="portrait"/>
          <w:cols w:equalWidth="0" w:num="1">
            <w:col w:w="11260"/>
          </w:cols>
          <w:pgMar w:left="320" w:top="1413" w:right="319" w:bottom="1440" w:gutter="0" w:footer="0" w:header="0"/>
        </w:sectPr>
      </w:pPr>
    </w:p>
    <w:bookmarkStart w:id="199" w:name="page200"/>
    <w:bookmarkEnd w:id="199"/>
    <w:p>
      <w:pPr>
        <w:jc w:val="both"/>
        <w:spacing w:after="0" w:line="232" w:lineRule="auto"/>
        <w:rPr>
          <w:sz w:val="20"/>
          <w:szCs w:val="20"/>
          <w:color w:val="auto"/>
        </w:rPr>
      </w:pPr>
      <w:r>
        <w:rPr>
          <w:rFonts w:ascii="Arial" w:cs="Arial" w:eastAsia="Arial" w:hAnsi="Arial"/>
          <w:sz w:val="22"/>
          <w:szCs w:val="22"/>
          <w:color w:val="auto"/>
        </w:rPr>
        <w:t>import referring to the Existing Term Loan Credit Agreement, and each reference in the other Loan Documents to “Term Loan Credit Agreement” and the use therein of “thereunder”, “thereof” or words of like import referring to the Existing Term Loan Credit Agreement, shall, in each case, mean and be a reference to the Existing Term Loan Credit Agreement as amended by this Amendment. Except as specifically amended by this Amendment, the Existing Term Loan Credit Agreement and the other Loan Documents shall remain in full force and effect (with the same priority, as applicable) and are hereby ratified and confirmed and this Amendment shall not be considered a novation. The execution, delivery and performance of this Amendment shall not constitute a waiver of any provision of, or operate as a waiver of any right, power or remedy of the Administrative Agent or any Lender or any other party under, the Existing Term Loan Credit Agreement as amended by this Amendment or otherwise. This Amendment shall be deemed to be a Loan Document.</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Transition to Adjusted Term SOFR</w:t>
      </w:r>
      <w:r>
        <w:rPr>
          <w:rFonts w:ascii="Arial" w:cs="Arial" w:eastAsia="Arial" w:hAnsi="Arial"/>
          <w:sz w:val="22"/>
          <w:szCs w:val="22"/>
          <w:color w:val="auto"/>
        </w:rPr>
        <w:t>. Notwithstanding any other provision herein or in the Existing Term Loan Credit Agreement, the interest on any Loans (outstanding as of the Amendment No. 2 Effective Date) will continue to be determined by reference to the LIBOR provisions that apply prior to the Amendment No. 2 Effective Date, until the end of the then current Interest Period (as defined in the Existing Term Loan Credit Agreement as in existence prior to giving effect to this Amendment) on such Loans, and after the Amendment No. 2 Effective Date interest shall be determined after giving effect to this Amendment.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13" w:right="339" w:bottom="1440" w:gutter="0" w:footer="0" w:header="0"/>
        </w:sectPr>
      </w:pPr>
    </w:p>
    <w:bookmarkStart w:id="200" w:name="page201"/>
    <w:bookmarkEnd w:id="200"/>
    <w:p>
      <w:pPr>
        <w:ind w:firstLine="648"/>
        <w:spacing w:after="0" w:line="251" w:lineRule="auto"/>
        <w:rPr>
          <w:sz w:val="20"/>
          <w:szCs w:val="20"/>
          <w:color w:val="auto"/>
        </w:rPr>
      </w:pPr>
      <w:r>
        <w:rPr>
          <w:rFonts w:ascii="Arial" w:cs="Arial" w:eastAsia="Arial" w:hAnsi="Arial"/>
          <w:sz w:val="22"/>
          <w:szCs w:val="22"/>
          <w:color w:val="auto"/>
        </w:rPr>
        <w:t>IN WITNESS WHEREOF, the Administrative Agent has caused this Amendment to be duly executed as of the date first above written.</w:t>
      </w:r>
    </w:p>
    <w:p>
      <w:pPr>
        <w:spacing w:after="0" w:line="20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WELLS FARGO BANK, NATIONAL ASSOCIATION,</w:t>
      </w:r>
    </w:p>
    <w:p>
      <w:pPr>
        <w:spacing w:after="0" w:line="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Sid Khanolkar</w:t>
      </w:r>
    </w:p>
    <w:p>
      <w:pPr>
        <w:ind w:left="3900"/>
        <w:spacing w:after="0" w:line="223" w:lineRule="auto"/>
        <w:rPr>
          <w:sz w:val="20"/>
          <w:szCs w:val="20"/>
          <w:color w:val="auto"/>
        </w:rPr>
      </w:pPr>
      <w:r>
        <w:rPr>
          <w:rFonts w:ascii="Arial" w:cs="Arial" w:eastAsia="Arial" w:hAnsi="Arial"/>
          <w:sz w:val="22"/>
          <w:szCs w:val="22"/>
          <w:color w:val="auto"/>
        </w:rPr>
        <w:t>Name: Sid Khanolkar</w:t>
      </w:r>
    </w:p>
    <w:p>
      <w:pPr>
        <w:ind w:left="39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[Signature Page to Amendment No. 2 to Term Loan Credit Agreement]</w:t>
      </w:r>
    </w:p>
    <w:p>
      <w:pPr>
        <w:sectPr>
          <w:pgSz w:w="11900" w:h="16838" w:orient="portrait"/>
          <w:cols w:equalWidth="0" w:num="1">
            <w:col w:w="11080"/>
          </w:cols>
          <w:pgMar w:left="320" w:top="1413" w:right="49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Amended Term Loan Credit Agreement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ectPr>
          <w:pgSz w:w="11900" w:h="16838" w:orient="portrait"/>
          <w:cols w:equalWidth="0" w:num="1">
            <w:col w:w="9019"/>
          </w:cols>
          <w:pgMar w:left="1440" w:top="1413" w:right="1440" w:bottom="1440" w:gutter="0" w:footer="0" w:header="0"/>
        </w:sectPr>
      </w:pPr>
    </w:p>
    <w:bookmarkStart w:id="202" w:name="page203"/>
    <w:bookmarkEnd w:id="202"/>
    <w:p>
      <w:pPr>
        <w:jc w:val="right"/>
        <w:ind w:left="2760"/>
        <w:spacing w:after="0" w:line="285" w:lineRule="auto"/>
        <w:rPr>
          <w:sz w:val="20"/>
          <w:szCs w:val="20"/>
          <w:color w:val="auto"/>
        </w:rPr>
      </w:pPr>
      <w:r>
        <w:rPr>
          <w:rFonts w:ascii="Arial" w:cs="Arial" w:eastAsia="Arial" w:hAnsi="Arial"/>
          <w:sz w:val="18"/>
          <w:szCs w:val="18"/>
          <w:b w:val="1"/>
          <w:bCs w:val="1"/>
          <w:color w:val="auto"/>
        </w:rPr>
        <w:t xml:space="preserve">Conformed through Amendment No. 1 to Term Loan Credit Agreement, dated as of March 27, 2023 </w:t>
      </w:r>
      <w:r>
        <w:rPr>
          <w:rFonts w:ascii="Arial" w:cs="Arial" w:eastAsia="Arial" w:hAnsi="Arial"/>
          <w:sz w:val="18"/>
          <w:szCs w:val="18"/>
          <w:b w:val="1"/>
          <w:bCs w:val="1"/>
          <w:u w:val="single" w:color="auto"/>
          <w:color w:val="0000FF"/>
        </w:rPr>
        <w:t>and Amendment No. 2 to Term Loan Credit Agreement, dated as of June 7, 2023</w:t>
      </w:r>
    </w:p>
    <w:p>
      <w:pPr>
        <w:spacing w:after="0" w:line="170"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TERM LOAN CREDIT AGREEMENT</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MICRON TECHNOLOGY, INC.,</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as Borrower</w:t>
      </w:r>
    </w:p>
    <w:p>
      <w:pPr>
        <w:spacing w:after="0" w:line="177"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THE LENDERS PARTY HERETO,</w:t>
      </w:r>
    </w:p>
    <w:p>
      <w:pPr>
        <w:spacing w:after="0" w:line="206"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WELLS FARGO BANK, NATIONAL ASSOCIATION,</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 Administrative Agent</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Dated as of May 14, 2021</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1"/>
          <w:szCs w:val="21"/>
          <w:color w:val="auto"/>
        </w:rPr>
        <w:t xml:space="preserve">as amended by the Amendment No. 1 to Term Loan Credit Agreement, dated as of March 27, 2023 </w:t>
      </w:r>
      <w:r>
        <w:rPr>
          <w:rFonts w:ascii="Arial" w:cs="Arial" w:eastAsia="Arial" w:hAnsi="Arial"/>
          <w:sz w:val="21"/>
          <w:szCs w:val="21"/>
          <w:color w:val="0000FF"/>
        </w:rPr>
        <w:t>and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-10160</wp:posOffset>
            </wp:positionV>
            <wp:extent cx="10369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22"/>
          <w:szCs w:val="22"/>
          <w:u w:val="single" w:color="auto"/>
          <w:color w:val="0000FF"/>
        </w:rPr>
        <w:t>No. 2 to Term Loan Credit Agreement, dated as of June 7, 2023</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OVERSEA-CHINESE BANKING CORPORATION LIMITED, LOS ANGELES AGENCY,</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 Syndication Agent</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TORONTO-DOMINION BANK, NEW YORK BRANCH</w:t>
      </w:r>
    </w:p>
    <w:p>
      <w:pPr>
        <w:jc w:val="center"/>
        <w:ind w:right="80"/>
        <w:spacing w:after="0" w:line="230" w:lineRule="auto"/>
        <w:rPr>
          <w:sz w:val="20"/>
          <w:szCs w:val="20"/>
          <w:color w:val="auto"/>
        </w:rPr>
      </w:pPr>
      <w:r>
        <w:rPr>
          <w:rFonts w:ascii="Arial" w:cs="Arial" w:eastAsia="Arial" w:hAnsi="Arial"/>
          <w:sz w:val="22"/>
          <w:szCs w:val="22"/>
          <w:color w:val="auto"/>
        </w:rPr>
        <w:t>THE BANK OF NOVA SCOTIA,</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as Documentation Agents</w:t>
      </w:r>
    </w:p>
    <w:p>
      <w:pPr>
        <w:spacing w:after="0" w:line="19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WELLS FARGO SECURITIES, LLC</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 Sole Bookrunner</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 Sole Lead Arranger</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CREDIT AGRICOLE CORPORATE AND INVESTMENT BANK</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as Sustainability Structuring Agent</w:t>
      </w:r>
    </w:p>
    <w:p>
      <w:pPr>
        <w:sectPr>
          <w:pgSz w:w="11900" w:h="16838" w:orient="portrait"/>
          <w:cols w:equalWidth="0" w:num="1">
            <w:col w:w="11140"/>
          </w:cols>
          <w:pgMar w:left="420" w:top="1399" w:right="3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760" w:type="dxa"/>
            <w:vAlign w:val="bottom"/>
            <w:gridSpan w:val="4"/>
          </w:tcPr>
          <w:p>
            <w:pPr>
              <w:spacing w:after="0"/>
              <w:rPr>
                <w:sz w:val="20"/>
                <w:szCs w:val="20"/>
                <w:color w:val="auto"/>
              </w:rPr>
            </w:pPr>
            <w:r>
              <w:rPr>
                <w:rFonts w:ascii="Arial" w:cs="Arial" w:eastAsia="Arial" w:hAnsi="Arial"/>
                <w:sz w:val="22"/>
                <w:szCs w:val="22"/>
                <w:color w:val="auto"/>
              </w:rPr>
              <w:t>TABLE OF CONTENTS</w:t>
            </w:r>
          </w:p>
        </w:tc>
      </w:tr>
      <w:tr>
        <w:trPr>
          <w:trHeight w:val="490"/>
        </w:trPr>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80" w:type="dxa"/>
            <w:vAlign w:val="bottom"/>
          </w:tcPr>
          <w:p>
            <w:pPr>
              <w:ind w:left="3980"/>
              <w:spacing w:after="0"/>
              <w:rPr>
                <w:sz w:val="20"/>
                <w:szCs w:val="20"/>
                <w:color w:val="auto"/>
              </w:rPr>
            </w:pPr>
            <w:r>
              <w:rPr>
                <w:rFonts w:ascii="Arial" w:cs="Arial" w:eastAsia="Arial" w:hAnsi="Arial"/>
                <w:sz w:val="22"/>
                <w:szCs w:val="22"/>
                <w:color w:val="auto"/>
                <w:w w:val="93"/>
              </w:rPr>
              <w:t>Page</w:t>
            </w:r>
          </w:p>
        </w:tc>
      </w:tr>
      <w:tr>
        <w:trPr>
          <w:trHeight w:val="427"/>
        </w:trPr>
        <w:tc>
          <w:tcPr>
            <w:tcW w:w="3020" w:type="dxa"/>
            <w:vAlign w:val="bottom"/>
            <w:gridSpan w:val="3"/>
          </w:tcPr>
          <w:p>
            <w:pPr>
              <w:spacing w:after="0"/>
              <w:rPr>
                <w:sz w:val="20"/>
                <w:szCs w:val="20"/>
                <w:color w:val="auto"/>
              </w:rPr>
            </w:pPr>
            <w:r>
              <w:rPr>
                <w:rFonts w:ascii="Arial" w:cs="Arial" w:eastAsia="Arial" w:hAnsi="Arial"/>
                <w:sz w:val="22"/>
                <w:szCs w:val="22"/>
                <w:b w:val="1"/>
                <w:bCs w:val="1"/>
                <w:color w:val="auto"/>
                <w:w w:val="96"/>
              </w:rPr>
              <w:t>Section 1 Definitions...............</w:t>
            </w:r>
          </w:p>
        </w:tc>
        <w:tc>
          <w:tcPr>
            <w:tcW w:w="1460" w:type="dxa"/>
            <w:vAlign w:val="bottom"/>
          </w:tcPr>
          <w:p>
            <w:pPr>
              <w:jc w:val="right"/>
              <w:ind w:right="1212"/>
              <w:spacing w:after="0"/>
              <w:rPr>
                <w:sz w:val="20"/>
                <w:szCs w:val="20"/>
                <w:color w:val="auto"/>
              </w:rPr>
            </w:pPr>
            <w:r>
              <w:rPr>
                <w:rFonts w:ascii="Arial" w:cs="Arial" w:eastAsia="Arial" w:hAnsi="Arial"/>
                <w:sz w:val="22"/>
                <w:szCs w:val="22"/>
                <w:b w:val="1"/>
                <w:bCs w:val="1"/>
                <w:color w:val="auto"/>
                <w:w w:val="97"/>
              </w:rPr>
              <w:t>1</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1.1.</w:t>
            </w:r>
          </w:p>
        </w:tc>
        <w:tc>
          <w:tcPr>
            <w:tcW w:w="198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81"/>
              </w:rPr>
              <w:t>Defined Terms...............</w:t>
            </w:r>
          </w:p>
        </w:tc>
        <w:tc>
          <w:tcPr>
            <w:tcW w:w="1460" w:type="dxa"/>
            <w:vAlign w:val="bottom"/>
          </w:tcPr>
          <w:p>
            <w:pPr>
              <w:jc w:val="right"/>
              <w:ind w:right="892"/>
              <w:spacing w:after="0" w:line="243" w:lineRule="exact"/>
              <w:rPr>
                <w:sz w:val="20"/>
                <w:szCs w:val="20"/>
                <w:color w:val="auto"/>
              </w:rPr>
            </w:pPr>
            <w:r>
              <w:rPr>
                <w:rFonts w:ascii="Arial" w:cs="Arial" w:eastAsia="Arial" w:hAnsi="Arial"/>
                <w:sz w:val="22"/>
                <w:szCs w:val="22"/>
                <w:color w:val="auto"/>
              </w:rPr>
              <w:t>1</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1.2.</w:t>
            </w:r>
          </w:p>
        </w:tc>
        <w:tc>
          <w:tcPr>
            <w:tcW w:w="348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2"/>
              </w:rPr>
              <w:t>Other Definitional Provisions...............</w:t>
            </w:r>
          </w:p>
        </w:tc>
        <w:tc>
          <w:tcPr>
            <w:tcW w:w="1300" w:type="dxa"/>
            <w:vAlign w:val="bottom"/>
          </w:tcPr>
          <w:p>
            <w:pPr>
              <w:jc w:val="right"/>
              <w:ind w:right="772"/>
              <w:spacing w:after="0" w:line="243" w:lineRule="exact"/>
              <w:rPr>
                <w:sz w:val="20"/>
                <w:szCs w:val="20"/>
                <w:color w:val="auto"/>
              </w:rPr>
            </w:pPr>
            <w:r>
              <w:rPr>
                <w:rFonts w:ascii="Arial" w:cs="Arial" w:eastAsia="Arial" w:hAnsi="Arial"/>
                <w:sz w:val="22"/>
                <w:szCs w:val="22"/>
                <w:color w:val="auto"/>
              </w:rPr>
              <w:t>28</w:t>
            </w: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29"/>
        </w:trPr>
        <w:tc>
          <w:tcPr>
            <w:tcW w:w="1040" w:type="dxa"/>
            <w:vAlign w:val="bottom"/>
          </w:tcPr>
          <w:p>
            <w:pPr>
              <w:ind w:left="660"/>
              <w:spacing w:after="0" w:line="229" w:lineRule="exact"/>
              <w:rPr>
                <w:sz w:val="20"/>
                <w:szCs w:val="20"/>
                <w:color w:val="auto"/>
              </w:rPr>
            </w:pPr>
            <w:r>
              <w:rPr>
                <w:rFonts w:ascii="Arial" w:cs="Arial" w:eastAsia="Arial" w:hAnsi="Arial"/>
                <w:sz w:val="22"/>
                <w:szCs w:val="22"/>
                <w:color w:val="auto"/>
                <w:w w:val="97"/>
              </w:rPr>
              <w:t>1.3.</w:t>
            </w:r>
          </w:p>
        </w:tc>
        <w:tc>
          <w:tcPr>
            <w:tcW w:w="1980" w:type="dxa"/>
            <w:vAlign w:val="bottom"/>
            <w:gridSpan w:val="2"/>
          </w:tcPr>
          <w:p>
            <w:pPr>
              <w:ind w:left="40"/>
              <w:spacing w:after="0" w:line="230" w:lineRule="exact"/>
              <w:rPr>
                <w:sz w:val="20"/>
                <w:szCs w:val="20"/>
                <w:color w:val="auto"/>
              </w:rPr>
            </w:pPr>
            <w:r>
              <w:rPr>
                <w:rFonts w:ascii="Arial" w:cs="Arial" w:eastAsia="Arial" w:hAnsi="Arial"/>
                <w:sz w:val="21"/>
                <w:szCs w:val="21"/>
                <w:color w:val="auto"/>
                <w:w w:val="73"/>
              </w:rPr>
              <w:t>Delivery of Notices...............</w:t>
            </w:r>
          </w:p>
        </w:tc>
        <w:tc>
          <w:tcPr>
            <w:tcW w:w="1460" w:type="dxa"/>
            <w:vAlign w:val="bottom"/>
          </w:tcPr>
          <w:p>
            <w:pPr>
              <w:jc w:val="right"/>
              <w:ind w:right="352"/>
              <w:spacing w:after="0" w:line="229" w:lineRule="exact"/>
              <w:rPr>
                <w:sz w:val="20"/>
                <w:szCs w:val="20"/>
                <w:color w:val="auto"/>
              </w:rPr>
            </w:pPr>
            <w:r>
              <w:rPr>
                <w:rFonts w:ascii="Arial" w:cs="Arial" w:eastAsia="Arial" w:hAnsi="Arial"/>
                <w:sz w:val="22"/>
                <w:szCs w:val="22"/>
                <w:color w:val="auto"/>
              </w:rPr>
              <w:t>29</w:t>
            </w: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3"/>
        </w:trPr>
        <w:tc>
          <w:tcPr>
            <w:tcW w:w="1040" w:type="dxa"/>
            <w:vAlign w:val="bottom"/>
          </w:tcPr>
          <w:p>
            <w:pPr>
              <w:ind w:left="660"/>
              <w:spacing w:after="0" w:line="233" w:lineRule="exact"/>
              <w:rPr>
                <w:sz w:val="20"/>
                <w:szCs w:val="20"/>
                <w:color w:val="auto"/>
              </w:rPr>
            </w:pPr>
            <w:r>
              <w:rPr>
                <w:rFonts w:ascii="Arial" w:cs="Arial" w:eastAsia="Arial" w:hAnsi="Arial"/>
                <w:sz w:val="22"/>
                <w:szCs w:val="22"/>
                <w:color w:val="auto"/>
                <w:w w:val="97"/>
              </w:rPr>
              <w:t>1.4.</w:t>
            </w:r>
          </w:p>
        </w:tc>
        <w:tc>
          <w:tcPr>
            <w:tcW w:w="1800" w:type="dxa"/>
            <w:vAlign w:val="bottom"/>
          </w:tcPr>
          <w:p>
            <w:pPr>
              <w:ind w:left="40"/>
              <w:spacing w:after="0" w:line="233" w:lineRule="exact"/>
              <w:rPr>
                <w:sz w:val="20"/>
                <w:szCs w:val="20"/>
                <w:color w:val="auto"/>
              </w:rPr>
            </w:pPr>
            <w:r>
              <w:rPr>
                <w:rFonts w:ascii="Arial" w:cs="Arial" w:eastAsia="Arial" w:hAnsi="Arial"/>
                <w:sz w:val="22"/>
                <w:szCs w:val="22"/>
                <w:color w:val="auto"/>
                <w:w w:val="96"/>
              </w:rPr>
              <w:t>Divisions...............</w:t>
            </w:r>
          </w:p>
        </w:tc>
        <w:tc>
          <w:tcPr>
            <w:tcW w:w="1640" w:type="dxa"/>
            <w:vAlign w:val="bottom"/>
            <w:gridSpan w:val="2"/>
          </w:tcPr>
          <w:p>
            <w:pPr>
              <w:jc w:val="right"/>
              <w:ind w:right="1292"/>
              <w:spacing w:after="0" w:line="233" w:lineRule="exact"/>
              <w:rPr>
                <w:sz w:val="20"/>
                <w:szCs w:val="20"/>
                <w:color w:val="auto"/>
              </w:rPr>
            </w:pPr>
            <w:r>
              <w:rPr>
                <w:rFonts w:ascii="Arial" w:cs="Arial" w:eastAsia="Arial" w:hAnsi="Arial"/>
                <w:sz w:val="22"/>
                <w:szCs w:val="22"/>
                <w:color w:val="auto"/>
                <w:w w:val="89"/>
              </w:rPr>
              <w:t>29</w:t>
            </w: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253"/>
        </w:trPr>
        <w:tc>
          <w:tcPr>
            <w:tcW w:w="3020" w:type="dxa"/>
            <w:vAlign w:val="bottom"/>
            <w:gridSpan w:val="3"/>
          </w:tcPr>
          <w:p>
            <w:pPr>
              <w:spacing w:after="0"/>
              <w:rPr>
                <w:sz w:val="20"/>
                <w:szCs w:val="20"/>
                <w:color w:val="auto"/>
              </w:rPr>
            </w:pPr>
            <w:r>
              <w:rPr>
                <w:rFonts w:ascii="Arial" w:cs="Arial" w:eastAsia="Arial" w:hAnsi="Arial"/>
                <w:sz w:val="22"/>
                <w:szCs w:val="22"/>
                <w:b w:val="1"/>
                <w:bCs w:val="1"/>
                <w:color w:val="auto"/>
                <w:w w:val="94"/>
              </w:rPr>
              <w:t>Section 2 The Credits...............</w:t>
            </w:r>
          </w:p>
        </w:tc>
        <w:tc>
          <w:tcPr>
            <w:tcW w:w="1460" w:type="dxa"/>
            <w:vAlign w:val="bottom"/>
          </w:tcPr>
          <w:p>
            <w:pPr>
              <w:jc w:val="right"/>
              <w:ind w:right="1012"/>
              <w:spacing w:after="0"/>
              <w:rPr>
                <w:sz w:val="20"/>
                <w:szCs w:val="20"/>
                <w:color w:val="auto"/>
              </w:rPr>
            </w:pPr>
            <w:r>
              <w:rPr>
                <w:rFonts w:ascii="Arial" w:cs="Arial" w:eastAsia="Arial" w:hAnsi="Arial"/>
                <w:sz w:val="22"/>
                <w:szCs w:val="22"/>
                <w:b w:val="1"/>
                <w:bCs w:val="1"/>
                <w:color w:val="auto"/>
              </w:rPr>
              <w:t>29</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80" w:type="dxa"/>
            <w:vAlign w:val="bottom"/>
          </w:tcPr>
          <w:p>
            <w:pPr>
              <w:spacing w:after="0"/>
              <w:rPr>
                <w:sz w:val="22"/>
                <w:szCs w:val="22"/>
                <w:color w:val="auto"/>
              </w:rPr>
            </w:pPr>
          </w:p>
        </w:tc>
      </w:tr>
      <w:tr>
        <w:trPr>
          <w:trHeight w:val="243"/>
        </w:trPr>
        <w:tc>
          <w:tcPr>
            <w:tcW w:w="302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71"/>
              </w:rPr>
              <w:t>2.1. Term Commitments...............</w:t>
            </w:r>
          </w:p>
        </w:tc>
        <w:tc>
          <w:tcPr>
            <w:tcW w:w="146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29</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2.2.</w:t>
            </w:r>
          </w:p>
        </w:tc>
        <w:tc>
          <w:tcPr>
            <w:tcW w:w="198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1"/>
              </w:rPr>
              <w:t>Term Loans...............</w:t>
            </w:r>
          </w:p>
        </w:tc>
        <w:tc>
          <w:tcPr>
            <w:tcW w:w="1460" w:type="dxa"/>
            <w:vAlign w:val="bottom"/>
          </w:tcPr>
          <w:p>
            <w:pPr>
              <w:jc w:val="right"/>
              <w:ind w:right="1032"/>
              <w:spacing w:after="0" w:line="243" w:lineRule="exact"/>
              <w:rPr>
                <w:sz w:val="20"/>
                <w:szCs w:val="20"/>
                <w:color w:val="auto"/>
              </w:rPr>
            </w:pPr>
            <w:r>
              <w:rPr>
                <w:rFonts w:ascii="Arial" w:cs="Arial" w:eastAsia="Arial" w:hAnsi="Arial"/>
                <w:sz w:val="22"/>
                <w:szCs w:val="22"/>
                <w:color w:val="auto"/>
              </w:rPr>
              <w:t>29</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2.3.</w:t>
            </w:r>
          </w:p>
        </w:tc>
        <w:tc>
          <w:tcPr>
            <w:tcW w:w="348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6"/>
              </w:rPr>
              <w:t>Requests for Term Loan Borrowings</w:t>
            </w:r>
          </w:p>
        </w:tc>
        <w:tc>
          <w:tcPr>
            <w:tcW w:w="1300" w:type="dxa"/>
            <w:vAlign w:val="bottom"/>
          </w:tcPr>
          <w:p>
            <w:pPr>
              <w:jc w:val="right"/>
              <w:ind w:right="52"/>
              <w:spacing w:after="0" w:line="243" w:lineRule="exact"/>
              <w:rPr>
                <w:sz w:val="20"/>
                <w:szCs w:val="20"/>
                <w:color w:val="auto"/>
              </w:rPr>
            </w:pPr>
            <w:r>
              <w:rPr>
                <w:rFonts w:ascii="Arial" w:cs="Arial" w:eastAsia="Arial" w:hAnsi="Arial"/>
                <w:sz w:val="22"/>
                <w:szCs w:val="22"/>
                <w:color w:val="auto"/>
                <w:w w:val="96"/>
              </w:rPr>
              <w:t>...............29</w:t>
            </w: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2.4.</w:t>
            </w:r>
          </w:p>
        </w:tc>
        <w:tc>
          <w:tcPr>
            <w:tcW w:w="198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6"/>
              </w:rPr>
              <w:t>[Reserved]...............</w:t>
            </w:r>
          </w:p>
        </w:tc>
        <w:tc>
          <w:tcPr>
            <w:tcW w:w="1460" w:type="dxa"/>
            <w:vAlign w:val="bottom"/>
          </w:tcPr>
          <w:p>
            <w:pPr>
              <w:jc w:val="right"/>
              <w:ind w:right="1112"/>
              <w:spacing w:after="0" w:line="243" w:lineRule="exact"/>
              <w:rPr>
                <w:sz w:val="20"/>
                <w:szCs w:val="20"/>
                <w:color w:val="auto"/>
              </w:rPr>
            </w:pPr>
            <w:r>
              <w:rPr>
                <w:rFonts w:ascii="Arial" w:cs="Arial" w:eastAsia="Arial" w:hAnsi="Arial"/>
                <w:sz w:val="22"/>
                <w:szCs w:val="22"/>
                <w:color w:val="auto"/>
                <w:w w:val="89"/>
              </w:rPr>
              <w:t>30</w:t>
            </w: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2.5.</w:t>
            </w:r>
          </w:p>
        </w:tc>
        <w:tc>
          <w:tcPr>
            <w:tcW w:w="348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80"/>
              </w:rPr>
              <w:t>Funding of Term Loan Borrowings...............</w:t>
            </w:r>
          </w:p>
        </w:tc>
        <w:tc>
          <w:tcPr>
            <w:tcW w:w="130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30</w:t>
            </w: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2.6.</w:t>
            </w:r>
          </w:p>
        </w:tc>
        <w:tc>
          <w:tcPr>
            <w:tcW w:w="47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6"/>
              </w:rPr>
              <w:t>Termination and Reduction of Term Commitments</w:t>
            </w:r>
          </w:p>
        </w:tc>
        <w:tc>
          <w:tcPr>
            <w:tcW w:w="5420" w:type="dxa"/>
            <w:vAlign w:val="bottom"/>
            <w:gridSpan w:val="2"/>
          </w:tcPr>
          <w:p>
            <w:pPr>
              <w:jc w:val="right"/>
              <w:ind w:right="4172"/>
              <w:spacing w:after="0" w:line="243" w:lineRule="exact"/>
              <w:rPr>
                <w:sz w:val="20"/>
                <w:szCs w:val="20"/>
                <w:color w:val="auto"/>
              </w:rPr>
            </w:pPr>
            <w:r>
              <w:rPr>
                <w:rFonts w:ascii="Arial" w:cs="Arial" w:eastAsia="Arial" w:hAnsi="Arial"/>
                <w:sz w:val="22"/>
                <w:szCs w:val="22"/>
                <w:color w:val="auto"/>
                <w:w w:val="96"/>
              </w:rPr>
              <w:t>...............30</w:t>
            </w: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2.7.</w:t>
            </w:r>
          </w:p>
        </w:tc>
        <w:tc>
          <w:tcPr>
            <w:tcW w:w="478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8"/>
              </w:rPr>
              <w:t>Repayment of Term Loans; Evidence of Debt...............</w:t>
            </w:r>
          </w:p>
        </w:tc>
        <w:tc>
          <w:tcPr>
            <w:tcW w:w="94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30</w:t>
            </w:r>
          </w:p>
        </w:tc>
        <w:tc>
          <w:tcPr>
            <w:tcW w:w="448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2.8.</w:t>
            </w:r>
          </w:p>
        </w:tc>
        <w:tc>
          <w:tcPr>
            <w:tcW w:w="348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79"/>
              </w:rPr>
              <w:t>Interest Rates and Payment Dates...............</w:t>
            </w:r>
          </w:p>
        </w:tc>
        <w:tc>
          <w:tcPr>
            <w:tcW w:w="130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31</w:t>
            </w: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r>
        <w:trPr>
          <w:trHeight w:val="246"/>
        </w:trPr>
        <w:tc>
          <w:tcPr>
            <w:tcW w:w="1040" w:type="dxa"/>
            <w:vAlign w:val="bottom"/>
          </w:tcPr>
          <w:p>
            <w:pPr>
              <w:ind w:left="660"/>
              <w:spacing w:after="0" w:line="245" w:lineRule="exact"/>
              <w:rPr>
                <w:sz w:val="20"/>
                <w:szCs w:val="20"/>
                <w:color w:val="auto"/>
              </w:rPr>
            </w:pPr>
            <w:r>
              <w:rPr>
                <w:rFonts w:ascii="Arial" w:cs="Arial" w:eastAsia="Arial" w:hAnsi="Arial"/>
                <w:sz w:val="22"/>
                <w:szCs w:val="22"/>
                <w:color w:val="auto"/>
                <w:w w:val="97"/>
              </w:rPr>
              <w:t>2.9.</w:t>
            </w:r>
          </w:p>
        </w:tc>
        <w:tc>
          <w:tcPr>
            <w:tcW w:w="3480" w:type="dxa"/>
            <w:vAlign w:val="bottom"/>
            <w:gridSpan w:val="4"/>
          </w:tcPr>
          <w:p>
            <w:pPr>
              <w:ind w:left="40"/>
              <w:spacing w:after="0" w:line="245" w:lineRule="exact"/>
              <w:rPr>
                <w:sz w:val="20"/>
                <w:szCs w:val="20"/>
                <w:color w:val="auto"/>
              </w:rPr>
            </w:pPr>
            <w:r>
              <w:rPr>
                <w:rFonts w:ascii="Arial" w:cs="Arial" w:eastAsia="Arial" w:hAnsi="Arial"/>
                <w:sz w:val="22"/>
                <w:szCs w:val="22"/>
                <w:color w:val="auto"/>
                <w:w w:val="81"/>
              </w:rPr>
              <w:t>Computation of Interest and Fees...............</w:t>
            </w:r>
          </w:p>
        </w:tc>
        <w:tc>
          <w:tcPr>
            <w:tcW w:w="1300" w:type="dxa"/>
            <w:vAlign w:val="bottom"/>
          </w:tcPr>
          <w:p>
            <w:pPr>
              <w:jc w:val="right"/>
              <w:ind w:right="292"/>
              <w:spacing w:after="0" w:line="245" w:lineRule="exact"/>
              <w:rPr>
                <w:sz w:val="20"/>
                <w:szCs w:val="20"/>
                <w:color w:val="auto"/>
              </w:rPr>
            </w:pPr>
            <w:r>
              <w:rPr>
                <w:rFonts w:ascii="Arial" w:cs="Arial" w:eastAsia="Arial" w:hAnsi="Arial"/>
                <w:sz w:val="22"/>
                <w:szCs w:val="22"/>
                <w:color w:val="auto"/>
              </w:rPr>
              <w:t>31</w:t>
            </w:r>
          </w:p>
        </w:tc>
        <w:tc>
          <w:tcPr>
            <w:tcW w:w="940" w:type="dxa"/>
            <w:vAlign w:val="bottom"/>
          </w:tcPr>
          <w:p>
            <w:pPr>
              <w:spacing w:after="0"/>
              <w:rPr>
                <w:sz w:val="21"/>
                <w:szCs w:val="21"/>
                <w:color w:val="auto"/>
              </w:rPr>
            </w:pPr>
          </w:p>
        </w:tc>
        <w:tc>
          <w:tcPr>
            <w:tcW w:w="448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7"/>
        </w:trPr>
        <w:tc>
          <w:tcPr>
            <w:tcW w:w="500" w:type="dxa"/>
            <w:vAlign w:val="bottom"/>
          </w:tcPr>
          <w:p>
            <w:pPr>
              <w:spacing w:after="0" w:line="227" w:lineRule="exact"/>
              <w:rPr>
                <w:sz w:val="20"/>
                <w:szCs w:val="20"/>
                <w:color w:val="auto"/>
              </w:rPr>
            </w:pPr>
            <w:r>
              <w:rPr>
                <w:rFonts w:ascii="Arial" w:cs="Arial" w:eastAsia="Arial" w:hAnsi="Arial"/>
                <w:sz w:val="22"/>
                <w:szCs w:val="22"/>
                <w:color w:val="auto"/>
                <w:w w:val="98"/>
              </w:rPr>
              <w:t>2.10.</w:t>
            </w:r>
          </w:p>
        </w:tc>
        <w:tc>
          <w:tcPr>
            <w:tcW w:w="4100" w:type="dxa"/>
            <w:vAlign w:val="bottom"/>
            <w:gridSpan w:val="5"/>
          </w:tcPr>
          <w:p>
            <w:pPr>
              <w:ind w:left="40"/>
              <w:spacing w:after="0" w:line="227" w:lineRule="exact"/>
              <w:rPr>
                <w:sz w:val="20"/>
                <w:szCs w:val="20"/>
                <w:color w:val="auto"/>
              </w:rPr>
            </w:pPr>
            <w:r>
              <w:rPr>
                <w:rFonts w:ascii="Arial" w:cs="Arial" w:eastAsia="Arial" w:hAnsi="Arial"/>
                <w:sz w:val="22"/>
                <w:szCs w:val="22"/>
                <w:color w:val="auto"/>
                <w:w w:val="97"/>
              </w:rPr>
              <w:t>Benchmark Replacement Setting...............</w:t>
            </w:r>
          </w:p>
        </w:tc>
        <w:tc>
          <w:tcPr>
            <w:tcW w:w="360" w:type="dxa"/>
            <w:vAlign w:val="bottom"/>
          </w:tcPr>
          <w:p>
            <w:pPr>
              <w:jc w:val="right"/>
              <w:ind w:right="12"/>
              <w:spacing w:after="0" w:line="227" w:lineRule="exact"/>
              <w:rPr>
                <w:sz w:val="20"/>
                <w:szCs w:val="20"/>
                <w:color w:val="auto"/>
              </w:rPr>
            </w:pPr>
            <w:r>
              <w:rPr>
                <w:rFonts w:ascii="Arial" w:cs="Arial" w:eastAsia="Arial" w:hAnsi="Arial"/>
                <w:sz w:val="22"/>
                <w:szCs w:val="22"/>
                <w:color w:val="auto"/>
                <w:w w:val="89"/>
              </w:rPr>
              <w:t>32</w:t>
            </w: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00" w:type="dxa"/>
            <w:vAlign w:val="bottom"/>
            <w:gridSpan w:val="5"/>
          </w:tcPr>
          <w:p>
            <w:pPr>
              <w:spacing w:after="0" w:line="243" w:lineRule="exact"/>
              <w:rPr>
                <w:sz w:val="20"/>
                <w:szCs w:val="20"/>
                <w:color w:val="auto"/>
              </w:rPr>
            </w:pPr>
            <w:r>
              <w:rPr>
                <w:rFonts w:ascii="Arial" w:cs="Arial" w:eastAsia="Arial" w:hAnsi="Arial"/>
                <w:sz w:val="22"/>
                <w:szCs w:val="22"/>
                <w:color w:val="auto"/>
                <w:w w:val="95"/>
              </w:rPr>
              <w:t>2.11. Prepayment of Term Loans</w:t>
            </w:r>
          </w:p>
        </w:tc>
        <w:tc>
          <w:tcPr>
            <w:tcW w:w="150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8"/>
              </w:rPr>
              <w:t>...............34</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2.12.</w:t>
            </w:r>
          </w:p>
        </w:tc>
        <w:tc>
          <w:tcPr>
            <w:tcW w:w="410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8"/>
              </w:rPr>
              <w:t>Conversion and Continuation Options...............</w:t>
            </w:r>
          </w:p>
        </w:tc>
        <w:tc>
          <w:tcPr>
            <w:tcW w:w="2200" w:type="dxa"/>
            <w:vAlign w:val="bottom"/>
            <w:gridSpan w:val="2"/>
          </w:tcPr>
          <w:p>
            <w:pPr>
              <w:jc w:val="right"/>
              <w:ind w:right="1540"/>
              <w:spacing w:after="0" w:line="243" w:lineRule="exact"/>
              <w:rPr>
                <w:sz w:val="20"/>
                <w:szCs w:val="20"/>
                <w:color w:val="auto"/>
              </w:rPr>
            </w:pPr>
            <w:r>
              <w:rPr>
                <w:rFonts w:ascii="Arial" w:cs="Arial" w:eastAsia="Arial" w:hAnsi="Arial"/>
                <w:sz w:val="22"/>
                <w:szCs w:val="22"/>
                <w:color w:val="auto"/>
              </w:rPr>
              <w:t>34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00" w:type="dxa"/>
            <w:vAlign w:val="bottom"/>
          </w:tcPr>
          <w:p>
            <w:pPr>
              <w:spacing w:after="0" w:line="225" w:lineRule="exact"/>
              <w:rPr>
                <w:sz w:val="20"/>
                <w:szCs w:val="20"/>
                <w:color w:val="auto"/>
              </w:rPr>
            </w:pPr>
            <w:r>
              <w:rPr>
                <w:rFonts w:ascii="Arial" w:cs="Arial" w:eastAsia="Arial" w:hAnsi="Arial"/>
                <w:sz w:val="22"/>
                <w:szCs w:val="22"/>
                <w:color w:val="auto"/>
                <w:w w:val="98"/>
              </w:rPr>
              <w:t>2.13.</w:t>
            </w:r>
          </w:p>
        </w:tc>
        <w:tc>
          <w:tcPr>
            <w:tcW w:w="1420" w:type="dxa"/>
            <w:vAlign w:val="bottom"/>
          </w:tcPr>
          <w:p>
            <w:pPr>
              <w:ind w:left="40"/>
              <w:spacing w:after="0" w:line="225" w:lineRule="exact"/>
              <w:rPr>
                <w:sz w:val="20"/>
                <w:szCs w:val="20"/>
                <w:color w:val="auto"/>
              </w:rPr>
            </w:pPr>
            <w:r>
              <w:rPr>
                <w:rFonts w:ascii="Arial" w:cs="Arial" w:eastAsia="Arial" w:hAnsi="Arial"/>
                <w:sz w:val="22"/>
                <w:szCs w:val="22"/>
                <w:color w:val="auto"/>
              </w:rPr>
              <w:t>Limitations on</w:t>
            </w:r>
          </w:p>
        </w:tc>
        <w:tc>
          <w:tcPr>
            <w:tcW w:w="1000" w:type="dxa"/>
            <w:vAlign w:val="bottom"/>
            <w:gridSpan w:val="2"/>
          </w:tcPr>
          <w:p>
            <w:pPr>
              <w:spacing w:after="0" w:line="225" w:lineRule="exact"/>
              <w:rPr>
                <w:sz w:val="20"/>
                <w:szCs w:val="20"/>
                <w:color w:val="auto"/>
              </w:rPr>
            </w:pPr>
            <w:r>
              <w:rPr>
                <w:rFonts w:ascii="Arial" w:cs="Arial" w:eastAsia="Arial" w:hAnsi="Arial"/>
                <w:sz w:val="22"/>
                <w:szCs w:val="22"/>
                <w:color w:val="FF0000"/>
                <w:strike w:val="1"/>
                <w:w w:val="97"/>
              </w:rPr>
              <w:t>Eurodollar</w:t>
            </w:r>
          </w:p>
        </w:tc>
        <w:tc>
          <w:tcPr>
            <w:tcW w:w="3880" w:type="dxa"/>
            <w:vAlign w:val="bottom"/>
            <w:gridSpan w:val="4"/>
          </w:tcPr>
          <w:p>
            <w:pPr>
              <w:jc w:val="right"/>
              <w:spacing w:after="0" w:line="225" w:lineRule="exact"/>
              <w:rPr>
                <w:sz w:val="20"/>
                <w:szCs w:val="20"/>
                <w:color w:val="auto"/>
              </w:rPr>
            </w:pPr>
            <w:r>
              <w:rPr>
                <w:rFonts w:ascii="Arial" w:cs="Arial" w:eastAsia="Arial" w:hAnsi="Arial"/>
                <w:sz w:val="22"/>
                <w:szCs w:val="22"/>
                <w:color w:val="0000FF"/>
                <w:w w:val="96"/>
              </w:rPr>
              <w:t xml:space="preserve">Adjusted Term SOFR </w:t>
            </w:r>
            <w:r>
              <w:rPr>
                <w:rFonts w:ascii="Arial" w:cs="Arial" w:eastAsia="Arial" w:hAnsi="Arial"/>
                <w:sz w:val="22"/>
                <w:szCs w:val="22"/>
                <w:color w:val="000000"/>
                <w:w w:val="96"/>
              </w:rPr>
              <w:t>Tranches...............</w:t>
            </w:r>
          </w:p>
        </w:tc>
        <w:tc>
          <w:tcPr>
            <w:tcW w:w="240" w:type="dxa"/>
            <w:vAlign w:val="bottom"/>
          </w:tcPr>
          <w:p>
            <w:pPr>
              <w:jc w:val="right"/>
              <w:spacing w:after="0" w:line="225" w:lineRule="exact"/>
              <w:rPr>
                <w:sz w:val="20"/>
                <w:szCs w:val="20"/>
                <w:color w:val="auto"/>
              </w:rPr>
            </w:pPr>
            <w:r>
              <w:rPr>
                <w:rFonts w:ascii="Arial" w:cs="Arial" w:eastAsia="Arial" w:hAnsi="Arial"/>
                <w:sz w:val="22"/>
                <w:szCs w:val="22"/>
                <w:color w:val="auto"/>
                <w:w w:val="89"/>
              </w:rPr>
              <w:t>35</w:t>
            </w: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rPr>
                <w:sz w:val="20"/>
                <w:szCs w:val="20"/>
                <w:color w:val="auto"/>
              </w:rPr>
            </w:pPr>
            <w:r>
              <w:rPr>
                <w:rFonts w:ascii="Arial" w:cs="Arial" w:eastAsia="Arial" w:hAnsi="Arial"/>
                <w:sz w:val="22"/>
                <w:szCs w:val="22"/>
                <w:color w:val="auto"/>
                <w:w w:val="98"/>
              </w:rPr>
              <w:t>2.14.</w:t>
            </w:r>
          </w:p>
        </w:tc>
        <w:tc>
          <w:tcPr>
            <w:tcW w:w="2320" w:type="dxa"/>
            <w:vAlign w:val="bottom"/>
            <w:gridSpan w:val="2"/>
            <w:vMerge w:val="restart"/>
          </w:tcPr>
          <w:p>
            <w:pPr>
              <w:ind w:left="40"/>
              <w:spacing w:after="0"/>
              <w:rPr>
                <w:sz w:val="20"/>
                <w:szCs w:val="20"/>
                <w:color w:val="auto"/>
              </w:rPr>
            </w:pPr>
            <w:r>
              <w:rPr>
                <w:rFonts w:ascii="Arial" w:cs="Arial" w:eastAsia="Arial" w:hAnsi="Arial"/>
                <w:sz w:val="22"/>
                <w:szCs w:val="22"/>
                <w:color w:val="auto"/>
                <w:w w:val="96"/>
              </w:rPr>
              <w:t>Pro Rata Treatment, etc</w:t>
            </w: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00" w:type="dxa"/>
            <w:vAlign w:val="bottom"/>
            <w:vMerge w:val="continue"/>
          </w:tcPr>
          <w:p>
            <w:pPr>
              <w:spacing w:after="0"/>
              <w:rPr>
                <w:sz w:val="20"/>
                <w:szCs w:val="20"/>
                <w:color w:val="auto"/>
              </w:rPr>
            </w:pPr>
          </w:p>
        </w:tc>
        <w:tc>
          <w:tcPr>
            <w:tcW w:w="2320" w:type="dxa"/>
            <w:vAlign w:val="bottom"/>
            <w:gridSpan w:val="2"/>
            <w:vMerge w:val="continue"/>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8"/>
                <w:szCs w:val="8"/>
                <w:color w:val="auto"/>
                <w:w w:val="72"/>
              </w:rPr>
              <w:t>................</w:t>
            </w:r>
          </w:p>
        </w:tc>
        <w:tc>
          <w:tcPr>
            <w:tcW w:w="1500" w:type="dxa"/>
            <w:vAlign w:val="bottom"/>
          </w:tcPr>
          <w:p>
            <w:pPr>
              <w:jc w:val="right"/>
              <w:ind w:right="452"/>
              <w:spacing w:after="0" w:line="241" w:lineRule="exact"/>
              <w:rPr>
                <w:sz w:val="20"/>
                <w:szCs w:val="20"/>
                <w:color w:val="auto"/>
              </w:rPr>
            </w:pPr>
            <w:r>
              <w:rPr>
                <w:rFonts w:ascii="Arial" w:cs="Arial" w:eastAsia="Arial" w:hAnsi="Arial"/>
                <w:sz w:val="22"/>
                <w:szCs w:val="22"/>
                <w:color w:val="auto"/>
              </w:rPr>
              <w:t>35</w:t>
            </w: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2.15.</w:t>
            </w:r>
          </w:p>
        </w:tc>
        <w:tc>
          <w:tcPr>
            <w:tcW w:w="242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78"/>
              </w:rPr>
              <w:t>Requirements of Law...............</w:t>
            </w:r>
          </w:p>
        </w:tc>
        <w:tc>
          <w:tcPr>
            <w:tcW w:w="180" w:type="dxa"/>
            <w:vAlign w:val="bottom"/>
          </w:tcPr>
          <w:p>
            <w:pPr>
              <w:spacing w:after="0"/>
              <w:rPr>
                <w:sz w:val="21"/>
                <w:szCs w:val="21"/>
                <w:color w:val="auto"/>
              </w:rPr>
            </w:pPr>
          </w:p>
        </w:tc>
        <w:tc>
          <w:tcPr>
            <w:tcW w:w="1500" w:type="dxa"/>
            <w:vAlign w:val="bottom"/>
          </w:tcPr>
          <w:p>
            <w:pPr>
              <w:jc w:val="right"/>
              <w:ind w:right="792"/>
              <w:spacing w:after="0" w:line="243" w:lineRule="exact"/>
              <w:rPr>
                <w:sz w:val="20"/>
                <w:szCs w:val="20"/>
                <w:color w:val="auto"/>
              </w:rPr>
            </w:pPr>
            <w:r>
              <w:rPr>
                <w:rFonts w:ascii="Arial" w:cs="Arial" w:eastAsia="Arial" w:hAnsi="Arial"/>
                <w:sz w:val="22"/>
                <w:szCs w:val="22"/>
                <w:color w:val="auto"/>
              </w:rPr>
              <w:t>36</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gridSpan w:val="2"/>
          </w:tcPr>
          <w:p>
            <w:pPr>
              <w:spacing w:after="0" w:line="243" w:lineRule="exact"/>
              <w:rPr>
                <w:sz w:val="20"/>
                <w:szCs w:val="20"/>
                <w:color w:val="auto"/>
              </w:rPr>
            </w:pPr>
            <w:r>
              <w:rPr>
                <w:rFonts w:ascii="Arial" w:cs="Arial" w:eastAsia="Arial" w:hAnsi="Arial"/>
                <w:sz w:val="22"/>
                <w:szCs w:val="22"/>
                <w:color w:val="auto"/>
                <w:w w:val="91"/>
              </w:rPr>
              <w:t>2.16. Taxes...............</w:t>
            </w:r>
          </w:p>
        </w:tc>
        <w:tc>
          <w:tcPr>
            <w:tcW w:w="900" w:type="dxa"/>
            <w:vAlign w:val="bottom"/>
          </w:tcPr>
          <w:p>
            <w:pPr>
              <w:jc w:val="right"/>
              <w:ind w:right="472"/>
              <w:spacing w:after="0" w:line="243" w:lineRule="exact"/>
              <w:rPr>
                <w:sz w:val="20"/>
                <w:szCs w:val="20"/>
                <w:color w:val="auto"/>
              </w:rPr>
            </w:pPr>
            <w:r>
              <w:rPr>
                <w:rFonts w:ascii="Arial" w:cs="Arial" w:eastAsia="Arial" w:hAnsi="Arial"/>
                <w:sz w:val="22"/>
                <w:szCs w:val="22"/>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2.17.</w:t>
            </w:r>
          </w:p>
        </w:tc>
        <w:tc>
          <w:tcPr>
            <w:tcW w:w="1420" w:type="dxa"/>
            <w:vAlign w:val="bottom"/>
          </w:tcPr>
          <w:p>
            <w:pPr>
              <w:ind w:left="40"/>
              <w:spacing w:after="0" w:line="243" w:lineRule="exact"/>
              <w:rPr>
                <w:sz w:val="20"/>
                <w:szCs w:val="20"/>
                <w:color w:val="auto"/>
              </w:rPr>
            </w:pPr>
            <w:r>
              <w:rPr>
                <w:rFonts w:ascii="Arial" w:cs="Arial" w:eastAsia="Arial" w:hAnsi="Arial"/>
                <w:sz w:val="22"/>
                <w:szCs w:val="22"/>
                <w:color w:val="auto"/>
                <w:w w:val="72"/>
              </w:rPr>
              <w:t>Indemnity...............</w:t>
            </w:r>
          </w:p>
        </w:tc>
        <w:tc>
          <w:tcPr>
            <w:tcW w:w="90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2.18.</w:t>
            </w:r>
          </w:p>
        </w:tc>
        <w:tc>
          <w:tcPr>
            <w:tcW w:w="260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74"/>
              </w:rPr>
              <w:t>Change of Lending Office...............</w:t>
            </w:r>
          </w:p>
        </w:tc>
        <w:tc>
          <w:tcPr>
            <w:tcW w:w="1500" w:type="dxa"/>
            <w:vAlign w:val="bottom"/>
          </w:tcPr>
          <w:p>
            <w:pPr>
              <w:jc w:val="right"/>
              <w:ind w:right="372"/>
              <w:spacing w:after="0" w:line="243" w:lineRule="exact"/>
              <w:rPr>
                <w:sz w:val="20"/>
                <w:szCs w:val="20"/>
                <w:color w:val="auto"/>
              </w:rPr>
            </w:pPr>
            <w:r>
              <w:rPr>
                <w:rFonts w:ascii="Arial" w:cs="Arial" w:eastAsia="Arial" w:hAnsi="Arial"/>
                <w:sz w:val="22"/>
                <w:szCs w:val="22"/>
                <w:color w:val="auto"/>
              </w:rPr>
              <w:t>41</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line="229" w:lineRule="exact"/>
              <w:rPr>
                <w:sz w:val="20"/>
                <w:szCs w:val="20"/>
                <w:color w:val="auto"/>
              </w:rPr>
            </w:pPr>
            <w:r>
              <w:rPr>
                <w:rFonts w:ascii="Arial" w:cs="Arial" w:eastAsia="Arial" w:hAnsi="Arial"/>
                <w:sz w:val="22"/>
                <w:szCs w:val="22"/>
                <w:color w:val="auto"/>
                <w:w w:val="98"/>
              </w:rPr>
              <w:t>2.19.</w:t>
            </w:r>
          </w:p>
        </w:tc>
        <w:tc>
          <w:tcPr>
            <w:tcW w:w="1420" w:type="dxa"/>
            <w:vAlign w:val="bottom"/>
          </w:tcPr>
          <w:p>
            <w:pPr>
              <w:ind w:left="40"/>
              <w:spacing w:after="0" w:line="229" w:lineRule="exact"/>
              <w:rPr>
                <w:sz w:val="20"/>
                <w:szCs w:val="20"/>
                <w:color w:val="auto"/>
              </w:rPr>
            </w:pPr>
            <w:r>
              <w:rPr>
                <w:rFonts w:ascii="Arial" w:cs="Arial" w:eastAsia="Arial" w:hAnsi="Arial"/>
                <w:sz w:val="22"/>
                <w:szCs w:val="22"/>
                <w:color w:val="auto"/>
                <w:w w:val="96"/>
              </w:rPr>
              <w:t>Fees...............</w:t>
            </w:r>
          </w:p>
        </w:tc>
        <w:tc>
          <w:tcPr>
            <w:tcW w:w="900" w:type="dxa"/>
            <w:vAlign w:val="bottom"/>
          </w:tcPr>
          <w:p>
            <w:pPr>
              <w:jc w:val="right"/>
              <w:ind w:right="552"/>
              <w:spacing w:after="0" w:line="229" w:lineRule="exact"/>
              <w:rPr>
                <w:sz w:val="20"/>
                <w:szCs w:val="20"/>
                <w:color w:val="auto"/>
              </w:rPr>
            </w:pPr>
            <w:r>
              <w:rPr>
                <w:rFonts w:ascii="Arial" w:cs="Arial" w:eastAsia="Arial" w:hAnsi="Arial"/>
                <w:sz w:val="22"/>
                <w:szCs w:val="22"/>
                <w:color w:val="auto"/>
                <w:w w:val="89"/>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2.20.</w:t>
            </w:r>
          </w:p>
        </w:tc>
        <w:tc>
          <w:tcPr>
            <w:tcW w:w="232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5"/>
              </w:rPr>
              <w:t>Nature of Fees...............</w:t>
            </w:r>
          </w:p>
        </w:tc>
        <w:tc>
          <w:tcPr>
            <w:tcW w:w="2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2.21.</w:t>
            </w:r>
          </w:p>
        </w:tc>
        <w:tc>
          <w:tcPr>
            <w:tcW w:w="1420" w:type="dxa"/>
            <w:vAlign w:val="bottom"/>
          </w:tcPr>
          <w:p>
            <w:pPr>
              <w:ind w:left="40"/>
              <w:spacing w:after="0"/>
              <w:rPr>
                <w:sz w:val="20"/>
                <w:szCs w:val="20"/>
                <w:color w:val="auto"/>
              </w:rPr>
            </w:pPr>
            <w:r>
              <w:rPr>
                <w:rFonts w:ascii="Arial" w:cs="Arial" w:eastAsia="Arial" w:hAnsi="Arial"/>
                <w:sz w:val="21"/>
                <w:szCs w:val="21"/>
                <w:color w:val="auto"/>
                <w:w w:val="71"/>
              </w:rPr>
              <w:t>[Reserved]...............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2.22.</w:t>
            </w:r>
          </w:p>
        </w:tc>
        <w:tc>
          <w:tcPr>
            <w:tcW w:w="260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76"/>
              </w:rPr>
              <w:t>Replacement of Lenders...............</w:t>
            </w:r>
          </w:p>
        </w:tc>
        <w:tc>
          <w:tcPr>
            <w:tcW w:w="1500" w:type="dxa"/>
            <w:vAlign w:val="bottom"/>
          </w:tcPr>
          <w:p>
            <w:pPr>
              <w:jc w:val="right"/>
              <w:ind w:right="452"/>
              <w:spacing w:after="0" w:line="243" w:lineRule="exact"/>
              <w:rPr>
                <w:sz w:val="20"/>
                <w:szCs w:val="20"/>
                <w:color w:val="auto"/>
              </w:rPr>
            </w:pPr>
            <w:r>
              <w:rPr>
                <w:rFonts w:ascii="Arial" w:cs="Arial" w:eastAsia="Arial" w:hAnsi="Arial"/>
                <w:sz w:val="22"/>
                <w:szCs w:val="22"/>
                <w:color w:val="auto"/>
              </w:rPr>
              <w:t>41</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2.23.</w:t>
            </w:r>
          </w:p>
        </w:tc>
        <w:tc>
          <w:tcPr>
            <w:tcW w:w="1420" w:type="dxa"/>
            <w:vAlign w:val="bottom"/>
          </w:tcPr>
          <w:p>
            <w:pPr>
              <w:ind w:left="40"/>
              <w:spacing w:after="0"/>
              <w:rPr>
                <w:sz w:val="20"/>
                <w:szCs w:val="20"/>
                <w:color w:val="auto"/>
              </w:rPr>
            </w:pPr>
            <w:r>
              <w:rPr>
                <w:rFonts w:ascii="Arial" w:cs="Arial" w:eastAsia="Arial" w:hAnsi="Arial"/>
                <w:sz w:val="21"/>
                <w:szCs w:val="21"/>
                <w:color w:val="auto"/>
                <w:w w:val="71"/>
              </w:rPr>
              <w:t>[Reserved]...............</w:t>
            </w: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2.24.</w:t>
            </w:r>
          </w:p>
        </w:tc>
        <w:tc>
          <w:tcPr>
            <w:tcW w:w="242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5"/>
              </w:rPr>
              <w:t>Defaulting Lenders...............</w:t>
            </w:r>
          </w:p>
        </w:tc>
        <w:tc>
          <w:tcPr>
            <w:tcW w:w="180" w:type="dxa"/>
            <w:vAlign w:val="bottom"/>
          </w:tcPr>
          <w:p>
            <w:pPr>
              <w:spacing w:after="0"/>
              <w:rPr>
                <w:sz w:val="21"/>
                <w:szCs w:val="21"/>
                <w:color w:val="auto"/>
              </w:rPr>
            </w:pPr>
          </w:p>
        </w:tc>
        <w:tc>
          <w:tcPr>
            <w:tcW w:w="1500" w:type="dxa"/>
            <w:vAlign w:val="bottom"/>
          </w:tcPr>
          <w:p>
            <w:pPr>
              <w:jc w:val="right"/>
              <w:ind w:right="992"/>
              <w:spacing w:after="0" w:line="243" w:lineRule="exact"/>
              <w:rPr>
                <w:sz w:val="20"/>
                <w:szCs w:val="20"/>
                <w:color w:val="auto"/>
              </w:rPr>
            </w:pPr>
            <w:r>
              <w:rPr>
                <w:rFonts w:ascii="Arial" w:cs="Arial" w:eastAsia="Arial" w:hAnsi="Arial"/>
                <w:sz w:val="22"/>
                <w:szCs w:val="22"/>
                <w:color w:val="auto"/>
              </w:rPr>
              <w:t>42</w:t>
            </w:r>
          </w:p>
        </w:tc>
        <w:tc>
          <w:tcPr>
            <w:tcW w:w="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00" w:type="dxa"/>
            <w:vAlign w:val="bottom"/>
          </w:tcPr>
          <w:p>
            <w:pPr>
              <w:spacing w:after="0"/>
              <w:rPr>
                <w:sz w:val="20"/>
                <w:szCs w:val="20"/>
                <w:color w:val="auto"/>
              </w:rPr>
            </w:pPr>
            <w:r>
              <w:rPr>
                <w:rFonts w:ascii="Arial" w:cs="Arial" w:eastAsia="Arial" w:hAnsi="Arial"/>
                <w:sz w:val="22"/>
                <w:szCs w:val="22"/>
                <w:color w:val="auto"/>
                <w:w w:val="98"/>
              </w:rPr>
              <w:t>2.25.</w:t>
            </w:r>
          </w:p>
        </w:tc>
        <w:tc>
          <w:tcPr>
            <w:tcW w:w="2600" w:type="dxa"/>
            <w:vAlign w:val="bottom"/>
            <w:gridSpan w:val="4"/>
          </w:tcPr>
          <w:p>
            <w:pPr>
              <w:ind w:left="40"/>
              <w:spacing w:after="0"/>
              <w:rPr>
                <w:sz w:val="20"/>
                <w:szCs w:val="20"/>
                <w:color w:val="auto"/>
              </w:rPr>
            </w:pPr>
            <w:r>
              <w:rPr>
                <w:rFonts w:ascii="Arial" w:cs="Arial" w:eastAsia="Arial" w:hAnsi="Arial"/>
                <w:sz w:val="22"/>
                <w:szCs w:val="22"/>
                <w:color w:val="auto"/>
                <w:w w:val="72"/>
              </w:rPr>
              <w:t>Sustainability Adjustments...............</w:t>
            </w:r>
          </w:p>
        </w:tc>
        <w:tc>
          <w:tcPr>
            <w:tcW w:w="1500" w:type="dxa"/>
            <w:vAlign w:val="bottom"/>
          </w:tcPr>
          <w:p>
            <w:pPr>
              <w:jc w:val="right"/>
              <w:ind w:right="312"/>
              <w:spacing w:after="0"/>
              <w:rPr>
                <w:sz w:val="20"/>
                <w:szCs w:val="20"/>
                <w:color w:val="auto"/>
              </w:rPr>
            </w:pPr>
            <w:r>
              <w:rPr>
                <w:rFonts w:ascii="Arial" w:cs="Arial" w:eastAsia="Arial" w:hAnsi="Arial"/>
                <w:sz w:val="22"/>
                <w:szCs w:val="22"/>
                <w:color w:val="auto"/>
              </w:rPr>
              <w:t>42</w:t>
            </w:r>
          </w:p>
        </w:tc>
        <w:tc>
          <w:tcPr>
            <w:tcW w:w="3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gridSpan w:val="4"/>
          </w:tcPr>
          <w:p>
            <w:pPr>
              <w:spacing w:after="0" w:line="227" w:lineRule="exact"/>
              <w:rPr>
                <w:sz w:val="20"/>
                <w:szCs w:val="20"/>
                <w:color w:val="auto"/>
              </w:rPr>
            </w:pPr>
            <w:r>
              <w:rPr>
                <w:rFonts w:ascii="Arial" w:cs="Arial" w:eastAsia="Arial" w:hAnsi="Arial"/>
                <w:sz w:val="22"/>
                <w:szCs w:val="22"/>
                <w:b w:val="1"/>
                <w:bCs w:val="1"/>
                <w:color w:val="auto"/>
                <w:w w:val="84"/>
              </w:rPr>
              <w:t>Section 3 Representations and Warranties</w:t>
            </w:r>
            <w:r>
              <w:rPr>
                <w:rFonts w:ascii="Arial" w:cs="Arial" w:eastAsia="Arial" w:hAnsi="Arial"/>
                <w:sz w:val="22"/>
                <w:szCs w:val="22"/>
                <w:color w:val="auto"/>
                <w:w w:val="84"/>
              </w:rPr>
              <w:t>...............</w:t>
            </w:r>
          </w:p>
        </w:tc>
        <w:tc>
          <w:tcPr>
            <w:tcW w:w="1940" w:type="dxa"/>
            <w:vAlign w:val="bottom"/>
          </w:tcPr>
          <w:p>
            <w:pPr>
              <w:jc w:val="right"/>
              <w:ind w:right="892"/>
              <w:spacing w:after="0" w:line="227" w:lineRule="exact"/>
              <w:rPr>
                <w:sz w:val="20"/>
                <w:szCs w:val="20"/>
                <w:color w:val="auto"/>
              </w:rPr>
            </w:pPr>
            <w:r>
              <w:rPr>
                <w:rFonts w:ascii="Arial" w:cs="Arial" w:eastAsia="Arial" w:hAnsi="Arial"/>
                <w:sz w:val="22"/>
                <w:szCs w:val="22"/>
                <w:b w:val="1"/>
                <w:bCs w:val="1"/>
                <w:color w:val="auto"/>
              </w:rPr>
              <w:t>44</w:t>
            </w:r>
          </w:p>
        </w:tc>
        <w:tc>
          <w:tcPr>
            <w:tcW w:w="240" w:type="dxa"/>
            <w:vAlign w:val="bottom"/>
          </w:tcPr>
          <w:p>
            <w:pPr>
              <w:spacing w:after="0"/>
              <w:rPr>
                <w:sz w:val="19"/>
                <w:szCs w:val="19"/>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3.1.</w:t>
            </w:r>
          </w:p>
        </w:tc>
        <w:tc>
          <w:tcPr>
            <w:tcW w:w="350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4"/>
              </w:rPr>
              <w:t>Existence; Compliance with Law...............</w:t>
            </w:r>
          </w:p>
        </w:tc>
        <w:tc>
          <w:tcPr>
            <w:tcW w:w="1940" w:type="dxa"/>
            <w:vAlign w:val="bottom"/>
          </w:tcPr>
          <w:p>
            <w:pPr>
              <w:jc w:val="right"/>
              <w:ind w:right="1072"/>
              <w:spacing w:after="0" w:line="243" w:lineRule="exact"/>
              <w:rPr>
                <w:sz w:val="20"/>
                <w:szCs w:val="20"/>
                <w:color w:val="auto"/>
              </w:rPr>
            </w:pPr>
            <w:r>
              <w:rPr>
                <w:rFonts w:ascii="Arial" w:cs="Arial" w:eastAsia="Arial" w:hAnsi="Arial"/>
                <w:sz w:val="22"/>
                <w:szCs w:val="22"/>
                <w:color w:val="auto"/>
              </w:rPr>
              <w:t>44</w:t>
            </w: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3.2.</w:t>
            </w:r>
          </w:p>
        </w:tc>
        <w:tc>
          <w:tcPr>
            <w:tcW w:w="544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7"/>
              </w:rPr>
              <w:t>Power; Authorizations; Enforceable Obligations...............</w:t>
            </w: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w w:val="89"/>
              </w:rPr>
              <w:t>44</w:t>
            </w: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3.3.</w:t>
            </w:r>
          </w:p>
        </w:tc>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79"/>
              </w:rPr>
              <w:t>No Legal Bar...............</w:t>
            </w:r>
          </w:p>
        </w:tc>
        <w:tc>
          <w:tcPr>
            <w:tcW w:w="1040" w:type="dxa"/>
            <w:vAlign w:val="bottom"/>
          </w:tcPr>
          <w:p>
            <w:pPr>
              <w:jc w:val="right"/>
              <w:ind w:right="312"/>
              <w:spacing w:after="0" w:line="243" w:lineRule="exact"/>
              <w:rPr>
                <w:sz w:val="20"/>
                <w:szCs w:val="20"/>
                <w:color w:val="auto"/>
              </w:rPr>
            </w:pPr>
            <w:r>
              <w:rPr>
                <w:rFonts w:ascii="Arial" w:cs="Arial" w:eastAsia="Arial" w:hAnsi="Arial"/>
                <w:sz w:val="22"/>
                <w:szCs w:val="22"/>
                <w:color w:val="auto"/>
              </w:rPr>
              <w:t>45</w:t>
            </w:r>
          </w:p>
        </w:tc>
        <w:tc>
          <w:tcPr>
            <w:tcW w:w="6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0"/>
        </w:trPr>
        <w:tc>
          <w:tcPr>
            <w:tcW w:w="3880" w:type="dxa"/>
            <w:vAlign w:val="bottom"/>
            <w:gridSpan w:val="3"/>
          </w:tcPr>
          <w:p>
            <w:pPr>
              <w:ind w:left="660"/>
              <w:spacing w:after="0" w:line="229" w:lineRule="exact"/>
              <w:rPr>
                <w:sz w:val="20"/>
                <w:szCs w:val="20"/>
                <w:color w:val="auto"/>
              </w:rPr>
            </w:pPr>
            <w:r>
              <w:rPr>
                <w:rFonts w:ascii="Arial" w:cs="Arial" w:eastAsia="Arial" w:hAnsi="Arial"/>
                <w:sz w:val="22"/>
                <w:szCs w:val="22"/>
                <w:color w:val="auto"/>
                <w:w w:val="87"/>
              </w:rPr>
              <w:t>3.4. Accuracy of Information...............</w:t>
            </w:r>
          </w:p>
        </w:tc>
        <w:tc>
          <w:tcPr>
            <w:tcW w:w="660" w:type="dxa"/>
            <w:vAlign w:val="bottom"/>
          </w:tcPr>
          <w:p>
            <w:pPr>
              <w:jc w:val="right"/>
              <w:spacing w:after="0" w:line="229" w:lineRule="exact"/>
              <w:rPr>
                <w:sz w:val="20"/>
                <w:szCs w:val="20"/>
                <w:color w:val="auto"/>
              </w:rPr>
            </w:pPr>
            <w:r>
              <w:rPr>
                <w:rFonts w:ascii="Arial" w:cs="Arial" w:eastAsia="Arial" w:hAnsi="Arial"/>
                <w:sz w:val="22"/>
                <w:szCs w:val="22"/>
                <w:color w:val="auto"/>
              </w:rPr>
              <w:t>45</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3.5.</w:t>
            </w:r>
          </w:p>
        </w:tc>
        <w:tc>
          <w:tcPr>
            <w:tcW w:w="350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7"/>
              </w:rPr>
              <w:t>No Material Adverse Effect...............</w:t>
            </w:r>
          </w:p>
        </w:tc>
        <w:tc>
          <w:tcPr>
            <w:tcW w:w="1940" w:type="dxa"/>
            <w:vAlign w:val="bottom"/>
          </w:tcPr>
          <w:p>
            <w:pPr>
              <w:jc w:val="right"/>
              <w:ind w:right="1592"/>
              <w:spacing w:after="0" w:line="243" w:lineRule="exact"/>
              <w:rPr>
                <w:sz w:val="20"/>
                <w:szCs w:val="20"/>
                <w:color w:val="auto"/>
              </w:rPr>
            </w:pPr>
            <w:r>
              <w:rPr>
                <w:rFonts w:ascii="Arial" w:cs="Arial" w:eastAsia="Arial" w:hAnsi="Arial"/>
                <w:sz w:val="22"/>
                <w:szCs w:val="22"/>
                <w:color w:val="auto"/>
                <w:w w:val="89"/>
              </w:rPr>
              <w:t>45</w:t>
            </w:r>
          </w:p>
        </w:tc>
        <w:tc>
          <w:tcPr>
            <w:tcW w:w="240" w:type="dxa"/>
            <w:vAlign w:val="bottom"/>
          </w:tcPr>
          <w:p>
            <w:pPr>
              <w:spacing w:after="0"/>
              <w:rPr>
                <w:sz w:val="21"/>
                <w:szCs w:val="21"/>
                <w:color w:val="auto"/>
              </w:rPr>
            </w:pPr>
          </w:p>
        </w:tc>
      </w:tr>
      <w:tr>
        <w:trPr>
          <w:trHeight w:val="243"/>
        </w:trPr>
        <w:tc>
          <w:tcPr>
            <w:tcW w:w="388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94"/>
              </w:rPr>
              <w:t>3.6. Title to Assets; Liens...............</w:t>
            </w:r>
          </w:p>
        </w:tc>
        <w:tc>
          <w:tcPr>
            <w:tcW w:w="660" w:type="dxa"/>
            <w:vAlign w:val="bottom"/>
          </w:tcPr>
          <w:p>
            <w:pPr>
              <w:jc w:val="right"/>
              <w:ind w:right="252"/>
              <w:spacing w:after="0" w:line="243" w:lineRule="exact"/>
              <w:rPr>
                <w:sz w:val="20"/>
                <w:szCs w:val="20"/>
                <w:color w:val="auto"/>
              </w:rPr>
            </w:pPr>
            <w:r>
              <w:rPr>
                <w:rFonts w:ascii="Arial" w:cs="Arial" w:eastAsia="Arial" w:hAnsi="Arial"/>
                <w:sz w:val="22"/>
                <w:szCs w:val="22"/>
                <w:color w:val="auto"/>
              </w:rPr>
              <w:t>45</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3.7.</w:t>
            </w:r>
          </w:p>
        </w:tc>
        <w:tc>
          <w:tcPr>
            <w:tcW w:w="284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7"/>
              </w:rPr>
              <w:t>Intellectual Property...............</w:t>
            </w:r>
          </w:p>
        </w:tc>
        <w:tc>
          <w:tcPr>
            <w:tcW w:w="660" w:type="dxa"/>
            <w:vAlign w:val="bottom"/>
          </w:tcPr>
          <w:p>
            <w:pPr>
              <w:jc w:val="right"/>
              <w:ind w:right="312"/>
              <w:spacing w:after="0" w:line="243" w:lineRule="exact"/>
              <w:rPr>
                <w:sz w:val="20"/>
                <w:szCs w:val="20"/>
                <w:color w:val="auto"/>
              </w:rPr>
            </w:pPr>
            <w:r>
              <w:rPr>
                <w:rFonts w:ascii="Arial" w:cs="Arial" w:eastAsia="Arial" w:hAnsi="Arial"/>
                <w:sz w:val="22"/>
                <w:szCs w:val="22"/>
                <w:color w:val="auto"/>
                <w:w w:val="89"/>
              </w:rPr>
              <w:t>45</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3.8.</w:t>
            </w:r>
          </w:p>
        </w:tc>
        <w:tc>
          <w:tcPr>
            <w:tcW w:w="1800" w:type="dxa"/>
            <w:vAlign w:val="bottom"/>
          </w:tcPr>
          <w:p>
            <w:pPr>
              <w:ind w:left="40"/>
              <w:spacing w:after="0"/>
              <w:rPr>
                <w:sz w:val="20"/>
                <w:szCs w:val="20"/>
                <w:color w:val="auto"/>
              </w:rPr>
            </w:pPr>
            <w:r>
              <w:rPr>
                <w:rFonts w:ascii="Arial" w:cs="Arial" w:eastAsia="Arial" w:hAnsi="Arial"/>
                <w:sz w:val="21"/>
                <w:szCs w:val="21"/>
                <w:color w:val="auto"/>
                <w:w w:val="71"/>
              </w:rPr>
              <w:t>Use of Proceeds...............</w:t>
            </w: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46</w:t>
            </w:r>
          </w:p>
        </w:tc>
        <w:tc>
          <w:tcPr>
            <w:tcW w:w="6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9"/>
        </w:trPr>
        <w:tc>
          <w:tcPr>
            <w:tcW w:w="1040" w:type="dxa"/>
            <w:vAlign w:val="bottom"/>
          </w:tcPr>
          <w:p>
            <w:pPr>
              <w:ind w:left="660"/>
              <w:spacing w:after="0"/>
              <w:rPr>
                <w:sz w:val="20"/>
                <w:szCs w:val="20"/>
                <w:color w:val="auto"/>
              </w:rPr>
            </w:pPr>
            <w:r>
              <w:rPr>
                <w:rFonts w:ascii="Arial" w:cs="Arial" w:eastAsia="Arial" w:hAnsi="Arial"/>
                <w:sz w:val="22"/>
                <w:szCs w:val="22"/>
                <w:color w:val="auto"/>
                <w:w w:val="97"/>
              </w:rPr>
              <w:t>3.9.</w:t>
            </w:r>
          </w:p>
        </w:tc>
        <w:tc>
          <w:tcPr>
            <w:tcW w:w="1800" w:type="dxa"/>
            <w:vAlign w:val="bottom"/>
          </w:tcPr>
          <w:p>
            <w:pPr>
              <w:ind w:left="40"/>
              <w:spacing w:after="0"/>
              <w:rPr>
                <w:sz w:val="20"/>
                <w:szCs w:val="20"/>
                <w:color w:val="auto"/>
              </w:rPr>
            </w:pPr>
            <w:r>
              <w:rPr>
                <w:rFonts w:ascii="Arial" w:cs="Arial" w:eastAsia="Arial" w:hAnsi="Arial"/>
                <w:sz w:val="22"/>
                <w:szCs w:val="22"/>
                <w:color w:val="auto"/>
                <w:w w:val="96"/>
              </w:rPr>
              <w:t>Litigation...............</w:t>
            </w:r>
          </w:p>
        </w:tc>
        <w:tc>
          <w:tcPr>
            <w:tcW w:w="1040" w:type="dxa"/>
            <w:vAlign w:val="bottom"/>
          </w:tcPr>
          <w:p>
            <w:pPr>
              <w:jc w:val="right"/>
              <w:ind w:right="692"/>
              <w:spacing w:after="0"/>
              <w:rPr>
                <w:sz w:val="20"/>
                <w:szCs w:val="20"/>
                <w:color w:val="auto"/>
              </w:rPr>
            </w:pPr>
            <w:r>
              <w:rPr>
                <w:rFonts w:ascii="Arial" w:cs="Arial" w:eastAsia="Arial" w:hAnsi="Arial"/>
                <w:sz w:val="22"/>
                <w:szCs w:val="22"/>
                <w:color w:val="auto"/>
                <w:w w:val="89"/>
              </w:rPr>
              <w:t>46</w:t>
            </w:r>
          </w:p>
        </w:tc>
        <w:tc>
          <w:tcPr>
            <w:tcW w:w="6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40" w:type="dxa"/>
            <w:vAlign w:val="bottom"/>
          </w:tcPr>
          <w:p>
            <w:pPr>
              <w:spacing w:after="0"/>
              <w:rPr>
                <w:sz w:val="22"/>
                <w:szCs w:val="22"/>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7"/>
        </w:trPr>
        <w:tc>
          <w:tcPr>
            <w:tcW w:w="4240" w:type="dxa"/>
            <w:vAlign w:val="bottom"/>
            <w:gridSpan w:val="2"/>
          </w:tcPr>
          <w:p>
            <w:pPr>
              <w:spacing w:after="0" w:line="227" w:lineRule="exact"/>
              <w:rPr>
                <w:sz w:val="20"/>
                <w:szCs w:val="20"/>
                <w:color w:val="auto"/>
              </w:rPr>
            </w:pPr>
            <w:r>
              <w:rPr>
                <w:rFonts w:ascii="Arial" w:cs="Arial" w:eastAsia="Arial" w:hAnsi="Arial"/>
                <w:sz w:val="22"/>
                <w:szCs w:val="22"/>
                <w:color w:val="auto"/>
                <w:w w:val="97"/>
              </w:rPr>
              <w:t>3.10. Federal Reserve Regulations...............</w:t>
            </w:r>
          </w:p>
        </w:tc>
        <w:tc>
          <w:tcPr>
            <w:tcW w:w="240" w:type="dxa"/>
            <w:vAlign w:val="bottom"/>
          </w:tcPr>
          <w:p>
            <w:pPr>
              <w:jc w:val="right"/>
              <w:spacing w:after="0" w:line="227" w:lineRule="exact"/>
              <w:rPr>
                <w:sz w:val="20"/>
                <w:szCs w:val="20"/>
                <w:color w:val="auto"/>
              </w:rPr>
            </w:pPr>
            <w:r>
              <w:rPr>
                <w:rFonts w:ascii="Arial" w:cs="Arial" w:eastAsia="Arial" w:hAnsi="Arial"/>
                <w:sz w:val="22"/>
                <w:szCs w:val="22"/>
                <w:color w:val="auto"/>
                <w:w w:val="89"/>
              </w:rPr>
              <w:t>46</w:t>
            </w:r>
          </w:p>
        </w:tc>
      </w:tr>
      <w:tr>
        <w:trPr>
          <w:trHeight w:val="243"/>
        </w:trPr>
        <w:tc>
          <w:tcPr>
            <w:tcW w:w="2000" w:type="dxa"/>
            <w:vAlign w:val="bottom"/>
          </w:tcPr>
          <w:p>
            <w:pPr>
              <w:spacing w:after="0" w:line="243" w:lineRule="exact"/>
              <w:rPr>
                <w:sz w:val="20"/>
                <w:szCs w:val="20"/>
                <w:color w:val="auto"/>
              </w:rPr>
            </w:pPr>
            <w:r>
              <w:rPr>
                <w:rFonts w:ascii="Arial" w:cs="Arial" w:eastAsia="Arial" w:hAnsi="Arial"/>
                <w:sz w:val="22"/>
                <w:szCs w:val="22"/>
                <w:color w:val="auto"/>
                <w:w w:val="83"/>
              </w:rPr>
              <w:t>3.11. Solvency...............</w:t>
            </w:r>
          </w:p>
        </w:tc>
        <w:tc>
          <w:tcPr>
            <w:tcW w:w="2240" w:type="dxa"/>
            <w:vAlign w:val="bottom"/>
          </w:tcPr>
          <w:p>
            <w:pPr>
              <w:jc w:val="right"/>
              <w:ind w:right="1612"/>
              <w:spacing w:after="0" w:line="243" w:lineRule="exact"/>
              <w:rPr>
                <w:sz w:val="20"/>
                <w:szCs w:val="20"/>
                <w:color w:val="auto"/>
              </w:rPr>
            </w:pPr>
            <w:r>
              <w:rPr>
                <w:rFonts w:ascii="Arial" w:cs="Arial" w:eastAsia="Arial" w:hAnsi="Arial"/>
                <w:sz w:val="22"/>
                <w:szCs w:val="22"/>
                <w:color w:val="auto"/>
              </w:rPr>
              <w:t>46</w:t>
            </w:r>
          </w:p>
        </w:tc>
        <w:tc>
          <w:tcPr>
            <w:tcW w:w="240" w:type="dxa"/>
            <w:vAlign w:val="bottom"/>
          </w:tcPr>
          <w:p>
            <w:pPr>
              <w:spacing w:after="0"/>
              <w:rPr>
                <w:sz w:val="21"/>
                <w:szCs w:val="2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22"/>
                <w:szCs w:val="22"/>
                <w:color w:val="auto"/>
                <w:w w:val="95"/>
              </w:rPr>
              <w:t>3.12. Taxes...............</w:t>
            </w:r>
          </w:p>
        </w:tc>
        <w:tc>
          <w:tcPr>
            <w:tcW w:w="2240" w:type="dxa"/>
            <w:vAlign w:val="bottom"/>
          </w:tcPr>
          <w:p>
            <w:pPr>
              <w:jc w:val="right"/>
              <w:ind w:right="1892"/>
              <w:spacing w:after="0"/>
              <w:rPr>
                <w:sz w:val="20"/>
                <w:szCs w:val="20"/>
                <w:color w:val="auto"/>
              </w:rPr>
            </w:pPr>
            <w:r>
              <w:rPr>
                <w:rFonts w:ascii="Arial" w:cs="Arial" w:eastAsia="Arial" w:hAnsi="Arial"/>
                <w:sz w:val="22"/>
                <w:szCs w:val="22"/>
                <w:color w:val="auto"/>
                <w:w w:val="89"/>
              </w:rPr>
              <w:t>46</w:t>
            </w:r>
          </w:p>
        </w:tc>
        <w:tc>
          <w:tcPr>
            <w:tcW w:w="240" w:type="dxa"/>
            <w:vAlign w:val="bottom"/>
          </w:tcPr>
          <w:p>
            <w:pPr>
              <w:spacing w:after="0"/>
              <w:rPr>
                <w:sz w:val="23"/>
                <w:szCs w:val="23"/>
                <w:color w:val="auto"/>
              </w:rPr>
            </w:pPr>
          </w:p>
        </w:tc>
      </w:tr>
    </w:tbl>
    <w:p>
      <w:pPr>
        <w:sectPr>
          <w:pgSz w:w="11900" w:h="16838" w:orient="portrait"/>
          <w:cols w:equalWidth="0" w:num="1">
            <w:col w:w="11240"/>
          </w:cols>
          <w:pgMar w:left="320" w:top="1385" w:right="3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gridSpan w:val="2"/>
          </w:tcPr>
          <w:p>
            <w:pPr>
              <w:ind w:left="660"/>
              <w:spacing w:after="0"/>
              <w:rPr>
                <w:sz w:val="20"/>
                <w:szCs w:val="20"/>
                <w:color w:val="auto"/>
              </w:rPr>
            </w:pPr>
            <w:r>
              <w:rPr>
                <w:rFonts w:ascii="Arial" w:cs="Arial" w:eastAsia="Arial" w:hAnsi="Arial"/>
                <w:sz w:val="22"/>
                <w:szCs w:val="22"/>
                <w:color w:val="auto"/>
                <w:w w:val="98"/>
              </w:rPr>
              <w:t>3.13.</w:t>
            </w:r>
          </w:p>
        </w:tc>
        <w:tc>
          <w:tcPr>
            <w:tcW w:w="1540" w:type="dxa"/>
            <w:vAlign w:val="bottom"/>
          </w:tcPr>
          <w:p>
            <w:pPr>
              <w:ind w:left="40"/>
              <w:spacing w:after="0"/>
              <w:rPr>
                <w:sz w:val="20"/>
                <w:szCs w:val="20"/>
                <w:color w:val="auto"/>
              </w:rPr>
            </w:pPr>
            <w:r>
              <w:rPr>
                <w:rFonts w:ascii="Arial" w:cs="Arial" w:eastAsia="Arial" w:hAnsi="Arial"/>
                <w:sz w:val="22"/>
                <w:szCs w:val="22"/>
                <w:color w:val="auto"/>
                <w:w w:val="93"/>
              </w:rPr>
              <w:t>ERISA...............</w:t>
            </w:r>
          </w:p>
        </w:tc>
        <w:tc>
          <w:tcPr>
            <w:tcW w:w="880" w:type="dxa"/>
            <w:vAlign w:val="bottom"/>
          </w:tcPr>
          <w:p>
            <w:pPr>
              <w:jc w:val="right"/>
              <w:ind w:right="492"/>
              <w:spacing w:after="0"/>
              <w:rPr>
                <w:sz w:val="20"/>
                <w:szCs w:val="20"/>
                <w:color w:val="auto"/>
              </w:rPr>
            </w:pPr>
            <w:r>
              <w:rPr>
                <w:rFonts w:ascii="Arial" w:cs="Arial" w:eastAsia="Arial" w:hAnsi="Arial"/>
                <w:sz w:val="22"/>
                <w:szCs w:val="22"/>
                <w:color w:val="auto"/>
              </w:rPr>
              <w:t>46</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3.14.</w:t>
            </w:r>
          </w:p>
        </w:tc>
        <w:tc>
          <w:tcPr>
            <w:tcW w:w="46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9"/>
              </w:rPr>
              <w:t>Environmental Matters; Hazardous Material...............</w:t>
            </w:r>
          </w:p>
        </w:tc>
        <w:tc>
          <w:tcPr>
            <w:tcW w:w="2820" w:type="dxa"/>
            <w:vAlign w:val="bottom"/>
          </w:tcPr>
          <w:p>
            <w:pPr>
              <w:jc w:val="right"/>
              <w:ind w:right="2032"/>
              <w:spacing w:after="0" w:line="243" w:lineRule="exact"/>
              <w:rPr>
                <w:sz w:val="20"/>
                <w:szCs w:val="20"/>
                <w:color w:val="auto"/>
              </w:rPr>
            </w:pPr>
            <w:r>
              <w:rPr>
                <w:rFonts w:ascii="Arial" w:cs="Arial" w:eastAsia="Arial" w:hAnsi="Arial"/>
                <w:sz w:val="22"/>
                <w:szCs w:val="22"/>
                <w:color w:val="auto"/>
              </w:rPr>
              <w:t>47</w:t>
            </w: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3.15.</w:t>
            </w:r>
          </w:p>
        </w:tc>
        <w:tc>
          <w:tcPr>
            <w:tcW w:w="46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7"/>
              </w:rPr>
              <w:t>Investment Company Act; Other Regulations...............</w:t>
            </w:r>
          </w:p>
        </w:tc>
        <w:tc>
          <w:tcPr>
            <w:tcW w:w="2820" w:type="dxa"/>
            <w:vAlign w:val="bottom"/>
          </w:tcPr>
          <w:p>
            <w:pPr>
              <w:jc w:val="right"/>
              <w:ind w:right="1932"/>
              <w:spacing w:after="0" w:line="243" w:lineRule="exact"/>
              <w:rPr>
                <w:sz w:val="20"/>
                <w:szCs w:val="20"/>
                <w:color w:val="auto"/>
              </w:rPr>
            </w:pPr>
            <w:r>
              <w:rPr>
                <w:rFonts w:ascii="Arial" w:cs="Arial" w:eastAsia="Arial" w:hAnsi="Arial"/>
                <w:sz w:val="22"/>
                <w:szCs w:val="22"/>
                <w:color w:val="auto"/>
              </w:rPr>
              <w:t>47</w:t>
            </w: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3.16.</w:t>
            </w:r>
          </w:p>
        </w:tc>
        <w:tc>
          <w:tcPr>
            <w:tcW w:w="1540" w:type="dxa"/>
            <w:vAlign w:val="bottom"/>
          </w:tcPr>
          <w:p>
            <w:pPr>
              <w:ind w:left="40"/>
              <w:spacing w:after="0"/>
              <w:rPr>
                <w:sz w:val="20"/>
                <w:szCs w:val="20"/>
                <w:color w:val="auto"/>
              </w:rPr>
            </w:pPr>
            <w:r>
              <w:rPr>
                <w:rFonts w:ascii="Arial" w:cs="Arial" w:eastAsia="Arial" w:hAnsi="Arial"/>
                <w:sz w:val="19"/>
                <w:szCs w:val="19"/>
                <w:color w:val="auto"/>
                <w:w w:val="75"/>
              </w:rPr>
              <w:t>Labor Matters...............</w:t>
            </w:r>
          </w:p>
        </w:tc>
        <w:tc>
          <w:tcPr>
            <w:tcW w:w="176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47</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4900" w:type="dxa"/>
            <w:vAlign w:val="bottom"/>
            <w:gridSpan w:val="6"/>
          </w:tcPr>
          <w:p>
            <w:pPr>
              <w:ind w:left="660"/>
              <w:spacing w:after="0" w:line="243" w:lineRule="exact"/>
              <w:rPr>
                <w:sz w:val="20"/>
                <w:szCs w:val="20"/>
                <w:color w:val="auto"/>
              </w:rPr>
            </w:pPr>
            <w:r>
              <w:rPr>
                <w:rFonts w:ascii="Arial" w:cs="Arial" w:eastAsia="Arial" w:hAnsi="Arial"/>
                <w:sz w:val="22"/>
                <w:szCs w:val="22"/>
                <w:color w:val="auto"/>
                <w:w w:val="84"/>
              </w:rPr>
              <w:t>3.17. Anti-Corruption Laws and Sanctions...............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0"/>
        </w:trPr>
        <w:tc>
          <w:tcPr>
            <w:tcW w:w="4900" w:type="dxa"/>
            <w:vAlign w:val="bottom"/>
            <w:gridSpan w:val="6"/>
          </w:tcPr>
          <w:p>
            <w:pPr>
              <w:ind w:left="660"/>
              <w:spacing w:after="0" w:line="229" w:lineRule="exact"/>
              <w:rPr>
                <w:sz w:val="20"/>
                <w:szCs w:val="20"/>
                <w:color w:val="auto"/>
              </w:rPr>
            </w:pPr>
            <w:r>
              <w:rPr>
                <w:rFonts w:ascii="Arial" w:cs="Arial" w:eastAsia="Arial" w:hAnsi="Arial"/>
                <w:sz w:val="22"/>
                <w:szCs w:val="22"/>
                <w:color w:val="auto"/>
                <w:w w:val="97"/>
              </w:rPr>
              <w:t>3.18. Affected Financial Institutions...............</w:t>
            </w:r>
          </w:p>
        </w:tc>
        <w:tc>
          <w:tcPr>
            <w:tcW w:w="920" w:type="dxa"/>
            <w:vAlign w:val="bottom"/>
          </w:tcPr>
          <w:p>
            <w:pPr>
              <w:jc w:val="right"/>
              <w:ind w:right="572"/>
              <w:spacing w:after="0" w:line="229" w:lineRule="exact"/>
              <w:rPr>
                <w:sz w:val="20"/>
                <w:szCs w:val="20"/>
                <w:color w:val="auto"/>
              </w:rPr>
            </w:pPr>
            <w:r>
              <w:rPr>
                <w:rFonts w:ascii="Arial" w:cs="Arial" w:eastAsia="Arial" w:hAnsi="Arial"/>
                <w:sz w:val="22"/>
                <w:szCs w:val="22"/>
                <w:color w:val="auto"/>
                <w:w w:val="89"/>
              </w:rPr>
              <w:t>47</w:t>
            </w: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3.19.</w:t>
            </w:r>
          </w:p>
        </w:tc>
        <w:tc>
          <w:tcPr>
            <w:tcW w:w="1540" w:type="dxa"/>
            <w:vAlign w:val="bottom"/>
          </w:tcPr>
          <w:p>
            <w:pPr>
              <w:ind w:left="40"/>
              <w:spacing w:after="0" w:line="243" w:lineRule="exact"/>
              <w:rPr>
                <w:sz w:val="20"/>
                <w:szCs w:val="20"/>
                <w:color w:val="auto"/>
              </w:rPr>
            </w:pPr>
            <w:r>
              <w:rPr>
                <w:rFonts w:ascii="Arial" w:cs="Arial" w:eastAsia="Arial" w:hAnsi="Arial"/>
                <w:sz w:val="22"/>
                <w:szCs w:val="22"/>
                <w:color w:val="auto"/>
                <w:w w:val="76"/>
              </w:rPr>
              <w:t>Disclosure...............</w:t>
            </w:r>
          </w:p>
        </w:tc>
        <w:tc>
          <w:tcPr>
            <w:tcW w:w="880" w:type="dxa"/>
            <w:vAlign w:val="bottom"/>
          </w:tcPr>
          <w:p>
            <w:pPr>
              <w:jc w:val="right"/>
              <w:ind w:right="132"/>
              <w:spacing w:after="0" w:line="243" w:lineRule="exact"/>
              <w:rPr>
                <w:sz w:val="20"/>
                <w:szCs w:val="20"/>
                <w:color w:val="auto"/>
              </w:rPr>
            </w:pPr>
            <w:r>
              <w:rPr>
                <w:rFonts w:ascii="Arial" w:cs="Arial" w:eastAsia="Arial" w:hAnsi="Arial"/>
                <w:sz w:val="22"/>
                <w:szCs w:val="22"/>
                <w:color w:val="auto"/>
              </w:rPr>
              <w:t>47</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3"/>
        </w:trPr>
        <w:tc>
          <w:tcPr>
            <w:tcW w:w="1160" w:type="dxa"/>
            <w:vAlign w:val="bottom"/>
            <w:gridSpan w:val="2"/>
          </w:tcPr>
          <w:p>
            <w:pPr>
              <w:ind w:left="660"/>
              <w:spacing w:after="0" w:line="233" w:lineRule="exact"/>
              <w:rPr>
                <w:sz w:val="20"/>
                <w:szCs w:val="20"/>
                <w:color w:val="auto"/>
              </w:rPr>
            </w:pPr>
            <w:r>
              <w:rPr>
                <w:rFonts w:ascii="Arial" w:cs="Arial" w:eastAsia="Arial" w:hAnsi="Arial"/>
                <w:sz w:val="22"/>
                <w:szCs w:val="22"/>
                <w:color w:val="auto"/>
                <w:w w:val="98"/>
              </w:rPr>
              <w:t>3.20.</w:t>
            </w:r>
          </w:p>
        </w:tc>
        <w:tc>
          <w:tcPr>
            <w:tcW w:w="1540" w:type="dxa"/>
            <w:vAlign w:val="bottom"/>
          </w:tcPr>
          <w:p>
            <w:pPr>
              <w:ind w:left="40"/>
              <w:spacing w:after="0" w:line="233" w:lineRule="exact"/>
              <w:rPr>
                <w:sz w:val="20"/>
                <w:szCs w:val="20"/>
                <w:color w:val="auto"/>
              </w:rPr>
            </w:pPr>
            <w:r>
              <w:rPr>
                <w:rFonts w:ascii="Arial" w:cs="Arial" w:eastAsia="Arial" w:hAnsi="Arial"/>
                <w:sz w:val="21"/>
                <w:szCs w:val="21"/>
                <w:color w:val="auto"/>
                <w:w w:val="70"/>
              </w:rPr>
              <w:t>ERISA Event...............</w:t>
            </w:r>
          </w:p>
        </w:tc>
        <w:tc>
          <w:tcPr>
            <w:tcW w:w="1760" w:type="dxa"/>
            <w:vAlign w:val="bottom"/>
            <w:gridSpan w:val="2"/>
          </w:tcPr>
          <w:p>
            <w:pPr>
              <w:jc w:val="right"/>
              <w:ind w:right="772"/>
              <w:spacing w:after="0" w:line="233" w:lineRule="exact"/>
              <w:rPr>
                <w:sz w:val="20"/>
                <w:szCs w:val="20"/>
                <w:color w:val="auto"/>
              </w:rPr>
            </w:pPr>
            <w:r>
              <w:rPr>
                <w:rFonts w:ascii="Arial" w:cs="Arial" w:eastAsia="Arial" w:hAnsi="Arial"/>
                <w:sz w:val="22"/>
                <w:szCs w:val="22"/>
                <w:color w:val="auto"/>
              </w:rPr>
              <w:t>47</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3580" w:type="dxa"/>
            <w:vAlign w:val="bottom"/>
            <w:gridSpan w:val="4"/>
          </w:tcPr>
          <w:p>
            <w:pPr>
              <w:spacing w:after="0"/>
              <w:rPr>
                <w:sz w:val="20"/>
                <w:szCs w:val="20"/>
                <w:color w:val="auto"/>
              </w:rPr>
            </w:pPr>
            <w:r>
              <w:rPr>
                <w:rFonts w:ascii="Arial" w:cs="Arial" w:eastAsia="Arial" w:hAnsi="Arial"/>
                <w:sz w:val="22"/>
                <w:szCs w:val="22"/>
                <w:b w:val="1"/>
                <w:bCs w:val="1"/>
                <w:color w:val="auto"/>
                <w:w w:val="84"/>
              </w:rPr>
              <w:t>Section 4 Conditions Precedent...............</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47</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33"/>
        </w:trPr>
        <w:tc>
          <w:tcPr>
            <w:tcW w:w="1040" w:type="dxa"/>
            <w:vAlign w:val="bottom"/>
          </w:tcPr>
          <w:p>
            <w:pPr>
              <w:ind w:left="660"/>
              <w:spacing w:after="0" w:line="233" w:lineRule="exact"/>
              <w:rPr>
                <w:sz w:val="20"/>
                <w:szCs w:val="20"/>
                <w:color w:val="auto"/>
              </w:rPr>
            </w:pPr>
            <w:r>
              <w:rPr>
                <w:rFonts w:ascii="Arial" w:cs="Arial" w:eastAsia="Arial" w:hAnsi="Arial"/>
                <w:sz w:val="22"/>
                <w:szCs w:val="22"/>
                <w:color w:val="auto"/>
                <w:w w:val="97"/>
              </w:rPr>
              <w:t>4.1.</w:t>
            </w:r>
          </w:p>
        </w:tc>
        <w:tc>
          <w:tcPr>
            <w:tcW w:w="3860" w:type="dxa"/>
            <w:vAlign w:val="bottom"/>
            <w:gridSpan w:val="5"/>
          </w:tcPr>
          <w:p>
            <w:pPr>
              <w:ind w:left="40"/>
              <w:spacing w:after="0" w:line="233" w:lineRule="exact"/>
              <w:rPr>
                <w:sz w:val="20"/>
                <w:szCs w:val="20"/>
                <w:color w:val="auto"/>
              </w:rPr>
            </w:pPr>
            <w:r>
              <w:rPr>
                <w:rFonts w:ascii="Arial" w:cs="Arial" w:eastAsia="Arial" w:hAnsi="Arial"/>
                <w:sz w:val="22"/>
                <w:szCs w:val="22"/>
                <w:color w:val="auto"/>
                <w:w w:val="97"/>
              </w:rPr>
              <w:t>Conditions to the Closing Date...............</w:t>
            </w:r>
          </w:p>
        </w:tc>
        <w:tc>
          <w:tcPr>
            <w:tcW w:w="920" w:type="dxa"/>
            <w:vAlign w:val="bottom"/>
          </w:tcPr>
          <w:p>
            <w:pPr>
              <w:jc w:val="right"/>
              <w:ind w:right="572"/>
              <w:spacing w:after="0" w:line="233" w:lineRule="exact"/>
              <w:rPr>
                <w:sz w:val="20"/>
                <w:szCs w:val="20"/>
                <w:color w:val="auto"/>
              </w:rPr>
            </w:pPr>
            <w:r>
              <w:rPr>
                <w:rFonts w:ascii="Arial" w:cs="Arial" w:eastAsia="Arial" w:hAnsi="Arial"/>
                <w:sz w:val="22"/>
                <w:szCs w:val="22"/>
                <w:color w:val="auto"/>
                <w:w w:val="89"/>
              </w:rPr>
              <w:t>47</w:t>
            </w: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3580" w:type="dxa"/>
            <w:vAlign w:val="bottom"/>
            <w:gridSpan w:val="4"/>
          </w:tcPr>
          <w:p>
            <w:pPr>
              <w:spacing w:after="0"/>
              <w:rPr>
                <w:sz w:val="20"/>
                <w:szCs w:val="20"/>
                <w:color w:val="auto"/>
              </w:rPr>
            </w:pPr>
            <w:r>
              <w:rPr>
                <w:rFonts w:ascii="Arial" w:cs="Arial" w:eastAsia="Arial" w:hAnsi="Arial"/>
                <w:sz w:val="22"/>
                <w:szCs w:val="22"/>
                <w:b w:val="1"/>
                <w:bCs w:val="1"/>
                <w:color w:val="auto"/>
                <w:w w:val="82"/>
              </w:rPr>
              <w:t>Section 5 Affirmative Covenants...............</w:t>
            </w:r>
          </w:p>
        </w:tc>
        <w:tc>
          <w:tcPr>
            <w:tcW w:w="1320" w:type="dxa"/>
            <w:vAlign w:val="bottom"/>
            <w:gridSpan w:val="2"/>
          </w:tcPr>
          <w:p>
            <w:pPr>
              <w:jc w:val="right"/>
              <w:ind w:right="332"/>
              <w:spacing w:after="0"/>
              <w:rPr>
                <w:sz w:val="20"/>
                <w:szCs w:val="20"/>
                <w:color w:val="auto"/>
              </w:rPr>
            </w:pPr>
            <w:r>
              <w:rPr>
                <w:rFonts w:ascii="Arial" w:cs="Arial" w:eastAsia="Arial" w:hAnsi="Arial"/>
                <w:sz w:val="22"/>
                <w:szCs w:val="22"/>
                <w:b w:val="1"/>
                <w:bCs w:val="1"/>
                <w:color w:val="auto"/>
              </w:rPr>
              <w:t>49</w:t>
            </w: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5.1.</w:t>
            </w:r>
          </w:p>
        </w:tc>
        <w:tc>
          <w:tcPr>
            <w:tcW w:w="34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7"/>
              </w:rPr>
              <w:t>Financial Statements, etc................</w:t>
            </w:r>
          </w:p>
        </w:tc>
        <w:tc>
          <w:tcPr>
            <w:tcW w:w="440" w:type="dxa"/>
            <w:vAlign w:val="bottom"/>
          </w:tcPr>
          <w:p>
            <w:pPr>
              <w:spacing w:after="0" w:line="243" w:lineRule="exact"/>
              <w:rPr>
                <w:sz w:val="20"/>
                <w:szCs w:val="20"/>
                <w:color w:val="auto"/>
              </w:rPr>
            </w:pPr>
            <w:r>
              <w:rPr>
                <w:rFonts w:ascii="Arial" w:cs="Arial" w:eastAsia="Arial" w:hAnsi="Arial"/>
                <w:sz w:val="22"/>
                <w:szCs w:val="22"/>
                <w:color w:val="auto"/>
              </w:rPr>
              <w:t>49</w:t>
            </w: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5.2.</w:t>
            </w:r>
          </w:p>
        </w:tc>
        <w:tc>
          <w:tcPr>
            <w:tcW w:w="38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0"/>
              </w:rPr>
              <w:t>Compliance Certificate; Reporting...............</w:t>
            </w:r>
          </w:p>
        </w:tc>
        <w:tc>
          <w:tcPr>
            <w:tcW w:w="92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49</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5.3.</w:t>
            </w:r>
          </w:p>
        </w:tc>
        <w:tc>
          <w:tcPr>
            <w:tcW w:w="34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7"/>
              </w:rPr>
              <w:t>Maintenance of Existence...............</w:t>
            </w:r>
          </w:p>
        </w:tc>
        <w:tc>
          <w:tcPr>
            <w:tcW w:w="440" w:type="dxa"/>
            <w:vAlign w:val="bottom"/>
          </w:tcPr>
          <w:p>
            <w:pPr>
              <w:spacing w:after="0" w:line="243" w:lineRule="exact"/>
              <w:rPr>
                <w:sz w:val="20"/>
                <w:szCs w:val="20"/>
                <w:color w:val="auto"/>
              </w:rPr>
            </w:pPr>
            <w:r>
              <w:rPr>
                <w:rFonts w:ascii="Arial" w:cs="Arial" w:eastAsia="Arial" w:hAnsi="Arial"/>
                <w:sz w:val="22"/>
                <w:szCs w:val="22"/>
                <w:color w:val="auto"/>
              </w:rPr>
              <w:t>50</w:t>
            </w: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5.4.</w:t>
            </w:r>
          </w:p>
        </w:tc>
        <w:tc>
          <w:tcPr>
            <w:tcW w:w="34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7"/>
              </w:rPr>
              <w:t>Maintenance of Insurance...............</w:t>
            </w:r>
          </w:p>
        </w:tc>
        <w:tc>
          <w:tcPr>
            <w:tcW w:w="440" w:type="dxa"/>
            <w:vAlign w:val="bottom"/>
          </w:tcPr>
          <w:p>
            <w:pPr>
              <w:spacing w:after="0" w:line="243" w:lineRule="exact"/>
              <w:rPr>
                <w:sz w:val="20"/>
                <w:szCs w:val="20"/>
                <w:color w:val="auto"/>
              </w:rPr>
            </w:pPr>
            <w:r>
              <w:rPr>
                <w:rFonts w:ascii="Arial" w:cs="Arial" w:eastAsia="Arial" w:hAnsi="Arial"/>
                <w:sz w:val="22"/>
                <w:szCs w:val="22"/>
                <w:color w:val="auto"/>
              </w:rPr>
              <w:t>50</w:t>
            </w: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5.5.</w:t>
            </w:r>
          </w:p>
        </w:tc>
        <w:tc>
          <w:tcPr>
            <w:tcW w:w="254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7"/>
              </w:rPr>
              <w:t>Use of Proceeds...............</w:t>
            </w:r>
          </w:p>
        </w:tc>
        <w:tc>
          <w:tcPr>
            <w:tcW w:w="880" w:type="dxa"/>
            <w:vAlign w:val="bottom"/>
          </w:tcPr>
          <w:p>
            <w:pPr>
              <w:jc w:val="right"/>
              <w:ind w:right="532"/>
              <w:spacing w:after="0" w:line="243" w:lineRule="exact"/>
              <w:rPr>
                <w:sz w:val="20"/>
                <w:szCs w:val="20"/>
                <w:color w:val="auto"/>
              </w:rPr>
            </w:pPr>
            <w:r>
              <w:rPr>
                <w:rFonts w:ascii="Arial" w:cs="Arial" w:eastAsia="Arial" w:hAnsi="Arial"/>
                <w:sz w:val="22"/>
                <w:szCs w:val="22"/>
                <w:color w:val="auto"/>
                <w:w w:val="89"/>
              </w:rPr>
              <w:t>50</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29"/>
        </w:trPr>
        <w:tc>
          <w:tcPr>
            <w:tcW w:w="1040" w:type="dxa"/>
            <w:vAlign w:val="bottom"/>
          </w:tcPr>
          <w:p>
            <w:pPr>
              <w:ind w:left="660"/>
              <w:spacing w:after="0" w:line="229" w:lineRule="exact"/>
              <w:rPr>
                <w:sz w:val="20"/>
                <w:szCs w:val="20"/>
                <w:color w:val="auto"/>
              </w:rPr>
            </w:pPr>
            <w:r>
              <w:rPr>
                <w:rFonts w:ascii="Arial" w:cs="Arial" w:eastAsia="Arial" w:hAnsi="Arial"/>
                <w:sz w:val="22"/>
                <w:szCs w:val="22"/>
                <w:color w:val="auto"/>
                <w:w w:val="97"/>
              </w:rPr>
              <w:t>5.6.</w:t>
            </w:r>
          </w:p>
        </w:tc>
        <w:tc>
          <w:tcPr>
            <w:tcW w:w="2540" w:type="dxa"/>
            <w:vAlign w:val="bottom"/>
            <w:gridSpan w:val="3"/>
          </w:tcPr>
          <w:p>
            <w:pPr>
              <w:ind w:left="40"/>
              <w:spacing w:after="0" w:line="229" w:lineRule="exact"/>
              <w:rPr>
                <w:sz w:val="20"/>
                <w:szCs w:val="20"/>
                <w:color w:val="auto"/>
              </w:rPr>
            </w:pPr>
            <w:r>
              <w:rPr>
                <w:rFonts w:ascii="Arial" w:cs="Arial" w:eastAsia="Arial" w:hAnsi="Arial"/>
                <w:sz w:val="22"/>
                <w:szCs w:val="22"/>
                <w:color w:val="auto"/>
                <w:w w:val="79"/>
              </w:rPr>
              <w:t>Compliance with Laws...............</w:t>
            </w:r>
          </w:p>
        </w:tc>
        <w:tc>
          <w:tcPr>
            <w:tcW w:w="880" w:type="dxa"/>
            <w:vAlign w:val="bottom"/>
          </w:tcPr>
          <w:p>
            <w:pPr>
              <w:jc w:val="right"/>
              <w:spacing w:after="0" w:line="229" w:lineRule="exact"/>
              <w:rPr>
                <w:sz w:val="20"/>
                <w:szCs w:val="20"/>
                <w:color w:val="auto"/>
              </w:rPr>
            </w:pPr>
            <w:r>
              <w:rPr>
                <w:rFonts w:ascii="Arial" w:cs="Arial" w:eastAsia="Arial" w:hAnsi="Arial"/>
                <w:sz w:val="22"/>
                <w:szCs w:val="22"/>
                <w:color w:val="auto"/>
              </w:rPr>
              <w:t>50</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3"/>
        </w:trPr>
        <w:tc>
          <w:tcPr>
            <w:tcW w:w="1040" w:type="dxa"/>
            <w:vAlign w:val="bottom"/>
          </w:tcPr>
          <w:p>
            <w:pPr>
              <w:ind w:left="660"/>
              <w:spacing w:after="0" w:line="233" w:lineRule="exact"/>
              <w:rPr>
                <w:sz w:val="20"/>
                <w:szCs w:val="20"/>
                <w:color w:val="auto"/>
              </w:rPr>
            </w:pPr>
            <w:r>
              <w:rPr>
                <w:rFonts w:ascii="Arial" w:cs="Arial" w:eastAsia="Arial" w:hAnsi="Arial"/>
                <w:sz w:val="22"/>
                <w:szCs w:val="22"/>
                <w:color w:val="auto"/>
                <w:w w:val="97"/>
              </w:rPr>
              <w:t>5.7.</w:t>
            </w:r>
          </w:p>
        </w:tc>
        <w:tc>
          <w:tcPr>
            <w:tcW w:w="3420" w:type="dxa"/>
            <w:vAlign w:val="bottom"/>
            <w:gridSpan w:val="4"/>
          </w:tcPr>
          <w:p>
            <w:pPr>
              <w:ind w:left="40"/>
              <w:spacing w:after="0" w:line="233" w:lineRule="exact"/>
              <w:rPr>
                <w:sz w:val="20"/>
                <w:szCs w:val="20"/>
                <w:color w:val="auto"/>
              </w:rPr>
            </w:pPr>
            <w:r>
              <w:rPr>
                <w:rFonts w:ascii="Arial" w:cs="Arial" w:eastAsia="Arial" w:hAnsi="Arial"/>
                <w:sz w:val="22"/>
                <w:szCs w:val="22"/>
                <w:color w:val="auto"/>
                <w:w w:val="93"/>
              </w:rPr>
              <w:t>Designation of Subsidiaries...............</w:t>
            </w:r>
          </w:p>
        </w:tc>
        <w:tc>
          <w:tcPr>
            <w:tcW w:w="440" w:type="dxa"/>
            <w:vAlign w:val="bottom"/>
          </w:tcPr>
          <w:p>
            <w:pPr>
              <w:jc w:val="right"/>
              <w:spacing w:after="0" w:line="233" w:lineRule="exact"/>
              <w:rPr>
                <w:sz w:val="20"/>
                <w:szCs w:val="20"/>
                <w:color w:val="auto"/>
              </w:rPr>
            </w:pPr>
            <w:r>
              <w:rPr>
                <w:rFonts w:ascii="Arial" w:cs="Arial" w:eastAsia="Arial" w:hAnsi="Arial"/>
                <w:sz w:val="22"/>
                <w:szCs w:val="22"/>
                <w:color w:val="auto"/>
              </w:rPr>
              <w:t>50</w:t>
            </w:r>
          </w:p>
        </w:tc>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3580" w:type="dxa"/>
            <w:vAlign w:val="bottom"/>
            <w:gridSpan w:val="4"/>
          </w:tcPr>
          <w:p>
            <w:pPr>
              <w:spacing w:after="0"/>
              <w:rPr>
                <w:sz w:val="20"/>
                <w:szCs w:val="20"/>
                <w:color w:val="auto"/>
              </w:rPr>
            </w:pPr>
            <w:r>
              <w:rPr>
                <w:rFonts w:ascii="Arial" w:cs="Arial" w:eastAsia="Arial" w:hAnsi="Arial"/>
                <w:sz w:val="22"/>
                <w:szCs w:val="22"/>
                <w:b w:val="1"/>
                <w:bCs w:val="1"/>
                <w:color w:val="auto"/>
                <w:w w:val="87"/>
              </w:rPr>
              <w:t>Section 6 Negative Covenants</w:t>
            </w:r>
            <w:r>
              <w:rPr>
                <w:rFonts w:ascii="Arial" w:cs="Arial" w:eastAsia="Arial" w:hAnsi="Arial"/>
                <w:sz w:val="22"/>
                <w:szCs w:val="22"/>
                <w:color w:val="auto"/>
                <w:w w:val="87"/>
              </w:rPr>
              <w:t>...............</w:t>
            </w:r>
          </w:p>
        </w:tc>
        <w:tc>
          <w:tcPr>
            <w:tcW w:w="880" w:type="dxa"/>
            <w:vAlign w:val="bottom"/>
          </w:tcPr>
          <w:p>
            <w:pPr>
              <w:jc w:val="right"/>
              <w:ind w:right="112"/>
              <w:spacing w:after="0"/>
              <w:rPr>
                <w:sz w:val="20"/>
                <w:szCs w:val="20"/>
                <w:color w:val="auto"/>
              </w:rPr>
            </w:pPr>
            <w:r>
              <w:rPr>
                <w:rFonts w:ascii="Arial" w:cs="Arial" w:eastAsia="Arial" w:hAnsi="Arial"/>
                <w:sz w:val="22"/>
                <w:szCs w:val="22"/>
                <w:b w:val="1"/>
                <w:bCs w:val="1"/>
                <w:color w:val="auto"/>
              </w:rPr>
              <w:t>50</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6.1.</w:t>
            </w:r>
          </w:p>
        </w:tc>
        <w:tc>
          <w:tcPr>
            <w:tcW w:w="3420" w:type="dxa"/>
            <w:vAlign w:val="bottom"/>
            <w:gridSpan w:val="4"/>
          </w:tcPr>
          <w:p>
            <w:pPr>
              <w:ind w:left="40"/>
              <w:spacing w:after="0" w:line="243" w:lineRule="exact"/>
              <w:rPr>
                <w:sz w:val="20"/>
                <w:szCs w:val="20"/>
                <w:color w:val="auto"/>
              </w:rPr>
            </w:pPr>
            <w:r>
              <w:rPr>
                <w:rFonts w:ascii="Arial" w:cs="Arial" w:eastAsia="Arial" w:hAnsi="Arial"/>
                <w:sz w:val="22"/>
                <w:szCs w:val="22"/>
                <w:color w:val="auto"/>
                <w:w w:val="94"/>
              </w:rPr>
              <w:t>Limitation on Indebtedness...............</w:t>
            </w:r>
          </w:p>
        </w:tc>
        <w:tc>
          <w:tcPr>
            <w:tcW w:w="44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6.2.</w:t>
            </w:r>
          </w:p>
        </w:tc>
        <w:tc>
          <w:tcPr>
            <w:tcW w:w="254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0"/>
              </w:rPr>
              <w:t>Limitation on Liens...............</w:t>
            </w:r>
          </w:p>
        </w:tc>
        <w:tc>
          <w:tcPr>
            <w:tcW w:w="880" w:type="dxa"/>
            <w:vAlign w:val="bottom"/>
          </w:tcPr>
          <w:p>
            <w:pPr>
              <w:jc w:val="right"/>
              <w:ind w:right="332"/>
              <w:spacing w:after="0" w:line="243" w:lineRule="exact"/>
              <w:rPr>
                <w:sz w:val="20"/>
                <w:szCs w:val="20"/>
                <w:color w:val="auto"/>
              </w:rPr>
            </w:pPr>
            <w:r>
              <w:rPr>
                <w:rFonts w:ascii="Arial" w:cs="Arial" w:eastAsia="Arial" w:hAnsi="Arial"/>
                <w:sz w:val="22"/>
                <w:szCs w:val="22"/>
                <w:color w:val="auto"/>
              </w:rPr>
              <w:t>52</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6.3.</w:t>
            </w:r>
          </w:p>
        </w:tc>
        <w:tc>
          <w:tcPr>
            <w:tcW w:w="478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97"/>
              </w:rPr>
              <w:t>Merger, Consolidation, or Sale of Assets...............</w:t>
            </w:r>
          </w:p>
        </w:tc>
        <w:tc>
          <w:tcPr>
            <w:tcW w:w="2820" w:type="dxa"/>
            <w:vAlign w:val="bottom"/>
          </w:tcPr>
          <w:p>
            <w:pPr>
              <w:jc w:val="right"/>
              <w:ind w:right="2472"/>
              <w:spacing w:after="0" w:line="243" w:lineRule="exact"/>
              <w:rPr>
                <w:sz w:val="20"/>
                <w:szCs w:val="20"/>
                <w:color w:val="auto"/>
              </w:rPr>
            </w:pPr>
            <w:r>
              <w:rPr>
                <w:rFonts w:ascii="Arial" w:cs="Arial" w:eastAsia="Arial" w:hAnsi="Arial"/>
                <w:sz w:val="22"/>
                <w:szCs w:val="22"/>
                <w:color w:val="auto"/>
                <w:w w:val="89"/>
              </w:rPr>
              <w:t>52</w:t>
            </w: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6.4.</w:t>
            </w:r>
          </w:p>
        </w:tc>
        <w:tc>
          <w:tcPr>
            <w:tcW w:w="478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85"/>
              </w:rPr>
              <w:t>Limitation on Sale and Leaseback Transactions...............</w:t>
            </w:r>
          </w:p>
        </w:tc>
        <w:tc>
          <w:tcPr>
            <w:tcW w:w="2820" w:type="dxa"/>
            <w:vAlign w:val="bottom"/>
          </w:tcPr>
          <w:p>
            <w:pPr>
              <w:jc w:val="right"/>
              <w:ind w:right="1792"/>
              <w:spacing w:after="0" w:line="243" w:lineRule="exact"/>
              <w:rPr>
                <w:sz w:val="20"/>
                <w:szCs w:val="20"/>
                <w:color w:val="auto"/>
              </w:rPr>
            </w:pPr>
            <w:r>
              <w:rPr>
                <w:rFonts w:ascii="Arial" w:cs="Arial" w:eastAsia="Arial" w:hAnsi="Arial"/>
                <w:sz w:val="22"/>
                <w:szCs w:val="22"/>
                <w:color w:val="auto"/>
              </w:rPr>
              <w:t>53</w:t>
            </w:r>
          </w:p>
        </w:tc>
        <w:tc>
          <w:tcPr>
            <w:tcW w:w="240" w:type="dxa"/>
            <w:vAlign w:val="bottom"/>
          </w:tcPr>
          <w:p>
            <w:pPr>
              <w:spacing w:after="0"/>
              <w:rPr>
                <w:sz w:val="21"/>
                <w:szCs w:val="21"/>
                <w:color w:val="auto"/>
              </w:rPr>
            </w:pPr>
          </w:p>
        </w:tc>
      </w:tr>
      <w:tr>
        <w:trPr>
          <w:trHeight w:val="243"/>
        </w:trPr>
        <w:tc>
          <w:tcPr>
            <w:tcW w:w="4900" w:type="dxa"/>
            <w:vAlign w:val="bottom"/>
            <w:gridSpan w:val="6"/>
          </w:tcPr>
          <w:p>
            <w:pPr>
              <w:ind w:left="660"/>
              <w:spacing w:after="0" w:line="243" w:lineRule="exact"/>
              <w:rPr>
                <w:sz w:val="20"/>
                <w:szCs w:val="20"/>
                <w:color w:val="auto"/>
              </w:rPr>
            </w:pPr>
            <w:r>
              <w:rPr>
                <w:rFonts w:ascii="Arial" w:cs="Arial" w:eastAsia="Arial" w:hAnsi="Arial"/>
                <w:sz w:val="22"/>
                <w:szCs w:val="22"/>
                <w:color w:val="auto"/>
                <w:w w:val="86"/>
              </w:rPr>
              <w:t>6.5. Anti-Corruption Laws and Sanctions...............</w:t>
            </w:r>
          </w:p>
        </w:tc>
        <w:tc>
          <w:tcPr>
            <w:tcW w:w="920" w:type="dxa"/>
            <w:vAlign w:val="bottom"/>
          </w:tcPr>
          <w:p>
            <w:pPr>
              <w:jc w:val="right"/>
              <w:ind w:right="52"/>
              <w:spacing w:after="0" w:line="243" w:lineRule="exact"/>
              <w:rPr>
                <w:sz w:val="20"/>
                <w:szCs w:val="20"/>
                <w:color w:val="auto"/>
              </w:rPr>
            </w:pPr>
            <w:r>
              <w:rPr>
                <w:rFonts w:ascii="Arial" w:cs="Arial" w:eastAsia="Arial" w:hAnsi="Arial"/>
                <w:sz w:val="22"/>
                <w:szCs w:val="22"/>
                <w:color w:val="auto"/>
              </w:rPr>
              <w:t>53</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3"/>
        </w:trPr>
        <w:tc>
          <w:tcPr>
            <w:tcW w:w="1040" w:type="dxa"/>
            <w:vAlign w:val="bottom"/>
          </w:tcPr>
          <w:p>
            <w:pPr>
              <w:ind w:left="660"/>
              <w:spacing w:after="0" w:line="233" w:lineRule="exact"/>
              <w:rPr>
                <w:sz w:val="20"/>
                <w:szCs w:val="20"/>
                <w:color w:val="auto"/>
              </w:rPr>
            </w:pPr>
            <w:r>
              <w:rPr>
                <w:rFonts w:ascii="Arial" w:cs="Arial" w:eastAsia="Arial" w:hAnsi="Arial"/>
                <w:sz w:val="22"/>
                <w:szCs w:val="22"/>
                <w:color w:val="auto"/>
                <w:w w:val="97"/>
              </w:rPr>
              <w:t>6.6.</w:t>
            </w:r>
          </w:p>
        </w:tc>
        <w:tc>
          <w:tcPr>
            <w:tcW w:w="2540" w:type="dxa"/>
            <w:vAlign w:val="bottom"/>
            <w:gridSpan w:val="3"/>
          </w:tcPr>
          <w:p>
            <w:pPr>
              <w:ind w:left="40"/>
              <w:spacing w:after="0" w:line="233" w:lineRule="exact"/>
              <w:rPr>
                <w:sz w:val="20"/>
                <w:szCs w:val="20"/>
                <w:color w:val="auto"/>
              </w:rPr>
            </w:pPr>
            <w:r>
              <w:rPr>
                <w:rFonts w:ascii="Arial" w:cs="Arial" w:eastAsia="Arial" w:hAnsi="Arial"/>
                <w:sz w:val="22"/>
                <w:szCs w:val="22"/>
                <w:color w:val="auto"/>
                <w:w w:val="88"/>
              </w:rPr>
              <w:t>Financial Covenant...............</w:t>
            </w:r>
          </w:p>
        </w:tc>
        <w:tc>
          <w:tcPr>
            <w:tcW w:w="880" w:type="dxa"/>
            <w:vAlign w:val="bottom"/>
          </w:tcPr>
          <w:p>
            <w:pPr>
              <w:jc w:val="right"/>
              <w:ind w:right="292"/>
              <w:spacing w:after="0" w:line="233" w:lineRule="exact"/>
              <w:rPr>
                <w:sz w:val="20"/>
                <w:szCs w:val="20"/>
                <w:color w:val="auto"/>
              </w:rPr>
            </w:pPr>
            <w:r>
              <w:rPr>
                <w:rFonts w:ascii="Arial" w:cs="Arial" w:eastAsia="Arial" w:hAnsi="Arial"/>
                <w:sz w:val="22"/>
                <w:szCs w:val="22"/>
                <w:color w:val="auto"/>
              </w:rPr>
              <w:t>54</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3580" w:type="dxa"/>
            <w:vAlign w:val="bottom"/>
            <w:gridSpan w:val="4"/>
          </w:tcPr>
          <w:p>
            <w:pPr>
              <w:spacing w:after="0"/>
              <w:rPr>
                <w:sz w:val="20"/>
                <w:szCs w:val="20"/>
                <w:color w:val="auto"/>
              </w:rPr>
            </w:pPr>
            <w:r>
              <w:rPr>
                <w:rFonts w:ascii="Arial" w:cs="Arial" w:eastAsia="Arial" w:hAnsi="Arial"/>
                <w:sz w:val="22"/>
                <w:szCs w:val="22"/>
                <w:b w:val="1"/>
                <w:bCs w:val="1"/>
                <w:color w:val="auto"/>
                <w:w w:val="94"/>
              </w:rPr>
              <w:t>Section 7 Events of Default</w:t>
            </w:r>
            <w:r>
              <w:rPr>
                <w:rFonts w:ascii="Arial" w:cs="Arial" w:eastAsia="Arial" w:hAnsi="Arial"/>
                <w:sz w:val="22"/>
                <w:szCs w:val="22"/>
                <w:color w:val="auto"/>
                <w:w w:val="94"/>
              </w:rPr>
              <w:t>...............</w:t>
            </w:r>
          </w:p>
        </w:tc>
        <w:tc>
          <w:tcPr>
            <w:tcW w:w="880" w:type="dxa"/>
            <w:vAlign w:val="bottom"/>
          </w:tcPr>
          <w:p>
            <w:pPr>
              <w:jc w:val="right"/>
              <w:ind w:right="412"/>
              <w:spacing w:after="0"/>
              <w:rPr>
                <w:sz w:val="20"/>
                <w:szCs w:val="20"/>
                <w:color w:val="auto"/>
              </w:rPr>
            </w:pPr>
            <w:r>
              <w:rPr>
                <w:rFonts w:ascii="Arial" w:cs="Arial" w:eastAsia="Arial" w:hAnsi="Arial"/>
                <w:sz w:val="22"/>
                <w:szCs w:val="22"/>
                <w:b w:val="1"/>
                <w:bCs w:val="1"/>
                <w:color w:val="auto"/>
              </w:rPr>
              <w:t>54</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20"/>
        </w:trPr>
        <w:tc>
          <w:tcPr>
            <w:tcW w:w="1040" w:type="dxa"/>
            <w:vAlign w:val="bottom"/>
          </w:tcPr>
          <w:p>
            <w:pPr>
              <w:ind w:left="660"/>
              <w:spacing w:after="0" w:line="220" w:lineRule="exact"/>
              <w:rPr>
                <w:sz w:val="20"/>
                <w:szCs w:val="20"/>
                <w:color w:val="auto"/>
              </w:rPr>
            </w:pPr>
            <w:r>
              <w:rPr>
                <w:rFonts w:ascii="Arial" w:cs="Arial" w:eastAsia="Arial" w:hAnsi="Arial"/>
                <w:sz w:val="22"/>
                <w:szCs w:val="22"/>
                <w:color w:val="auto"/>
                <w:w w:val="97"/>
              </w:rPr>
              <w:t>7.1.</w:t>
            </w:r>
          </w:p>
        </w:tc>
        <w:tc>
          <w:tcPr>
            <w:tcW w:w="2540" w:type="dxa"/>
            <w:vAlign w:val="bottom"/>
            <w:gridSpan w:val="3"/>
          </w:tcPr>
          <w:p>
            <w:pPr>
              <w:ind w:left="40"/>
              <w:spacing w:after="0" w:line="220" w:lineRule="exact"/>
              <w:rPr>
                <w:sz w:val="20"/>
                <w:szCs w:val="20"/>
                <w:color w:val="auto"/>
              </w:rPr>
            </w:pPr>
            <w:r>
              <w:rPr>
                <w:rFonts w:ascii="Arial" w:cs="Arial" w:eastAsia="Arial" w:hAnsi="Arial"/>
                <w:sz w:val="22"/>
                <w:szCs w:val="22"/>
                <w:color w:val="auto"/>
                <w:w w:val="95"/>
              </w:rPr>
              <w:t>Events of Default...............</w:t>
            </w:r>
          </w:p>
        </w:tc>
        <w:tc>
          <w:tcPr>
            <w:tcW w:w="880" w:type="dxa"/>
            <w:vAlign w:val="bottom"/>
          </w:tcPr>
          <w:p>
            <w:pPr>
              <w:jc w:val="right"/>
              <w:ind w:right="492"/>
              <w:spacing w:after="0" w:line="220" w:lineRule="exact"/>
              <w:rPr>
                <w:sz w:val="20"/>
                <w:szCs w:val="20"/>
                <w:color w:val="auto"/>
              </w:rPr>
            </w:pPr>
            <w:r>
              <w:rPr>
                <w:rFonts w:ascii="Arial" w:cs="Arial" w:eastAsia="Arial" w:hAnsi="Arial"/>
                <w:sz w:val="22"/>
                <w:szCs w:val="22"/>
                <w:color w:val="auto"/>
              </w:rPr>
              <w:t>54</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3"/>
        </w:trPr>
        <w:tc>
          <w:tcPr>
            <w:tcW w:w="2700" w:type="dxa"/>
            <w:vAlign w:val="bottom"/>
            <w:gridSpan w:val="3"/>
          </w:tcPr>
          <w:p>
            <w:pPr>
              <w:spacing w:after="0"/>
              <w:rPr>
                <w:sz w:val="20"/>
                <w:szCs w:val="20"/>
                <w:color w:val="auto"/>
              </w:rPr>
            </w:pPr>
            <w:r>
              <w:rPr>
                <w:rFonts w:ascii="Arial" w:cs="Arial" w:eastAsia="Arial" w:hAnsi="Arial"/>
                <w:sz w:val="22"/>
                <w:szCs w:val="22"/>
                <w:b w:val="1"/>
                <w:bCs w:val="1"/>
                <w:color w:val="auto"/>
                <w:w w:val="84"/>
              </w:rPr>
              <w:t>Section 8 The Agents</w:t>
            </w:r>
            <w:r>
              <w:rPr>
                <w:rFonts w:ascii="Arial" w:cs="Arial" w:eastAsia="Arial" w:hAnsi="Arial"/>
                <w:sz w:val="22"/>
                <w:szCs w:val="22"/>
                <w:color w:val="auto"/>
                <w:w w:val="84"/>
              </w:rPr>
              <w:t>...............</w:t>
            </w:r>
          </w:p>
        </w:tc>
        <w:tc>
          <w:tcPr>
            <w:tcW w:w="880" w:type="dxa"/>
            <w:vAlign w:val="bottom"/>
          </w:tcPr>
          <w:p>
            <w:pPr>
              <w:jc w:val="right"/>
              <w:ind w:right="132"/>
              <w:spacing w:after="0"/>
              <w:rPr>
                <w:sz w:val="20"/>
                <w:szCs w:val="20"/>
                <w:color w:val="auto"/>
              </w:rPr>
            </w:pPr>
            <w:r>
              <w:rPr>
                <w:rFonts w:ascii="Arial" w:cs="Arial" w:eastAsia="Arial" w:hAnsi="Arial"/>
                <w:sz w:val="22"/>
                <w:szCs w:val="22"/>
                <w:b w:val="1"/>
                <w:bCs w:val="1"/>
                <w:color w:val="auto"/>
              </w:rPr>
              <w:t>56</w:t>
            </w: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270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78"/>
              </w:rPr>
              <w:t>8.1. Appointment...............</w:t>
            </w:r>
          </w:p>
        </w:tc>
        <w:tc>
          <w:tcPr>
            <w:tcW w:w="880" w:type="dxa"/>
            <w:vAlign w:val="bottom"/>
          </w:tcPr>
          <w:p>
            <w:pPr>
              <w:jc w:val="right"/>
              <w:ind w:right="52"/>
              <w:spacing w:after="0" w:line="243" w:lineRule="exact"/>
              <w:rPr>
                <w:sz w:val="20"/>
                <w:szCs w:val="20"/>
                <w:color w:val="auto"/>
              </w:rPr>
            </w:pPr>
            <w:r>
              <w:rPr>
                <w:rFonts w:ascii="Arial" w:cs="Arial" w:eastAsia="Arial" w:hAnsi="Arial"/>
                <w:sz w:val="22"/>
                <w:szCs w:val="22"/>
                <w:color w:val="auto"/>
              </w:rPr>
              <w:t>56</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8.2.</w:t>
            </w:r>
          </w:p>
        </w:tc>
        <w:tc>
          <w:tcPr>
            <w:tcW w:w="254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5"/>
              </w:rPr>
              <w:t>Delegation of Duties...............</w:t>
            </w:r>
          </w:p>
        </w:tc>
        <w:tc>
          <w:tcPr>
            <w:tcW w:w="8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56</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8.3.</w:t>
            </w:r>
          </w:p>
        </w:tc>
        <w:tc>
          <w:tcPr>
            <w:tcW w:w="254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78"/>
              </w:rPr>
              <w:t>Exculpatory Provisions...............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8.4.</w:t>
            </w:r>
          </w:p>
        </w:tc>
        <w:tc>
          <w:tcPr>
            <w:tcW w:w="38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84"/>
              </w:rPr>
              <w:t>Reliance by the Administrative Agent...............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8.5.</w:t>
            </w:r>
          </w:p>
        </w:tc>
        <w:tc>
          <w:tcPr>
            <w:tcW w:w="254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97"/>
              </w:rPr>
              <w:t>Notice of Default...............</w:t>
            </w:r>
          </w:p>
        </w:tc>
        <w:tc>
          <w:tcPr>
            <w:tcW w:w="880" w:type="dxa"/>
            <w:vAlign w:val="bottom"/>
          </w:tcPr>
          <w:p>
            <w:pPr>
              <w:jc w:val="right"/>
              <w:ind w:right="532"/>
              <w:spacing w:after="0" w:line="243" w:lineRule="exact"/>
              <w:rPr>
                <w:sz w:val="20"/>
                <w:szCs w:val="20"/>
                <w:color w:val="auto"/>
              </w:rPr>
            </w:pPr>
            <w:r>
              <w:rPr>
                <w:rFonts w:ascii="Arial" w:cs="Arial" w:eastAsia="Arial" w:hAnsi="Arial"/>
                <w:sz w:val="22"/>
                <w:szCs w:val="22"/>
                <w:color w:val="auto"/>
                <w:w w:val="89"/>
              </w:rPr>
              <w:t>57</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8.6.</w:t>
            </w:r>
          </w:p>
        </w:tc>
        <w:tc>
          <w:tcPr>
            <w:tcW w:w="4780" w:type="dxa"/>
            <w:vAlign w:val="bottom"/>
            <w:gridSpan w:val="6"/>
          </w:tcPr>
          <w:p>
            <w:pPr>
              <w:ind w:left="40"/>
              <w:spacing w:after="0" w:line="243" w:lineRule="exact"/>
              <w:rPr>
                <w:sz w:val="20"/>
                <w:szCs w:val="20"/>
                <w:color w:val="auto"/>
              </w:rPr>
            </w:pPr>
            <w:r>
              <w:rPr>
                <w:rFonts w:ascii="Arial" w:cs="Arial" w:eastAsia="Arial" w:hAnsi="Arial"/>
                <w:sz w:val="22"/>
                <w:szCs w:val="22"/>
                <w:color w:val="auto"/>
                <w:w w:val="86"/>
              </w:rPr>
              <w:t>Non-Reliance on the Agent and Other Lenders...............</w:t>
            </w:r>
          </w:p>
        </w:tc>
        <w:tc>
          <w:tcPr>
            <w:tcW w:w="2820" w:type="dxa"/>
            <w:vAlign w:val="bottom"/>
          </w:tcPr>
          <w:p>
            <w:pPr>
              <w:jc w:val="right"/>
              <w:ind w:right="1872"/>
              <w:spacing w:after="0" w:line="243" w:lineRule="exact"/>
              <w:rPr>
                <w:sz w:val="20"/>
                <w:szCs w:val="20"/>
                <w:color w:val="auto"/>
              </w:rPr>
            </w:pPr>
            <w:r>
              <w:rPr>
                <w:rFonts w:ascii="Arial" w:cs="Arial" w:eastAsia="Arial" w:hAnsi="Arial"/>
                <w:sz w:val="22"/>
                <w:szCs w:val="22"/>
                <w:color w:val="auto"/>
              </w:rPr>
              <w:t>58</w:t>
            </w: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8.7.</w:t>
            </w:r>
          </w:p>
        </w:tc>
        <w:tc>
          <w:tcPr>
            <w:tcW w:w="1660" w:type="dxa"/>
            <w:vAlign w:val="bottom"/>
            <w:gridSpan w:val="2"/>
          </w:tcPr>
          <w:p>
            <w:pPr>
              <w:ind w:left="40"/>
              <w:spacing w:after="0"/>
              <w:rPr>
                <w:sz w:val="20"/>
                <w:szCs w:val="20"/>
                <w:color w:val="auto"/>
              </w:rPr>
            </w:pPr>
            <w:r>
              <w:rPr>
                <w:rFonts w:ascii="Arial" w:cs="Arial" w:eastAsia="Arial" w:hAnsi="Arial"/>
                <w:sz w:val="19"/>
                <w:szCs w:val="19"/>
                <w:color w:val="auto"/>
                <w:w w:val="77"/>
              </w:rPr>
              <w:t>Indemnification...............</w:t>
            </w:r>
          </w:p>
        </w:tc>
        <w:tc>
          <w:tcPr>
            <w:tcW w:w="176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59</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640" w:type="dxa"/>
            <w:vAlign w:val="bottom"/>
            <w:gridSpan w:val="8"/>
          </w:tcPr>
          <w:p>
            <w:pPr>
              <w:ind w:left="660"/>
              <w:spacing w:after="0" w:line="243" w:lineRule="exact"/>
              <w:rPr>
                <w:sz w:val="20"/>
                <w:szCs w:val="20"/>
                <w:color w:val="auto"/>
              </w:rPr>
            </w:pPr>
            <w:r>
              <w:rPr>
                <w:rFonts w:ascii="Arial" w:cs="Arial" w:eastAsia="Arial" w:hAnsi="Arial"/>
                <w:sz w:val="22"/>
                <w:szCs w:val="22"/>
                <w:color w:val="auto"/>
                <w:w w:val="97"/>
              </w:rPr>
              <w:t>8.8. Agent and Sustainability Structuring Agent in Their Individual Capacity...............</w:t>
            </w: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w w:val="89"/>
              </w:rPr>
              <w:t>59</w:t>
            </w: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8.9.</w:t>
            </w:r>
          </w:p>
        </w:tc>
        <w:tc>
          <w:tcPr>
            <w:tcW w:w="38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4"/>
              </w:rPr>
              <w:t>Successor Administrative Agent...............</w:t>
            </w:r>
          </w:p>
        </w:tc>
        <w:tc>
          <w:tcPr>
            <w:tcW w:w="920" w:type="dxa"/>
            <w:vAlign w:val="bottom"/>
          </w:tcPr>
          <w:p>
            <w:pPr>
              <w:jc w:val="right"/>
              <w:ind w:right="472"/>
              <w:spacing w:after="0" w:line="243" w:lineRule="exact"/>
              <w:rPr>
                <w:sz w:val="20"/>
                <w:szCs w:val="20"/>
                <w:color w:val="auto"/>
              </w:rPr>
            </w:pPr>
            <w:r>
              <w:rPr>
                <w:rFonts w:ascii="Arial" w:cs="Arial" w:eastAsia="Arial" w:hAnsi="Arial"/>
                <w:sz w:val="22"/>
                <w:szCs w:val="22"/>
                <w:color w:val="auto"/>
              </w:rPr>
              <w:t>59</w:t>
            </w: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29"/>
        </w:trPr>
        <w:tc>
          <w:tcPr>
            <w:tcW w:w="1160" w:type="dxa"/>
            <w:vAlign w:val="bottom"/>
            <w:gridSpan w:val="2"/>
          </w:tcPr>
          <w:p>
            <w:pPr>
              <w:ind w:left="660"/>
              <w:spacing w:after="0" w:line="229" w:lineRule="exact"/>
              <w:rPr>
                <w:sz w:val="20"/>
                <w:szCs w:val="20"/>
                <w:color w:val="auto"/>
              </w:rPr>
            </w:pPr>
            <w:r>
              <w:rPr>
                <w:rFonts w:ascii="Arial" w:cs="Arial" w:eastAsia="Arial" w:hAnsi="Arial"/>
                <w:sz w:val="22"/>
                <w:szCs w:val="22"/>
                <w:color w:val="auto"/>
                <w:w w:val="98"/>
              </w:rPr>
              <w:t>8.10.</w:t>
            </w:r>
          </w:p>
        </w:tc>
        <w:tc>
          <w:tcPr>
            <w:tcW w:w="4660" w:type="dxa"/>
            <w:vAlign w:val="bottom"/>
            <w:gridSpan w:val="5"/>
          </w:tcPr>
          <w:p>
            <w:pPr>
              <w:ind w:left="40"/>
              <w:spacing w:after="0" w:line="229" w:lineRule="exact"/>
              <w:rPr>
                <w:sz w:val="20"/>
                <w:szCs w:val="20"/>
                <w:color w:val="auto"/>
              </w:rPr>
            </w:pPr>
            <w:r>
              <w:rPr>
                <w:rFonts w:ascii="Arial" w:cs="Arial" w:eastAsia="Arial" w:hAnsi="Arial"/>
                <w:sz w:val="22"/>
                <w:szCs w:val="22"/>
                <w:color w:val="auto"/>
                <w:w w:val="90"/>
              </w:rPr>
              <w:t>Successor Sustainability Structuring Agent...............</w:t>
            </w:r>
          </w:p>
        </w:tc>
        <w:tc>
          <w:tcPr>
            <w:tcW w:w="2820" w:type="dxa"/>
            <w:vAlign w:val="bottom"/>
          </w:tcPr>
          <w:p>
            <w:pPr>
              <w:jc w:val="right"/>
              <w:ind w:right="2132"/>
              <w:spacing w:after="0" w:line="229" w:lineRule="exact"/>
              <w:rPr>
                <w:sz w:val="20"/>
                <w:szCs w:val="20"/>
                <w:color w:val="auto"/>
              </w:rPr>
            </w:pPr>
            <w:r>
              <w:rPr>
                <w:rFonts w:ascii="Arial" w:cs="Arial" w:eastAsia="Arial" w:hAnsi="Arial"/>
                <w:sz w:val="22"/>
                <w:szCs w:val="22"/>
                <w:color w:val="auto"/>
              </w:rPr>
              <w:t>59</w:t>
            </w:r>
          </w:p>
        </w:tc>
        <w:tc>
          <w:tcPr>
            <w:tcW w:w="240" w:type="dxa"/>
            <w:vAlign w:val="bottom"/>
          </w:tcPr>
          <w:p>
            <w:pPr>
              <w:spacing w:after="0"/>
              <w:rPr>
                <w:sz w:val="19"/>
                <w:szCs w:val="19"/>
                <w:color w:val="auto"/>
              </w:rPr>
            </w:pPr>
          </w:p>
        </w:tc>
      </w:tr>
      <w:tr>
        <w:trPr>
          <w:trHeight w:val="243"/>
        </w:trPr>
        <w:tc>
          <w:tcPr>
            <w:tcW w:w="2700" w:type="dxa"/>
            <w:vAlign w:val="bottom"/>
            <w:gridSpan w:val="3"/>
          </w:tcPr>
          <w:p>
            <w:pPr>
              <w:ind w:left="660"/>
              <w:spacing w:after="0" w:line="243" w:lineRule="exact"/>
              <w:rPr>
                <w:sz w:val="20"/>
                <w:szCs w:val="20"/>
                <w:color w:val="auto"/>
              </w:rPr>
            </w:pPr>
            <w:r>
              <w:rPr>
                <w:rFonts w:ascii="Arial" w:cs="Arial" w:eastAsia="Arial" w:hAnsi="Arial"/>
                <w:sz w:val="22"/>
                <w:szCs w:val="22"/>
                <w:color w:val="auto"/>
                <w:w w:val="82"/>
              </w:rPr>
              <w:t>8.11. Payments...............</w:t>
            </w:r>
          </w:p>
        </w:tc>
        <w:tc>
          <w:tcPr>
            <w:tcW w:w="8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60</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8.12.</w:t>
            </w:r>
          </w:p>
        </w:tc>
        <w:tc>
          <w:tcPr>
            <w:tcW w:w="1540" w:type="dxa"/>
            <w:vAlign w:val="bottom"/>
          </w:tcPr>
          <w:p>
            <w:pPr>
              <w:ind w:left="40"/>
              <w:spacing w:after="0"/>
              <w:rPr>
                <w:sz w:val="20"/>
                <w:szCs w:val="20"/>
                <w:color w:val="auto"/>
              </w:rPr>
            </w:pPr>
            <w:r>
              <w:rPr>
                <w:rFonts w:ascii="Arial" w:cs="Arial" w:eastAsia="Arial" w:hAnsi="Arial"/>
                <w:sz w:val="21"/>
                <w:szCs w:val="21"/>
                <w:color w:val="auto"/>
                <w:w w:val="72"/>
              </w:rPr>
              <w:t>Other Terms...............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8.13.</w:t>
            </w:r>
          </w:p>
        </w:tc>
        <w:tc>
          <w:tcPr>
            <w:tcW w:w="4660" w:type="dxa"/>
            <w:vAlign w:val="bottom"/>
            <w:gridSpan w:val="5"/>
          </w:tcPr>
          <w:p>
            <w:pPr>
              <w:ind w:left="40"/>
              <w:spacing w:after="0" w:line="243" w:lineRule="exact"/>
              <w:rPr>
                <w:sz w:val="20"/>
                <w:szCs w:val="20"/>
                <w:color w:val="auto"/>
              </w:rPr>
            </w:pPr>
            <w:r>
              <w:rPr>
                <w:rFonts w:ascii="Arial" w:cs="Arial" w:eastAsia="Arial" w:hAnsi="Arial"/>
                <w:sz w:val="22"/>
                <w:szCs w:val="22"/>
                <w:color w:val="auto"/>
                <w:w w:val="93"/>
              </w:rPr>
              <w:t>Enforcement by the Administrative Agent...............</w:t>
            </w:r>
          </w:p>
        </w:tc>
        <w:tc>
          <w:tcPr>
            <w:tcW w:w="2820" w:type="dxa"/>
            <w:vAlign w:val="bottom"/>
          </w:tcPr>
          <w:p>
            <w:pPr>
              <w:jc w:val="right"/>
              <w:ind w:right="2312"/>
              <w:spacing w:after="0" w:line="243" w:lineRule="exact"/>
              <w:rPr>
                <w:sz w:val="20"/>
                <w:szCs w:val="20"/>
                <w:color w:val="auto"/>
              </w:rPr>
            </w:pPr>
            <w:r>
              <w:rPr>
                <w:rFonts w:ascii="Arial" w:cs="Arial" w:eastAsia="Arial" w:hAnsi="Arial"/>
                <w:sz w:val="22"/>
                <w:szCs w:val="22"/>
                <w:color w:val="auto"/>
              </w:rPr>
              <w:t>62</w:t>
            </w:r>
          </w:p>
        </w:tc>
        <w:tc>
          <w:tcPr>
            <w:tcW w:w="240" w:type="dxa"/>
            <w:vAlign w:val="bottom"/>
          </w:tcPr>
          <w:p>
            <w:pPr>
              <w:spacing w:after="0"/>
              <w:rPr>
                <w:sz w:val="21"/>
                <w:szCs w:val="21"/>
                <w:color w:val="auto"/>
              </w:rPr>
            </w:pPr>
          </w:p>
        </w:tc>
      </w:tr>
      <w:tr>
        <w:trPr>
          <w:trHeight w:val="243"/>
        </w:trPr>
        <w:tc>
          <w:tcPr>
            <w:tcW w:w="1160" w:type="dxa"/>
            <w:vAlign w:val="bottom"/>
            <w:gridSpan w:val="2"/>
          </w:tcPr>
          <w:p>
            <w:pPr>
              <w:ind w:left="660"/>
              <w:spacing w:after="0" w:line="243" w:lineRule="exact"/>
              <w:rPr>
                <w:sz w:val="20"/>
                <w:szCs w:val="20"/>
                <w:color w:val="auto"/>
              </w:rPr>
            </w:pPr>
            <w:r>
              <w:rPr>
                <w:rFonts w:ascii="Arial" w:cs="Arial" w:eastAsia="Arial" w:hAnsi="Arial"/>
                <w:sz w:val="22"/>
                <w:szCs w:val="22"/>
                <w:color w:val="auto"/>
                <w:w w:val="98"/>
              </w:rPr>
              <w:t>8.14.</w:t>
            </w:r>
          </w:p>
        </w:tc>
        <w:tc>
          <w:tcPr>
            <w:tcW w:w="242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4"/>
              </w:rPr>
              <w:t>Withholding Tax...............</w:t>
            </w:r>
          </w:p>
        </w:tc>
        <w:tc>
          <w:tcPr>
            <w:tcW w:w="880" w:type="dxa"/>
            <w:vAlign w:val="bottom"/>
          </w:tcPr>
          <w:p>
            <w:pPr>
              <w:jc w:val="right"/>
              <w:ind w:right="492"/>
              <w:spacing w:after="0" w:line="243" w:lineRule="exact"/>
              <w:rPr>
                <w:sz w:val="20"/>
                <w:szCs w:val="20"/>
                <w:color w:val="auto"/>
              </w:rPr>
            </w:pPr>
            <w:r>
              <w:rPr>
                <w:rFonts w:ascii="Arial" w:cs="Arial" w:eastAsia="Arial" w:hAnsi="Arial"/>
                <w:sz w:val="22"/>
                <w:szCs w:val="22"/>
                <w:color w:val="auto"/>
              </w:rPr>
              <w:t>62</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3"/>
        </w:trPr>
        <w:tc>
          <w:tcPr>
            <w:tcW w:w="1160" w:type="dxa"/>
            <w:vAlign w:val="bottom"/>
            <w:gridSpan w:val="2"/>
          </w:tcPr>
          <w:p>
            <w:pPr>
              <w:ind w:left="660"/>
              <w:spacing w:after="0" w:line="233" w:lineRule="exact"/>
              <w:rPr>
                <w:sz w:val="20"/>
                <w:szCs w:val="20"/>
                <w:color w:val="auto"/>
              </w:rPr>
            </w:pPr>
            <w:r>
              <w:rPr>
                <w:rFonts w:ascii="Arial" w:cs="Arial" w:eastAsia="Arial" w:hAnsi="Arial"/>
                <w:sz w:val="22"/>
                <w:szCs w:val="22"/>
                <w:color w:val="auto"/>
                <w:w w:val="98"/>
              </w:rPr>
              <w:t>8.15.</w:t>
            </w:r>
          </w:p>
        </w:tc>
        <w:tc>
          <w:tcPr>
            <w:tcW w:w="2420" w:type="dxa"/>
            <w:vAlign w:val="bottom"/>
            <w:gridSpan w:val="2"/>
          </w:tcPr>
          <w:p>
            <w:pPr>
              <w:ind w:left="40"/>
              <w:spacing w:after="0" w:line="233" w:lineRule="exact"/>
              <w:rPr>
                <w:sz w:val="20"/>
                <w:szCs w:val="20"/>
                <w:color w:val="auto"/>
              </w:rPr>
            </w:pPr>
            <w:r>
              <w:rPr>
                <w:rFonts w:ascii="Arial" w:cs="Arial" w:eastAsia="Arial" w:hAnsi="Arial"/>
                <w:sz w:val="22"/>
                <w:szCs w:val="22"/>
                <w:color w:val="auto"/>
                <w:w w:val="75"/>
              </w:rPr>
              <w:t>Certain ERISA Matters...............</w:t>
            </w:r>
          </w:p>
        </w:tc>
        <w:tc>
          <w:tcPr>
            <w:tcW w:w="1320" w:type="dxa"/>
            <w:vAlign w:val="bottom"/>
            <w:gridSpan w:val="2"/>
          </w:tcPr>
          <w:p>
            <w:pPr>
              <w:jc w:val="right"/>
              <w:ind w:right="272"/>
              <w:spacing w:after="0" w:line="233" w:lineRule="exact"/>
              <w:rPr>
                <w:sz w:val="20"/>
                <w:szCs w:val="20"/>
                <w:color w:val="auto"/>
              </w:rPr>
            </w:pPr>
            <w:r>
              <w:rPr>
                <w:rFonts w:ascii="Arial" w:cs="Arial" w:eastAsia="Arial" w:hAnsi="Arial"/>
                <w:sz w:val="22"/>
                <w:szCs w:val="22"/>
                <w:color w:val="auto"/>
              </w:rPr>
              <w:t>62</w:t>
            </w:r>
          </w:p>
        </w:tc>
        <w:tc>
          <w:tcPr>
            <w:tcW w:w="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53"/>
        </w:trPr>
        <w:tc>
          <w:tcPr>
            <w:tcW w:w="2700" w:type="dxa"/>
            <w:vAlign w:val="bottom"/>
            <w:gridSpan w:val="3"/>
          </w:tcPr>
          <w:p>
            <w:pPr>
              <w:spacing w:after="0"/>
              <w:rPr>
                <w:sz w:val="20"/>
                <w:szCs w:val="20"/>
                <w:color w:val="auto"/>
              </w:rPr>
            </w:pPr>
            <w:r>
              <w:rPr>
                <w:rFonts w:ascii="Arial" w:cs="Arial" w:eastAsia="Arial" w:hAnsi="Arial"/>
                <w:sz w:val="22"/>
                <w:szCs w:val="22"/>
                <w:b w:val="1"/>
                <w:bCs w:val="1"/>
                <w:color w:val="auto"/>
                <w:w w:val="77"/>
              </w:rPr>
              <w:t>Section 9 Miscellaneous...............</w:t>
            </w:r>
          </w:p>
        </w:tc>
        <w:tc>
          <w:tcPr>
            <w:tcW w:w="1760" w:type="dxa"/>
            <w:vAlign w:val="bottom"/>
            <w:gridSpan w:val="2"/>
          </w:tcPr>
          <w:p>
            <w:pPr>
              <w:jc w:val="right"/>
              <w:ind w:right="712"/>
              <w:spacing w:after="0"/>
              <w:rPr>
                <w:sz w:val="20"/>
                <w:szCs w:val="20"/>
                <w:color w:val="auto"/>
              </w:rPr>
            </w:pPr>
            <w:r>
              <w:rPr>
                <w:rFonts w:ascii="Arial" w:cs="Arial" w:eastAsia="Arial" w:hAnsi="Arial"/>
                <w:sz w:val="22"/>
                <w:szCs w:val="22"/>
                <w:b w:val="1"/>
                <w:bCs w:val="1"/>
                <w:color w:val="auto"/>
              </w:rPr>
              <w:t>63</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3"/>
        </w:trPr>
        <w:tc>
          <w:tcPr>
            <w:tcW w:w="4460" w:type="dxa"/>
            <w:vAlign w:val="bottom"/>
            <w:gridSpan w:val="5"/>
          </w:tcPr>
          <w:p>
            <w:pPr>
              <w:ind w:left="660"/>
              <w:spacing w:after="0" w:line="243" w:lineRule="exact"/>
              <w:rPr>
                <w:sz w:val="20"/>
                <w:szCs w:val="20"/>
                <w:color w:val="auto"/>
              </w:rPr>
            </w:pPr>
            <w:r>
              <w:rPr>
                <w:rFonts w:ascii="Arial" w:cs="Arial" w:eastAsia="Arial" w:hAnsi="Arial"/>
                <w:sz w:val="22"/>
                <w:szCs w:val="22"/>
                <w:color w:val="auto"/>
                <w:w w:val="96"/>
              </w:rPr>
              <w:t>9.1. Amendments and Waivers...............</w:t>
            </w:r>
          </w:p>
        </w:tc>
        <w:tc>
          <w:tcPr>
            <w:tcW w:w="440" w:type="dxa"/>
            <w:vAlign w:val="bottom"/>
          </w:tcPr>
          <w:p>
            <w:pPr>
              <w:jc w:val="right"/>
              <w:ind w:right="52"/>
              <w:spacing w:after="0" w:line="243" w:lineRule="exact"/>
              <w:rPr>
                <w:sz w:val="20"/>
                <w:szCs w:val="20"/>
                <w:color w:val="auto"/>
              </w:rPr>
            </w:pPr>
            <w:r>
              <w:rPr>
                <w:rFonts w:ascii="Arial" w:cs="Arial" w:eastAsia="Arial" w:hAnsi="Arial"/>
                <w:sz w:val="22"/>
                <w:szCs w:val="22"/>
                <w:color w:val="auto"/>
              </w:rPr>
              <w:t>63</w:t>
            </w: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1040" w:type="dxa"/>
            <w:vAlign w:val="bottom"/>
          </w:tcPr>
          <w:p>
            <w:pPr>
              <w:ind w:left="660"/>
              <w:spacing w:after="0" w:line="243" w:lineRule="exact"/>
              <w:rPr>
                <w:sz w:val="20"/>
                <w:szCs w:val="20"/>
                <w:color w:val="auto"/>
              </w:rPr>
            </w:pPr>
            <w:r>
              <w:rPr>
                <w:rFonts w:ascii="Arial" w:cs="Arial" w:eastAsia="Arial" w:hAnsi="Arial"/>
                <w:sz w:val="22"/>
                <w:szCs w:val="22"/>
                <w:color w:val="auto"/>
                <w:w w:val="97"/>
              </w:rPr>
              <w:t>9.2.</w:t>
            </w:r>
          </w:p>
        </w:tc>
        <w:tc>
          <w:tcPr>
            <w:tcW w:w="166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6"/>
              </w:rPr>
              <w:t>Notices...............</w:t>
            </w:r>
          </w:p>
        </w:tc>
        <w:tc>
          <w:tcPr>
            <w:tcW w:w="880" w:type="dxa"/>
            <w:vAlign w:val="bottom"/>
          </w:tcPr>
          <w:p>
            <w:pPr>
              <w:jc w:val="right"/>
              <w:ind w:right="532"/>
              <w:spacing w:after="0" w:line="243" w:lineRule="exact"/>
              <w:rPr>
                <w:sz w:val="20"/>
                <w:szCs w:val="20"/>
                <w:color w:val="auto"/>
              </w:rPr>
            </w:pPr>
            <w:r>
              <w:rPr>
                <w:rFonts w:ascii="Arial" w:cs="Arial" w:eastAsia="Arial" w:hAnsi="Arial"/>
                <w:sz w:val="22"/>
                <w:szCs w:val="22"/>
                <w:color w:val="auto"/>
                <w:w w:val="89"/>
              </w:rPr>
              <w:t>65</w:t>
            </w: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5"/>
        </w:trPr>
        <w:tc>
          <w:tcPr>
            <w:tcW w:w="1040" w:type="dxa"/>
            <w:vAlign w:val="bottom"/>
          </w:tcPr>
          <w:p>
            <w:pPr>
              <w:ind w:left="660"/>
              <w:spacing w:after="0"/>
              <w:rPr>
                <w:sz w:val="20"/>
                <w:szCs w:val="20"/>
                <w:color w:val="auto"/>
              </w:rPr>
            </w:pPr>
            <w:r>
              <w:rPr>
                <w:rFonts w:ascii="Arial" w:cs="Arial" w:eastAsia="Arial" w:hAnsi="Arial"/>
                <w:sz w:val="22"/>
                <w:szCs w:val="22"/>
                <w:color w:val="auto"/>
                <w:w w:val="97"/>
              </w:rPr>
              <w:t>9.3.</w:t>
            </w:r>
          </w:p>
        </w:tc>
        <w:tc>
          <w:tcPr>
            <w:tcW w:w="3860" w:type="dxa"/>
            <w:vAlign w:val="bottom"/>
            <w:gridSpan w:val="5"/>
          </w:tcPr>
          <w:p>
            <w:pPr>
              <w:ind w:left="40"/>
              <w:spacing w:after="0"/>
              <w:rPr>
                <w:sz w:val="20"/>
                <w:szCs w:val="20"/>
                <w:color w:val="auto"/>
              </w:rPr>
            </w:pPr>
            <w:r>
              <w:rPr>
                <w:rFonts w:ascii="Arial" w:cs="Arial" w:eastAsia="Arial" w:hAnsi="Arial"/>
                <w:sz w:val="22"/>
                <w:szCs w:val="22"/>
                <w:color w:val="auto"/>
                <w:w w:val="90"/>
              </w:rPr>
              <w:t>No Waiver; Cumulative Remedies...............</w:t>
            </w:r>
          </w:p>
        </w:tc>
        <w:tc>
          <w:tcPr>
            <w:tcW w:w="920" w:type="dxa"/>
            <w:vAlign w:val="bottom"/>
          </w:tcPr>
          <w:p>
            <w:pPr>
              <w:jc w:val="right"/>
              <w:ind w:right="272"/>
              <w:spacing w:after="0"/>
              <w:rPr>
                <w:sz w:val="20"/>
                <w:szCs w:val="20"/>
                <w:color w:val="auto"/>
              </w:rPr>
            </w:pPr>
            <w:r>
              <w:rPr>
                <w:rFonts w:ascii="Arial" w:cs="Arial" w:eastAsia="Arial" w:hAnsi="Arial"/>
                <w:sz w:val="22"/>
                <w:szCs w:val="22"/>
                <w:color w:val="auto"/>
              </w:rPr>
              <w:t>67</w:t>
            </w:r>
          </w:p>
        </w:tc>
        <w:tc>
          <w:tcPr>
            <w:tcW w:w="2820" w:type="dxa"/>
            <w:vAlign w:val="bottom"/>
          </w:tcPr>
          <w:p>
            <w:pPr>
              <w:spacing w:after="0"/>
              <w:rPr>
                <w:sz w:val="23"/>
                <w:szCs w:val="23"/>
                <w:color w:val="auto"/>
              </w:rPr>
            </w:pPr>
          </w:p>
        </w:tc>
        <w:tc>
          <w:tcPr>
            <w:tcW w:w="240" w:type="dxa"/>
            <w:vAlign w:val="bottom"/>
          </w:tcPr>
          <w:p>
            <w:pPr>
              <w:spacing w:after="0"/>
              <w:rPr>
                <w:sz w:val="23"/>
                <w:szCs w:val="23"/>
                <w:color w:val="auto"/>
              </w:rPr>
            </w:pPr>
          </w:p>
        </w:tc>
      </w:tr>
    </w:tbl>
    <w:p>
      <w:pPr>
        <w:sectPr>
          <w:pgSz w:w="11900" w:h="16838" w:orient="portrait"/>
          <w:cols w:equalWidth="0" w:num="1">
            <w:col w:w="10139"/>
          </w:cols>
          <w:pgMar w:left="320" w:top="1403" w:right="1440" w:bottom="1440" w:gutter="0" w:footer="0" w:header="0"/>
        </w:sectPr>
      </w:pPr>
    </w:p>
    <w:bookmarkStart w:id="205" w:name="page206"/>
    <w:bookmarkEnd w:id="205"/>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w w:val="97"/>
              </w:rPr>
              <w:t>9.4.</w:t>
            </w:r>
          </w:p>
        </w:tc>
        <w:tc>
          <w:tcPr>
            <w:tcW w:w="4200" w:type="dxa"/>
            <w:vAlign w:val="bottom"/>
            <w:gridSpan w:val="3"/>
          </w:tcPr>
          <w:p>
            <w:pPr>
              <w:ind w:left="40"/>
              <w:spacing w:after="0"/>
              <w:rPr>
                <w:sz w:val="20"/>
                <w:szCs w:val="20"/>
                <w:color w:val="auto"/>
              </w:rPr>
            </w:pPr>
            <w:r>
              <w:rPr>
                <w:rFonts w:ascii="Arial" w:cs="Arial" w:eastAsia="Arial" w:hAnsi="Arial"/>
                <w:sz w:val="22"/>
                <w:szCs w:val="22"/>
                <w:color w:val="auto"/>
                <w:w w:val="97"/>
              </w:rPr>
              <w:t>Survival of Representations and Warranties</w:t>
            </w:r>
          </w:p>
        </w:tc>
        <w:tc>
          <w:tcPr>
            <w:tcW w:w="1140" w:type="dxa"/>
            <w:vAlign w:val="bottom"/>
          </w:tcPr>
          <w:p>
            <w:pPr>
              <w:jc w:val="right"/>
              <w:spacing w:after="0"/>
              <w:rPr>
                <w:sz w:val="20"/>
                <w:szCs w:val="20"/>
                <w:color w:val="auto"/>
              </w:rPr>
            </w:pPr>
            <w:r>
              <w:rPr>
                <w:rFonts w:ascii="Arial" w:cs="Arial" w:eastAsia="Arial" w:hAnsi="Arial"/>
                <w:sz w:val="22"/>
                <w:szCs w:val="22"/>
                <w:color w:val="auto"/>
                <w:w w:val="96"/>
              </w:rPr>
              <w:t>...............67</w:t>
            </w:r>
          </w:p>
        </w:tc>
      </w:tr>
      <w:tr>
        <w:trPr>
          <w:trHeight w:val="243"/>
        </w:trPr>
        <w:tc>
          <w:tcPr>
            <w:tcW w:w="380" w:type="dxa"/>
            <w:vAlign w:val="bottom"/>
          </w:tcPr>
          <w:p>
            <w:pPr>
              <w:spacing w:after="0" w:line="243" w:lineRule="exact"/>
              <w:rPr>
                <w:sz w:val="20"/>
                <w:szCs w:val="20"/>
                <w:color w:val="auto"/>
              </w:rPr>
            </w:pPr>
            <w:r>
              <w:rPr>
                <w:rFonts w:ascii="Arial" w:cs="Arial" w:eastAsia="Arial" w:hAnsi="Arial"/>
                <w:sz w:val="22"/>
                <w:szCs w:val="22"/>
                <w:color w:val="auto"/>
                <w:w w:val="97"/>
              </w:rPr>
              <w:t>9.5.</w:t>
            </w:r>
          </w:p>
        </w:tc>
        <w:tc>
          <w:tcPr>
            <w:tcW w:w="214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7"/>
              </w:rPr>
              <w:t>Payment of Expenses</w:t>
            </w:r>
          </w:p>
        </w:tc>
        <w:tc>
          <w:tcPr>
            <w:tcW w:w="2060" w:type="dxa"/>
            <w:vAlign w:val="bottom"/>
          </w:tcPr>
          <w:p>
            <w:pPr>
              <w:jc w:val="right"/>
              <w:ind w:right="812"/>
              <w:spacing w:after="0" w:line="243" w:lineRule="exact"/>
              <w:rPr>
                <w:sz w:val="20"/>
                <w:szCs w:val="20"/>
                <w:color w:val="auto"/>
              </w:rPr>
            </w:pPr>
            <w:r>
              <w:rPr>
                <w:rFonts w:ascii="Arial" w:cs="Arial" w:eastAsia="Arial" w:hAnsi="Arial"/>
                <w:sz w:val="22"/>
                <w:szCs w:val="22"/>
                <w:color w:val="auto"/>
                <w:w w:val="96"/>
              </w:rPr>
              <w:t>...............67</w:t>
            </w:r>
          </w:p>
        </w:tc>
        <w:tc>
          <w:tcPr>
            <w:tcW w:w="1140" w:type="dxa"/>
            <w:vAlign w:val="bottom"/>
          </w:tcPr>
          <w:p>
            <w:pPr>
              <w:spacing w:after="0"/>
              <w:rPr>
                <w:sz w:val="21"/>
                <w:szCs w:val="21"/>
                <w:color w:val="auto"/>
              </w:rPr>
            </w:pPr>
          </w:p>
        </w:tc>
      </w:tr>
      <w:tr>
        <w:trPr>
          <w:trHeight w:val="243"/>
        </w:trPr>
        <w:tc>
          <w:tcPr>
            <w:tcW w:w="380" w:type="dxa"/>
            <w:vAlign w:val="bottom"/>
          </w:tcPr>
          <w:p>
            <w:pPr>
              <w:spacing w:after="0" w:line="243" w:lineRule="exact"/>
              <w:rPr>
                <w:sz w:val="20"/>
                <w:szCs w:val="20"/>
                <w:color w:val="auto"/>
              </w:rPr>
            </w:pPr>
            <w:r>
              <w:rPr>
                <w:rFonts w:ascii="Arial" w:cs="Arial" w:eastAsia="Arial" w:hAnsi="Arial"/>
                <w:sz w:val="22"/>
                <w:szCs w:val="22"/>
                <w:color w:val="auto"/>
                <w:w w:val="97"/>
              </w:rPr>
              <w:t>9.6.</w:t>
            </w:r>
          </w:p>
        </w:tc>
        <w:tc>
          <w:tcPr>
            <w:tcW w:w="420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7"/>
              </w:rPr>
              <w:t>Successors and Assigns; Participations...............</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rPr>
              <w:t>68</w:t>
            </w:r>
          </w:p>
        </w:tc>
      </w:tr>
      <w:tr>
        <w:trPr>
          <w:trHeight w:val="243"/>
        </w:trPr>
        <w:tc>
          <w:tcPr>
            <w:tcW w:w="2280" w:type="dxa"/>
            <w:vAlign w:val="bottom"/>
            <w:gridSpan w:val="2"/>
          </w:tcPr>
          <w:p>
            <w:pPr>
              <w:spacing w:after="0" w:line="243" w:lineRule="exact"/>
              <w:rPr>
                <w:sz w:val="20"/>
                <w:szCs w:val="20"/>
                <w:color w:val="auto"/>
              </w:rPr>
            </w:pPr>
            <w:r>
              <w:rPr>
                <w:rFonts w:ascii="Arial" w:cs="Arial" w:eastAsia="Arial" w:hAnsi="Arial"/>
                <w:sz w:val="22"/>
                <w:szCs w:val="22"/>
                <w:color w:val="auto"/>
                <w:w w:val="96"/>
              </w:rPr>
              <w:t>9.7. Adjustments; Setoff</w:t>
            </w:r>
          </w:p>
        </w:tc>
        <w:tc>
          <w:tcPr>
            <w:tcW w:w="240" w:type="dxa"/>
            <w:vAlign w:val="bottom"/>
          </w:tcPr>
          <w:p>
            <w:pPr>
              <w:jc w:val="right"/>
              <w:spacing w:after="0"/>
              <w:rPr>
                <w:sz w:val="20"/>
                <w:szCs w:val="20"/>
                <w:color w:val="auto"/>
              </w:rPr>
            </w:pPr>
            <w:r>
              <w:rPr>
                <w:rFonts w:ascii="Arial" w:cs="Arial" w:eastAsia="Arial" w:hAnsi="Arial"/>
                <w:sz w:val="6"/>
                <w:szCs w:val="6"/>
                <w:color w:val="auto"/>
                <w:w w:val="87"/>
              </w:rPr>
              <w:t>...............</w:t>
            </w:r>
          </w:p>
        </w:tc>
        <w:tc>
          <w:tcPr>
            <w:tcW w:w="2060" w:type="dxa"/>
            <w:vAlign w:val="bottom"/>
          </w:tcPr>
          <w:p>
            <w:pPr>
              <w:jc w:val="right"/>
              <w:ind w:right="1052"/>
              <w:spacing w:after="0" w:line="243" w:lineRule="exact"/>
              <w:rPr>
                <w:sz w:val="20"/>
                <w:szCs w:val="20"/>
                <w:color w:val="auto"/>
              </w:rPr>
            </w:pPr>
            <w:r>
              <w:rPr>
                <w:rFonts w:ascii="Arial" w:cs="Arial" w:eastAsia="Arial" w:hAnsi="Arial"/>
                <w:sz w:val="22"/>
                <w:szCs w:val="22"/>
                <w:color w:val="auto"/>
              </w:rPr>
              <w:t>71</w:t>
            </w:r>
          </w:p>
        </w:tc>
        <w:tc>
          <w:tcPr>
            <w:tcW w:w="1140" w:type="dxa"/>
            <w:vAlign w:val="bottom"/>
          </w:tcPr>
          <w:p>
            <w:pPr>
              <w:spacing w:after="0"/>
              <w:rPr>
                <w:sz w:val="21"/>
                <w:szCs w:val="21"/>
                <w:color w:val="auto"/>
              </w:rPr>
            </w:pPr>
          </w:p>
        </w:tc>
      </w:tr>
      <w:tr>
        <w:trPr>
          <w:trHeight w:val="243"/>
        </w:trPr>
        <w:tc>
          <w:tcPr>
            <w:tcW w:w="380" w:type="dxa"/>
            <w:vAlign w:val="bottom"/>
          </w:tcPr>
          <w:p>
            <w:pPr>
              <w:spacing w:after="0" w:line="243" w:lineRule="exact"/>
              <w:rPr>
                <w:sz w:val="20"/>
                <w:szCs w:val="20"/>
                <w:color w:val="auto"/>
              </w:rPr>
            </w:pPr>
            <w:r>
              <w:rPr>
                <w:rFonts w:ascii="Arial" w:cs="Arial" w:eastAsia="Arial" w:hAnsi="Arial"/>
                <w:sz w:val="22"/>
                <w:szCs w:val="22"/>
                <w:color w:val="auto"/>
                <w:w w:val="97"/>
              </w:rPr>
              <w:t>9.8.</w:t>
            </w:r>
          </w:p>
        </w:tc>
        <w:tc>
          <w:tcPr>
            <w:tcW w:w="2140" w:type="dxa"/>
            <w:vAlign w:val="bottom"/>
            <w:gridSpan w:val="2"/>
          </w:tcPr>
          <w:p>
            <w:pPr>
              <w:ind w:left="40"/>
              <w:spacing w:after="0" w:line="243" w:lineRule="exact"/>
              <w:rPr>
                <w:sz w:val="20"/>
                <w:szCs w:val="20"/>
                <w:color w:val="auto"/>
              </w:rPr>
            </w:pPr>
            <w:r>
              <w:rPr>
                <w:rFonts w:ascii="Arial" w:cs="Arial" w:eastAsia="Arial" w:hAnsi="Arial"/>
                <w:sz w:val="22"/>
                <w:szCs w:val="22"/>
                <w:color w:val="auto"/>
                <w:w w:val="94"/>
              </w:rPr>
              <w:t>Counterparts...............</w:t>
            </w:r>
          </w:p>
        </w:tc>
        <w:tc>
          <w:tcPr>
            <w:tcW w:w="2060" w:type="dxa"/>
            <w:vAlign w:val="bottom"/>
          </w:tcPr>
          <w:p>
            <w:pPr>
              <w:jc w:val="right"/>
              <w:ind w:right="1672"/>
              <w:spacing w:after="0" w:line="243" w:lineRule="exact"/>
              <w:rPr>
                <w:sz w:val="20"/>
                <w:szCs w:val="20"/>
                <w:color w:val="auto"/>
              </w:rPr>
            </w:pPr>
            <w:r>
              <w:rPr>
                <w:rFonts w:ascii="Arial" w:cs="Arial" w:eastAsia="Arial" w:hAnsi="Arial"/>
                <w:sz w:val="22"/>
                <w:szCs w:val="22"/>
                <w:color w:val="auto"/>
              </w:rPr>
              <w:t>72</w:t>
            </w:r>
          </w:p>
        </w:tc>
        <w:tc>
          <w:tcPr>
            <w:tcW w:w="1140" w:type="dxa"/>
            <w:vAlign w:val="bottom"/>
          </w:tcPr>
          <w:p>
            <w:pPr>
              <w:spacing w:after="0"/>
              <w:rPr>
                <w:sz w:val="21"/>
                <w:szCs w:val="21"/>
                <w:color w:val="auto"/>
              </w:rPr>
            </w:pPr>
          </w:p>
        </w:tc>
      </w:tr>
      <w:tr>
        <w:trPr>
          <w:trHeight w:val="246"/>
        </w:trPr>
        <w:tc>
          <w:tcPr>
            <w:tcW w:w="380" w:type="dxa"/>
            <w:vAlign w:val="bottom"/>
          </w:tcPr>
          <w:p>
            <w:pPr>
              <w:spacing w:after="0" w:line="245" w:lineRule="exact"/>
              <w:rPr>
                <w:sz w:val="20"/>
                <w:szCs w:val="20"/>
                <w:color w:val="auto"/>
              </w:rPr>
            </w:pPr>
            <w:r>
              <w:rPr>
                <w:rFonts w:ascii="Arial" w:cs="Arial" w:eastAsia="Arial" w:hAnsi="Arial"/>
                <w:sz w:val="22"/>
                <w:szCs w:val="22"/>
                <w:color w:val="auto"/>
                <w:w w:val="97"/>
              </w:rPr>
              <w:t>9.9.</w:t>
            </w:r>
          </w:p>
        </w:tc>
        <w:tc>
          <w:tcPr>
            <w:tcW w:w="1900" w:type="dxa"/>
            <w:vAlign w:val="bottom"/>
          </w:tcPr>
          <w:p>
            <w:pPr>
              <w:ind w:left="40"/>
              <w:spacing w:after="0" w:line="245" w:lineRule="exact"/>
              <w:rPr>
                <w:sz w:val="20"/>
                <w:szCs w:val="20"/>
                <w:color w:val="auto"/>
              </w:rPr>
            </w:pPr>
            <w:r>
              <w:rPr>
                <w:rFonts w:ascii="Arial" w:cs="Arial" w:eastAsia="Arial" w:hAnsi="Arial"/>
                <w:sz w:val="22"/>
                <w:szCs w:val="22"/>
                <w:color w:val="auto"/>
                <w:w w:val="89"/>
              </w:rPr>
              <w:t>Severability...............</w:t>
            </w:r>
          </w:p>
        </w:tc>
        <w:tc>
          <w:tcPr>
            <w:tcW w:w="2300" w:type="dxa"/>
            <w:vAlign w:val="bottom"/>
            <w:gridSpan w:val="2"/>
          </w:tcPr>
          <w:p>
            <w:pPr>
              <w:jc w:val="right"/>
              <w:ind w:right="1812"/>
              <w:spacing w:after="0" w:line="245" w:lineRule="exact"/>
              <w:rPr>
                <w:sz w:val="20"/>
                <w:szCs w:val="20"/>
                <w:color w:val="auto"/>
              </w:rPr>
            </w:pPr>
            <w:r>
              <w:rPr>
                <w:rFonts w:ascii="Arial" w:cs="Arial" w:eastAsia="Arial" w:hAnsi="Arial"/>
                <w:sz w:val="22"/>
                <w:szCs w:val="22"/>
                <w:color w:val="auto"/>
              </w:rPr>
              <w:t>72</w:t>
            </w:r>
          </w:p>
        </w:tc>
        <w:tc>
          <w:tcPr>
            <w:tcW w:w="1140" w:type="dxa"/>
            <w:vAlign w:val="bottom"/>
          </w:tcPr>
          <w:p>
            <w:pPr>
              <w:spacing w:after="0"/>
              <w:rPr>
                <w:sz w:val="21"/>
                <w:szCs w:val="2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7"/>
        </w:trPr>
        <w:tc>
          <w:tcPr>
            <w:tcW w:w="500" w:type="dxa"/>
            <w:vAlign w:val="bottom"/>
          </w:tcPr>
          <w:p>
            <w:pPr>
              <w:spacing w:after="0" w:line="227" w:lineRule="exact"/>
              <w:rPr>
                <w:sz w:val="20"/>
                <w:szCs w:val="20"/>
                <w:color w:val="auto"/>
              </w:rPr>
            </w:pPr>
            <w:r>
              <w:rPr>
                <w:rFonts w:ascii="Arial" w:cs="Arial" w:eastAsia="Arial" w:hAnsi="Arial"/>
                <w:sz w:val="22"/>
                <w:szCs w:val="22"/>
                <w:color w:val="auto"/>
                <w:w w:val="98"/>
              </w:rPr>
              <w:t>9.10.</w:t>
            </w:r>
          </w:p>
        </w:tc>
        <w:tc>
          <w:tcPr>
            <w:tcW w:w="1920" w:type="dxa"/>
            <w:vAlign w:val="bottom"/>
          </w:tcPr>
          <w:p>
            <w:pPr>
              <w:ind w:left="40"/>
              <w:spacing w:after="0" w:line="227" w:lineRule="exact"/>
              <w:rPr>
                <w:sz w:val="20"/>
                <w:szCs w:val="20"/>
                <w:color w:val="auto"/>
              </w:rPr>
            </w:pPr>
            <w:r>
              <w:rPr>
                <w:rFonts w:ascii="Arial" w:cs="Arial" w:eastAsia="Arial" w:hAnsi="Arial"/>
                <w:sz w:val="22"/>
                <w:szCs w:val="22"/>
                <w:color w:val="auto"/>
                <w:w w:val="95"/>
              </w:rPr>
              <w:t>Integration...............</w:t>
            </w:r>
          </w:p>
        </w:tc>
        <w:tc>
          <w:tcPr>
            <w:tcW w:w="1340" w:type="dxa"/>
            <w:vAlign w:val="bottom"/>
          </w:tcPr>
          <w:p>
            <w:pPr>
              <w:jc w:val="right"/>
              <w:ind w:right="952"/>
              <w:spacing w:after="0" w:line="227" w:lineRule="exact"/>
              <w:rPr>
                <w:sz w:val="20"/>
                <w:szCs w:val="20"/>
                <w:color w:val="auto"/>
              </w:rPr>
            </w:pPr>
            <w:r>
              <w:rPr>
                <w:rFonts w:ascii="Arial" w:cs="Arial" w:eastAsia="Arial" w:hAnsi="Arial"/>
                <w:sz w:val="22"/>
                <w:szCs w:val="22"/>
                <w:color w:val="auto"/>
              </w:rPr>
              <w:t>72</w:t>
            </w:r>
          </w:p>
        </w:tc>
        <w:tc>
          <w:tcPr>
            <w:tcW w:w="3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43"/>
        </w:trPr>
        <w:tc>
          <w:tcPr>
            <w:tcW w:w="2420" w:type="dxa"/>
            <w:vAlign w:val="bottom"/>
            <w:gridSpan w:val="2"/>
          </w:tcPr>
          <w:p>
            <w:pPr>
              <w:spacing w:after="0" w:line="243" w:lineRule="exact"/>
              <w:rPr>
                <w:sz w:val="20"/>
                <w:szCs w:val="20"/>
                <w:color w:val="auto"/>
              </w:rPr>
            </w:pPr>
            <w:r>
              <w:rPr>
                <w:rFonts w:ascii="Arial" w:cs="Arial" w:eastAsia="Arial" w:hAnsi="Arial"/>
                <w:sz w:val="22"/>
                <w:szCs w:val="22"/>
                <w:color w:val="auto"/>
                <w:w w:val="71"/>
              </w:rPr>
              <w:t>9.11. GOVERNING LAW...............</w:t>
            </w:r>
          </w:p>
        </w:tc>
        <w:tc>
          <w:tcPr>
            <w:tcW w:w="134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72</w:t>
            </w:r>
          </w:p>
        </w:tc>
        <w:tc>
          <w:tcPr>
            <w:tcW w:w="3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9.12.</w:t>
            </w:r>
          </w:p>
        </w:tc>
        <w:tc>
          <w:tcPr>
            <w:tcW w:w="356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78"/>
              </w:rPr>
              <w:t>Submission To Jurisdiction; Waivers...............</w:t>
            </w:r>
          </w:p>
        </w:tc>
        <w:tc>
          <w:tcPr>
            <w:tcW w:w="4420" w:type="dxa"/>
            <w:vAlign w:val="bottom"/>
          </w:tcPr>
          <w:p>
            <w:pPr>
              <w:jc w:val="right"/>
              <w:ind w:right="3252"/>
              <w:spacing w:after="0" w:line="243" w:lineRule="exact"/>
              <w:rPr>
                <w:sz w:val="20"/>
                <w:szCs w:val="20"/>
                <w:color w:val="auto"/>
              </w:rPr>
            </w:pPr>
            <w:r>
              <w:rPr>
                <w:rFonts w:ascii="Arial" w:cs="Arial" w:eastAsia="Arial" w:hAnsi="Arial"/>
                <w:sz w:val="22"/>
                <w:szCs w:val="22"/>
                <w:color w:val="auto"/>
              </w:rPr>
              <w:t>72</w:t>
            </w:r>
          </w:p>
        </w:tc>
        <w:tc>
          <w:tcPr>
            <w:tcW w:w="240" w:type="dxa"/>
            <w:vAlign w:val="bottom"/>
          </w:tcPr>
          <w:p>
            <w:pPr>
              <w:spacing w:after="0"/>
              <w:rPr>
                <w:sz w:val="21"/>
                <w:szCs w:val="21"/>
                <w:color w:val="auto"/>
              </w:rPr>
            </w:pPr>
          </w:p>
        </w:tc>
      </w:tr>
      <w:tr>
        <w:trPr>
          <w:trHeight w:val="243"/>
        </w:trPr>
        <w:tc>
          <w:tcPr>
            <w:tcW w:w="2420" w:type="dxa"/>
            <w:vAlign w:val="bottom"/>
            <w:gridSpan w:val="2"/>
          </w:tcPr>
          <w:p>
            <w:pPr>
              <w:spacing w:after="0" w:line="243" w:lineRule="exact"/>
              <w:rPr>
                <w:sz w:val="20"/>
                <w:szCs w:val="20"/>
                <w:color w:val="auto"/>
              </w:rPr>
            </w:pPr>
            <w:r>
              <w:rPr>
                <w:rFonts w:ascii="Arial" w:cs="Arial" w:eastAsia="Arial" w:hAnsi="Arial"/>
                <w:sz w:val="22"/>
                <w:szCs w:val="22"/>
                <w:color w:val="auto"/>
                <w:w w:val="71"/>
              </w:rPr>
              <w:t>9.13. Acknowledgements...............</w:t>
            </w:r>
          </w:p>
        </w:tc>
        <w:tc>
          <w:tcPr>
            <w:tcW w:w="1340" w:type="dxa"/>
            <w:vAlign w:val="bottom"/>
          </w:tcPr>
          <w:p>
            <w:pPr>
              <w:jc w:val="right"/>
              <w:ind w:right="112"/>
              <w:spacing w:after="0" w:line="243" w:lineRule="exact"/>
              <w:rPr>
                <w:sz w:val="20"/>
                <w:szCs w:val="20"/>
                <w:color w:val="auto"/>
              </w:rPr>
            </w:pPr>
            <w:r>
              <w:rPr>
                <w:rFonts w:ascii="Arial" w:cs="Arial" w:eastAsia="Arial" w:hAnsi="Arial"/>
                <w:sz w:val="22"/>
                <w:szCs w:val="22"/>
                <w:color w:val="auto"/>
              </w:rPr>
              <w:t>73</w:t>
            </w:r>
          </w:p>
        </w:tc>
        <w:tc>
          <w:tcPr>
            <w:tcW w:w="3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9.14.</w:t>
            </w:r>
          </w:p>
        </w:tc>
        <w:tc>
          <w:tcPr>
            <w:tcW w:w="3560" w:type="dxa"/>
            <w:vAlign w:val="bottom"/>
            <w:gridSpan w:val="3"/>
          </w:tcPr>
          <w:p>
            <w:pPr>
              <w:ind w:left="40"/>
              <w:spacing w:after="0" w:line="243" w:lineRule="exact"/>
              <w:rPr>
                <w:sz w:val="20"/>
                <w:szCs w:val="20"/>
                <w:color w:val="auto"/>
              </w:rPr>
            </w:pPr>
            <w:r>
              <w:rPr>
                <w:rFonts w:ascii="Arial" w:cs="Arial" w:eastAsia="Arial" w:hAnsi="Arial"/>
                <w:sz w:val="22"/>
                <w:szCs w:val="22"/>
                <w:color w:val="auto"/>
                <w:w w:val="80"/>
              </w:rPr>
              <w:t>Guarantors; Release of Guarantors...............</w:t>
            </w:r>
          </w:p>
        </w:tc>
        <w:tc>
          <w:tcPr>
            <w:tcW w:w="4420" w:type="dxa"/>
            <w:vAlign w:val="bottom"/>
          </w:tcPr>
          <w:p>
            <w:pPr>
              <w:jc w:val="right"/>
              <w:ind w:right="3312"/>
              <w:spacing w:after="0" w:line="243" w:lineRule="exact"/>
              <w:rPr>
                <w:sz w:val="20"/>
                <w:szCs w:val="20"/>
                <w:color w:val="auto"/>
              </w:rPr>
            </w:pPr>
            <w:r>
              <w:rPr>
                <w:rFonts w:ascii="Arial" w:cs="Arial" w:eastAsia="Arial" w:hAnsi="Arial"/>
                <w:sz w:val="22"/>
                <w:szCs w:val="22"/>
                <w:color w:val="auto"/>
              </w:rPr>
              <w:t>73</w:t>
            </w:r>
          </w:p>
        </w:tc>
        <w:tc>
          <w:tcPr>
            <w:tcW w:w="240" w:type="dxa"/>
            <w:vAlign w:val="bottom"/>
          </w:tcPr>
          <w:p>
            <w:pPr>
              <w:spacing w:after="0"/>
              <w:rPr>
                <w:sz w:val="21"/>
                <w:szCs w:val="2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9.15.</w:t>
            </w:r>
          </w:p>
        </w:tc>
        <w:tc>
          <w:tcPr>
            <w:tcW w:w="1920" w:type="dxa"/>
            <w:vAlign w:val="bottom"/>
          </w:tcPr>
          <w:p>
            <w:pPr>
              <w:ind w:left="40"/>
              <w:spacing w:after="0" w:line="243" w:lineRule="exact"/>
              <w:rPr>
                <w:sz w:val="20"/>
                <w:szCs w:val="20"/>
                <w:color w:val="auto"/>
              </w:rPr>
            </w:pPr>
            <w:r>
              <w:rPr>
                <w:rFonts w:ascii="Arial" w:cs="Arial" w:eastAsia="Arial" w:hAnsi="Arial"/>
                <w:sz w:val="22"/>
                <w:szCs w:val="22"/>
                <w:color w:val="auto"/>
                <w:w w:val="80"/>
              </w:rPr>
              <w:t>Confidentiality...............</w:t>
            </w:r>
          </w:p>
        </w:tc>
        <w:tc>
          <w:tcPr>
            <w:tcW w:w="134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74</w:t>
            </w:r>
          </w:p>
        </w:tc>
        <w:tc>
          <w:tcPr>
            <w:tcW w:w="3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4060" w:type="dxa"/>
            <w:vAlign w:val="bottom"/>
            <w:gridSpan w:val="4"/>
          </w:tcPr>
          <w:p>
            <w:pPr>
              <w:spacing w:after="0" w:line="243" w:lineRule="exact"/>
              <w:rPr>
                <w:sz w:val="20"/>
                <w:szCs w:val="20"/>
                <w:color w:val="auto"/>
              </w:rPr>
            </w:pPr>
            <w:r>
              <w:rPr>
                <w:rFonts w:ascii="Arial" w:cs="Arial" w:eastAsia="Arial" w:hAnsi="Arial"/>
                <w:sz w:val="22"/>
                <w:szCs w:val="22"/>
                <w:color w:val="auto"/>
                <w:w w:val="96"/>
              </w:rPr>
              <w:t>9.16. WAIVERS OF JURY TRIAL...............</w:t>
            </w:r>
          </w:p>
        </w:tc>
        <w:tc>
          <w:tcPr>
            <w:tcW w:w="4420" w:type="dxa"/>
            <w:vAlign w:val="bottom"/>
          </w:tcPr>
          <w:p>
            <w:pPr>
              <w:jc w:val="right"/>
              <w:ind w:right="4052"/>
              <w:spacing w:after="0" w:line="243" w:lineRule="exact"/>
              <w:rPr>
                <w:sz w:val="20"/>
                <w:szCs w:val="20"/>
                <w:color w:val="auto"/>
              </w:rPr>
            </w:pPr>
            <w:r>
              <w:rPr>
                <w:rFonts w:ascii="Arial" w:cs="Arial" w:eastAsia="Arial" w:hAnsi="Arial"/>
                <w:sz w:val="22"/>
                <w:szCs w:val="22"/>
                <w:color w:val="auto"/>
                <w:w w:val="97"/>
              </w:rPr>
              <w:t>75</w:t>
            </w:r>
          </w:p>
        </w:tc>
        <w:tc>
          <w:tcPr>
            <w:tcW w:w="240" w:type="dxa"/>
            <w:vAlign w:val="bottom"/>
          </w:tcPr>
          <w:p>
            <w:pPr>
              <w:spacing w:after="0"/>
              <w:rPr>
                <w:sz w:val="21"/>
                <w:szCs w:val="2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9.17.</w:t>
            </w:r>
          </w:p>
        </w:tc>
        <w:tc>
          <w:tcPr>
            <w:tcW w:w="1920" w:type="dxa"/>
            <w:vAlign w:val="bottom"/>
          </w:tcPr>
          <w:p>
            <w:pPr>
              <w:ind w:left="40"/>
              <w:spacing w:after="0" w:line="243" w:lineRule="exact"/>
              <w:rPr>
                <w:sz w:val="20"/>
                <w:szCs w:val="20"/>
                <w:color w:val="auto"/>
              </w:rPr>
            </w:pPr>
            <w:r>
              <w:rPr>
                <w:rFonts w:ascii="Arial" w:cs="Arial" w:eastAsia="Arial" w:hAnsi="Arial"/>
                <w:sz w:val="22"/>
                <w:szCs w:val="22"/>
                <w:color w:val="auto"/>
                <w:w w:val="96"/>
              </w:rPr>
              <w:t>Patriot Act...............</w:t>
            </w:r>
          </w:p>
        </w:tc>
        <w:tc>
          <w:tcPr>
            <w:tcW w:w="1340" w:type="dxa"/>
            <w:vAlign w:val="bottom"/>
          </w:tcPr>
          <w:p>
            <w:pPr>
              <w:jc w:val="right"/>
              <w:ind w:right="992"/>
              <w:spacing w:after="0" w:line="243" w:lineRule="exact"/>
              <w:rPr>
                <w:sz w:val="20"/>
                <w:szCs w:val="20"/>
                <w:color w:val="auto"/>
              </w:rPr>
            </w:pPr>
            <w:r>
              <w:rPr>
                <w:rFonts w:ascii="Arial" w:cs="Arial" w:eastAsia="Arial" w:hAnsi="Arial"/>
                <w:sz w:val="22"/>
                <w:szCs w:val="22"/>
                <w:color w:val="auto"/>
                <w:w w:val="89"/>
              </w:rPr>
              <w:t>75</w:t>
            </w:r>
          </w:p>
        </w:tc>
        <w:tc>
          <w:tcPr>
            <w:tcW w:w="3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500" w:type="dxa"/>
            <w:vAlign w:val="bottom"/>
          </w:tcPr>
          <w:p>
            <w:pPr>
              <w:spacing w:after="0" w:line="243" w:lineRule="exact"/>
              <w:rPr>
                <w:sz w:val="20"/>
                <w:szCs w:val="20"/>
                <w:color w:val="auto"/>
              </w:rPr>
            </w:pPr>
            <w:r>
              <w:rPr>
                <w:rFonts w:ascii="Arial" w:cs="Arial" w:eastAsia="Arial" w:hAnsi="Arial"/>
                <w:sz w:val="22"/>
                <w:szCs w:val="22"/>
                <w:color w:val="auto"/>
                <w:w w:val="98"/>
              </w:rPr>
              <w:t>9.18.</w:t>
            </w:r>
          </w:p>
        </w:tc>
        <w:tc>
          <w:tcPr>
            <w:tcW w:w="1920" w:type="dxa"/>
            <w:vAlign w:val="bottom"/>
          </w:tcPr>
          <w:p>
            <w:pPr>
              <w:ind w:left="40"/>
              <w:spacing w:after="0"/>
              <w:rPr>
                <w:sz w:val="20"/>
                <w:szCs w:val="20"/>
                <w:color w:val="auto"/>
              </w:rPr>
            </w:pPr>
            <w:r>
              <w:rPr>
                <w:rFonts w:ascii="Arial" w:cs="Arial" w:eastAsia="Arial" w:hAnsi="Arial"/>
                <w:sz w:val="21"/>
                <w:szCs w:val="21"/>
                <w:color w:val="auto"/>
                <w:w w:val="73"/>
              </w:rPr>
              <w:t>No Fiduciary Duty...............</w:t>
            </w:r>
          </w:p>
        </w:tc>
        <w:tc>
          <w:tcPr>
            <w:tcW w:w="1340" w:type="dxa"/>
            <w:vAlign w:val="bottom"/>
          </w:tcPr>
          <w:p>
            <w:pPr>
              <w:jc w:val="right"/>
              <w:ind w:right="272"/>
              <w:spacing w:after="0" w:line="243" w:lineRule="exact"/>
              <w:rPr>
                <w:sz w:val="20"/>
                <w:szCs w:val="20"/>
                <w:color w:val="auto"/>
              </w:rPr>
            </w:pPr>
            <w:r>
              <w:rPr>
                <w:rFonts w:ascii="Arial" w:cs="Arial" w:eastAsia="Arial" w:hAnsi="Arial"/>
                <w:sz w:val="22"/>
                <w:szCs w:val="22"/>
                <w:color w:val="auto"/>
              </w:rPr>
              <w:t>75</w:t>
            </w:r>
          </w:p>
        </w:tc>
        <w:tc>
          <w:tcPr>
            <w:tcW w:w="3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8480" w:type="dxa"/>
            <w:vAlign w:val="bottom"/>
            <w:gridSpan w:val="5"/>
          </w:tcPr>
          <w:p>
            <w:pPr>
              <w:spacing w:after="0" w:line="243" w:lineRule="exact"/>
              <w:rPr>
                <w:sz w:val="20"/>
                <w:szCs w:val="20"/>
                <w:color w:val="auto"/>
              </w:rPr>
            </w:pPr>
            <w:r>
              <w:rPr>
                <w:rFonts w:ascii="Arial" w:cs="Arial" w:eastAsia="Arial" w:hAnsi="Arial"/>
                <w:sz w:val="22"/>
                <w:szCs w:val="22"/>
                <w:color w:val="auto"/>
                <w:w w:val="97"/>
              </w:rPr>
              <w:t>9.19. Acknowledgement and Consent to Bail-In of Affected Financial Institutions...............</w:t>
            </w:r>
          </w:p>
        </w:tc>
        <w:tc>
          <w:tcPr>
            <w:tcW w:w="240" w:type="dxa"/>
            <w:vAlign w:val="bottom"/>
          </w:tcPr>
          <w:p>
            <w:pPr>
              <w:jc w:val="right"/>
              <w:spacing w:after="0" w:line="243" w:lineRule="exact"/>
              <w:rPr>
                <w:sz w:val="20"/>
                <w:szCs w:val="20"/>
                <w:color w:val="auto"/>
              </w:rPr>
            </w:pPr>
            <w:r>
              <w:rPr>
                <w:rFonts w:ascii="Arial" w:cs="Arial" w:eastAsia="Arial" w:hAnsi="Arial"/>
                <w:sz w:val="22"/>
                <w:szCs w:val="22"/>
                <w:color w:val="auto"/>
                <w:w w:val="89"/>
              </w:rPr>
              <w:t>76</w:t>
            </w:r>
          </w:p>
        </w:tc>
      </w:tr>
      <w:tr>
        <w:trPr>
          <w:trHeight w:val="229"/>
        </w:trPr>
        <w:tc>
          <w:tcPr>
            <w:tcW w:w="500" w:type="dxa"/>
            <w:vAlign w:val="bottom"/>
          </w:tcPr>
          <w:p>
            <w:pPr>
              <w:spacing w:after="0" w:line="229" w:lineRule="exact"/>
              <w:rPr>
                <w:sz w:val="20"/>
                <w:szCs w:val="20"/>
                <w:color w:val="auto"/>
              </w:rPr>
            </w:pPr>
            <w:r>
              <w:rPr>
                <w:rFonts w:ascii="Arial" w:cs="Arial" w:eastAsia="Arial" w:hAnsi="Arial"/>
                <w:sz w:val="22"/>
                <w:szCs w:val="22"/>
                <w:color w:val="auto"/>
                <w:w w:val="98"/>
              </w:rPr>
              <w:t>9.20.</w:t>
            </w:r>
          </w:p>
        </w:tc>
        <w:tc>
          <w:tcPr>
            <w:tcW w:w="3260" w:type="dxa"/>
            <w:vAlign w:val="bottom"/>
            <w:gridSpan w:val="2"/>
          </w:tcPr>
          <w:p>
            <w:pPr>
              <w:ind w:left="40"/>
              <w:spacing w:after="0" w:line="229" w:lineRule="exact"/>
              <w:rPr>
                <w:sz w:val="20"/>
                <w:szCs w:val="20"/>
                <w:color w:val="auto"/>
              </w:rPr>
            </w:pPr>
            <w:r>
              <w:rPr>
                <w:rFonts w:ascii="Arial" w:cs="Arial" w:eastAsia="Arial" w:hAnsi="Arial"/>
                <w:sz w:val="22"/>
                <w:szCs w:val="22"/>
                <w:color w:val="auto"/>
                <w:w w:val="97"/>
              </w:rPr>
              <w:t>Interest Rate Limitations...............</w:t>
            </w:r>
          </w:p>
        </w:tc>
        <w:tc>
          <w:tcPr>
            <w:tcW w:w="300" w:type="dxa"/>
            <w:vAlign w:val="bottom"/>
          </w:tcPr>
          <w:p>
            <w:pPr>
              <w:jc w:val="right"/>
              <w:spacing w:after="0" w:line="229" w:lineRule="exact"/>
              <w:rPr>
                <w:sz w:val="20"/>
                <w:szCs w:val="20"/>
                <w:color w:val="auto"/>
              </w:rPr>
            </w:pPr>
            <w:r>
              <w:rPr>
                <w:rFonts w:ascii="Arial" w:cs="Arial" w:eastAsia="Arial" w:hAnsi="Arial"/>
                <w:sz w:val="22"/>
                <w:szCs w:val="22"/>
                <w:color w:val="auto"/>
                <w:w w:val="89"/>
              </w:rPr>
              <w:t>76</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75"/>
        </w:trPr>
        <w:tc>
          <w:tcPr>
            <w:tcW w:w="500" w:type="dxa"/>
            <w:vAlign w:val="bottom"/>
          </w:tcPr>
          <w:p>
            <w:pPr>
              <w:spacing w:after="0"/>
              <w:rPr>
                <w:sz w:val="20"/>
                <w:szCs w:val="20"/>
                <w:color w:val="auto"/>
              </w:rPr>
            </w:pPr>
            <w:r>
              <w:rPr>
                <w:rFonts w:ascii="Arial" w:cs="Arial" w:eastAsia="Arial" w:hAnsi="Arial"/>
                <w:sz w:val="22"/>
                <w:szCs w:val="22"/>
                <w:color w:val="auto"/>
                <w:w w:val="98"/>
              </w:rPr>
              <w:t>9.21.</w:t>
            </w:r>
          </w:p>
        </w:tc>
        <w:tc>
          <w:tcPr>
            <w:tcW w:w="3260" w:type="dxa"/>
            <w:vAlign w:val="bottom"/>
            <w:gridSpan w:val="2"/>
          </w:tcPr>
          <w:p>
            <w:pPr>
              <w:ind w:left="40"/>
              <w:spacing w:after="0"/>
              <w:rPr>
                <w:sz w:val="20"/>
                <w:szCs w:val="20"/>
                <w:color w:val="auto"/>
              </w:rPr>
            </w:pPr>
            <w:r>
              <w:rPr>
                <w:rFonts w:ascii="Arial" w:cs="Arial" w:eastAsia="Arial" w:hAnsi="Arial"/>
                <w:sz w:val="22"/>
                <w:szCs w:val="22"/>
                <w:color w:val="auto"/>
                <w:w w:val="92"/>
              </w:rPr>
              <w:t>Existing Credit Agreement...............</w:t>
            </w:r>
          </w:p>
        </w:tc>
        <w:tc>
          <w:tcPr>
            <w:tcW w:w="4720" w:type="dxa"/>
            <w:vAlign w:val="bottom"/>
            <w:gridSpan w:val="2"/>
          </w:tcPr>
          <w:p>
            <w:pPr>
              <w:jc w:val="right"/>
              <w:ind w:right="4192"/>
              <w:spacing w:after="0"/>
              <w:rPr>
                <w:sz w:val="20"/>
                <w:szCs w:val="20"/>
                <w:color w:val="auto"/>
              </w:rPr>
            </w:pPr>
            <w:r>
              <w:rPr>
                <w:rFonts w:ascii="Arial" w:cs="Arial" w:eastAsia="Arial" w:hAnsi="Arial"/>
                <w:sz w:val="22"/>
                <w:szCs w:val="22"/>
                <w:color w:val="auto"/>
              </w:rPr>
              <w:t>76</w:t>
            </w:r>
          </w:p>
        </w:tc>
        <w:tc>
          <w:tcPr>
            <w:tcW w:w="240" w:type="dxa"/>
            <w:vAlign w:val="bottom"/>
          </w:tcPr>
          <w:p>
            <w:pPr>
              <w:spacing w:after="0"/>
              <w:rPr>
                <w:sz w:val="23"/>
                <w:szCs w:val="23"/>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6" w:lineRule="exact"/>
        <w:rPr>
          <w:sz w:val="20"/>
          <w:szCs w:val="20"/>
          <w:color w:val="auto"/>
        </w:rPr>
      </w:pPr>
    </w:p>
    <w:p>
      <w:pPr>
        <w:ind w:left="340"/>
        <w:spacing w:after="0"/>
        <w:tabs>
          <w:tab w:leader="none" w:pos="2060" w:val="left"/>
        </w:tabs>
        <w:rPr>
          <w:sz w:val="20"/>
          <w:szCs w:val="20"/>
          <w:color w:val="auto"/>
        </w:rPr>
      </w:pPr>
      <w:r>
        <w:rPr>
          <w:rFonts w:ascii="Arial" w:cs="Arial" w:eastAsia="Arial" w:hAnsi="Arial"/>
          <w:sz w:val="22"/>
          <w:szCs w:val="22"/>
          <w:color w:val="auto"/>
        </w:rPr>
        <w:t>Schedule 1.1</w:t>
      </w:r>
      <w:r>
        <w:rPr>
          <w:sz w:val="20"/>
          <w:szCs w:val="20"/>
          <w:color w:val="auto"/>
        </w:rPr>
        <w:tab/>
      </w:r>
      <w:r>
        <w:rPr>
          <w:rFonts w:ascii="Arial" w:cs="Arial" w:eastAsia="Arial" w:hAnsi="Arial"/>
          <w:sz w:val="21"/>
          <w:szCs w:val="21"/>
          <w:color w:val="auto"/>
        </w:rPr>
        <w:t>Term Commitment Amounts</w:t>
      </w:r>
    </w:p>
    <w:p>
      <w:pPr>
        <w:ind w:left="340"/>
        <w:spacing w:after="0"/>
        <w:tabs>
          <w:tab w:leader="none" w:pos="2060" w:val="left"/>
        </w:tabs>
        <w:rPr>
          <w:sz w:val="20"/>
          <w:szCs w:val="20"/>
          <w:color w:val="auto"/>
        </w:rPr>
      </w:pPr>
      <w:r>
        <w:rPr>
          <w:rFonts w:ascii="Arial" w:cs="Arial" w:eastAsia="Arial" w:hAnsi="Arial"/>
          <w:sz w:val="22"/>
          <w:szCs w:val="22"/>
          <w:color w:val="auto"/>
        </w:rPr>
        <w:t>Schedule 1.2</w:t>
      </w:r>
      <w:r>
        <w:rPr>
          <w:sz w:val="20"/>
          <w:szCs w:val="20"/>
          <w:color w:val="auto"/>
        </w:rPr>
        <w:tab/>
      </w:r>
      <w:r>
        <w:rPr>
          <w:rFonts w:ascii="Arial" w:cs="Arial" w:eastAsia="Arial" w:hAnsi="Arial"/>
          <w:sz w:val="21"/>
          <w:szCs w:val="21"/>
          <w:color w:val="auto"/>
        </w:rPr>
        <w:t>Unrestricted Subsidiaries</w:t>
      </w:r>
    </w:p>
    <w:p>
      <w:pPr>
        <w:spacing w:after="0" w:line="1" w:lineRule="exact"/>
        <w:rPr>
          <w:sz w:val="20"/>
          <w:szCs w:val="20"/>
          <w:color w:val="auto"/>
        </w:rPr>
      </w:pPr>
    </w:p>
    <w:p>
      <w:pPr>
        <w:ind w:left="340"/>
        <w:spacing w:after="0"/>
        <w:tabs>
          <w:tab w:leader="none" w:pos="2060" w:val="left"/>
        </w:tabs>
        <w:rPr>
          <w:sz w:val="20"/>
          <w:szCs w:val="20"/>
          <w:color w:val="auto"/>
        </w:rPr>
      </w:pPr>
      <w:r>
        <w:rPr>
          <w:rFonts w:ascii="Arial" w:cs="Arial" w:eastAsia="Arial" w:hAnsi="Arial"/>
          <w:sz w:val="22"/>
          <w:szCs w:val="22"/>
          <w:color w:val="auto"/>
        </w:rPr>
        <w:t>Schedule 1.3</w:t>
      </w:r>
      <w:r>
        <w:rPr>
          <w:sz w:val="20"/>
          <w:szCs w:val="20"/>
          <w:color w:val="auto"/>
        </w:rPr>
        <w:tab/>
      </w:r>
      <w:r>
        <w:rPr>
          <w:rFonts w:ascii="Arial" w:cs="Arial" w:eastAsia="Arial" w:hAnsi="Arial"/>
          <w:sz w:val="21"/>
          <w:szCs w:val="21"/>
          <w:color w:val="auto"/>
        </w:rPr>
        <w:t>Sustainability Performance Thresholds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6" w:lineRule="exact"/>
        <w:rPr>
          <w:sz w:val="20"/>
          <w:szCs w:val="20"/>
          <w:color w:val="auto"/>
        </w:rPr>
      </w:pPr>
    </w:p>
    <w:p>
      <w:pPr>
        <w:ind w:left="340"/>
        <w:spacing w:after="0"/>
        <w:tabs>
          <w:tab w:leader="none" w:pos="16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21"/>
          <w:szCs w:val="21"/>
          <w:color w:val="auto"/>
        </w:rPr>
        <w:t>Form of Closing Certificate for the Borrower</w:t>
      </w:r>
    </w:p>
    <w:p>
      <w:pPr>
        <w:ind w:left="340"/>
        <w:spacing w:after="0"/>
        <w:tabs>
          <w:tab w:leader="none" w:pos="16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21"/>
          <w:szCs w:val="21"/>
          <w:color w:val="auto"/>
        </w:rPr>
        <w:t>Form of Borrowing Request</w:t>
      </w:r>
    </w:p>
    <w:p>
      <w:pPr>
        <w:ind w:left="340"/>
        <w:spacing w:after="0"/>
        <w:tabs>
          <w:tab w:leader="none" w:pos="166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21"/>
          <w:szCs w:val="21"/>
          <w:color w:val="auto"/>
        </w:rPr>
        <w:t>Form of Compliance Certificate</w:t>
      </w:r>
    </w:p>
    <w:p>
      <w:pPr>
        <w:ind w:left="340"/>
        <w:spacing w:after="0" w:line="228" w:lineRule="auto"/>
        <w:tabs>
          <w:tab w:leader="none" w:pos="172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21"/>
          <w:szCs w:val="21"/>
          <w:color w:val="auto"/>
        </w:rPr>
        <w:t>Form of Assignment and Acceptance</w:t>
      </w:r>
    </w:p>
    <w:p>
      <w:pPr>
        <w:ind w:left="1860" w:right="1719" w:hanging="1943"/>
        <w:spacing w:after="0" w:line="230" w:lineRule="auto"/>
        <w:tabs>
          <w:tab w:leader="none" w:pos="1840" w:val="left"/>
        </w:tabs>
        <w:rPr>
          <w:sz w:val="20"/>
          <w:szCs w:val="20"/>
          <w:color w:val="auto"/>
        </w:rPr>
      </w:pPr>
      <w:r>
        <w:rPr>
          <w:rFonts w:ascii="Arial" w:cs="Arial" w:eastAsia="Arial" w:hAnsi="Arial"/>
          <w:sz w:val="22"/>
          <w:szCs w:val="22"/>
          <w:color w:val="auto"/>
        </w:rPr>
        <w:t>Exhibit E-1</w:t>
      </w:r>
      <w:r>
        <w:rPr>
          <w:sz w:val="20"/>
          <w:szCs w:val="20"/>
          <w:color w:val="auto"/>
        </w:rPr>
        <w:tab/>
      </w:r>
      <w:r>
        <w:rPr>
          <w:rFonts w:ascii="Arial" w:cs="Arial" w:eastAsia="Arial" w:hAnsi="Arial"/>
          <w:sz w:val="22"/>
          <w:szCs w:val="22"/>
          <w:color w:val="auto"/>
        </w:rPr>
        <w:t>Form of United States Tax Compliance Certificate (For Non-U.S. Lenders That Are Not Partnerships For U.S. Federal Income Tax Purposes)</w:t>
      </w:r>
    </w:p>
    <w:p>
      <w:pPr>
        <w:spacing w:after="0" w:line="2" w:lineRule="exact"/>
        <w:rPr>
          <w:sz w:val="20"/>
          <w:szCs w:val="20"/>
          <w:color w:val="auto"/>
        </w:rPr>
      </w:pPr>
    </w:p>
    <w:p>
      <w:pPr>
        <w:jc w:val="both"/>
        <w:ind w:left="1860" w:right="2119" w:hanging="1943"/>
        <w:spacing w:after="0" w:line="230" w:lineRule="auto"/>
        <w:tabs>
          <w:tab w:leader="none" w:pos="1840" w:val="left"/>
        </w:tabs>
        <w:rPr>
          <w:sz w:val="20"/>
          <w:szCs w:val="20"/>
          <w:color w:val="auto"/>
        </w:rPr>
      </w:pPr>
      <w:r>
        <w:rPr>
          <w:rFonts w:ascii="Arial" w:cs="Arial" w:eastAsia="Arial" w:hAnsi="Arial"/>
          <w:sz w:val="22"/>
          <w:szCs w:val="22"/>
          <w:color w:val="auto"/>
        </w:rPr>
        <w:t>Exhibit E-2</w:t>
      </w:r>
      <w:r>
        <w:rPr>
          <w:sz w:val="20"/>
          <w:szCs w:val="20"/>
          <w:color w:val="auto"/>
        </w:rPr>
        <w:tab/>
      </w:r>
      <w:r>
        <w:rPr>
          <w:rFonts w:ascii="Arial" w:cs="Arial" w:eastAsia="Arial" w:hAnsi="Arial"/>
          <w:sz w:val="22"/>
          <w:szCs w:val="22"/>
          <w:color w:val="auto"/>
        </w:rPr>
        <w:t>Form of United States Tax Compliance Certificate (For Non-U.S. Lenders That Are Partnerships For U.S. Federal Income Tax Purposes)</w:t>
      </w:r>
    </w:p>
    <w:p>
      <w:pPr>
        <w:spacing w:after="0" w:line="2" w:lineRule="exact"/>
        <w:rPr>
          <w:sz w:val="20"/>
          <w:szCs w:val="20"/>
          <w:color w:val="auto"/>
        </w:rPr>
      </w:pPr>
    </w:p>
    <w:p>
      <w:pPr>
        <w:ind w:left="1860" w:right="1759" w:hanging="1943"/>
        <w:spacing w:after="0" w:line="230" w:lineRule="auto"/>
        <w:tabs>
          <w:tab w:leader="none" w:pos="1840" w:val="left"/>
        </w:tabs>
        <w:rPr>
          <w:sz w:val="20"/>
          <w:szCs w:val="20"/>
          <w:color w:val="auto"/>
        </w:rPr>
      </w:pPr>
      <w:r>
        <w:rPr>
          <w:rFonts w:ascii="Arial" w:cs="Arial" w:eastAsia="Arial" w:hAnsi="Arial"/>
          <w:sz w:val="22"/>
          <w:szCs w:val="22"/>
          <w:color w:val="auto"/>
        </w:rPr>
        <w:t>Exhibit E-3</w:t>
      </w:r>
      <w:r>
        <w:rPr>
          <w:sz w:val="20"/>
          <w:szCs w:val="20"/>
          <w:color w:val="auto"/>
        </w:rPr>
        <w:tab/>
      </w:r>
      <w:r>
        <w:rPr>
          <w:rFonts w:ascii="Arial" w:cs="Arial" w:eastAsia="Arial" w:hAnsi="Arial"/>
          <w:sz w:val="22"/>
          <w:szCs w:val="22"/>
          <w:color w:val="auto"/>
        </w:rPr>
        <w:t>Form of United States Tax Compliance Certificate (For Non-U.S. Participants That Are Not Partnerships For U.S. Federal Income Tax Purposes)</w:t>
      </w:r>
    </w:p>
    <w:p>
      <w:pPr>
        <w:spacing w:after="0" w:line="2" w:lineRule="exact"/>
        <w:rPr>
          <w:sz w:val="20"/>
          <w:szCs w:val="20"/>
          <w:color w:val="auto"/>
        </w:rPr>
      </w:pPr>
    </w:p>
    <w:p>
      <w:pPr>
        <w:ind w:left="1860" w:right="1779" w:hanging="1943"/>
        <w:spacing w:after="0" w:line="226" w:lineRule="auto"/>
        <w:tabs>
          <w:tab w:leader="none" w:pos="1840" w:val="left"/>
        </w:tabs>
        <w:rPr>
          <w:sz w:val="20"/>
          <w:szCs w:val="20"/>
          <w:color w:val="auto"/>
        </w:rPr>
      </w:pPr>
      <w:r>
        <w:rPr>
          <w:rFonts w:ascii="Arial" w:cs="Arial" w:eastAsia="Arial" w:hAnsi="Arial"/>
          <w:sz w:val="22"/>
          <w:szCs w:val="22"/>
          <w:color w:val="auto"/>
        </w:rPr>
        <w:t>Exhibit E-4</w:t>
      </w:r>
      <w:r>
        <w:rPr>
          <w:sz w:val="20"/>
          <w:szCs w:val="20"/>
          <w:color w:val="auto"/>
        </w:rPr>
        <w:tab/>
      </w:r>
      <w:r>
        <w:rPr>
          <w:rFonts w:ascii="Arial" w:cs="Arial" w:eastAsia="Arial" w:hAnsi="Arial"/>
          <w:sz w:val="22"/>
          <w:szCs w:val="22"/>
          <w:color w:val="auto"/>
        </w:rPr>
        <w:t>Form of United States Tax Compliance Certificate (For Non-U.S. Participants That Are Partnerships For U.S. Federal Income Tax Purposes)</w:t>
      </w:r>
    </w:p>
    <w:p>
      <w:pPr>
        <w:ind w:left="340"/>
        <w:spacing w:after="0"/>
        <w:tabs>
          <w:tab w:leader="none" w:pos="164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21"/>
          <w:szCs w:val="21"/>
          <w:color w:val="auto"/>
        </w:rPr>
        <w:t>Form of Notice of Continuation/Conversion</w:t>
      </w:r>
    </w:p>
    <w:p>
      <w:pPr>
        <w:ind w:left="340"/>
        <w:spacing w:after="0"/>
        <w:tabs>
          <w:tab w:leader="none" w:pos="1660" w:val="left"/>
        </w:tabs>
        <w:rPr>
          <w:sz w:val="20"/>
          <w:szCs w:val="20"/>
          <w:color w:val="auto"/>
        </w:rPr>
      </w:pPr>
      <w:r>
        <w:rPr>
          <w:rFonts w:ascii="Arial" w:cs="Arial" w:eastAsia="Arial" w:hAnsi="Arial"/>
          <w:sz w:val="22"/>
          <w:szCs w:val="22"/>
          <w:color w:val="auto"/>
        </w:rPr>
        <w:t>Exhibit G</w:t>
      </w:r>
      <w:r>
        <w:rPr>
          <w:sz w:val="20"/>
          <w:szCs w:val="20"/>
          <w:color w:val="auto"/>
        </w:rPr>
        <w:tab/>
      </w:r>
      <w:r>
        <w:rPr>
          <w:rFonts w:ascii="Arial" w:cs="Arial" w:eastAsia="Arial" w:hAnsi="Arial"/>
          <w:sz w:val="21"/>
          <w:szCs w:val="21"/>
          <w:color w:val="auto"/>
        </w:rPr>
        <w:t>Form of Acceptance and Prepayment Notice</w:t>
      </w:r>
    </w:p>
    <w:p>
      <w:pPr>
        <w:spacing w:after="0" w:line="1" w:lineRule="exact"/>
        <w:rPr>
          <w:sz w:val="20"/>
          <w:szCs w:val="20"/>
          <w:color w:val="auto"/>
        </w:rPr>
      </w:pPr>
    </w:p>
    <w:p>
      <w:pPr>
        <w:ind w:left="340"/>
        <w:spacing w:after="0"/>
        <w:tabs>
          <w:tab w:leader="none" w:pos="1660" w:val="left"/>
        </w:tabs>
        <w:rPr>
          <w:sz w:val="20"/>
          <w:szCs w:val="20"/>
          <w:color w:val="auto"/>
        </w:rPr>
      </w:pPr>
      <w:r>
        <w:rPr>
          <w:rFonts w:ascii="Arial" w:cs="Arial" w:eastAsia="Arial" w:hAnsi="Arial"/>
          <w:sz w:val="22"/>
          <w:szCs w:val="22"/>
          <w:color w:val="auto"/>
        </w:rPr>
        <w:t>Exhibit H</w:t>
      </w:r>
      <w:r>
        <w:rPr>
          <w:sz w:val="20"/>
          <w:szCs w:val="20"/>
          <w:color w:val="auto"/>
        </w:rPr>
        <w:tab/>
      </w:r>
      <w:r>
        <w:rPr>
          <w:rFonts w:ascii="Arial" w:cs="Arial" w:eastAsia="Arial" w:hAnsi="Arial"/>
          <w:sz w:val="21"/>
          <w:szCs w:val="21"/>
          <w:color w:val="auto"/>
        </w:rPr>
        <w:t>Form of Sustainability Pricing Certificate</w:t>
      </w:r>
    </w:p>
    <w:p>
      <w:pPr>
        <w:sectPr>
          <w:pgSz w:w="11900" w:h="16838" w:orient="portrait"/>
          <w:cols w:equalWidth="0" w:num="1">
            <w:col w:w="10139"/>
          </w:cols>
          <w:pgMar w:left="320" w:top="1403" w:right="1440" w:bottom="1440" w:gutter="0" w:footer="0" w:header="0"/>
        </w:sectPr>
      </w:pPr>
    </w:p>
    <w:bookmarkStart w:id="206" w:name="page207"/>
    <w:bookmarkEnd w:id="206"/>
    <w:p>
      <w:pPr>
        <w:jc w:val="both"/>
        <w:ind w:firstLine="324"/>
        <w:spacing w:after="0" w:line="236" w:lineRule="auto"/>
        <w:rPr>
          <w:sz w:val="20"/>
          <w:szCs w:val="20"/>
          <w:color w:val="auto"/>
        </w:rPr>
      </w:pPr>
      <w:r>
        <w:rPr>
          <w:rFonts w:ascii="Arial" w:cs="Arial" w:eastAsia="Arial" w:hAnsi="Arial"/>
          <w:sz w:val="22"/>
          <w:szCs w:val="22"/>
          <w:color w:val="auto"/>
        </w:rPr>
        <w:t xml:space="preserve">THIS TERM LOAN CREDIT AGREEMENT, dated as of May 14, 2021, among MICRON TECHNOLOGY, INC., a Delaware corporation (the “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WELLS FARGO BANK, NATIONAL ASSOCIATION (“</w:t>
      </w:r>
      <w:r>
        <w:rPr>
          <w:rFonts w:ascii="Arial" w:cs="Arial" w:eastAsia="Arial" w:hAnsi="Arial"/>
          <w:sz w:val="22"/>
          <w:szCs w:val="22"/>
          <w:u w:val="single" w:color="auto"/>
          <w:color w:val="auto"/>
        </w:rPr>
        <w:t>Wells Fargo</w:t>
      </w:r>
      <w:r>
        <w:rPr>
          <w:rFonts w:ascii="Arial" w:cs="Arial" w:eastAsia="Arial" w:hAnsi="Arial"/>
          <w:sz w:val="22"/>
          <w:szCs w:val="22"/>
          <w:color w:val="auto"/>
        </w:rPr>
        <w:t>”), as administrative agent (in such capacity and including any successors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or the “</w:t>
      </w:r>
      <w:r>
        <w:rPr>
          <w:rFonts w:ascii="Arial" w:cs="Arial" w:eastAsia="Arial" w:hAnsi="Arial"/>
          <w:sz w:val="22"/>
          <w:szCs w:val="22"/>
          <w:u w:val="single" w:color="auto"/>
          <w:color w:val="auto"/>
        </w:rPr>
        <w:t>Agent</w:t>
      </w:r>
      <w:r>
        <w:rPr>
          <w:rFonts w:ascii="Arial" w:cs="Arial" w:eastAsia="Arial" w:hAnsi="Arial"/>
          <w:sz w:val="22"/>
          <w:szCs w:val="22"/>
          <w:color w:val="auto"/>
        </w:rPr>
        <w:t>”), the other agents party hereto and each of the financial institutions from time to time party hereto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Borrower intends to use the Term Loans for general corporate purposes.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hereby agree as follows:</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1_____</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Definitions</w:t>
      </w:r>
    </w:p>
    <w:p>
      <w:pPr>
        <w:spacing w:after="0" w:line="19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Defined Terms. As used in this Agreement, the following terms shall have the meanings specified below:</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2018 GHG Emissions Intensity Baseline</w:t>
      </w:r>
      <w:r>
        <w:rPr>
          <w:rFonts w:ascii="Arial" w:cs="Arial" w:eastAsia="Arial" w:hAnsi="Arial"/>
          <w:sz w:val="22"/>
          <w:szCs w:val="22"/>
          <w:color w:val="auto"/>
        </w:rPr>
        <w:t>”: (a) the sum of the Borrower and its Subsidiaries’ (i) total Scope 1 Emissions plus (ii) Scope 2 Emissions for the calendar year ended December 31, 2018 divided by (b) production units for the calendar year ended December 31, 2018.</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0000FF"/>
        </w:rPr>
        <w:t>“Adjusted Term SOFR”: for purposes of any calculation</w:t>
      </w:r>
      <w:r>
        <w:rPr>
          <w:rFonts w:ascii="Arial" w:cs="Arial" w:eastAsia="Arial" w:hAnsi="Arial"/>
          <w:sz w:val="22"/>
          <w:szCs w:val="22"/>
          <w:u w:val="single" w:color="auto"/>
          <w:color w:val="008000"/>
        </w:rPr>
        <w:t>, the rate per annum equal to</w:t>
      </w:r>
      <w:r>
        <w:rPr>
          <w:rFonts w:ascii="Arial" w:cs="Arial" w:eastAsia="Arial" w:hAnsi="Arial"/>
          <w:sz w:val="22"/>
          <w:szCs w:val="22"/>
          <w:u w:val="single" w:color="auto"/>
          <w:color w:val="0000FF"/>
        </w:rPr>
        <w:t xml:space="preserve"> (a) Term SOFR for such calculation plus (b) the Term SOFR Adjustment; provided that if Adjusted Term SOFR as so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determined shall ever be less than the Floor, then Adjusted Term SOFR shall be deemed to be the Floor.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(a) any EEA Financial Institution or (b) any UK Financial Institution.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the meaning set forth in the preamble to this Agreement.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this Term Loan Credit Agreement, as the same may be amended, restated, amended and restated, supplemented or otherwise modified from time to time.</w:t>
      </w:r>
    </w:p>
    <w:p>
      <w:pPr>
        <w:sectPr>
          <w:pgSz w:w="11900" w:h="16838" w:orient="portrait"/>
          <w:cols w:equalWidth="0" w:num="1">
            <w:col w:w="11240"/>
          </w:cols>
          <w:pgMar w:left="320" w:top="1413" w:right="339" w:bottom="1440" w:gutter="0" w:footer="0" w:header="0"/>
        </w:sectPr>
      </w:pPr>
    </w:p>
    <w:bookmarkStart w:id="207" w:name="page208"/>
    <w:bookmarkEnd w:id="207"/>
    <w:p>
      <w:pPr>
        <w:jc w:val="both"/>
        <w:ind w:firstLine="648"/>
        <w:spacing w:after="0" w:line="251" w:lineRule="auto"/>
        <w:rPr>
          <w:sz w:val="20"/>
          <w:szCs w:val="20"/>
          <w:color w:val="auto"/>
        </w:rPr>
      </w:pPr>
      <w:r>
        <w:rPr>
          <w:rFonts w:ascii="Arial" w:cs="Arial" w:eastAsia="Arial" w:hAnsi="Arial"/>
          <w:sz w:val="22"/>
          <w:szCs w:val="22"/>
          <w:u w:val="single" w:color="auto"/>
          <w:color w:val="0000FF"/>
        </w:rPr>
        <w:t>“Amendment No. 2”: that certain Amendment No. 2 to Term Loan Credit Agreement, dated as of June 7, 2023 by the Administrative Agent.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“Amendment No. 2 Effective Date”: the meaning set forth in Amendment No. 2.</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Margin</w:t>
      </w:r>
      <w:r>
        <w:rPr>
          <w:rFonts w:ascii="Arial" w:cs="Arial" w:eastAsia="Arial" w:hAnsi="Arial"/>
          <w:sz w:val="22"/>
          <w:szCs w:val="22"/>
          <w:color w:val="auto"/>
        </w:rPr>
        <w:t xml:space="preserve">”: with respect to the Term Loans, for any day, with respect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or any Base Rate Loan, as the case may be, the applicable rate per annum set forth below under the caption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Spread” or “Base Rate Spread”, as the case may be, corresponding to the applicable Corporate Ratings from the Rating Agencies on such date:</w:t>
      </w:r>
    </w:p>
    <w:p>
      <w:pPr>
        <w:spacing w:after="0" w:line="214" w:lineRule="exact"/>
        <w:rPr>
          <w:sz w:val="20"/>
          <w:szCs w:val="20"/>
          <w:color w:val="auto"/>
        </w:rPr>
      </w:pPr>
    </w:p>
    <w:tbl>
      <w:tblPr>
        <w:tblLayout w:type="fixed"/>
        <w:tblInd w:w="670" w:type="dxa"/>
        <w:tblCellMar>
          <w:top w:w="0" w:type="dxa"/>
          <w:left w:w="0" w:type="dxa"/>
          <w:bottom w:w="0" w:type="dxa"/>
          <w:right w:w="0" w:type="dxa"/>
        </w:tblCellMar>
      </w:tblPr>
      <w:tr>
        <w:trPr>
          <w:trHeight w:val="229"/>
        </w:trPr>
        <w:tc>
          <w:tcPr>
            <w:tcW w:w="2040" w:type="dxa"/>
            <w:vAlign w:val="bottom"/>
            <w:tcBorders>
              <w:top w:val="single" w:sz="8" w:color="auto"/>
              <w:left w:val="single" w:sz="8" w:color="auto"/>
              <w:right w:val="single" w:sz="8" w:color="auto"/>
            </w:tcBorders>
          </w:tcPr>
          <w:p>
            <w:pPr>
              <w:ind w:left="20"/>
              <w:spacing w:after="0" w:line="229" w:lineRule="exact"/>
              <w:rPr>
                <w:sz w:val="20"/>
                <w:szCs w:val="20"/>
                <w:color w:val="auto"/>
              </w:rPr>
            </w:pPr>
            <w:r>
              <w:rPr>
                <w:rFonts w:ascii="Arial" w:cs="Arial" w:eastAsia="Arial" w:hAnsi="Arial"/>
                <w:sz w:val="22"/>
                <w:szCs w:val="22"/>
                <w:color w:val="auto"/>
              </w:rPr>
              <w:t>Pricing Level:</w:t>
            </w:r>
          </w:p>
        </w:tc>
        <w:tc>
          <w:tcPr>
            <w:tcW w:w="2600" w:type="dxa"/>
            <w:vAlign w:val="bottom"/>
            <w:tcBorders>
              <w:top w:val="single" w:sz="8" w:color="auto"/>
              <w:right w:val="single" w:sz="8" w:color="auto"/>
            </w:tcBorders>
          </w:tcPr>
          <w:p>
            <w:pPr>
              <w:ind w:left="20"/>
              <w:spacing w:after="0" w:line="229" w:lineRule="exact"/>
              <w:rPr>
                <w:sz w:val="20"/>
                <w:szCs w:val="20"/>
                <w:color w:val="auto"/>
              </w:rPr>
            </w:pPr>
            <w:r>
              <w:rPr>
                <w:rFonts w:ascii="Arial" w:cs="Arial" w:eastAsia="Arial" w:hAnsi="Arial"/>
                <w:sz w:val="22"/>
                <w:szCs w:val="22"/>
                <w:color w:val="auto"/>
              </w:rPr>
              <w:t>Corporate Ratings:</w:t>
            </w:r>
          </w:p>
        </w:tc>
        <w:tc>
          <w:tcPr>
            <w:tcW w:w="980" w:type="dxa"/>
            <w:vAlign w:val="bottom"/>
            <w:tcBorders>
              <w:top w:val="single" w:sz="8" w:color="auto"/>
            </w:tcBorders>
            <w:gridSpan w:val="2"/>
          </w:tcPr>
          <w:p>
            <w:pPr>
              <w:spacing w:after="0" w:line="229" w:lineRule="exact"/>
              <w:rPr>
                <w:sz w:val="20"/>
                <w:szCs w:val="20"/>
                <w:color w:val="auto"/>
              </w:rPr>
            </w:pPr>
            <w:r>
              <w:rPr>
                <w:rFonts w:ascii="Arial" w:cs="Arial" w:eastAsia="Arial" w:hAnsi="Arial"/>
                <w:sz w:val="22"/>
                <w:szCs w:val="22"/>
                <w:color w:val="EE2724"/>
                <w:strike w:val="1"/>
                <w:w w:val="95"/>
              </w:rPr>
              <w:t>Eurodollar</w:t>
            </w:r>
          </w:p>
        </w:tc>
        <w:tc>
          <w:tcPr>
            <w:tcW w:w="1600" w:type="dxa"/>
            <w:vAlign w:val="bottom"/>
            <w:tcBorders>
              <w:top w:val="single" w:sz="8" w:color="auto"/>
              <w:right w:val="single" w:sz="8" w:color="auto"/>
            </w:tcBorders>
            <w:gridSpan w:val="2"/>
          </w:tcPr>
          <w:p>
            <w:pPr>
              <w:spacing w:after="0" w:line="229" w:lineRule="exact"/>
              <w:rPr>
                <w:sz w:val="20"/>
                <w:szCs w:val="20"/>
                <w:color w:val="auto"/>
              </w:rPr>
            </w:pPr>
            <w:r>
              <w:rPr>
                <w:rFonts w:ascii="Arial" w:cs="Arial" w:eastAsia="Arial" w:hAnsi="Arial"/>
                <w:sz w:val="22"/>
                <w:szCs w:val="22"/>
                <w:b w:val="1"/>
                <w:bCs w:val="1"/>
                <w:color w:val="3051F2"/>
              </w:rPr>
              <w:t>Adjusted Term</w:t>
            </w:r>
          </w:p>
        </w:tc>
        <w:tc>
          <w:tcPr>
            <w:tcW w:w="2600" w:type="dxa"/>
            <w:vAlign w:val="bottom"/>
            <w:tcBorders>
              <w:top w:val="single" w:sz="8" w:color="auto"/>
              <w:right w:val="single" w:sz="8" w:color="auto"/>
            </w:tcBorders>
          </w:tcPr>
          <w:p>
            <w:pPr>
              <w:ind w:left="20"/>
              <w:spacing w:after="0" w:line="229" w:lineRule="exact"/>
              <w:rPr>
                <w:sz w:val="20"/>
                <w:szCs w:val="20"/>
                <w:color w:val="auto"/>
              </w:rPr>
            </w:pPr>
            <w:r>
              <w:rPr>
                <w:rFonts w:ascii="Arial" w:cs="Arial" w:eastAsia="Arial" w:hAnsi="Arial"/>
                <w:sz w:val="22"/>
                <w:szCs w:val="22"/>
                <w:color w:val="auto"/>
              </w:rPr>
              <w:t>Base Rate Spread</w:t>
            </w:r>
          </w:p>
        </w:tc>
      </w:tr>
      <w:tr>
        <w:trPr>
          <w:trHeight w:val="20"/>
        </w:trPr>
        <w:tc>
          <w:tcPr>
            <w:tcW w:w="2040" w:type="dxa"/>
            <w:vAlign w:val="bottom"/>
            <w:tcBorders>
              <w:left w:val="single" w:sz="8" w:color="auto"/>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r>
      <w:tr>
        <w:trPr>
          <w:trHeight w:val="196"/>
        </w:trPr>
        <w:tc>
          <w:tcPr>
            <w:tcW w:w="2040" w:type="dxa"/>
            <w:vAlign w:val="bottom"/>
            <w:tcBorders>
              <w:left w:val="single" w:sz="8" w:color="auto"/>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2480" w:type="dxa"/>
            <w:vAlign w:val="bottom"/>
            <w:gridSpan w:val="3"/>
          </w:tcPr>
          <w:p>
            <w:pPr>
              <w:spacing w:after="0" w:line="195" w:lineRule="exact"/>
              <w:rPr>
                <w:sz w:val="20"/>
                <w:szCs w:val="20"/>
                <w:color w:val="auto"/>
              </w:rPr>
            </w:pPr>
            <w:r>
              <w:rPr>
                <w:rFonts w:ascii="Arial" w:cs="Arial" w:eastAsia="Arial" w:hAnsi="Arial"/>
                <w:sz w:val="22"/>
                <w:szCs w:val="22"/>
                <w:b w:val="1"/>
                <w:bCs w:val="1"/>
                <w:color w:val="3051F2"/>
              </w:rPr>
              <w:t xml:space="preserve">SOFR </w:t>
            </w:r>
            <w:r>
              <w:rPr>
                <w:rFonts w:ascii="Arial" w:cs="Arial" w:eastAsia="Arial" w:hAnsi="Arial"/>
                <w:sz w:val="22"/>
                <w:szCs w:val="22"/>
                <w:color w:val="000000"/>
              </w:rPr>
              <w:t>Spread</w:t>
            </w:r>
          </w:p>
        </w:tc>
        <w:tc>
          <w:tcPr>
            <w:tcW w:w="10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34"/>
        </w:trPr>
        <w:tc>
          <w:tcPr>
            <w:tcW w:w="2040" w:type="dxa"/>
            <w:vAlign w:val="bottom"/>
            <w:tcBorders>
              <w:left w:val="single" w:sz="8" w:color="auto"/>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600" w:type="dxa"/>
            <w:vAlign w:val="bottom"/>
            <w:tcBorders>
              <w:top w:val="single" w:sz="8" w:color="3051F2"/>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r>
      <w:tr>
        <w:trPr>
          <w:trHeight w:val="284"/>
        </w:trPr>
        <w:tc>
          <w:tcPr>
            <w:tcW w:w="2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 1</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 BBB+ / Baa1 / BBB</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6"/>
              </w:rPr>
              <w:t>0.625%</w:t>
            </w:r>
          </w:p>
        </w:tc>
        <w:tc>
          <w:tcPr>
            <w:tcW w:w="10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0.00%</w:t>
            </w:r>
          </w:p>
        </w:tc>
      </w:tr>
      <w:tr>
        <w:trPr>
          <w:trHeight w:val="290"/>
        </w:trPr>
        <w:tc>
          <w:tcPr>
            <w:tcW w:w="2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 2</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7"/>
              </w:rPr>
              <w:t>BBB / Baa2 / BBB</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6"/>
              </w:rPr>
              <w:t>0.75%</w:t>
            </w:r>
          </w:p>
        </w:tc>
        <w:tc>
          <w:tcPr>
            <w:tcW w:w="10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0.00%</w:t>
            </w:r>
          </w:p>
        </w:tc>
      </w:tr>
      <w:tr>
        <w:trPr>
          <w:trHeight w:val="290"/>
        </w:trPr>
        <w:tc>
          <w:tcPr>
            <w:tcW w:w="2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 3</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BBB- / Baa3 / BBB-</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6"/>
              </w:rPr>
              <w:t>0.875%</w:t>
            </w:r>
          </w:p>
        </w:tc>
        <w:tc>
          <w:tcPr>
            <w:tcW w:w="10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0.00%</w:t>
            </w:r>
          </w:p>
        </w:tc>
      </w:tr>
      <w:tr>
        <w:trPr>
          <w:trHeight w:val="291"/>
        </w:trPr>
        <w:tc>
          <w:tcPr>
            <w:tcW w:w="2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 4</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BB+ / Ba1 / BB+</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6"/>
              </w:rPr>
              <w:t>1.125%</w:t>
            </w:r>
          </w:p>
        </w:tc>
        <w:tc>
          <w:tcPr>
            <w:tcW w:w="10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0.125%</w:t>
            </w:r>
          </w:p>
        </w:tc>
      </w:tr>
      <w:tr>
        <w:trPr>
          <w:trHeight w:val="290"/>
        </w:trPr>
        <w:tc>
          <w:tcPr>
            <w:tcW w:w="2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 5</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8"/>
              </w:rPr>
              <w:t>≤ BB / Ba2 / BB</w:t>
            </w:r>
          </w:p>
        </w:tc>
        <w:tc>
          <w:tcPr>
            <w:tcW w:w="24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6"/>
              </w:rPr>
              <w:t>1.375%</w:t>
            </w:r>
          </w:p>
        </w:tc>
        <w:tc>
          <w:tcPr>
            <w:tcW w:w="100" w:type="dxa"/>
            <w:vAlign w:val="bottom"/>
            <w:tcBorders>
              <w:bottom w:val="single" w:sz="8" w:color="auto"/>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9"/>
              </w:rPr>
              <w:t>0.375%</w:t>
            </w:r>
          </w:p>
        </w:tc>
      </w:tr>
    </w:tbl>
    <w:p>
      <w:pPr>
        <w:spacing w:after="0" w:line="2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For purposes of the foregoing, (i) if only one Corporate Rating is in effect, the Applicable Margin shall be determined by reference to such available Corporate Rating, (i) if two or three Corporate Ratings are in effect, the Applicable Margin shall be determined by reference to the highest of the two or three, as applicable, 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w:t>
      </w:r>
    </w:p>
    <w:p>
      <w:pPr>
        <w:sectPr>
          <w:pgSz w:w="11900" w:h="16838" w:orient="portrait"/>
          <w:cols w:equalWidth="0" w:num="1">
            <w:col w:w="11240"/>
          </w:cols>
          <w:pgMar w:left="320" w:top="1413" w:right="339" w:bottom="1440" w:gutter="0" w:footer="0" w:header="0"/>
        </w:sectPr>
      </w:pPr>
    </w:p>
    <w:bookmarkStart w:id="208" w:name="page209"/>
    <w:bookmarkEnd w:id="208"/>
    <w:p>
      <w:pPr>
        <w:jc w:val="both"/>
        <w:spacing w:after="0" w:line="251" w:lineRule="auto"/>
        <w:rPr>
          <w:sz w:val="20"/>
          <w:szCs w:val="20"/>
          <w:color w:val="auto"/>
        </w:rPr>
      </w:pPr>
      <w:r>
        <w:rPr>
          <w:rFonts w:ascii="Arial" w:cs="Arial" w:eastAsia="Arial" w:hAnsi="Arial"/>
          <w:sz w:val="22"/>
          <w:szCs w:val="22"/>
          <w:color w:val="auto"/>
        </w:rPr>
        <w:t>shall use reasonable best efforts to notify Administrative Agent in writing (which may be by facsimile or email transmission) of such new Corporate Rating and the date of such change.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Each change in the Applicable Margin shall apply during the period commencing on the effective date of such change and ending on the date immediately preceding the effective date of the next Corporate Rating change.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2.25(d)</w:t>
      </w:r>
      <w:r>
        <w:rPr>
          <w:rFonts w:ascii="Arial" w:cs="Arial" w:eastAsia="Arial" w:hAnsi="Arial"/>
          <w:sz w:val="22"/>
          <w:szCs w:val="22"/>
          <w:color w:val="auto"/>
        </w:rPr>
        <w:t xml:space="preserve">, the Applicable Margin shall be adjusted on each Sustainability Adjustment Date based upon the Sustainability Margin Adjustment (to be calculated and applied as set forth in the definition thereof and in </w:t>
      </w:r>
      <w:r>
        <w:rPr>
          <w:rFonts w:ascii="Arial" w:cs="Arial" w:eastAsia="Arial" w:hAnsi="Arial"/>
          <w:sz w:val="22"/>
          <w:szCs w:val="22"/>
          <w:u w:val="single" w:color="auto"/>
          <w:color w:val="auto"/>
        </w:rPr>
        <w:t>Section 2.25(a))</w:t>
      </w:r>
      <w:r>
        <w:rPr>
          <w:rFonts w:ascii="Arial" w:cs="Arial" w:eastAsia="Arial" w:hAnsi="Arial"/>
          <w:sz w:val="22"/>
          <w:szCs w:val="22"/>
          <w:color w:val="auto"/>
        </w:rPr>
        <w:t>; provided that in no event shall the Applicable Margin be less than 0.00%.</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Electronic Communication</w:t>
      </w:r>
      <w:r>
        <w:rPr>
          <w:rFonts w:ascii="Arial" w:cs="Arial" w:eastAsia="Arial" w:hAnsi="Arial"/>
          <w:sz w:val="22"/>
          <w:szCs w:val="22"/>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9.6(b)(ii)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w:t>
      </w:r>
      <w:r>
        <w:rPr>
          <w:rFonts w:ascii="Arial" w:cs="Arial" w:eastAsia="Arial" w:hAnsi="Arial"/>
          <w:sz w:val="22"/>
          <w:szCs w:val="22"/>
          <w:color w:val="auto"/>
        </w:rPr>
        <w:t>”: the Lead Arranger.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9.6(b)(i)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an assignment and acceptance entered into by a Lender and an Assignee and accepted by the Administrative Agent to the extent required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hereto.</w:t>
      </w:r>
    </w:p>
    <w:p>
      <w:pPr>
        <w:spacing w:after="0" w:line="16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Debt</w:t>
      </w:r>
      <w:r>
        <w:rPr>
          <w:rFonts w:ascii="Arial" w:cs="Arial" w:eastAsia="Arial" w:hAnsi="Arial"/>
          <w:sz w:val="22"/>
          <w:szCs w:val="22"/>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8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xml:space="preserve">”: as of any date of determination and with respect to the then-current Benchmark, as applicable, </w:t>
      </w:r>
      <w:r>
        <w:rPr>
          <w:rFonts w:ascii="Arial" w:cs="Arial" w:eastAsia="Arial" w:hAnsi="Arial"/>
          <w:sz w:val="22"/>
          <w:szCs w:val="22"/>
          <w:u w:val="single" w:color="auto"/>
          <w:color w:val="0000FF"/>
        </w:rPr>
        <w:t>(a) if such Benchmark is a term rate,</w:t>
      </w:r>
      <w:r>
        <w:rPr>
          <w:rFonts w:ascii="Arial" w:cs="Arial" w:eastAsia="Arial" w:hAnsi="Arial"/>
          <w:sz w:val="22"/>
          <w:szCs w:val="22"/>
          <w:color w:val="auto"/>
        </w:rPr>
        <w:t xml:space="preserve"> any tenor for such Benchmark </w:t>
      </w:r>
      <w:r>
        <w:rPr>
          <w:rFonts w:ascii="Arial" w:cs="Arial" w:eastAsia="Arial" w:hAnsi="Arial"/>
          <w:sz w:val="22"/>
          <w:szCs w:val="22"/>
          <w:u w:val="single" w:color="auto"/>
          <w:color w:val="0000FF"/>
        </w:rPr>
        <w:t>(</w:t>
      </w:r>
      <w:r>
        <w:rPr>
          <w:rFonts w:ascii="Arial" w:cs="Arial" w:eastAsia="Arial" w:hAnsi="Arial"/>
          <w:sz w:val="22"/>
          <w:szCs w:val="22"/>
          <w:color w:val="auto"/>
        </w:rPr>
        <w:t xml:space="preserve">or </w:t>
      </w:r>
      <w:r>
        <w:rPr>
          <w:rFonts w:ascii="Arial" w:cs="Arial" w:eastAsia="Arial" w:hAnsi="Arial"/>
          <w:sz w:val="22"/>
          <w:szCs w:val="22"/>
          <w:color w:val="008000"/>
          <w:strike w:val="1"/>
        </w:rPr>
        <w:t>payment period for interest</w:t>
      </w:r>
      <w:r>
        <w:rPr>
          <w:rFonts w:ascii="Arial" w:cs="Arial" w:eastAsia="Arial" w:hAnsi="Arial"/>
          <w:sz w:val="22"/>
          <w:szCs w:val="22"/>
          <w:color w:val="auto"/>
        </w:rPr>
        <w:t xml:space="preserve"> </w:t>
      </w:r>
      <w:r>
        <w:rPr>
          <w:rFonts w:ascii="Arial" w:cs="Arial" w:eastAsia="Arial" w:hAnsi="Arial"/>
          <w:sz w:val="22"/>
          <w:szCs w:val="22"/>
          <w:color w:val="008000"/>
          <w:strike w:val="1"/>
        </w:rPr>
        <w:t>calculated with reference to such Benchmark</w:t>
      </w:r>
      <w:r>
        <w:rPr>
          <w:rFonts w:ascii="Arial" w:cs="Arial" w:eastAsia="Arial" w:hAnsi="Arial"/>
          <w:sz w:val="22"/>
          <w:szCs w:val="22"/>
          <w:color w:val="FF0000"/>
          <w:strike w:val="1"/>
        </w:rPr>
        <w:t>, as applicable,</w:t>
      </w:r>
      <w:r>
        <w:rPr>
          <w:rFonts w:ascii="Arial" w:cs="Arial" w:eastAsia="Arial" w:hAnsi="Arial"/>
          <w:sz w:val="22"/>
          <w:szCs w:val="22"/>
          <w:u w:val="single" w:color="auto"/>
          <w:color w:val="0000FF"/>
        </w:rPr>
        <w:t>component thereof)</w:t>
      </w:r>
      <w:r>
        <w:rPr>
          <w:rFonts w:ascii="Arial" w:cs="Arial" w:eastAsia="Arial" w:hAnsi="Arial"/>
          <w:sz w:val="22"/>
          <w:szCs w:val="22"/>
          <w:color w:val="008000"/>
        </w:rPr>
        <w:t xml:space="preserve"> </w:t>
      </w:r>
      <w:r>
        <w:rPr>
          <w:rFonts w:ascii="Arial" w:cs="Arial" w:eastAsia="Arial" w:hAnsi="Arial"/>
          <w:sz w:val="22"/>
          <w:szCs w:val="22"/>
          <w:color w:val="000000"/>
        </w:rPr>
        <w:t>that is or may be used for</w:t>
      </w:r>
      <w:r>
        <w:rPr>
          <w:rFonts w:ascii="Arial" w:cs="Arial" w:eastAsia="Arial" w:hAnsi="Arial"/>
          <w:sz w:val="22"/>
          <w:szCs w:val="22"/>
          <w:color w:val="008000"/>
        </w:rPr>
        <w:t xml:space="preserve"> </w:t>
      </w:r>
      <w:r>
        <w:rPr>
          <w:rFonts w:ascii="Arial" w:cs="Arial" w:eastAsia="Arial" w:hAnsi="Arial"/>
          <w:sz w:val="22"/>
          <w:szCs w:val="22"/>
          <w:color w:val="000000"/>
        </w:rPr>
        <w:t xml:space="preserve">determining the length of an </w:t>
      </w:r>
      <w:r>
        <w:rPr>
          <w:rFonts w:ascii="Arial" w:cs="Arial" w:eastAsia="Arial" w:hAnsi="Arial"/>
          <w:sz w:val="22"/>
          <w:szCs w:val="22"/>
          <w:color w:val="FF0000"/>
          <w:strike w:val="1"/>
        </w:rPr>
        <w:t>I</w:t>
      </w:r>
      <w:r>
        <w:rPr>
          <w:rFonts w:ascii="Arial" w:cs="Arial" w:eastAsia="Arial" w:hAnsi="Arial"/>
          <w:sz w:val="22"/>
          <w:szCs w:val="22"/>
          <w:u w:val="single" w:color="auto"/>
          <w:color w:val="0000FF"/>
        </w:rPr>
        <w:t>i</w:t>
      </w:r>
      <w:r>
        <w:rPr>
          <w:rFonts w:ascii="Arial" w:cs="Arial" w:eastAsia="Arial" w:hAnsi="Arial"/>
          <w:sz w:val="22"/>
          <w:szCs w:val="22"/>
          <w:color w:val="000000"/>
        </w:rPr>
        <w:t xml:space="preserve">nterest </w:t>
      </w:r>
      <w:r>
        <w:rPr>
          <w:rFonts w:ascii="Arial" w:cs="Arial" w:eastAsia="Arial" w:hAnsi="Arial"/>
          <w:sz w:val="22"/>
          <w:szCs w:val="22"/>
          <w:color w:val="FF0000"/>
          <w:strike w:val="1"/>
        </w:rPr>
        <w:t>P</w:t>
      </w:r>
      <w:r>
        <w:rPr>
          <w:rFonts w:ascii="Arial" w:cs="Arial" w:eastAsia="Arial" w:hAnsi="Arial"/>
          <w:sz w:val="22"/>
          <w:szCs w:val="22"/>
          <w:u w:val="single" w:color="auto"/>
          <w:color w:val="0000FF"/>
        </w:rPr>
        <w:t>p</w:t>
      </w:r>
      <w:r>
        <w:rPr>
          <w:rFonts w:ascii="Arial" w:cs="Arial" w:eastAsia="Arial" w:hAnsi="Arial"/>
          <w:sz w:val="22"/>
          <w:szCs w:val="22"/>
          <w:color w:val="000000"/>
        </w:rPr>
        <w:t xml:space="preserve">eriod pursuant to this Agreement </w:t>
      </w:r>
      <w:r>
        <w:rPr>
          <w:rFonts w:ascii="Arial" w:cs="Arial" w:eastAsia="Arial" w:hAnsi="Arial"/>
          <w:sz w:val="22"/>
          <w:szCs w:val="22"/>
          <w:u w:val="single" w:color="auto"/>
          <w:color w:val="0000FF"/>
        </w:rPr>
        <w:t>or (b) otherwise, any</w:t>
      </w:r>
      <w:r>
        <w:rPr>
          <w:rFonts w:ascii="Arial" w:cs="Arial" w:eastAsia="Arial" w:hAnsi="Arial"/>
          <w:sz w:val="22"/>
          <w:szCs w:val="22"/>
          <w:color w:val="000000"/>
        </w:rPr>
        <w:t xml:space="preserve"> </w:t>
      </w:r>
      <w:r>
        <w:rPr>
          <w:rFonts w:ascii="Arial" w:cs="Arial" w:eastAsia="Arial" w:hAnsi="Arial"/>
          <w:sz w:val="22"/>
          <w:szCs w:val="22"/>
          <w:u w:val="single" w:color="auto"/>
          <w:color w:val="008000"/>
        </w:rPr>
        <w:t>payment period for</w:t>
      </w:r>
      <w:r>
        <w:rPr>
          <w:rFonts w:ascii="Arial" w:cs="Arial" w:eastAsia="Arial" w:hAnsi="Arial"/>
          <w:sz w:val="22"/>
          <w:szCs w:val="22"/>
          <w:color w:val="000000"/>
        </w:rPr>
        <w:t xml:space="preserve"> </w:t>
      </w:r>
      <w:r>
        <w:rPr>
          <w:rFonts w:ascii="Arial" w:cs="Arial" w:eastAsia="Arial" w:hAnsi="Arial"/>
          <w:sz w:val="22"/>
          <w:szCs w:val="22"/>
          <w:u w:val="single" w:color="auto"/>
          <w:color w:val="008000"/>
        </w:rPr>
        <w:t xml:space="preserve">interest calculated with reference to such Benchmark </w:t>
      </w:r>
      <w:r>
        <w:rPr>
          <w:rFonts w:ascii="Arial" w:cs="Arial" w:eastAsia="Arial" w:hAnsi="Arial"/>
          <w:sz w:val="22"/>
          <w:szCs w:val="22"/>
          <w:u w:val="single" w:color="auto"/>
          <w:color w:val="0000FF"/>
        </w:rPr>
        <w:t>(or component thereof) that is or may be used for determining</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any frequency of making payments of interest calculated with reference to such Benchmark, in each case,</w:t>
      </w:r>
      <w:r>
        <w:rPr>
          <w:rFonts w:ascii="Arial" w:cs="Arial" w:eastAsia="Arial" w:hAnsi="Arial"/>
          <w:sz w:val="22"/>
          <w:szCs w:val="22"/>
          <w:color w:val="0000FF"/>
        </w:rPr>
        <w:t xml:space="preserve"> </w:t>
      </w:r>
      <w:r>
        <w:rPr>
          <w:rFonts w:ascii="Arial" w:cs="Arial" w:eastAsia="Arial" w:hAnsi="Arial"/>
          <w:sz w:val="22"/>
          <w:szCs w:val="22"/>
          <w:color w:val="000000"/>
        </w:rPr>
        <w:t>as of such</w:t>
      </w:r>
      <w:r>
        <w:rPr>
          <w:rFonts w:ascii="Arial" w:cs="Arial" w:eastAsia="Arial" w:hAnsi="Arial"/>
          <w:sz w:val="22"/>
          <w:szCs w:val="22"/>
          <w:color w:val="0000FF"/>
        </w:rPr>
        <w:t xml:space="preserve"> </w:t>
      </w:r>
      <w:r>
        <w:rPr>
          <w:rFonts w:ascii="Arial" w:cs="Arial" w:eastAsia="Arial" w:hAnsi="Arial"/>
          <w:sz w:val="22"/>
          <w:szCs w:val="22"/>
          <w:color w:val="000000"/>
        </w:rPr>
        <w:t>date and not including, for the avoidance of doubt, any tenor for such</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Benchmark that is then-removed from the definition of “Interest Period” pursuant to Section 2.10(e).</w:t>
      </w:r>
    </w:p>
    <w:p>
      <w:pPr>
        <w:sectPr>
          <w:pgSz w:w="11900" w:h="16838" w:orient="portrait"/>
          <w:cols w:equalWidth="0" w:num="1">
            <w:col w:w="11240"/>
          </w:cols>
          <w:pgMar w:left="320" w:top="1413" w:right="339" w:bottom="1440" w:gutter="0" w:footer="0" w:header="0"/>
        </w:sectPr>
      </w:pPr>
    </w:p>
    <w:bookmarkStart w:id="209" w:name="page210"/>
    <w:bookmarkEnd w:id="209"/>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Unused Commitments</w:t>
      </w:r>
      <w:r>
        <w:rPr>
          <w:rFonts w:ascii="Arial" w:cs="Arial" w:eastAsia="Arial" w:hAnsi="Arial"/>
          <w:sz w:val="22"/>
          <w:szCs w:val="22"/>
          <w:color w:val="auto"/>
        </w:rPr>
        <w:t xml:space="preserve"> ”: as of the date of determination thereof, the aggregate amount by which (a) the aggregate amount of commitments under revolving credit facilities and revolving lines of credit of the Borrower and its Consolidated Subsidiaries exceeds (b) the aggregate principal amount of outstanding loans and advances under such revolving credit facilities and revolving lines of credit.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the United States Bankruptcy Code, codified as Title 11, U.S. Code §101-1330, as amended.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w:t>
      </w:r>
      <w:r>
        <w:rPr>
          <w:rFonts w:ascii="Arial" w:cs="Arial" w:eastAsia="Arial" w:hAnsi="Arial"/>
          <w:sz w:val="22"/>
          <w:szCs w:val="22"/>
          <w:color w:val="auto"/>
        </w:rPr>
        <w:t>”: for any day, a rate per annum equal to the greatest of (a) the Prime Rate in effect on such day,</w:t>
      </w:r>
    </w:p>
    <w:p>
      <w:pPr>
        <w:spacing w:after="0" w:line="6" w:lineRule="exact"/>
        <w:rPr>
          <w:sz w:val="20"/>
          <w:szCs w:val="20"/>
          <w:color w:val="auto"/>
        </w:rPr>
      </w:pPr>
    </w:p>
    <w:p>
      <w:pPr>
        <w:jc w:val="both"/>
        <w:ind w:firstLine="8"/>
        <w:spacing w:after="0" w:line="242" w:lineRule="auto"/>
        <w:tabs>
          <w:tab w:leader="none" w:pos="326"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the NYFRB Rate in effect on such day plus ½ of 1% and (c) </w:t>
      </w:r>
      <w:r>
        <w:rPr>
          <w:rFonts w:ascii="Arial" w:cs="Arial" w:eastAsia="Arial" w:hAnsi="Arial"/>
          <w:sz w:val="21"/>
          <w:szCs w:val="21"/>
          <w:color w:val="FF0000"/>
          <w:strike w:val="1"/>
        </w:rPr>
        <w:t>Eurodollar Rate</w:t>
      </w:r>
      <w:r>
        <w:rPr>
          <w:rFonts w:ascii="Arial" w:cs="Arial" w:eastAsia="Arial" w:hAnsi="Arial"/>
          <w:sz w:val="21"/>
          <w:szCs w:val="21"/>
          <w:u w:val="single" w:color="auto"/>
          <w:color w:val="0000FF"/>
        </w:rPr>
        <w:t>Adjusted Term SOFR</w:t>
      </w:r>
      <w:r>
        <w:rPr>
          <w:rFonts w:ascii="Arial" w:cs="Arial" w:eastAsia="Arial" w:hAnsi="Arial"/>
          <w:sz w:val="21"/>
          <w:szCs w:val="21"/>
          <w:color w:val="auto"/>
        </w:rPr>
        <w:t xml:space="preserve"> for a one month Interest Period on such day </w:t>
      </w:r>
      <w:r>
        <w:rPr>
          <w:rFonts w:ascii="Arial" w:cs="Arial" w:eastAsia="Arial" w:hAnsi="Arial"/>
          <w:sz w:val="21"/>
          <w:szCs w:val="21"/>
          <w:color w:val="FF0000"/>
          <w:strike w:val="1"/>
        </w:rPr>
        <w:t>(or if such day is not a Business Day, the immediately preceding Business Day)</w:t>
      </w:r>
      <w:r>
        <w:rPr>
          <w:rFonts w:ascii="Arial" w:cs="Arial" w:eastAsia="Arial" w:hAnsi="Arial"/>
          <w:sz w:val="21"/>
          <w:szCs w:val="21"/>
          <w:color w:val="auto"/>
        </w:rPr>
        <w:t xml:space="preserve"> plus 1%. Any change in the Base Rate due to a change in the Prime Rate, the NYFRB Rate or </w:t>
      </w:r>
      <w:r>
        <w:rPr>
          <w:rFonts w:ascii="Arial" w:cs="Arial" w:eastAsia="Arial" w:hAnsi="Arial"/>
          <w:sz w:val="21"/>
          <w:szCs w:val="21"/>
          <w:color w:val="FF0000"/>
          <w:strike w:val="1"/>
        </w:rPr>
        <w:t>the Eurodollar Rate</w:t>
      </w:r>
      <w:r>
        <w:rPr>
          <w:rFonts w:ascii="Arial" w:cs="Arial" w:eastAsia="Arial" w:hAnsi="Arial"/>
          <w:sz w:val="21"/>
          <w:szCs w:val="21"/>
          <w:u w:val="single" w:color="auto"/>
          <w:color w:val="0000FF"/>
        </w:rPr>
        <w:t>Adjusted</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Term SOFR</w:t>
      </w:r>
      <w:r>
        <w:rPr>
          <w:rFonts w:ascii="Arial" w:cs="Arial" w:eastAsia="Arial" w:hAnsi="Arial"/>
          <w:sz w:val="21"/>
          <w:szCs w:val="21"/>
          <w:color w:val="0000FF"/>
        </w:rPr>
        <w:t xml:space="preserve"> </w:t>
      </w:r>
      <w:r>
        <w:rPr>
          <w:rFonts w:ascii="Arial" w:cs="Arial" w:eastAsia="Arial" w:hAnsi="Arial"/>
          <w:sz w:val="21"/>
          <w:szCs w:val="21"/>
          <w:color w:val="000000"/>
        </w:rPr>
        <w:t>shall be effective from and including the effective date of such change in the Prime Rate, the NYFRB</w:t>
      </w:r>
      <w:r>
        <w:rPr>
          <w:rFonts w:ascii="Arial" w:cs="Arial" w:eastAsia="Arial" w:hAnsi="Arial"/>
          <w:sz w:val="21"/>
          <w:szCs w:val="21"/>
          <w:color w:val="0000FF"/>
        </w:rPr>
        <w:t xml:space="preserve"> </w:t>
      </w:r>
      <w:r>
        <w:rPr>
          <w:rFonts w:ascii="Arial" w:cs="Arial" w:eastAsia="Arial" w:hAnsi="Arial"/>
          <w:sz w:val="21"/>
          <w:szCs w:val="21"/>
          <w:color w:val="000000"/>
        </w:rPr>
        <w:t xml:space="preserve">Rate or </w:t>
      </w:r>
      <w:r>
        <w:rPr>
          <w:rFonts w:ascii="Arial" w:cs="Arial" w:eastAsia="Arial" w:hAnsi="Arial"/>
          <w:sz w:val="21"/>
          <w:szCs w:val="21"/>
          <w:color w:val="FF0000"/>
          <w:strike w:val="1"/>
        </w:rPr>
        <w:t>the Eurodollar Rate</w:t>
      </w:r>
      <w:r>
        <w:rPr>
          <w:rFonts w:ascii="Arial" w:cs="Arial" w:eastAsia="Arial" w:hAnsi="Arial"/>
          <w:sz w:val="21"/>
          <w:szCs w:val="21"/>
          <w:u w:val="single" w:color="auto"/>
          <w:color w:val="0000FF"/>
        </w:rPr>
        <w:t>Adjusted Term SOFR</w:t>
      </w:r>
      <w:r>
        <w:rPr>
          <w:rFonts w:ascii="Arial" w:cs="Arial" w:eastAsia="Arial" w:hAnsi="Arial"/>
          <w:sz w:val="21"/>
          <w:szCs w:val="21"/>
          <w:color w:val="000000"/>
        </w:rPr>
        <w:t xml:space="preserve">, respectively. If the Base Rate is being used as an alternate rate of interest pursuant to </w:t>
      </w:r>
      <w:r>
        <w:rPr>
          <w:rFonts w:ascii="Arial" w:cs="Arial" w:eastAsia="Arial" w:hAnsi="Arial"/>
          <w:sz w:val="21"/>
          <w:szCs w:val="21"/>
          <w:u w:val="single" w:color="auto"/>
          <w:color w:val="000000"/>
        </w:rPr>
        <w:t>Section 2.10</w:t>
      </w:r>
      <w:r>
        <w:rPr>
          <w:rFonts w:ascii="Arial" w:cs="Arial" w:eastAsia="Arial" w:hAnsi="Arial"/>
          <w:sz w:val="21"/>
          <w:szCs w:val="21"/>
          <w:color w:val="000000"/>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Loans</w:t>
      </w:r>
      <w:r>
        <w:rPr>
          <w:rFonts w:ascii="Arial" w:cs="Arial" w:eastAsia="Arial" w:hAnsi="Arial"/>
          <w:sz w:val="22"/>
          <w:szCs w:val="22"/>
          <w:color w:val="auto"/>
        </w:rPr>
        <w:t>”: Term Loans the rate of interest applicable to which is based upon the Base Rate.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Term Borrowing</w:t>
      </w:r>
      <w:r>
        <w:rPr>
          <w:rFonts w:ascii="Arial" w:cs="Arial" w:eastAsia="Arial" w:hAnsi="Arial"/>
          <w:sz w:val="22"/>
          <w:szCs w:val="22"/>
          <w:color w:val="auto"/>
        </w:rPr>
        <w:t>”: a Borrowing of Term Loans that are Base Rate Loans.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w:t>
      </w:r>
      <w:r>
        <w:rPr>
          <w:rFonts w:ascii="Arial" w:cs="Arial" w:eastAsia="Arial" w:hAnsi="Arial"/>
          <w:sz w:val="22"/>
          <w:szCs w:val="22"/>
          <w:color w:val="FF0000"/>
          <w:strike w:val="1"/>
        </w:rPr>
        <w:t>initially, LIBOR</w:t>
      </w:r>
      <w:r>
        <w:rPr>
          <w:rFonts w:ascii="Arial" w:cs="Arial" w:eastAsia="Arial" w:hAnsi="Arial"/>
          <w:sz w:val="22"/>
          <w:szCs w:val="22"/>
          <w:u w:val="single" w:color="auto"/>
          <w:color w:val="0000FF"/>
        </w:rPr>
        <w:t>following the Amendment No. 2 Effective Date, the Term SOFR Reference Rate</w:t>
      </w:r>
      <w:r>
        <w:rPr>
          <w:rFonts w:ascii="Arial" w:cs="Arial" w:eastAsia="Arial" w:hAnsi="Arial"/>
          <w:sz w:val="22"/>
          <w:szCs w:val="22"/>
          <w:color w:val="auto"/>
        </w:rPr>
        <w:t xml:space="preserve">; provided that if a Benchmark Transition Event </w:t>
      </w:r>
      <w:r>
        <w:rPr>
          <w:rFonts w:ascii="Arial" w:cs="Arial" w:eastAsia="Arial" w:hAnsi="Arial"/>
          <w:sz w:val="22"/>
          <w:szCs w:val="22"/>
          <w:color w:val="FF0000"/>
          <w:strike w:val="1"/>
        </w:rPr>
        <w:t>or an Early Opt-in Election, as applicable, and its</w:t>
      </w:r>
      <w:r>
        <w:rPr>
          <w:rFonts w:ascii="Arial" w:cs="Arial" w:eastAsia="Arial" w:hAnsi="Arial"/>
          <w:sz w:val="22"/>
          <w:szCs w:val="22"/>
          <w:u w:val="single" w:color="auto"/>
          <w:color w:val="0000FF"/>
        </w:rPr>
        <w:t>and the</w:t>
      </w:r>
      <w:r>
        <w:rPr>
          <w:rFonts w:ascii="Arial" w:cs="Arial" w:eastAsia="Arial" w:hAnsi="Arial"/>
          <w:sz w:val="22"/>
          <w:szCs w:val="22"/>
          <w:color w:val="auto"/>
        </w:rPr>
        <w:t xml:space="preserve"> related Benchmark Replacement Date have occurred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the Term SOFR Reference Rate</w:t>
      </w:r>
      <w:r>
        <w:rPr>
          <w:rFonts w:ascii="Arial" w:cs="Arial" w:eastAsia="Arial" w:hAnsi="Arial"/>
          <w:sz w:val="22"/>
          <w:szCs w:val="22"/>
          <w:color w:val="auto"/>
        </w:rPr>
        <w:t xml:space="preserve"> or the then-current Benchmark, then “Benchmark” means the applicable Benchmark Replacement to the extent that such Benchmark Replacement has replaced such prior benchmark rate pursuant to </w:t>
      </w:r>
      <w:r>
        <w:rPr>
          <w:rFonts w:ascii="Arial" w:cs="Arial" w:eastAsia="Arial" w:hAnsi="Arial"/>
          <w:sz w:val="22"/>
          <w:szCs w:val="22"/>
          <w:u w:val="single" w:color="auto"/>
          <w:color w:val="auto"/>
        </w:rPr>
        <w:t>Section 2.10(b)</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210" w:name="page211"/>
    <w:bookmarkEnd w:id="210"/>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 for any Available Tenor,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(1) the sum of: (a) Term SOFR and (b) the related Benchmark Replacement Adjustment;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2</w:t>
      </w:r>
      <w:r>
        <w:rPr>
          <w:rFonts w:ascii="Arial" w:cs="Arial" w:eastAsia="Arial" w:hAnsi="Arial"/>
          <w:sz w:val="22"/>
          <w:szCs w:val="22"/>
          <w:u w:val="single" w:color="auto"/>
          <w:color w:val="0000FF"/>
        </w:rPr>
        <w:t>1</w:t>
      </w:r>
      <w:r>
        <w:rPr>
          <w:rFonts w:ascii="Arial" w:cs="Arial" w:eastAsia="Arial" w:hAnsi="Arial"/>
          <w:sz w:val="22"/>
          <w:szCs w:val="22"/>
          <w:color w:val="auto"/>
        </w:rPr>
        <w:t>) the sum of: (a) Daily Simple SOFR and (b) the related Benchmark Replacement Adjustment;</w:t>
      </w:r>
    </w:p>
    <w:p>
      <w:pPr>
        <w:spacing w:after="0" w:line="206"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4" w:lineRule="exact"/>
        <w:rPr>
          <w:sz w:val="20"/>
          <w:szCs w:val="20"/>
          <w:color w:val="auto"/>
        </w:rPr>
      </w:pPr>
    </w:p>
    <w:p>
      <w:pPr>
        <w:jc w:val="both"/>
        <w:ind w:left="660" w:firstLine="648"/>
        <w:spacing w:after="0" w:line="249" w:lineRule="auto"/>
        <w:rPr>
          <w:sz w:val="20"/>
          <w:szCs w:val="20"/>
          <w:color w:val="auto"/>
        </w:rPr>
      </w:pPr>
      <w:r>
        <w:rPr>
          <w:rFonts w:ascii="Arial" w:cs="Arial" w:eastAsia="Arial" w:hAnsi="Arial"/>
          <w:sz w:val="21"/>
          <w:szCs w:val="21"/>
          <w:color w:val="FF0000"/>
          <w:strike w:val="1"/>
        </w:rPr>
        <w:t xml:space="preserve">provided that, in the case of clause (1), the Unadjusted Benchmark Replacement is displayed on a screen or other information service that publishes such rate from time to time as </w:t>
      </w:r>
      <w:r>
        <w:rPr>
          <w:rFonts w:ascii="Arial" w:cs="Arial" w:eastAsia="Arial" w:hAnsi="Arial"/>
          <w:sz w:val="21"/>
          <w:szCs w:val="21"/>
          <w:color w:val="008000"/>
          <w:strike w:val="1"/>
        </w:rPr>
        <w:t>selected by the Administrative</w:t>
      </w:r>
    </w:p>
    <w:p>
      <w:pPr>
        <w:spacing w:after="0" w:line="1"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008000"/>
          <w:strike w:val="1"/>
        </w:rPr>
        <w:t>Agent in its reasonable discretion</w:t>
      </w:r>
      <w:r>
        <w:rPr>
          <w:rFonts w:ascii="Arial" w:cs="Arial" w:eastAsia="Arial" w:hAnsi="Arial"/>
          <w:sz w:val="22"/>
          <w:szCs w:val="22"/>
          <w:color w:val="FF0000"/>
          <w:strike w:val="1"/>
        </w:rPr>
        <w:t>.</w:t>
      </w:r>
      <w:r>
        <w:rPr>
          <w:rFonts w:ascii="Arial" w:cs="Arial" w:eastAsia="Arial" w:hAnsi="Arial"/>
          <w:sz w:val="22"/>
          <w:szCs w:val="22"/>
          <w:color w:val="008000"/>
        </w:rPr>
        <w:t xml:space="preserve"> </w:t>
      </w:r>
      <w:r>
        <w:rPr>
          <w:rFonts w:ascii="Arial" w:cs="Arial" w:eastAsia="Arial" w:hAnsi="Arial"/>
          <w:sz w:val="22"/>
          <w:szCs w:val="22"/>
          <w:color w:val="000000"/>
        </w:rPr>
        <w:t>If the Benchmark Replacement as determined pursuant to clause (1)</w:t>
      </w:r>
      <w:r>
        <w:rPr>
          <w:rFonts w:ascii="Arial" w:cs="Arial" w:eastAsia="Arial" w:hAnsi="Arial"/>
          <w:sz w:val="22"/>
          <w:szCs w:val="22"/>
          <w:color w:val="008000"/>
        </w:rPr>
        <w:t xml:space="preserve"> </w:t>
      </w:r>
      <w:r>
        <w:rPr>
          <w:rFonts w:ascii="Arial" w:cs="Arial" w:eastAsia="Arial" w:hAnsi="Arial"/>
          <w:sz w:val="22"/>
          <w:szCs w:val="22"/>
          <w:color w:val="FF0000"/>
          <w:strike w:val="1"/>
        </w:rPr>
        <w:t>,</w:t>
      </w:r>
      <w:r>
        <w:rPr>
          <w:rFonts w:ascii="Arial" w:cs="Arial" w:eastAsia="Arial" w:hAnsi="Arial"/>
          <w:sz w:val="22"/>
          <w:szCs w:val="22"/>
          <w:color w:val="008000"/>
        </w:rPr>
        <w:t xml:space="preserve"> </w:t>
      </w:r>
      <w:r>
        <w:rPr>
          <w:rFonts w:ascii="Arial" w:cs="Arial" w:eastAsia="Arial" w:hAnsi="Arial"/>
          <w:sz w:val="22"/>
          <w:szCs w:val="22"/>
          <w:u w:val="single" w:color="auto"/>
          <w:color w:val="0000FF"/>
        </w:rPr>
        <w:t>or</w:t>
      </w:r>
      <w:r>
        <w:rPr>
          <w:rFonts w:ascii="Arial" w:cs="Arial" w:eastAsia="Arial" w:hAnsi="Arial"/>
          <w:sz w:val="22"/>
          <w:szCs w:val="22"/>
          <w:color w:val="008000"/>
        </w:rPr>
        <w:t xml:space="preserve"> </w:t>
      </w:r>
      <w:r>
        <w:rPr>
          <w:rFonts w:ascii="Arial" w:cs="Arial" w:eastAsia="Arial" w:hAnsi="Arial"/>
          <w:sz w:val="22"/>
          <w:szCs w:val="22"/>
          <w:color w:val="000000"/>
        </w:rPr>
        <w:t>(2</w:t>
      </w:r>
      <w:r>
        <w:rPr>
          <w:rFonts w:ascii="Arial" w:cs="Arial" w:eastAsia="Arial" w:hAnsi="Arial"/>
          <w:sz w:val="22"/>
          <w:szCs w:val="22"/>
          <w:color w:val="FF0000"/>
          <w:strike w:val="1"/>
        </w:rPr>
        <w:t>)</w:t>
      </w:r>
      <w:r>
        <w:rPr>
          <w:rFonts w:ascii="Arial" w:cs="Arial" w:eastAsia="Arial" w:hAnsi="Arial"/>
          <w:sz w:val="22"/>
          <w:szCs w:val="22"/>
          <w:color w:val="008000"/>
        </w:rPr>
        <w:t xml:space="preserve"> </w:t>
      </w:r>
      <w:r>
        <w:rPr>
          <w:rFonts w:ascii="Arial" w:cs="Arial" w:eastAsia="Arial" w:hAnsi="Arial"/>
          <w:sz w:val="22"/>
          <w:szCs w:val="22"/>
          <w:color w:val="FF0000"/>
          <w:strike w:val="1"/>
        </w:rPr>
        <w:t>or (3</w:t>
      </w:r>
      <w:r>
        <w:rPr>
          <w:rFonts w:ascii="Arial" w:cs="Arial" w:eastAsia="Arial" w:hAnsi="Arial"/>
          <w:sz w:val="22"/>
          <w:szCs w:val="22"/>
          <w:color w:val="000000"/>
        </w:rPr>
        <w:t>) above would be less than the Floor, the Benchmark Replacement will be deemed to be the Floor for the</w:t>
      </w:r>
      <w:r>
        <w:rPr>
          <w:rFonts w:ascii="Arial" w:cs="Arial" w:eastAsia="Arial" w:hAnsi="Arial"/>
          <w:sz w:val="22"/>
          <w:szCs w:val="22"/>
          <w:color w:val="FF0000"/>
        </w:rPr>
        <w:t xml:space="preserve"> </w:t>
      </w:r>
      <w:r>
        <w:rPr>
          <w:rFonts w:ascii="Arial" w:cs="Arial" w:eastAsia="Arial" w:hAnsi="Arial"/>
          <w:sz w:val="22"/>
          <w:szCs w:val="22"/>
          <w:color w:val="000000"/>
        </w:rPr>
        <w:t>purposes of this Agreement and the other Loan Documents.</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with respect to any replacement of the then current Benchmark with an Unadjusted Benchmark Replacement for any applicable Interest Period and Available Tenor for any setting of such Unadjusted Benchmark Replacement:</w:t>
      </w:r>
    </w:p>
    <w:p>
      <w:pPr>
        <w:spacing w:after="0" w:line="185" w:lineRule="exact"/>
        <w:rPr>
          <w:sz w:val="20"/>
          <w:szCs w:val="20"/>
          <w:color w:val="auto"/>
        </w:rPr>
      </w:pPr>
    </w:p>
    <w:p>
      <w:pPr>
        <w:ind w:left="660" w:firstLine="644"/>
        <w:spacing w:after="0" w:line="239" w:lineRule="auto"/>
        <w:tabs>
          <w:tab w:leader="none" w:pos="201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for purposes of clause</w:t>
      </w:r>
      <w:r>
        <w:rPr>
          <w:rFonts w:ascii="Arial" w:cs="Arial" w:eastAsia="Arial" w:hAnsi="Arial"/>
          <w:sz w:val="22"/>
          <w:szCs w:val="22"/>
          <w:color w:val="FF0000"/>
          <w:strike w:val="1"/>
        </w:rPr>
        <w:t>s</w:t>
      </w:r>
      <w:r>
        <w:rPr>
          <w:rFonts w:ascii="Arial" w:cs="Arial" w:eastAsia="Arial" w:hAnsi="Arial"/>
          <w:sz w:val="22"/>
          <w:szCs w:val="22"/>
          <w:color w:val="auto"/>
        </w:rPr>
        <w:t xml:space="preserve"> (1</w:t>
      </w:r>
      <w:r>
        <w:rPr>
          <w:rFonts w:ascii="Arial" w:cs="Arial" w:eastAsia="Arial" w:hAnsi="Arial"/>
          <w:sz w:val="22"/>
          <w:szCs w:val="22"/>
          <w:color w:val="FF0000"/>
          <w:strike w:val="1"/>
        </w:rPr>
        <w:t>) and (2</w:t>
      </w:r>
      <w:r>
        <w:rPr>
          <w:rFonts w:ascii="Arial" w:cs="Arial" w:eastAsia="Arial" w:hAnsi="Arial"/>
          <w:sz w:val="22"/>
          <w:szCs w:val="22"/>
          <w:color w:val="auto"/>
        </w:rPr>
        <w:t>) of the definition of “Benchmark Replacement,” the first alternative set forth in the order below that can be determined by the Administrative Agent:</w:t>
      </w:r>
    </w:p>
    <w:p>
      <w:pPr>
        <w:spacing w:after="0" w:line="171" w:lineRule="exact"/>
        <w:rPr>
          <w:rFonts w:ascii="Arial" w:cs="Arial" w:eastAsia="Arial" w:hAnsi="Arial"/>
          <w:sz w:val="22"/>
          <w:szCs w:val="22"/>
          <w:color w:val="auto"/>
        </w:rPr>
      </w:pPr>
    </w:p>
    <w:p>
      <w:pPr>
        <w:jc w:val="both"/>
        <w:ind w:left="1300" w:firstLine="652"/>
        <w:spacing w:after="0" w:line="229" w:lineRule="auto"/>
        <w:tabs>
          <w:tab w:leader="none" w:pos="2534"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0" w:lineRule="exact"/>
        <w:rPr>
          <w:rFonts w:ascii="Arial" w:cs="Arial" w:eastAsia="Arial" w:hAnsi="Arial"/>
          <w:sz w:val="22"/>
          <w:szCs w:val="22"/>
          <w:color w:val="auto"/>
        </w:rPr>
      </w:pPr>
    </w:p>
    <w:p>
      <w:pPr>
        <w:jc w:val="both"/>
        <w:ind w:left="1300" w:firstLine="652"/>
        <w:spacing w:after="0" w:line="232" w:lineRule="auto"/>
        <w:tabs>
          <w:tab w:leader="none" w:pos="2625"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w:t>
      </w:r>
    </w:p>
    <w:p>
      <w:pPr>
        <w:sectPr>
          <w:pgSz w:w="11900" w:h="16838" w:orient="portrait"/>
          <w:cols w:equalWidth="0" w:num="1">
            <w:col w:w="11240"/>
          </w:cols>
          <w:pgMar w:left="320" w:top="1413" w:right="3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21"/>
          <w:szCs w:val="21"/>
          <w:color w:val="auto"/>
        </w:rPr>
        <w:t>an index cessation event with respect to such Benchmark for the applicable Corresponding Tenor; and</w:t>
      </w:r>
    </w:p>
    <w:p>
      <w:pPr>
        <w:spacing w:after="0" w:line="204" w:lineRule="exact"/>
        <w:rPr>
          <w:sz w:val="20"/>
          <w:szCs w:val="20"/>
          <w:color w:val="auto"/>
        </w:rPr>
      </w:pPr>
    </w:p>
    <w:p>
      <w:pPr>
        <w:jc w:val="both"/>
        <w:ind w:left="660" w:firstLine="644"/>
        <w:spacing w:after="0" w:line="223" w:lineRule="auto"/>
        <w:tabs>
          <w:tab w:leader="none" w:pos="1848" w:val="left"/>
        </w:tabs>
        <w:numPr>
          <w:ilvl w:val="0"/>
          <w:numId w:val="164"/>
        </w:numPr>
        <w:rPr>
          <w:rFonts w:ascii="Arial" w:cs="Arial" w:eastAsia="Arial" w:hAnsi="Arial"/>
          <w:sz w:val="22"/>
          <w:szCs w:val="22"/>
          <w:color w:val="auto"/>
        </w:rPr>
      </w:pPr>
      <w:r>
        <w:rPr>
          <w:rFonts w:ascii="Arial" w:cs="Arial" w:eastAsia="Arial" w:hAnsi="Arial"/>
          <w:sz w:val="22"/>
          <w:szCs w:val="22"/>
          <w:color w:val="auto"/>
        </w:rPr>
        <w:t>for purposes of clause (</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74" w:lineRule="exact"/>
        <w:rPr>
          <w:sz w:val="20"/>
          <w:szCs w:val="20"/>
          <w:color w:val="auto"/>
        </w:rPr>
      </w:pPr>
    </w:p>
    <w:p>
      <w:pPr>
        <w:jc w:val="both"/>
        <w:ind w:left="660" w:firstLine="648"/>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xml:space="preserve">”: with respect to any Benchmark Replacement </w:t>
      </w:r>
      <w:r>
        <w:rPr>
          <w:rFonts w:ascii="Arial" w:cs="Arial" w:eastAsia="Arial" w:hAnsi="Arial"/>
          <w:sz w:val="21"/>
          <w:szCs w:val="21"/>
          <w:color w:val="0000FF"/>
        </w:rPr>
        <w:t>and/or any</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SOFR Loan</w:t>
      </w:r>
      <w:r>
        <w:rPr>
          <w:rFonts w:ascii="Arial" w:cs="Arial" w:eastAsia="Arial" w:hAnsi="Arial"/>
          <w:sz w:val="21"/>
          <w:szCs w:val="21"/>
          <w:color w:val="000000"/>
        </w:rPr>
        <w:t>, any technical, administrative or operational changes (including changes to the definition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6402070</wp:posOffset>
            </wp:positionH>
            <wp:positionV relativeFrom="paragraph">
              <wp:posOffset>-165735</wp:posOffset>
            </wp:positionV>
            <wp:extent cx="7353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35330" cy="8890"/>
                    </a:xfrm>
                    <a:prstGeom prst="rect">
                      <a:avLst/>
                    </a:prstGeom>
                    <a:noFill/>
                  </pic:spPr>
                </pic:pic>
              </a:graphicData>
            </a:graphic>
          </wp:anchor>
        </w:drawing>
      </w:r>
    </w:p>
    <w:p>
      <w:pPr>
        <w:jc w:val="both"/>
        <w:spacing w:after="0" w:line="243" w:lineRule="auto"/>
        <w:rPr>
          <w:sz w:val="20"/>
          <w:szCs w:val="20"/>
          <w:color w:val="auto"/>
        </w:rPr>
      </w:pPr>
      <w:r>
        <w:rPr>
          <w:rFonts w:ascii="Arial" w:cs="Arial" w:eastAsia="Arial" w:hAnsi="Arial"/>
          <w:sz w:val="21"/>
          <w:szCs w:val="21"/>
          <w:color w:val="auto"/>
        </w:rPr>
        <w:t>the definition of “</w:t>
      </w:r>
      <w:r>
        <w:rPr>
          <w:rFonts w:ascii="Arial" w:cs="Arial" w:eastAsia="Arial" w:hAnsi="Arial"/>
          <w:sz w:val="21"/>
          <w:szCs w:val="21"/>
          <w:u w:val="single" w:color="auto"/>
          <w:color w:val="0000FF"/>
        </w:rPr>
        <w:t>U.S. Government Securities Business Day”, the definition of “</w:t>
      </w:r>
      <w:r>
        <w:rPr>
          <w:rFonts w:ascii="Arial" w:cs="Arial" w:eastAsia="Arial" w:hAnsi="Arial"/>
          <w:sz w:val="21"/>
          <w:szCs w:val="21"/>
          <w:color w:val="auto"/>
        </w:rPr>
        <w:t xml:space="preserve">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decides may be appropriate to reflect the adoption and implementation of such Benchmark </w:t>
      </w:r>
      <w:r>
        <w:rPr>
          <w:rFonts w:ascii="Arial" w:cs="Arial" w:eastAsia="Arial" w:hAnsi="Arial"/>
          <w:sz w:val="21"/>
          <w:szCs w:val="21"/>
          <w:color w:val="FF0000"/>
          <w:strike w:val="1"/>
        </w:rPr>
        <w:t>Replacement</w:t>
      </w:r>
      <w:r>
        <w:rPr>
          <w:rFonts w:ascii="Arial" w:cs="Arial" w:eastAsia="Arial" w:hAnsi="Arial"/>
          <w:sz w:val="21"/>
          <w:szCs w:val="21"/>
          <w:color w:val="auto"/>
        </w:rPr>
        <w:t xml:space="preserv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w:t>
      </w:r>
      <w:r>
        <w:rPr>
          <w:rFonts w:ascii="Arial" w:cs="Arial" w:eastAsia="Arial" w:hAnsi="Arial"/>
          <w:sz w:val="21"/>
          <w:szCs w:val="21"/>
          <w:color w:val="FF0000"/>
          <w:strike w:val="1"/>
        </w:rPr>
        <w:t>Replacement</w:t>
      </w:r>
      <w:r>
        <w:rPr>
          <w:rFonts w:ascii="Arial" w:cs="Arial" w:eastAsia="Arial" w:hAnsi="Arial"/>
          <w:sz w:val="21"/>
          <w:szCs w:val="21"/>
          <w:color w:val="FF0000"/>
        </w:rPr>
        <w:t xml:space="preserve"> </w:t>
      </w:r>
      <w:r>
        <w:rPr>
          <w:rFonts w:ascii="Arial" w:cs="Arial" w:eastAsia="Arial" w:hAnsi="Arial"/>
          <w:sz w:val="21"/>
          <w:szCs w:val="21"/>
          <w:color w:val="000000"/>
        </w:rPr>
        <w:t>exists, in such other manner of administration as the Administrative Agent decides is reasonably</w:t>
      </w:r>
      <w:r>
        <w:rPr>
          <w:rFonts w:ascii="Arial" w:cs="Arial" w:eastAsia="Arial" w:hAnsi="Arial"/>
          <w:sz w:val="21"/>
          <w:szCs w:val="21"/>
          <w:color w:val="FF0000"/>
        </w:rPr>
        <w:t xml:space="preserve"> </w:t>
      </w:r>
      <w:r>
        <w:rPr>
          <w:rFonts w:ascii="Arial" w:cs="Arial" w:eastAsia="Arial" w:hAnsi="Arial"/>
          <w:sz w:val="21"/>
          <w:szCs w:val="21"/>
          <w:color w:val="000000"/>
        </w:rPr>
        <w:t>necessary in connection with the administration of this Agreement and the other Loan Documents).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the earliest to occur of the following events with respect to the then-current</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Benchmark:</w:t>
      </w:r>
    </w:p>
    <w:p>
      <w:pPr>
        <w:spacing w:after="0" w:line="190" w:lineRule="exact"/>
        <w:rPr>
          <w:sz w:val="20"/>
          <w:szCs w:val="20"/>
          <w:color w:val="auto"/>
        </w:rPr>
      </w:pPr>
    </w:p>
    <w:p>
      <w:pPr>
        <w:jc w:val="both"/>
        <w:ind w:left="660" w:firstLine="644"/>
        <w:spacing w:after="0" w:line="231" w:lineRule="auto"/>
        <w:tabs>
          <w:tab w:leader="none" w:pos="164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2"/>
          <w:szCs w:val="22"/>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6396355</wp:posOffset>
            </wp:positionH>
            <wp:positionV relativeFrom="paragraph">
              <wp:posOffset>-29210</wp:posOffset>
            </wp:positionV>
            <wp:extent cx="1600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6002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ind w:left="660" w:firstLine="644"/>
        <w:spacing w:after="0" w:line="239" w:lineRule="auto"/>
        <w:tabs>
          <w:tab w:leader="none" w:pos="166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in the case of clause (3) of the definition of “Benchmark Transition Event,” the date of the public statement or publication of information referenced therein; </w:t>
      </w:r>
      <w:r>
        <w:rPr>
          <w:rFonts w:ascii="Arial" w:cs="Arial" w:eastAsia="Arial" w:hAnsi="Arial"/>
          <w:sz w:val="22"/>
          <w:szCs w:val="22"/>
          <w:color w:val="FF0000"/>
        </w:rPr>
        <w:t>or</w:t>
      </w:r>
    </w:p>
    <w:p>
      <w:pPr>
        <w:spacing w:after="0" w:line="171" w:lineRule="exact"/>
        <w:rPr>
          <w:rFonts w:ascii="Arial" w:cs="Arial" w:eastAsia="Arial" w:hAnsi="Arial"/>
          <w:sz w:val="22"/>
          <w:szCs w:val="22"/>
          <w:color w:val="auto"/>
        </w:rPr>
      </w:pPr>
    </w:p>
    <w:p>
      <w:pPr>
        <w:jc w:val="both"/>
        <w:ind w:left="660" w:firstLine="644"/>
        <w:spacing w:after="0" w:line="229" w:lineRule="auto"/>
        <w:tabs>
          <w:tab w:leader="none" w:pos="1657" w:val="left"/>
        </w:tabs>
        <w:numPr>
          <w:ilvl w:val="0"/>
          <w:numId w:val="166"/>
        </w:numPr>
        <w:rPr>
          <w:rFonts w:ascii="Arial" w:cs="Arial" w:eastAsia="Arial" w:hAnsi="Arial"/>
          <w:sz w:val="22"/>
          <w:szCs w:val="22"/>
          <w:color w:val="FF0000"/>
          <w:strike w:val="1"/>
        </w:rPr>
      </w:pPr>
      <w:r>
        <w:rPr>
          <w:rFonts w:ascii="Arial" w:cs="Arial" w:eastAsia="Arial" w:hAnsi="Arial"/>
          <w:sz w:val="22"/>
          <w:szCs w:val="22"/>
          <w:color w:val="FF0000"/>
          <w:strike w:val="1"/>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-956945</wp:posOffset>
            </wp:positionV>
            <wp:extent cx="1600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with respect to any Benchmark, the occurrence of one or more of the following events with respect to the then-current Benchmark:</w:t>
      </w:r>
    </w:p>
    <w:p>
      <w:pPr>
        <w:spacing w:after="0" w:line="173" w:lineRule="exact"/>
        <w:rPr>
          <w:sz w:val="20"/>
          <w:szCs w:val="20"/>
          <w:color w:val="auto"/>
        </w:rPr>
      </w:pPr>
    </w:p>
    <w:p>
      <w:pPr>
        <w:jc w:val="both"/>
        <w:ind w:left="660" w:firstLine="644"/>
        <w:spacing w:after="0" w:line="239" w:lineRule="auto"/>
        <w:tabs>
          <w:tab w:leader="none" w:pos="1983" w:val="left"/>
        </w:tabs>
        <w:numPr>
          <w:ilvl w:val="0"/>
          <w:numId w:val="167"/>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74" w:lineRule="exact"/>
        <w:rPr>
          <w:rFonts w:ascii="Arial" w:cs="Arial" w:eastAsia="Arial" w:hAnsi="Arial"/>
          <w:sz w:val="21"/>
          <w:szCs w:val="21"/>
          <w:color w:val="auto"/>
        </w:rPr>
      </w:pPr>
    </w:p>
    <w:p>
      <w:pPr>
        <w:jc w:val="both"/>
        <w:ind w:left="660" w:firstLine="644"/>
        <w:spacing w:after="0" w:line="234" w:lineRule="auto"/>
        <w:tabs>
          <w:tab w:leader="none" w:pos="1816"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w:t>
      </w:r>
      <w:r>
        <w:rPr>
          <w:rFonts w:ascii="Arial" w:cs="Arial" w:eastAsia="Arial" w:hAnsi="Arial"/>
          <w:sz w:val="21"/>
          <w:szCs w:val="21"/>
          <w:u w:val="single" w:color="auto"/>
          <w:color w:val="0000FF"/>
        </w:rPr>
        <w:t>the Term SOFR Administrator,</w:t>
      </w:r>
      <w:r>
        <w:rPr>
          <w:rFonts w:ascii="Arial" w:cs="Arial" w:eastAsia="Arial" w:hAnsi="Arial"/>
          <w:sz w:val="21"/>
          <w:szCs w:val="21"/>
          <w:color w:val="auto"/>
        </w:rPr>
        <w:t xml:space="preserve">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0" w:lineRule="exact"/>
        <w:rPr>
          <w:rFonts w:ascii="Arial" w:cs="Arial" w:eastAsia="Arial" w:hAnsi="Arial"/>
          <w:sz w:val="21"/>
          <w:szCs w:val="21"/>
          <w:color w:val="auto"/>
        </w:rPr>
      </w:pPr>
    </w:p>
    <w:p>
      <w:pPr>
        <w:jc w:val="both"/>
        <w:ind w:left="660" w:firstLine="644"/>
        <w:spacing w:after="0" w:line="232" w:lineRule="auto"/>
        <w:tabs>
          <w:tab w:leader="none" w:pos="181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ectPr>
          <w:pgSz w:w="11900" w:h="16838" w:orient="portrait"/>
          <w:cols w:equalWidth="0" w:num="1">
            <w:col w:w="11240"/>
          </w:cols>
          <w:pgMar w:left="320" w:top="1413" w:right="339" w:bottom="1440" w:gutter="0" w:footer="0" w:header="0"/>
        </w:sectPr>
      </w:pPr>
    </w:p>
    <w:bookmarkStart w:id="213" w:name="page214"/>
    <w:bookmarkEnd w:id="213"/>
    <w:p>
      <w:pPr>
        <w:jc w:val="both"/>
        <w:spacing w:after="0" w:line="232"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the period (if any) (x) beginning at the time that a Benchmark Replacement Date pursuant to clauses (1) or (2) of that definition has occurred if, at such time, no Benchmark Replacement has replaced the then-current Benchmark for all purposes hereunder and under any Loan Document in accordance with this Section titled “Benchmark Replacement Setting” and (y) ending at the time that a Benchmark Replacement has replaced the then-current Benchmark for all purposes hereunder and under any Loan Document in accordance with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a certification regarding beneficial ownership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31 C.F.R. § 1010.230.</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 any of (a) an “employee benefit plan” (as defined in Section 3(3) of ERISA) that is subject to Title I of ERISA, (b) a “plan” as defined in Section 4975 of the Code to which Section 4975 of the Code applies, and</w:t>
      </w:r>
    </w:p>
    <w:p>
      <w:pPr>
        <w:ind w:firstLine="8"/>
        <w:spacing w:after="0" w:line="238" w:lineRule="auto"/>
        <w:tabs>
          <w:tab w:leader="none" w:pos="32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Person whose assets include (for purposes of the Plan Asset Regulations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Benefited Lender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9.7(a)</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the board of directors of the Borrower or any committee thereof duly authorized to act on behalf of such board.</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Governors</w:t>
      </w:r>
      <w:r>
        <w:rPr>
          <w:rFonts w:ascii="Arial" w:cs="Arial" w:eastAsia="Arial" w:hAnsi="Arial"/>
          <w:sz w:val="22"/>
          <w:szCs w:val="22"/>
          <w:color w:val="auto"/>
        </w:rPr>
        <w:t>”: the Board of Governors of the Federal Reserve System of the United States or any Governmental Authority which succeeds to the powers and functions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the meaning set forth in the preamble to this Agreement.</w:t>
      </w:r>
    </w:p>
    <w:p>
      <w:pPr>
        <w:spacing w:after="0" w:line="206" w:lineRule="exact"/>
        <w:rPr>
          <w:sz w:val="20"/>
          <w:szCs w:val="20"/>
          <w:color w:val="auto"/>
        </w:rPr>
      </w:pPr>
    </w:p>
    <w:p>
      <w:pPr>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Term Loans of the same Type, made, converted or continued on the same date and, in the case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as to which a single Interest Period is in effect.</w:t>
      </w:r>
    </w:p>
    <w:p>
      <w:pPr>
        <w:spacing w:after="0" w:line="18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the Business Day specified in a Borrowing Request as a date on which the Borrower requests the making of Term Loans hereunder.</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 a request by the Borrower for a Borrowing in accordance with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which shall be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or any other form approved by the Administrative Agent.</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any day other than a Legal Holiday</w:t>
      </w:r>
      <w:r>
        <w:rPr>
          <w:rFonts w:ascii="Arial" w:cs="Arial" w:eastAsia="Arial" w:hAnsi="Arial"/>
          <w:sz w:val="22"/>
          <w:szCs w:val="22"/>
          <w:color w:val="FF0000"/>
          <w:strike w:val="1"/>
        </w:rPr>
        <w:t>.</w:t>
      </w:r>
      <w:r>
        <w:rPr>
          <w:rFonts w:ascii="Arial" w:cs="Arial" w:eastAsia="Arial" w:hAnsi="Arial"/>
          <w:sz w:val="22"/>
          <w:szCs w:val="22"/>
          <w:u w:val="single" w:color="auto"/>
          <w:color w:val="0000FF"/>
        </w:rPr>
        <w:t>; provided that, in addition to the foregoing, a Business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Day shall be, in relation to a Loan referencing Adjusted Term</w:t>
      </w:r>
    </w:p>
    <w:p>
      <w:pPr>
        <w:sectPr>
          <w:pgSz w:w="11900" w:h="16838" w:orient="portrait"/>
          <w:cols w:equalWidth="0" w:num="1">
            <w:col w:w="11240"/>
          </w:cols>
          <w:pgMar w:left="320" w:top="1413" w:right="339" w:bottom="1440" w:gutter="0" w:footer="0" w:header="0"/>
        </w:sectPr>
      </w:pPr>
    </w:p>
    <w:bookmarkStart w:id="214" w:name="page215"/>
    <w:bookmarkEnd w:id="214"/>
    <w:p>
      <w:pPr>
        <w:jc w:val="both"/>
        <w:spacing w:after="0" w:line="241" w:lineRule="auto"/>
        <w:rPr>
          <w:sz w:val="20"/>
          <w:szCs w:val="20"/>
          <w:color w:val="auto"/>
        </w:rPr>
      </w:pPr>
      <w:r>
        <w:rPr>
          <w:rFonts w:ascii="Arial" w:cs="Arial" w:eastAsia="Arial" w:hAnsi="Arial"/>
          <w:sz w:val="22"/>
          <w:szCs w:val="22"/>
          <w:u w:val="single" w:color="auto"/>
          <w:color w:val="0000FF"/>
        </w:rPr>
        <w:t>SOFR any interest rate settings, fundings, disbursements, settlements or payments of any such Loans referencing Adjusted Term SOFR or any other dealings of such Loans referencing Adjusted Term SOFR, any such day that is a U.S. Government Securities Business Day.</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Captive Insurance Subsidiary</w:t>
      </w:r>
      <w:r>
        <w:rPr>
          <w:rFonts w:ascii="Arial" w:cs="Arial" w:eastAsia="Arial" w:hAnsi="Arial"/>
          <w:sz w:val="22"/>
          <w:szCs w:val="22"/>
          <w:color w:val="auto"/>
        </w:rPr>
        <w:t>”: any Restricted Subsidiary of the Borrower that is subject to regulation as an insurance company (or any Restricted Subsidiary thereof).</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any controlled foreign corporation within the meaning of Section 957 of the Code.</w:t>
      </w:r>
    </w:p>
    <w:p>
      <w:pPr>
        <w:spacing w:after="0" w:line="206"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xml:space="preserve">”: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any charge, expense, cost, accrual or reserve of any kind.</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date on which the conditions precedent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shall have been satisfied or waived, which date is May 14, 2021.</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amended from time to time.</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ectPr>
          <w:pgSz w:w="11900" w:h="16838" w:orient="portrait"/>
          <w:cols w:equalWidth="0" w:num="1">
            <w:col w:w="11240"/>
          </w:cols>
          <w:pgMar w:left="320" w:top="1413" w:right="339" w:bottom="1440" w:gutter="0" w:footer="0" w:header="0"/>
        </w:sectPr>
      </w:pPr>
    </w:p>
    <w:bookmarkStart w:id="215" w:name="page216"/>
    <w:bookmarkEnd w:id="215"/>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a compliance certificate to be delivered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xml:space="preserv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 expenses or costs incurred in connection or associated with mergers, acquisitions or divestitures after the Closing Date.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w:t>
      </w:r>
    </w:p>
    <w:p>
      <w:pPr>
        <w:spacing w:after="0" w:line="2" w:lineRule="exact"/>
        <w:rPr>
          <w:sz w:val="20"/>
          <w:szCs w:val="20"/>
          <w:color w:val="auto"/>
        </w:rPr>
      </w:pPr>
    </w:p>
    <w:p>
      <w:pPr>
        <w:jc w:val="both"/>
        <w:ind w:firstLine="8"/>
        <w:spacing w:after="0" w:line="229" w:lineRule="auto"/>
        <w:tabs>
          <w:tab w:leader="none" w:pos="38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 xml:space="preserve">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Income Tax Expense</w:t>
      </w:r>
      <w:r>
        <w:rPr>
          <w:rFonts w:ascii="Arial" w:cs="Arial" w:eastAsia="Arial" w:hAnsi="Arial"/>
          <w:sz w:val="22"/>
          <w:szCs w:val="22"/>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ectPr>
          <w:pgSz w:w="11900" w:h="16838" w:orient="portrait"/>
          <w:cols w:equalWidth="0" w:num="1">
            <w:col w:w="11240"/>
          </w:cols>
          <w:pgMar w:left="320" w:top="1413" w:right="339" w:bottom="1440" w:gutter="0" w:footer="0" w:header="0"/>
        </w:sectPr>
      </w:pPr>
    </w:p>
    <w:bookmarkStart w:id="216" w:name="page217"/>
    <w:bookmarkEnd w:id="216"/>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 (b) interest income of such Person and its Consolidated Subsidiaries for such period determined on a consolidated basis in accordance with GAAP.</w:t>
      </w:r>
    </w:p>
    <w:p>
      <w:pPr>
        <w:spacing w:after="0" w:line="18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 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Tangible Assets</w:t>
      </w:r>
      <w:r>
        <w:rPr>
          <w:rFonts w:ascii="Arial" w:cs="Arial" w:eastAsia="Arial" w:hAnsi="Arial"/>
          <w:sz w:val="21"/>
          <w:szCs w:val="21"/>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w:t>
      </w:r>
    </w:p>
    <w:p>
      <w:pPr>
        <w:sectPr>
          <w:pgSz w:w="11900" w:h="16838" w:orient="portrait"/>
          <w:cols w:equalWidth="0" w:num="1">
            <w:col w:w="11240"/>
          </w:cols>
          <w:pgMar w:left="320" w:top="1413" w:right="339" w:bottom="1440" w:gutter="0" w:footer="0" w:header="0"/>
        </w:sectPr>
      </w:pPr>
    </w:p>
    <w:bookmarkStart w:id="217" w:name="page218"/>
    <w:bookmarkEnd w:id="217"/>
    <w:p>
      <w:pPr>
        <w:jc w:val="both"/>
        <w:spacing w:after="0" w:line="233" w:lineRule="auto"/>
        <w:rPr>
          <w:sz w:val="20"/>
          <w:szCs w:val="20"/>
          <w:color w:val="auto"/>
        </w:rPr>
      </w:pPr>
      <w:r>
        <w:rPr>
          <w:rFonts w:ascii="Arial" w:cs="Arial" w:eastAsia="Arial" w:hAnsi="Arial"/>
          <w:sz w:val="22"/>
          <w:szCs w:val="22"/>
          <w:color w:val="auto"/>
        </w:rPr>
        <w:t>“current”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Non-cash Charges</w:t>
      </w:r>
      <w:r>
        <w:rPr>
          <w:rFonts w:ascii="Arial" w:cs="Arial" w:eastAsia="Arial" w:hAnsi="Arial"/>
          <w:sz w:val="21"/>
          <w:szCs w:val="21"/>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Subsidiaries</w:t>
      </w:r>
      <w:r>
        <w:rPr>
          <w:rFonts w:ascii="Arial" w:cs="Arial" w:eastAsia="Arial" w:hAnsi="Arial"/>
          <w:sz w:val="22"/>
          <w:szCs w:val="22"/>
          <w:color w:val="auto"/>
        </w:rPr>
        <w:t xml:space="preserve"> ”: as of any date of determination and with respect to any Person, those Subsidiaries of that Person whose financial data is, in accordance with GAAP, reflected in that Person’s consolidated financial statements.</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w:t>
      </w:r>
      <w:r>
        <w:rPr>
          <w:rFonts w:ascii="Arial" w:cs="Arial" w:eastAsia="Arial" w:hAnsi="Arial"/>
          <w:sz w:val="22"/>
          <w:szCs w:val="22"/>
          <w:color w:val="auto"/>
        </w:rPr>
        <w:t>”: as to any Person, any provision of any security issued by such Person or of any agreement, instrument or other undertaking to which such Person is a party or by which it or any of its property is bound.</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 Licenses</w:t>
      </w:r>
      <w:r>
        <w:rPr>
          <w:rFonts w:ascii="Arial" w:cs="Arial" w:eastAsia="Arial" w:hAnsi="Arial"/>
          <w:sz w:val="22"/>
          <w:szCs w:val="22"/>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Rating</w:t>
      </w:r>
      <w:r>
        <w:rPr>
          <w:rFonts w:ascii="Arial" w:cs="Arial" w:eastAsia="Arial" w:hAnsi="Arial"/>
          <w:sz w:val="22"/>
          <w:szCs w:val="22"/>
          <w:color w:val="auto"/>
        </w:rPr>
        <w:t>”: the Borrower’s “corporate rating” or “corporate family rating” from S&amp;P or Moody’s or Fitch, respectively, including any successor term for such rating adopted by such rating agency.</w:t>
      </w:r>
    </w:p>
    <w:p>
      <w:pPr>
        <w:sectPr>
          <w:pgSz w:w="11900" w:h="16838" w:orient="portrait"/>
          <w:cols w:equalWidth="0" w:num="1">
            <w:col w:w="11240"/>
          </w:cols>
          <w:pgMar w:left="320" w:top="1413" w:right="339" w:bottom="1440" w:gutter="0" w:footer="0" w:header="0"/>
        </w:sectPr>
      </w:pPr>
    </w:p>
    <w:bookmarkStart w:id="218" w:name="page219"/>
    <w:bookmarkEnd w:id="218"/>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Simple SOFR</w:t>
      </w:r>
      <w:r>
        <w:rPr>
          <w:rFonts w:ascii="Arial" w:cs="Arial" w:eastAsia="Arial" w:hAnsi="Arial"/>
          <w:sz w:val="21"/>
          <w:szCs w:val="21"/>
          <w:color w:val="auto"/>
        </w:rPr>
        <w:t>”: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Debtor Relief Laws</w:t>
      </w:r>
      <w:r>
        <w:rPr>
          <w:rFonts w:ascii="Arial" w:cs="Arial" w:eastAsia="Arial" w:hAnsi="Arial"/>
          <w:sz w:val="22"/>
          <w:szCs w:val="22"/>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 whether or not any requirement for the giving of notice, the expiration of applicable cure or grace periods, or both, has been satisfied.</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Defaulting Lender</w:t>
      </w:r>
      <w:r>
        <w:rPr>
          <w:rFonts w:ascii="Arial" w:cs="Arial" w:eastAsia="Arial" w:hAnsi="Arial"/>
          <w:sz w:val="21"/>
          <w:szCs w:val="21"/>
          <w:color w:val="auto"/>
        </w:rPr>
        <w:t xml:space="preserve"> ”: means any Lender that (a) has failed to (i) fund all or any portion of its Term Loans within one Business Day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w:t>
      </w:r>
    </w:p>
    <w:p>
      <w:pPr>
        <w:spacing w:after="0" w:line="16" w:lineRule="exact"/>
        <w:rPr>
          <w:sz w:val="20"/>
          <w:szCs w:val="20"/>
          <w:color w:val="auto"/>
        </w:rPr>
      </w:pPr>
    </w:p>
    <w:p>
      <w:pPr>
        <w:ind w:firstLine="8"/>
        <w:spacing w:after="0" w:line="238" w:lineRule="auto"/>
        <w:tabs>
          <w:tab w:leader="none" w:pos="35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become the subject of a Bail-In Action;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Lender shall not be a Defaulting Lender solely by virtue of the ownership or acquisition of any equity</w:t>
      </w:r>
    </w:p>
    <w:p>
      <w:pPr>
        <w:sectPr>
          <w:pgSz w:w="11900" w:h="16838" w:orient="portrait"/>
          <w:cols w:equalWidth="0" w:num="1">
            <w:col w:w="11240"/>
          </w:cols>
          <w:pgMar w:left="320" w:top="1413" w:right="339" w:bottom="1440" w:gutter="0" w:footer="0" w:header="0"/>
        </w:sectPr>
      </w:pPr>
    </w:p>
    <w:bookmarkStart w:id="219" w:name="page220"/>
    <w:bookmarkEnd w:id="219"/>
    <w:p>
      <w:pPr>
        <w:jc w:val="both"/>
        <w:spacing w:after="0" w:line="232" w:lineRule="auto"/>
        <w:rPr>
          <w:sz w:val="20"/>
          <w:szCs w:val="20"/>
          <w:color w:val="auto"/>
        </w:rPr>
      </w:pPr>
      <w:r>
        <w:rPr>
          <w:rFonts w:ascii="Arial" w:cs="Arial" w:eastAsia="Arial" w:hAnsi="Arial"/>
          <w:sz w:val="22"/>
          <w:szCs w:val="22"/>
          <w:color w:val="auto"/>
        </w:rPr>
        <w:t xml:space="preserve">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22"/>
          <w:szCs w:val="22"/>
          <w:u w:val="single" w:color="auto"/>
          <w:color w:val="auto"/>
        </w:rPr>
        <w:t>Section 2.24(b)</w:t>
      </w:r>
      <w:r>
        <w:rPr>
          <w:rFonts w:ascii="Arial" w:cs="Arial" w:eastAsia="Arial" w:hAnsi="Arial"/>
          <w:sz w:val="22"/>
          <w:szCs w:val="22"/>
          <w:color w:val="auto"/>
        </w:rPr>
        <w:t>) upon delivery of written notice of such determination to the Borrower and each Lender.</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Documentation Agents</w:t>
      </w:r>
      <w:r>
        <w:rPr>
          <w:rFonts w:ascii="Arial" w:cs="Arial" w:eastAsia="Arial" w:hAnsi="Arial"/>
          <w:sz w:val="22"/>
          <w:szCs w:val="22"/>
          <w:color w:val="auto"/>
        </w:rPr>
        <w:t>”: The Toronto-Dominion Bank, New York Branch, The Bank of Nova Scotia and any successors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dollars in lawful currency of the United States.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Early Opt-in Election</w:t>
      </w:r>
      <w:r>
        <w:rPr>
          <w:rFonts w:ascii="Arial" w:cs="Arial" w:eastAsia="Arial" w:hAnsi="Arial"/>
          <w:sz w:val="22"/>
          <w:szCs w:val="22"/>
          <w:color w:val="FF0000"/>
          <w:strike w:val="1"/>
        </w:rPr>
        <w:t>”: if the then-current Benchmark is LIBOR, the occurrence of:</w:t>
      </w:r>
    </w:p>
    <w:p>
      <w:pPr>
        <w:spacing w:after="0" w:line="206" w:lineRule="exact"/>
        <w:rPr>
          <w:sz w:val="20"/>
          <w:szCs w:val="20"/>
          <w:color w:val="auto"/>
        </w:rPr>
      </w:pPr>
    </w:p>
    <w:p>
      <w:pPr>
        <w:jc w:val="both"/>
        <w:ind w:left="660" w:firstLine="644"/>
        <w:spacing w:after="0" w:line="237" w:lineRule="auto"/>
        <w:tabs>
          <w:tab w:leader="none" w:pos="1660" w:val="left"/>
        </w:tabs>
        <w:numPr>
          <w:ilvl w:val="0"/>
          <w:numId w:val="171"/>
        </w:numPr>
        <w:rPr>
          <w:rFonts w:ascii="Arial" w:cs="Arial" w:eastAsia="Arial" w:hAnsi="Arial"/>
          <w:sz w:val="21"/>
          <w:szCs w:val="21"/>
          <w:color w:val="FF0000"/>
          <w:strike w:val="1"/>
        </w:rPr>
      </w:pPr>
      <w:r>
        <w:rPr>
          <w:rFonts w:ascii="Arial" w:cs="Arial" w:eastAsia="Arial" w:hAnsi="Arial"/>
          <w:sz w:val="21"/>
          <w:szCs w:val="21"/>
          <w:color w:val="FF0000"/>
          <w:strike w:val="1"/>
        </w:rPr>
        <w:t>a notification by the Administrative Agent to (or the request by the Borrower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1" w:lineRule="exact"/>
        <w:rPr>
          <w:rFonts w:ascii="Arial" w:cs="Arial" w:eastAsia="Arial" w:hAnsi="Arial"/>
          <w:sz w:val="21"/>
          <w:szCs w:val="21"/>
          <w:color w:val="FF0000"/>
          <w:strike w:val="1"/>
        </w:rPr>
      </w:pPr>
    </w:p>
    <w:p>
      <w:pPr>
        <w:ind w:left="660" w:firstLine="644"/>
        <w:spacing w:after="0" w:line="251" w:lineRule="auto"/>
        <w:tabs>
          <w:tab w:leader="none" w:pos="1642" w:val="left"/>
        </w:tabs>
        <w:numPr>
          <w:ilvl w:val="0"/>
          <w:numId w:val="171"/>
        </w:numPr>
        <w:rPr>
          <w:rFonts w:ascii="Arial" w:cs="Arial" w:eastAsia="Arial" w:hAnsi="Arial"/>
          <w:sz w:val="22"/>
          <w:szCs w:val="22"/>
          <w:color w:val="FF0000"/>
          <w:strike w:val="1"/>
        </w:rPr>
      </w:pPr>
      <w:r>
        <w:rPr>
          <w:rFonts w:ascii="Arial" w:cs="Arial" w:eastAsia="Arial" w:hAnsi="Arial"/>
          <w:sz w:val="22"/>
          <w:szCs w:val="22"/>
          <w:color w:val="FF0000"/>
          <w:strike w:val="1"/>
        </w:rPr>
        <w:t>the joint election by the Administrative Agent and the Borrower to trigger a fallback from LIBOR and the provision by the Administrative Agent of written notice of such election to the Lenders.</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any of the member states of the European Union, Iceland, Liechtenstein, and Norway.</w:t>
      </w:r>
    </w:p>
    <w:p>
      <w:pPr>
        <w:spacing w:after="0" w:line="2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Engagement Letter</w:t>
      </w:r>
      <w:r>
        <w:rPr>
          <w:rFonts w:ascii="Arial" w:cs="Arial" w:eastAsia="Arial" w:hAnsi="Arial"/>
          <w:sz w:val="22"/>
          <w:szCs w:val="22"/>
          <w:color w:val="auto"/>
        </w:rPr>
        <w:t>”: that certain engagement letter dated April 14, 2021 among the Borrower and the Arranger.</w:t>
      </w:r>
    </w:p>
    <w:p>
      <w:pPr>
        <w:sectPr>
          <w:pgSz w:w="11900" w:h="16838" w:orient="portrait"/>
          <w:cols w:equalWidth="0" w:num="1">
            <w:col w:w="11240"/>
          </w:cols>
          <w:pgMar w:left="320" w:top="1413" w:right="339" w:bottom="1440" w:gutter="0" w:footer="0" w:header="0"/>
        </w:sectPr>
      </w:pPr>
    </w:p>
    <w:bookmarkStart w:id="220" w:name="page221"/>
    <w:bookmarkEnd w:id="220"/>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Equity Interests</w:t>
      </w:r>
      <w:r>
        <w:rPr>
          <w:rFonts w:ascii="Arial" w:cs="Arial" w:eastAsia="Arial" w:hAnsi="Arial"/>
          <w:sz w:val="22"/>
          <w:szCs w:val="22"/>
          <w:color w:val="auto"/>
        </w:rPr>
        <w:t>”: all Capital Stock and all warrants or options with respect to, or other rights to purchase, Capital Stock, but excluding Indebtedness convertible into or exchangeable for equity.</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the Employee Retirement Income Security Act of 1974, as amended from time to time, and the regulations promulgated and rulings issued thereunder.</w:t>
      </w:r>
    </w:p>
    <w:p>
      <w:pPr>
        <w:spacing w:after="0" w:line="17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 Event</w:t>
      </w:r>
      <w:r>
        <w:rPr>
          <w:rFonts w:ascii="Arial" w:cs="Arial" w:eastAsia="Arial" w:hAnsi="Arial"/>
          <w:sz w:val="21"/>
          <w:szCs w:val="21"/>
          <w:color w:val="auto"/>
        </w:rPr>
        <w:t xml:space="preserve"> ”: (a) any Reportable Event;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8.11(d)</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the EU Bail-In Legislation Schedule published by the Loan Market Association (or any successor person), as in effect from time to time.</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Eurocurrency Reserve Requirements</w:t>
      </w:r>
      <w:r>
        <w:rPr>
          <w:rFonts w:ascii="Arial" w:cs="Arial" w:eastAsia="Arial" w:hAnsi="Arial"/>
          <w:sz w:val="22"/>
          <w:szCs w:val="22"/>
          <w:color w:val="FF0000"/>
          <w:strike w:val="1"/>
        </w:rPr>
        <w:t>”: for any day as applied to a Eurodollar Loan, the aggregate (without duplication) of the maximum rates (expressed as a decimal fraction) of reserve requirements in effect on such day (including basic, supplemental, marginal and emergency reserves) under any regulations of the Board of</w:t>
      </w:r>
    </w:p>
    <w:p>
      <w:pPr>
        <w:sectPr>
          <w:pgSz w:w="11900" w:h="16838" w:orient="portrait"/>
          <w:cols w:equalWidth="0" w:num="1">
            <w:col w:w="11240"/>
          </w:cols>
          <w:pgMar w:left="320" w:top="1413" w:right="339" w:bottom="1440" w:gutter="0" w:footer="0" w:header="0"/>
        </w:sectPr>
      </w:pPr>
    </w:p>
    <w:bookmarkStart w:id="221" w:name="page222"/>
    <w:bookmarkEnd w:id="221"/>
    <w:p>
      <w:pPr>
        <w:jc w:val="both"/>
        <w:spacing w:after="0" w:line="241" w:lineRule="auto"/>
        <w:rPr>
          <w:sz w:val="20"/>
          <w:szCs w:val="20"/>
          <w:color w:val="auto"/>
        </w:rPr>
      </w:pPr>
      <w:r>
        <w:rPr>
          <w:rFonts w:ascii="Arial" w:cs="Arial" w:eastAsia="Arial" w:hAnsi="Arial"/>
          <w:sz w:val="22"/>
          <w:szCs w:val="22"/>
          <w:color w:val="FF0000"/>
          <w:strike w:val="1"/>
        </w:rPr>
        <w:t>Governors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18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Base Rate</w:t>
      </w:r>
      <w:r>
        <w:rPr>
          <w:rFonts w:ascii="Arial" w:cs="Arial" w:eastAsia="Arial" w:hAnsi="Arial"/>
          <w:sz w:val="22"/>
          <w:szCs w:val="22"/>
          <w:color w:val="FF0000"/>
          <w:strike w:val="1"/>
        </w:rPr>
        <w:t>”: with respect to each day during each Interest Period pertaining to a Eurodollar Loan</w:t>
      </w:r>
      <w:r>
        <w:rPr>
          <w:rFonts w:ascii="Arial" w:cs="Arial" w:eastAsia="Arial" w:hAnsi="Arial"/>
          <w:sz w:val="22"/>
          <w:szCs w:val="22"/>
          <w:color w:val="008000"/>
          <w:strike w:val="1"/>
        </w:rPr>
        <w:t>,</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the rate per annum equal to </w:t>
      </w:r>
      <w:r>
        <w:rPr>
          <w:rFonts w:ascii="Arial" w:cs="Arial" w:eastAsia="Arial" w:hAnsi="Arial"/>
          <w:sz w:val="22"/>
          <w:szCs w:val="22"/>
          <w:color w:val="FF0000"/>
          <w:strike w:val="1"/>
        </w:rPr>
        <w:t>the London Interbank Offered Rate (“</w:t>
      </w:r>
      <w:r>
        <w:rPr>
          <w:rFonts w:ascii="Arial" w:cs="Arial" w:eastAsia="Arial" w:hAnsi="Arial"/>
          <w:sz w:val="22"/>
          <w:szCs w:val="22"/>
          <w:u w:val="single" w:color="auto"/>
          <w:color w:val="FF0000"/>
          <w:strike w:val="1"/>
        </w:rPr>
        <w:t>LIBOR</w:t>
      </w:r>
      <w:r>
        <w:rPr>
          <w:rFonts w:ascii="Arial" w:cs="Arial" w:eastAsia="Arial" w:hAnsi="Arial"/>
          <w:sz w:val="22"/>
          <w:szCs w:val="22"/>
          <w:color w:val="FF0000"/>
          <w:strike w:val="1"/>
        </w:rPr>
        <w:t>”) (or a comparable or successor rate which</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 xml:space="preserve">rate is approved by the Administrative Agent), as published on the applicable Bloomberg screen page (or such other commercially available source providing such quotations as may be designated by the Administrative Agent from time to time) at approximately 11:00 A.M. (London time) on the date that is two </w:t>
      </w:r>
      <w:r>
        <w:rPr>
          <w:rFonts w:ascii="Arial" w:cs="Arial" w:eastAsia="Arial" w:hAnsi="Arial"/>
          <w:sz w:val="22"/>
          <w:szCs w:val="22"/>
          <w:color w:val="008000"/>
          <w:strike w:val="1"/>
        </w:rPr>
        <w:t>Business Days prior to the</w:t>
      </w:r>
      <w:r>
        <w:rPr>
          <w:rFonts w:ascii="Arial" w:cs="Arial" w:eastAsia="Arial" w:hAnsi="Arial"/>
          <w:sz w:val="22"/>
          <w:szCs w:val="22"/>
          <w:color w:val="FF0000"/>
          <w:strike w:val="1"/>
        </w:rPr>
        <w:t xml:space="preserve"> beginning of the relevant Interest Period for deposits in Dollars for a period equal to such Interest Period; </w:t>
      </w:r>
      <w:r>
        <w:rPr>
          <w:rFonts w:ascii="Arial" w:cs="Arial" w:eastAsia="Arial" w:hAnsi="Arial"/>
          <w:sz w:val="22"/>
          <w:szCs w:val="22"/>
          <w:u w:val="single" w:color="auto"/>
          <w:color w:val="FF0000"/>
          <w:strike w:val="1"/>
        </w:rPr>
        <w:t>provided</w:t>
      </w:r>
      <w:r>
        <w:rPr>
          <w:rFonts w:ascii="Arial" w:cs="Arial" w:eastAsia="Arial" w:hAnsi="Arial"/>
          <w:sz w:val="22"/>
          <w:szCs w:val="22"/>
          <w:color w:val="FF0000"/>
          <w:strike w:val="1"/>
        </w:rPr>
        <w:t xml:space="preserve"> that, to the extent that an interest rate is not ascertainable pursuant to the foregoing provisions of this definition, the “Eurodollar Base Rate” shall be the interest rate per annum determined by the Administrative Agent to be the average of the rates per annum at which deposits in Dollars are offered for such relevant Interest Period to major banks in the London interbank market in London, England by the Administrative Agent at approximately 11:00 a.m. (London time) on the date that is two Business Days prior to the beginning of such Interest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Loans</w:t>
      </w:r>
      <w:r>
        <w:rPr>
          <w:rFonts w:ascii="Arial" w:cs="Arial" w:eastAsia="Arial" w:hAnsi="Arial"/>
          <w:sz w:val="22"/>
          <w:szCs w:val="22"/>
          <w:color w:val="008000"/>
          <w:strike w:val="1"/>
        </w:rPr>
        <w:t>”: Term Loans the rate of interest applicable to which is based upon</w:t>
      </w:r>
      <w:r>
        <w:rPr>
          <w:rFonts w:ascii="Arial" w:cs="Arial" w:eastAsia="Arial" w:hAnsi="Arial"/>
          <w:sz w:val="22"/>
          <w:szCs w:val="22"/>
          <w:color w:val="FF0000"/>
          <w:strike w:val="1"/>
        </w:rPr>
        <w:t xml:space="preserve"> the Eurodollar Rate.</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 Rate</w:t>
      </w:r>
      <w:r>
        <w:rPr>
          <w:rFonts w:ascii="Arial" w:cs="Arial" w:eastAsia="Arial" w:hAnsi="Arial"/>
          <w:sz w:val="22"/>
          <w:szCs w:val="22"/>
          <w:color w:val="FF0000"/>
          <w:strike w:val="1"/>
        </w:rPr>
        <w:t xml:space="preserve"> ”: with respect to each day during each Interest Period pertaining to a Eurodollar Loan, a rate per annum determined for such day in accordance with the following formula (rounded upward to the nearest 1/100th of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FF0000"/>
          <w:strike w:val="1"/>
        </w:rPr>
        <w:t>Eurodollar Base Rate</w:t>
      </w:r>
    </w:p>
    <w:p>
      <w:pPr>
        <w:spacing w:after="0" w:line="6"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________________________________________</w:t>
      </w:r>
    </w:p>
    <w:p>
      <w:pPr>
        <w:spacing w:after="0" w:line="190" w:lineRule="exact"/>
        <w:rPr>
          <w:sz w:val="20"/>
          <w:szCs w:val="20"/>
          <w:color w:val="auto"/>
        </w:rPr>
      </w:pPr>
    </w:p>
    <w:p>
      <w:pPr>
        <w:ind w:right="3540" w:firstLine="3533"/>
        <w:spacing w:after="0" w:line="456" w:lineRule="auto"/>
        <w:rPr>
          <w:sz w:val="20"/>
          <w:szCs w:val="20"/>
          <w:color w:val="auto"/>
        </w:rPr>
      </w:pPr>
      <w:r>
        <w:rPr>
          <w:rFonts w:ascii="Arial" w:cs="Arial" w:eastAsia="Arial" w:hAnsi="Arial"/>
          <w:sz w:val="21"/>
          <w:szCs w:val="21"/>
          <w:color w:val="FF0000"/>
          <w:strike w:val="1"/>
        </w:rPr>
        <w:t xml:space="preserve">1.00 - Eurocurrency Reserve Requirements ;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in no event shall the Eurodollar Rate be less than 0.00%.</w:t>
      </w:r>
    </w:p>
    <w:p>
      <w:pPr>
        <w:ind w:left="660"/>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Eurodollar</w:t>
      </w:r>
      <w:r>
        <w:rPr>
          <w:rFonts w:ascii="Arial" w:cs="Arial" w:eastAsia="Arial" w:hAnsi="Arial"/>
          <w:sz w:val="22"/>
          <w:szCs w:val="22"/>
          <w:color w:val="FF0000"/>
        </w:rPr>
        <w:t xml:space="preserve"> </w:t>
      </w:r>
      <w:r>
        <w:rPr>
          <w:rFonts w:ascii="Arial" w:cs="Arial" w:eastAsia="Arial" w:hAnsi="Arial"/>
          <w:sz w:val="22"/>
          <w:szCs w:val="22"/>
          <w:u w:val="single" w:color="auto"/>
          <w:color w:val="008000"/>
        </w:rPr>
        <w:t>Term Borrowing</w:t>
      </w:r>
      <w:r>
        <w:rPr>
          <w:rFonts w:ascii="Arial" w:cs="Arial" w:eastAsia="Arial" w:hAnsi="Arial"/>
          <w:sz w:val="22"/>
          <w:szCs w:val="22"/>
          <w:color w:val="008000"/>
        </w:rPr>
        <w:t>”: a Borrowing of Term Loans that are</w:t>
      </w:r>
      <w:r>
        <w:rPr>
          <w:rFonts w:ascii="Arial" w:cs="Arial" w:eastAsia="Arial" w:hAnsi="Arial"/>
          <w:sz w:val="22"/>
          <w:szCs w:val="22"/>
          <w:color w:val="FF0000"/>
        </w:rPr>
        <w:t xml:space="preserve"> </w:t>
      </w:r>
      <w:r>
        <w:rPr>
          <w:rFonts w:ascii="Arial" w:cs="Arial" w:eastAsia="Arial" w:hAnsi="Arial"/>
          <w:sz w:val="22"/>
          <w:szCs w:val="22"/>
          <w:color w:val="FF0000"/>
          <w:strike w:val="1"/>
        </w:rPr>
        <w:t>Eurodollar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-68580</wp:posOffset>
            </wp:positionV>
            <wp:extent cx="32600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260090" cy="8890"/>
                    </a:xfrm>
                    <a:prstGeom prst="rect">
                      <a:avLst/>
                    </a:prstGeom>
                    <a:noFill/>
                  </pic:spPr>
                </pic:pic>
              </a:graphicData>
            </a:graphic>
          </wp:anchor>
        </w:drawing>
      </w:r>
    </w:p>
    <w:p>
      <w:pPr>
        <w:spacing w:after="0" w:line="186" w:lineRule="exact"/>
        <w:rPr>
          <w:sz w:val="20"/>
          <w:szCs w:val="20"/>
          <w:color w:val="auto"/>
        </w:rPr>
      </w:pPr>
    </w:p>
    <w:p>
      <w:pPr>
        <w:ind w:right="34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any of the events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 or any successor statute or statutes thereto.</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xml:space="preserve">”: those Taxes referenced in </w:t>
      </w:r>
      <w:r>
        <w:rPr>
          <w:rFonts w:ascii="Arial" w:cs="Arial" w:eastAsia="Arial" w:hAnsi="Arial"/>
          <w:sz w:val="22"/>
          <w:szCs w:val="22"/>
          <w:u w:val="single" w:color="auto"/>
          <w:color w:val="auto"/>
        </w:rPr>
        <w:t>Section 2.16(a)(i)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2.16(a)(v)</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222" w:name="page223"/>
    <w:bookmarkEnd w:id="222"/>
    <w:p>
      <w:pPr>
        <w:jc w:val="both"/>
        <w:ind w:firstLine="648"/>
        <w:spacing w:after="0" w:line="24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the Credit Agreement, dated as July 3, 2018, as amended from time to time, among the Borrower, the lenders from time to time parties thereto and JPMorgan Chase Bank, N.A., as administrative agent.</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 successor version described above) and any intergovernmental agreements (and related legislation or official administrative guidance) implementing the foregoing.</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xml:space="preserve">”: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Federal Funds Effective Rate as so determined would be less than zero, such rate shall be deemed to zero for the purposes of this Agreement.</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collectively, the fees pursuant to Engagement Letter and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the fees referred to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and any other fees payable by any Loan Party pursuant to this Agreement or any other Loan Document.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xml:space="preserve">”: the benchmark rate floor, if any, provided in this Agreement initially (as of the execution of this Agreement, the modification, amendment or renewal of this Agreement or otherwise) with respect to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Adjusted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Term SOFR. For the avoidance of doubt, the initial Floor for Adjusted Term SOFR shall be 0.00%</w:t>
      </w:r>
      <w:r>
        <w:rPr>
          <w:rFonts w:ascii="Arial" w:cs="Arial" w:eastAsia="Arial" w:hAnsi="Arial"/>
          <w:sz w:val="22"/>
          <w:szCs w:val="22"/>
          <w:color w:val="000000"/>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the Chief Financial Officer, Principal Accounting Officer, Controller or Treasurer of the Borrower.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Fitch, Inc. and any successor to its rating agency business.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with respect to any Person, any Subsidiary of such Person other than one that is organized or existing under the laws of the United States, any state thereof or the District of Columbia.</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FSHCO</w:t>
      </w:r>
      <w:r>
        <w:rPr>
          <w:rFonts w:ascii="Arial" w:cs="Arial" w:eastAsia="Arial" w:hAnsi="Arial"/>
          <w:sz w:val="22"/>
          <w:szCs w:val="22"/>
          <w:color w:val="auto"/>
        </w:rPr>
        <w:t>”: with respect to any Person, any Subsidiary substantially all the assets of which consist of Equity Interests of, and/or intercompany debt obligations owed or treated as owed by, one or more (i) CFCs and/or (ii) Subsidiaries described in this definition.</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xml:space="preserve">”: the office of the Administrative Agent specified in </w:t>
      </w:r>
      <w:r>
        <w:rPr>
          <w:rFonts w:ascii="Arial" w:cs="Arial" w:eastAsia="Arial" w:hAnsi="Arial"/>
          <w:sz w:val="22"/>
          <w:szCs w:val="22"/>
          <w:u w:val="single" w:color="auto"/>
          <w:color w:val="auto"/>
        </w:rPr>
        <w:t>Section 9.2(a)</w:t>
      </w:r>
      <w:r>
        <w:rPr>
          <w:rFonts w:ascii="Arial" w:cs="Arial" w:eastAsia="Arial" w:hAnsi="Arial"/>
          <w:sz w:val="22"/>
          <w:szCs w:val="22"/>
          <w:color w:val="auto"/>
        </w:rPr>
        <w:t xml:space="preserve"> or such other office as may be specified from time to time by the Administrative Agent as its funding office by written notice to the Borrower and the Lenders.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in the United States set forth in the statements and pronouncements of the Financial Accounting Standards Board or in</w:t>
      </w:r>
    </w:p>
    <w:p>
      <w:pPr>
        <w:sectPr>
          <w:pgSz w:w="11900" w:h="16838" w:orient="portrait"/>
          <w:cols w:equalWidth="0" w:num="1">
            <w:col w:w="11240"/>
          </w:cols>
          <w:pgMar w:left="320" w:top="1413" w:right="339" w:bottom="1440" w:gutter="0" w:footer="0" w:header="0"/>
        </w:sectPr>
      </w:pPr>
    </w:p>
    <w:bookmarkStart w:id="223" w:name="page224"/>
    <w:bookmarkEnd w:id="223"/>
    <w:p>
      <w:pPr>
        <w:jc w:val="both"/>
        <w:spacing w:after="0" w:line="251" w:lineRule="auto"/>
        <w:rPr>
          <w:sz w:val="20"/>
          <w:szCs w:val="20"/>
          <w:color w:val="auto"/>
        </w:rPr>
      </w:pPr>
      <w:r>
        <w:rPr>
          <w:rFonts w:ascii="Arial" w:cs="Arial" w:eastAsia="Arial" w:hAnsi="Arial"/>
          <w:sz w:val="22"/>
          <w:szCs w:val="22"/>
          <w:color w:val="auto"/>
        </w:rPr>
        <w:t>such other statements by such other entity as have been approved by a significant segment of the accounting profession, which are in effect as of the date of determination.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Emissions</w:t>
      </w:r>
      <w:r>
        <w:rPr>
          <w:rFonts w:ascii="Arial" w:cs="Arial" w:eastAsia="Arial" w:hAnsi="Arial"/>
          <w:sz w:val="22"/>
          <w:szCs w:val="22"/>
          <w:color w:val="auto"/>
        </w:rPr>
        <w:t>”: a Key Performance Indicator measured by GHG Emissions Intensity Reduction.</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GHG Emissions Intensity</w:t>
      </w:r>
      <w:r>
        <w:rPr>
          <w:rFonts w:ascii="Arial" w:cs="Arial" w:eastAsia="Arial" w:hAnsi="Arial"/>
          <w:sz w:val="22"/>
          <w:szCs w:val="22"/>
          <w:color w:val="auto"/>
        </w:rPr>
        <w:t>”: (a) the sum of the Borrower and its Subsidiaries’ (i) total Scope 1 Emissions plus (ii) Scope 2 Emissions for any calendar year divided by (b) production units for such calendar year.</w:t>
      </w:r>
    </w:p>
    <w:p>
      <w:pPr>
        <w:spacing w:after="0" w:line="17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GHG Emissions Intensity Applicable Margin Adjustment Amount</w:t>
      </w:r>
      <w:r>
        <w:rPr>
          <w:rFonts w:ascii="Arial" w:cs="Arial" w:eastAsia="Arial" w:hAnsi="Arial"/>
          <w:sz w:val="21"/>
          <w:szCs w:val="21"/>
          <w:color w:val="auto"/>
        </w:rPr>
        <w:t>”: with respect to GHG Emissions for any calendar year, (a) positive 1.67 basis points if the GHG Emissions Intensity Reduction as set forth in the Sustainability Pricing Certificate is greater than the Partially Successful Completion Threshold for such calendar year, (b) zero basis points if the GHG Emissions Intensity Reduction as set forth in the Sustainability Pricing Certificate is greater than the Successful Completion Threshold and is less than or equal to the Partially Successful Completion Threshold for such calendar year; and (c) negative 1.67 basis points if the GHG Emissions Intensity Reduction as set forth in the Sustainability Pricing Certificate is equal to or less than the Successful Completion Threshold for such calendar year.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GHG Emissions Intensity Reduction</w:t>
      </w:r>
      <w:r>
        <w:rPr>
          <w:rFonts w:ascii="Arial" w:cs="Arial" w:eastAsia="Arial" w:hAnsi="Arial"/>
          <w:sz w:val="21"/>
          <w:szCs w:val="21"/>
          <w:color w:val="auto"/>
        </w:rPr>
        <w:t>”: expressed as a percentage, (a) the sum of (i) GHG Emissions Intensity minus (ii) 2018 GHG Emissions Intensity Baseline divided by (b) the 2018 GHG Emissions Intensity Baseline.</w:t>
      </w:r>
    </w:p>
    <w:p>
      <w:pPr>
        <w:spacing w:after="0" w:line="14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xml:space="preserve">”: any obligation, contingent or otherwise, of any Person directly or indirectly guaranteeing any Indebtedness of any 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 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ectPr>
          <w:pgSz w:w="11900" w:h="16838" w:orient="portrait"/>
          <w:cols w:equalWidth="0" w:num="1">
            <w:col w:w="11240"/>
          </w:cols>
          <w:pgMar w:left="320" w:top="1413" w:right="339" w:bottom="1440" w:gutter="0" w:footer="0" w:header="0"/>
        </w:sectPr>
      </w:pPr>
    </w:p>
    <w:bookmarkStart w:id="224" w:name="page225"/>
    <w:bookmarkEnd w:id="224"/>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w:t>
      </w:r>
      <w:r>
        <w:rPr>
          <w:rFonts w:ascii="Arial" w:cs="Arial" w:eastAsia="Arial" w:hAnsi="Arial"/>
          <w:sz w:val="22"/>
          <w:szCs w:val="22"/>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will be:</w:t>
      </w:r>
    </w:p>
    <w:p>
      <w:pPr>
        <w:spacing w:after="0" w:line="206" w:lineRule="exact"/>
        <w:rPr>
          <w:sz w:val="20"/>
          <w:szCs w:val="20"/>
          <w:color w:val="auto"/>
        </w:rPr>
      </w:pPr>
    </w:p>
    <w:p>
      <w:pPr>
        <w:ind w:left="660" w:firstLine="644"/>
        <w:spacing w:after="0" w:line="251" w:lineRule="auto"/>
        <w:tabs>
          <w:tab w:leader="none" w:pos="1840" w:val="left"/>
        </w:tabs>
        <w:numPr>
          <w:ilvl w:val="1"/>
          <w:numId w:val="172"/>
        </w:numPr>
        <w:rPr>
          <w:rFonts w:ascii="Arial" w:cs="Arial" w:eastAsia="Arial" w:hAnsi="Arial"/>
          <w:sz w:val="22"/>
          <w:szCs w:val="22"/>
          <w:color w:val="010000"/>
        </w:rPr>
      </w:pPr>
      <w:r>
        <w:rPr>
          <w:rFonts w:ascii="Arial" w:cs="Arial" w:eastAsia="Arial" w:hAnsi="Arial"/>
          <w:sz w:val="22"/>
          <w:szCs w:val="22"/>
          <w:color w:val="auto"/>
        </w:rPr>
        <w:t>the accreted value of the Indebtedness, in the case of any Indebtedness that does not require the current payment of interest;</w:t>
      </w:r>
    </w:p>
    <w:p>
      <w:pPr>
        <w:spacing w:after="0" w:line="172" w:lineRule="exact"/>
        <w:rPr>
          <w:rFonts w:ascii="Arial" w:cs="Arial" w:eastAsia="Arial" w:hAnsi="Arial"/>
          <w:sz w:val="22"/>
          <w:szCs w:val="22"/>
          <w:color w:val="010000"/>
        </w:rPr>
      </w:pPr>
    </w:p>
    <w:p>
      <w:pPr>
        <w:ind w:left="1800" w:hanging="496"/>
        <w:spacing w:after="0"/>
        <w:tabs>
          <w:tab w:leader="none" w:pos="1800" w:val="left"/>
        </w:tabs>
        <w:numPr>
          <w:ilvl w:val="1"/>
          <w:numId w:val="172"/>
        </w:numPr>
        <w:rPr>
          <w:rFonts w:ascii="Arial" w:cs="Arial" w:eastAsia="Arial" w:hAnsi="Arial"/>
          <w:sz w:val="22"/>
          <w:szCs w:val="22"/>
          <w:color w:val="010000"/>
        </w:rPr>
      </w:pPr>
      <w:r>
        <w:rPr>
          <w:rFonts w:ascii="Arial" w:cs="Arial" w:eastAsia="Arial" w:hAnsi="Arial"/>
          <w:sz w:val="22"/>
          <w:szCs w:val="22"/>
          <w:color w:val="auto"/>
        </w:rPr>
        <w:t>the principal amount of the Indebtedness, in the case of any other Indebtedness;</w:t>
      </w:r>
    </w:p>
    <w:p>
      <w:pPr>
        <w:spacing w:after="0" w:line="206" w:lineRule="exact"/>
        <w:rPr>
          <w:rFonts w:ascii="Arial" w:cs="Arial" w:eastAsia="Arial" w:hAnsi="Arial"/>
          <w:sz w:val="22"/>
          <w:szCs w:val="22"/>
          <w:color w:val="010000"/>
        </w:rPr>
      </w:pPr>
    </w:p>
    <w:p>
      <w:pPr>
        <w:jc w:val="both"/>
        <w:ind w:left="660" w:firstLine="644"/>
        <w:spacing w:after="0" w:line="238" w:lineRule="auto"/>
        <w:tabs>
          <w:tab w:leader="none" w:pos="1912" w:val="left"/>
        </w:tabs>
        <w:numPr>
          <w:ilvl w:val="1"/>
          <w:numId w:val="172"/>
        </w:numPr>
        <w:rPr>
          <w:rFonts w:ascii="Arial" w:cs="Arial" w:eastAsia="Arial" w:hAnsi="Arial"/>
          <w:sz w:val="22"/>
          <w:szCs w:val="22"/>
          <w:color w:val="010000"/>
        </w:rPr>
      </w:pPr>
      <w:r>
        <w:rPr>
          <w:rFonts w:ascii="Arial" w:cs="Arial" w:eastAsia="Arial" w:hAnsi="Arial"/>
          <w:sz w:val="22"/>
          <w:szCs w:val="22"/>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171" w:lineRule="exact"/>
        <w:rPr>
          <w:rFonts w:ascii="Arial" w:cs="Arial" w:eastAsia="Arial" w:hAnsi="Arial"/>
          <w:sz w:val="22"/>
          <w:szCs w:val="22"/>
          <w:color w:val="010000"/>
        </w:rPr>
      </w:pPr>
    </w:p>
    <w:p>
      <w:pPr>
        <w:jc w:val="both"/>
        <w:ind w:left="660" w:firstLine="644"/>
        <w:spacing w:after="0" w:line="238" w:lineRule="auto"/>
        <w:tabs>
          <w:tab w:leader="none" w:pos="1872" w:val="left"/>
        </w:tabs>
        <w:numPr>
          <w:ilvl w:val="1"/>
          <w:numId w:val="172"/>
        </w:numPr>
        <w:rPr>
          <w:rFonts w:ascii="Arial" w:cs="Arial" w:eastAsia="Arial" w:hAnsi="Arial"/>
          <w:sz w:val="22"/>
          <w:szCs w:val="22"/>
          <w:color w:val="010000"/>
        </w:rPr>
      </w:pPr>
      <w:r>
        <w:rPr>
          <w:rFonts w:ascii="Arial" w:cs="Arial" w:eastAsia="Arial" w:hAnsi="Arial"/>
          <w:sz w:val="22"/>
          <w:szCs w:val="22"/>
          <w:color w:val="auto"/>
        </w:rPr>
        <w:t>in respect of any Indebtedness of another Person Guaranteed by the specified Person or one or more of such Persons, the lesser of: (a) the principal amount of such Indebtedness of such other Person and</w:t>
      </w:r>
    </w:p>
    <w:p>
      <w:pPr>
        <w:ind w:left="660" w:hanging="4"/>
        <w:spacing w:after="0" w:line="259" w:lineRule="auto"/>
        <w:tabs>
          <w:tab w:leader="none" w:pos="1056" w:val="left"/>
        </w:tabs>
        <w:numPr>
          <w:ilvl w:val="0"/>
          <w:numId w:val="173"/>
        </w:numPr>
        <w:rPr>
          <w:rFonts w:ascii="Arial" w:cs="Arial" w:eastAsia="Arial" w:hAnsi="Arial"/>
          <w:sz w:val="21"/>
          <w:szCs w:val="21"/>
          <w:color w:val="auto"/>
        </w:rPr>
      </w:pPr>
      <w:r>
        <w:rPr>
          <w:rFonts w:ascii="Arial" w:cs="Arial" w:eastAsia="Arial" w:hAnsi="Arial"/>
          <w:sz w:val="21"/>
          <w:szCs w:val="21"/>
          <w:color w:val="auto"/>
        </w:rPr>
        <w:t>the maximum amount of such Indebtedness payable under the Guarantee or Guarantees (without duplication in the case of one or more Guarantees of the same Indebtedness by Restricted Subsidiaries); and</w:t>
      </w:r>
    </w:p>
    <w:p>
      <w:pPr>
        <w:spacing w:after="0" w:line="164" w:lineRule="exact"/>
        <w:rPr>
          <w:rFonts w:ascii="Arial" w:cs="Arial" w:eastAsia="Arial" w:hAnsi="Arial"/>
          <w:sz w:val="21"/>
          <w:szCs w:val="21"/>
          <w:color w:val="auto"/>
        </w:rPr>
      </w:pPr>
    </w:p>
    <w:p>
      <w:pPr>
        <w:jc w:val="both"/>
        <w:ind w:left="660" w:firstLine="644"/>
        <w:spacing w:after="0" w:line="241" w:lineRule="auto"/>
        <w:tabs>
          <w:tab w:leader="none" w:pos="1947" w:val="left"/>
        </w:tabs>
        <w:numPr>
          <w:ilvl w:val="1"/>
          <w:numId w:val="173"/>
        </w:numPr>
        <w:rPr>
          <w:rFonts w:ascii="Arial" w:cs="Arial" w:eastAsia="Arial" w:hAnsi="Arial"/>
          <w:sz w:val="22"/>
          <w:szCs w:val="22"/>
          <w:color w:val="010000"/>
        </w:rPr>
      </w:pPr>
      <w:r>
        <w:rPr>
          <w:rFonts w:ascii="Arial" w:cs="Arial" w:eastAsia="Arial" w:hAnsi="Arial"/>
          <w:sz w:val="22"/>
          <w:szCs w:val="22"/>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w:t>
      </w:r>
    </w:p>
    <w:p>
      <w:pPr>
        <w:sectPr>
          <w:pgSz w:w="11900" w:h="16838" w:orient="portrait"/>
          <w:cols w:equalWidth="0" w:num="1">
            <w:col w:w="11240"/>
          </w:cols>
          <w:pgMar w:left="320" w:top="1413" w:right="339" w:bottom="1440" w:gutter="0" w:footer="0" w:header="0"/>
        </w:sectPr>
      </w:pPr>
    </w:p>
    <w:bookmarkStart w:id="225" w:name="page226"/>
    <w:bookmarkEnd w:id="225"/>
    <w:p>
      <w:pPr>
        <w:jc w:val="both"/>
        <w:spacing w:after="0" w:line="249" w:lineRule="auto"/>
        <w:rPr>
          <w:sz w:val="20"/>
          <w:szCs w:val="20"/>
          <w:color w:val="auto"/>
        </w:rPr>
      </w:pPr>
      <w:r>
        <w:rPr>
          <w:rFonts w:ascii="Arial" w:cs="Arial" w:eastAsia="Arial" w:hAnsi="Arial"/>
          <w:sz w:val="21"/>
          <w:szCs w:val="21"/>
          <w:color w:val="auto"/>
        </w:rPr>
        <w:t xml:space="preserve">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or the definition of Permitted Liens or the inclusion of Attributable Debt in any calculation of Indebtedness shall not create any implication that any such obligations constitute Indebtedness.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9.5</w:t>
      </w:r>
      <w:r>
        <w:rPr>
          <w:rFonts w:ascii="Arial" w:cs="Arial" w:eastAsia="Arial" w:hAnsi="Arial"/>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9.5</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KPI Metrics Report</w:t>
      </w:r>
      <w:r>
        <w:rPr>
          <w:rFonts w:ascii="Arial" w:cs="Arial" w:eastAsia="Arial" w:hAnsi="Arial"/>
          <w:sz w:val="22"/>
          <w:szCs w:val="22"/>
          <w:color w:val="auto"/>
        </w:rPr>
        <w:t xml:space="preserve"> ”: an annual report setting forth each KPI Metric for the calendar year ended December 31, 2020, of which all data and information in such Initial KPI Metrics Report has been made publicly available by the Borrower via the Borrower’s annual report on environmental, social and governance issues.</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with respect to any Multiemployer Plan, the condition that such Plan is insolvent within the meaning of Section 4245 of ERISA.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pertaining to a condition of Insolvency.</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(a) as to any Base Rate Loan, the last Business Day of each March, June, September and December to occur while such Base Rate Loan is outstanding and the final maturity date of such Base Rate Loan, (b)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having an Interest Period of three months or less, the last day of such Interest Period, (c)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having an Interest Period longer than three months, each day that is three months, or a whole multiple thereof, after the first day of such Interest Period and the last day of such Interest Period and (d)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the date of any repayment or prepayment made in respect thereof.</w:t>
      </w:r>
    </w:p>
    <w:p>
      <w:pPr>
        <w:spacing w:after="0" w:line="19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Period</w:t>
      </w:r>
      <w:r>
        <w:rPr>
          <w:rFonts w:ascii="Arial" w:cs="Arial" w:eastAsia="Arial" w:hAnsi="Arial"/>
          <w:sz w:val="22"/>
          <w:szCs w:val="22"/>
          <w:color w:val="auto"/>
        </w:rPr>
        <w:t xml:space="preserve">”: as to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each period commencing on the last day of the next preceding Interest Period applicable to such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and ending one, three or six (or, if agreed to by all relevant Lenders, twelve) months thereafter, as selected by the Borrower by irrevocable notice to the Administrative Agent not later than 10:00 A.M., New York City time, on the date that is three (3) Business Days prior to the last day of the then current Interest Period with respect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of the foregoing provisions relating to Interest Periods are subject to the following:</w:t>
      </w:r>
    </w:p>
    <w:p>
      <w:pPr>
        <w:sectPr>
          <w:pgSz w:w="11900" w:h="16838" w:orient="portrait"/>
          <w:cols w:equalWidth="0" w:num="1">
            <w:col w:w="11240"/>
          </w:cols>
          <w:pgMar w:left="320" w:top="1413" w:right="339" w:bottom="1440" w:gutter="0" w:footer="0" w:header="0"/>
        </w:sectPr>
      </w:pPr>
    </w:p>
    <w:bookmarkStart w:id="226" w:name="page227"/>
    <w:bookmarkEnd w:id="226"/>
    <w:p>
      <w:pPr>
        <w:jc w:val="both"/>
        <w:ind w:left="660" w:firstLine="644"/>
        <w:spacing w:after="0" w:line="238" w:lineRule="auto"/>
        <w:tabs>
          <w:tab w:leader="none" w:pos="1744"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4" w:lineRule="exact"/>
        <w:rPr>
          <w:rFonts w:ascii="Arial" w:cs="Arial" w:eastAsia="Arial" w:hAnsi="Arial"/>
          <w:sz w:val="22"/>
          <w:szCs w:val="22"/>
          <w:color w:val="010000"/>
        </w:rPr>
      </w:pPr>
    </w:p>
    <w:p>
      <w:pPr>
        <w:ind w:left="1820" w:hanging="516"/>
        <w:spacing w:after="0"/>
        <w:tabs>
          <w:tab w:leader="none" w:pos="1820" w:val="left"/>
        </w:tabs>
        <w:numPr>
          <w:ilvl w:val="0"/>
          <w:numId w:val="174"/>
        </w:numPr>
        <w:rPr>
          <w:rFonts w:ascii="Arial" w:cs="Arial" w:eastAsia="Arial" w:hAnsi="Arial"/>
          <w:sz w:val="21"/>
          <w:szCs w:val="21"/>
          <w:color w:val="010000"/>
        </w:rPr>
      </w:pPr>
      <w:r>
        <w:rPr>
          <w:rFonts w:ascii="Arial" w:cs="Arial" w:eastAsia="Arial" w:hAnsi="Arial"/>
          <w:sz w:val="21"/>
          <w:szCs w:val="21"/>
          <w:color w:val="auto"/>
        </w:rPr>
        <w:t>the Borrower may not select an Interest Period that would extend beyond the Term Loan Maturity</w:t>
      </w:r>
    </w:p>
    <w:p>
      <w:pPr>
        <w:spacing w:after="0" w:line="17" w:lineRule="exact"/>
        <w:rPr>
          <w:rFonts w:ascii="Arial" w:cs="Arial" w:eastAsia="Arial" w:hAnsi="Arial"/>
          <w:sz w:val="21"/>
          <w:szCs w:val="21"/>
          <w:color w:val="010000"/>
        </w:rPr>
      </w:pPr>
    </w:p>
    <w:p>
      <w:pPr>
        <w:ind w:left="660"/>
        <w:spacing w:after="0"/>
        <w:rPr>
          <w:rFonts w:ascii="Arial" w:cs="Arial" w:eastAsia="Arial" w:hAnsi="Arial"/>
          <w:sz w:val="21"/>
          <w:szCs w:val="21"/>
          <w:color w:val="010000"/>
        </w:rPr>
      </w:pPr>
      <w:r>
        <w:rPr>
          <w:rFonts w:ascii="Arial" w:cs="Arial" w:eastAsia="Arial" w:hAnsi="Arial"/>
          <w:sz w:val="22"/>
          <w:szCs w:val="22"/>
          <w:color w:val="auto"/>
        </w:rPr>
        <w:t xml:space="preserve">Date; </w:t>
      </w:r>
      <w:r>
        <w:rPr>
          <w:rFonts w:ascii="Arial" w:cs="Arial" w:eastAsia="Arial" w:hAnsi="Arial"/>
          <w:sz w:val="22"/>
          <w:szCs w:val="22"/>
          <w:color w:val="FF0000"/>
        </w:rPr>
        <w:t>and</w:t>
      </w:r>
    </w:p>
    <w:p>
      <w:pPr>
        <w:spacing w:after="0" w:line="176" w:lineRule="exact"/>
        <w:rPr>
          <w:rFonts w:ascii="Arial" w:cs="Arial" w:eastAsia="Arial" w:hAnsi="Arial"/>
          <w:sz w:val="21"/>
          <w:szCs w:val="21"/>
          <w:color w:val="010000"/>
        </w:rPr>
      </w:pPr>
    </w:p>
    <w:p>
      <w:pPr>
        <w:jc w:val="both"/>
        <w:ind w:left="660" w:firstLine="644"/>
        <w:spacing w:after="0" w:line="241" w:lineRule="auto"/>
        <w:tabs>
          <w:tab w:leader="none" w:pos="1935" w:val="left"/>
        </w:tabs>
        <w:numPr>
          <w:ilvl w:val="0"/>
          <w:numId w:val="174"/>
        </w:numPr>
        <w:rPr>
          <w:rFonts w:ascii="Arial" w:cs="Arial" w:eastAsia="Arial" w:hAnsi="Arial"/>
          <w:sz w:val="22"/>
          <w:szCs w:val="22"/>
          <w:color w:val="010000"/>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a calendar month</w:t>
      </w:r>
      <w:r>
        <w:rPr>
          <w:rFonts w:ascii="Arial" w:cs="Arial" w:eastAsia="Arial" w:hAnsi="Arial"/>
          <w:sz w:val="22"/>
          <w:szCs w:val="22"/>
          <w:color w:val="FF0000"/>
          <w:strike w:val="1"/>
        </w:rPr>
        <w:t>.</w:t>
      </w:r>
      <w:r>
        <w:rPr>
          <w:rFonts w:ascii="Arial" w:cs="Arial" w:eastAsia="Arial" w:hAnsi="Arial"/>
          <w:sz w:val="22"/>
          <w:szCs w:val="22"/>
          <w:u w:val="single" w:color="auto"/>
          <w:color w:val="0000FF"/>
        </w:rPr>
        <w:t>; and</w:t>
      </w:r>
    </w:p>
    <w:p>
      <w:pPr>
        <w:spacing w:after="0" w:line="182" w:lineRule="exact"/>
        <w:rPr>
          <w:rFonts w:ascii="Arial" w:cs="Arial" w:eastAsia="Arial" w:hAnsi="Arial"/>
          <w:sz w:val="22"/>
          <w:szCs w:val="22"/>
          <w:color w:val="010000"/>
        </w:rPr>
      </w:pPr>
    </w:p>
    <w:p>
      <w:pPr>
        <w:ind w:left="660" w:firstLine="644"/>
        <w:spacing w:after="0" w:line="251" w:lineRule="auto"/>
        <w:tabs>
          <w:tab w:leader="none" w:pos="1877" w:val="left"/>
        </w:tabs>
        <w:numPr>
          <w:ilvl w:val="0"/>
          <w:numId w:val="17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no tenor that has been removed from this definition pursuant to Section 2.10(e) shall be available for specification in any irrevocable notice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-1127125</wp:posOffset>
            </wp:positionV>
            <wp:extent cx="266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5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Debt</w:t>
      </w:r>
      <w:r>
        <w:rPr>
          <w:rFonts w:ascii="Arial" w:cs="Arial" w:eastAsia="Arial" w:hAnsi="Arial"/>
          <w:sz w:val="22"/>
          <w:szCs w:val="22"/>
          <w:color w:val="auto"/>
        </w:rPr>
        <w:t>”: long-term and short-term bonds, bills, notes and other debt obligations with any “investment grade” rating from any of Moody’s, S&amp;P or Fitch.</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Venture</w:t>
      </w:r>
      <w:r>
        <w:rPr>
          <w:rFonts w:ascii="Arial" w:cs="Arial" w:eastAsia="Arial" w:hAnsi="Arial"/>
          <w:sz w:val="22"/>
          <w:szCs w:val="22"/>
          <w:color w:val="auto"/>
        </w:rPr>
        <w:t>”: with respect to any Person, any partnership, corporation or other entity in which up to and including 50% of the Equity Interests is owned, directly or indirectly, by such Person and/or one or more of its Subsidiaries.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Performance Indicators</w:t>
      </w:r>
      <w:r>
        <w:rPr>
          <w:rFonts w:ascii="Arial" w:cs="Arial" w:eastAsia="Arial" w:hAnsi="Arial"/>
          <w:sz w:val="22"/>
          <w:szCs w:val="22"/>
          <w:color w:val="auto"/>
        </w:rPr>
        <w:t>”: each of GHG Emissions, RBA Audit Score and Waste.</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w:t>
      </w:r>
      <w:r>
        <w:rPr>
          <w:rFonts w:ascii="Arial" w:cs="Arial" w:eastAsia="Arial" w:hAnsi="Arial"/>
          <w:sz w:val="22"/>
          <w:szCs w:val="22"/>
          <w:color w:val="auto"/>
        </w:rPr>
        <w:t>”: means each of GHG Emission Intensity Reduction, the RBA Audit Score Average and Waste Diversion.</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 Auditor</w:t>
      </w:r>
      <w:r>
        <w:rPr>
          <w:rFonts w:ascii="Arial" w:cs="Arial" w:eastAsia="Arial" w:hAnsi="Arial"/>
          <w:sz w:val="22"/>
          <w:szCs w:val="22"/>
          <w:color w:val="auto"/>
        </w:rPr>
        <w:t>”: any auditing or consulting firm designated from time to time by the Borrower (or any replacement auditor thereof as designated from time to time by the Borrower); provided, that any such KPI Metrics Auditor (a) shall be (i) a nationally recognized auditing firm, (ii) a nationally recognized assurance provider or (iii) an</w:t>
      </w:r>
    </w:p>
    <w:p>
      <w:pPr>
        <w:sectPr>
          <w:pgSz w:w="11900" w:h="16838" w:orient="portrait"/>
          <w:cols w:equalWidth="0" w:num="1">
            <w:col w:w="11240"/>
          </w:cols>
          <w:pgMar w:left="320" w:top="1413" w:right="339" w:bottom="1440" w:gutter="0" w:footer="0" w:header="0"/>
        </w:sectPr>
      </w:pPr>
    </w:p>
    <w:bookmarkStart w:id="227" w:name="page228"/>
    <w:bookmarkEnd w:id="227"/>
    <w:p>
      <w:pPr>
        <w:jc w:val="both"/>
        <w:spacing w:after="0" w:line="236" w:lineRule="auto"/>
        <w:rPr>
          <w:sz w:val="20"/>
          <w:szCs w:val="20"/>
          <w:color w:val="auto"/>
        </w:rPr>
      </w:pPr>
      <w:r>
        <w:rPr>
          <w:rFonts w:ascii="Arial" w:cs="Arial" w:eastAsia="Arial" w:hAnsi="Arial"/>
          <w:sz w:val="22"/>
          <w:szCs w:val="22"/>
          <w:color w:val="auto"/>
        </w:rPr>
        <w:t>independent consultant with experience with environmental, social and governance research and assurance services, and (b) shall apply auditing standards and methodology that (i) are consistent with then generally accepted industry standards or (ii) if not so consistent, are proposed by the Borrower and notified to the Administrative Agent, the Sustainability Structuring Agent and the Lenders, so long as the Lenders constituting the Required Lenders do not object to such changes within five Business Days after written notice thereof.</w:t>
      </w:r>
    </w:p>
    <w:p>
      <w:pPr>
        <w:spacing w:after="0" w:line="18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KPI Metrics Report</w:t>
      </w:r>
      <w:r>
        <w:rPr>
          <w:rFonts w:ascii="Arial" w:cs="Arial" w:eastAsia="Arial" w:hAnsi="Arial"/>
          <w:sz w:val="22"/>
          <w:szCs w:val="22"/>
          <w:color w:val="auto"/>
        </w:rPr>
        <w:t>”: an annual report audited by the KPI Metrics Auditor that sets forth the calculations for each KPI Metric for the applicable calendar year (except, for the avoidance of doubt, the calendar year ended December 31, 2020); provided that all data and information set forth in such KPI Metrics Report shall also be set forth in the Borrower’s publicly available annual report on environmental, social and governance issues, beginning with the publicly available annual report covering calendar year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w:t>
      </w:r>
      <w:r>
        <w:rPr>
          <w:rFonts w:ascii="Arial" w:cs="Arial" w:eastAsia="Arial" w:hAnsi="Arial"/>
          <w:sz w:val="22"/>
          <w:szCs w:val="22"/>
          <w:color w:val="auto"/>
        </w:rPr>
        <w:t>”: Wells Fargo Securities, LLC.</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Holiday</w:t>
      </w:r>
      <w:r>
        <w:rPr>
          <w:rFonts w:ascii="Arial" w:cs="Arial" w:eastAsia="Arial" w:hAnsi="Arial"/>
          <w:sz w:val="22"/>
          <w:szCs w:val="22"/>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the meaning set forth in the preamble to this Agreement.</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any lien, security interest, mortgage, charge or similar encumbrance,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no event shall either (i) any legal or equitable encumbrances deemed to exist by reason of a negative pledge or (ii) an operating lease or a non-exclusive license be deemed to constitute a Lien.</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Liquidity</w:t>
      </w:r>
      <w:r>
        <w:rPr>
          <w:rFonts w:ascii="Arial" w:cs="Arial" w:eastAsia="Arial" w:hAnsi="Arial"/>
          <w:sz w:val="22"/>
          <w:szCs w:val="22"/>
          <w:color w:val="auto"/>
        </w:rPr>
        <w:t>”: as of the date of determination thereof, the sum of (a) the Unrestricted Cash, Cash Equivalent and Marketable Securities Amount on such date plus (b) the Available Unused Commitments on such date.</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this Agreement, any Subsidiary Guaranty, and, after execution and delivery thereof pursuant to the terms of this Agreement, each Note, and any amendment, waiver, supplement or other modification to any of the foregoing.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the Borrower and any Guarantors.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ectPr>
          <w:pgSz w:w="11900" w:h="16838" w:orient="portrait"/>
          <w:cols w:equalWidth="0" w:num="1">
            <w:col w:w="11240"/>
          </w:cols>
          <w:pgMar w:left="320" w:top="1413" w:right="339" w:bottom="1440" w:gutter="0" w:footer="0" w:header="0"/>
        </w:sectPr>
      </w:pPr>
    </w:p>
    <w:bookmarkStart w:id="228" w:name="page229"/>
    <w:bookmarkEnd w:id="228"/>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Subsidiary</w:t>
      </w:r>
      <w:r>
        <w:rPr>
          <w:rFonts w:ascii="Arial" w:cs="Arial" w:eastAsia="Arial" w:hAnsi="Arial"/>
          <w:sz w:val="22"/>
          <w:szCs w:val="22"/>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 of Environmental Concern</w:t>
      </w:r>
      <w:r>
        <w:rPr>
          <w:rFonts w:ascii="Arial" w:cs="Arial" w:eastAsia="Arial" w:hAnsi="Arial"/>
          <w:sz w:val="22"/>
          <w:szCs w:val="22"/>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Adjustment</w:t>
      </w:r>
      <w:r>
        <w:rPr>
          <w:rFonts w:ascii="Arial" w:cs="Arial" w:eastAsia="Arial" w:hAnsi="Arial"/>
          <w:sz w:val="22"/>
          <w:szCs w:val="22"/>
          <w:color w:val="auto"/>
        </w:rPr>
        <w:t xml:space="preserve">”: the meaning set forth in Section </w:t>
      </w:r>
      <w:r>
        <w:rPr>
          <w:rFonts w:ascii="Arial" w:cs="Arial" w:eastAsia="Arial" w:hAnsi="Arial"/>
          <w:sz w:val="22"/>
          <w:szCs w:val="22"/>
          <w:u w:val="single" w:color="auto"/>
          <w:color w:val="auto"/>
        </w:rPr>
        <w:t>2.25(b)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9.20</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Measurement Period</w:t>
      </w:r>
      <w:r>
        <w:rPr>
          <w:rFonts w:ascii="Arial" w:cs="Arial" w:eastAsia="Arial" w:hAnsi="Arial"/>
          <w:sz w:val="22"/>
          <w:szCs w:val="22"/>
          <w:color w:val="auto"/>
        </w:rPr>
        <w:t>”: at any date of determination, the most recently completed four fiscal quarters of the Borrower for which financial statements have been filed with the SEC.</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 and any successor to its rating agency business.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a Plan that is a multiemployer plan as defined in Section 4001(a)(3) of ERISA.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Non-Excluded Taxes</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2.16(a)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the collective reference to any promissory note evidencing Term Loans.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the Federal Reserve Bank of New York.</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 Rate</w:t>
      </w:r>
      <w:r>
        <w:rPr>
          <w:rFonts w:ascii="Arial" w:cs="Arial" w:eastAsia="Arial" w:hAnsi="Arial"/>
          <w:sz w:val="22"/>
          <w:szCs w:val="22"/>
          <w:color w:val="auto"/>
        </w:rPr>
        <w:t xml:space="preserve">”: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22"/>
          <w:szCs w:val="22"/>
          <w:u w:val="single" w:color="auto"/>
          <w:color w:val="auto"/>
        </w:rPr>
        <w:t>provided, further</w:t>
      </w:r>
      <w:r>
        <w:rPr>
          <w:rFonts w:ascii="Arial" w:cs="Arial" w:eastAsia="Arial" w:hAnsi="Arial"/>
          <w:sz w:val="22"/>
          <w:szCs w:val="22"/>
          <w:color w:val="auto"/>
        </w:rPr>
        <w:t>, that if any of the aforesaid rates as so determined would be less than zero, such rate shall be deemed to be zero for purposes of this Agreement.</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the Term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w:t>
      </w:r>
    </w:p>
    <w:p>
      <w:pPr>
        <w:sectPr>
          <w:pgSz w:w="11900" w:h="16838" w:orient="portrait"/>
          <w:cols w:equalWidth="0" w:num="1">
            <w:col w:w="11240"/>
          </w:cols>
          <w:pgMar w:left="320" w:top="1413" w:right="339" w:bottom="1440" w:gutter="0" w:footer="0" w:header="0"/>
        </w:sectPr>
      </w:pPr>
    </w:p>
    <w:bookmarkStart w:id="229" w:name="page230"/>
    <w:bookmarkEnd w:id="229"/>
    <w:p>
      <w:pPr>
        <w:jc w:val="both"/>
        <w:spacing w:after="0" w:line="238" w:lineRule="auto"/>
        <w:rPr>
          <w:sz w:val="20"/>
          <w:szCs w:val="20"/>
          <w:color w:val="auto"/>
        </w:rPr>
      </w:pPr>
      <w:r>
        <w:rPr>
          <w:rFonts w:ascii="Arial" w:cs="Arial" w:eastAsia="Arial" w:hAnsi="Arial"/>
          <w:sz w:val="22"/>
          <w:szCs w:val="22"/>
          <w:color w:val="auto"/>
        </w:rPr>
        <w:t>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xml:space="preserve">”: for any day, the rate comprised of both overnight federal funds and overnight </w:t>
      </w:r>
      <w:r>
        <w:rPr>
          <w:rFonts w:ascii="Arial" w:cs="Arial" w:eastAsia="Arial" w:hAnsi="Arial"/>
          <w:sz w:val="22"/>
          <w:szCs w:val="22"/>
          <w:color w:val="FF0000"/>
          <w:strike w:val="1"/>
        </w:rPr>
        <w:t>E</w:t>
      </w:r>
      <w:r>
        <w:rPr>
          <w:rFonts w:ascii="Arial" w:cs="Arial" w:eastAsia="Arial" w:hAnsi="Arial"/>
          <w:sz w:val="22"/>
          <w:szCs w:val="22"/>
          <w:u w:val="single" w:color="auto"/>
          <w:color w:val="0000FF"/>
        </w:rPr>
        <w:t>e</w:t>
      </w:r>
      <w:r>
        <w:rPr>
          <w:rFonts w:ascii="Arial" w:cs="Arial" w:eastAsia="Arial" w:hAnsi="Arial"/>
          <w:sz w:val="22"/>
          <w:szCs w:val="22"/>
          <w:color w:val="000000"/>
        </w:rPr>
        <w:t>urodollar borrowings by U.S.-managed banking offices of depository institutions, as such composite rate shall be</w:t>
      </w:r>
      <w:r>
        <w:rPr>
          <w:rFonts w:ascii="Arial" w:cs="Arial" w:eastAsia="Arial" w:hAnsi="Arial"/>
          <w:sz w:val="22"/>
          <w:szCs w:val="22"/>
          <w:color w:val="FF0000"/>
        </w:rPr>
        <w:t xml:space="preserve"> </w:t>
      </w:r>
      <w:r>
        <w:rPr>
          <w:rFonts w:ascii="Arial" w:cs="Arial" w:eastAsia="Arial" w:hAnsi="Arial"/>
          <w:sz w:val="22"/>
          <w:szCs w:val="22"/>
          <w:color w:val="000000"/>
        </w:rPr>
        <w:t>determined by the NYFRB as set forth on its public website from time to time, and published on the next succeeding Business Day by the NYFRB as an overnight bank funding rate.</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Partially Successful Completion Threshold</w:t>
      </w:r>
      <w:r>
        <w:rPr>
          <w:rFonts w:ascii="Arial" w:cs="Arial" w:eastAsia="Arial" w:hAnsi="Arial"/>
          <w:sz w:val="22"/>
          <w:szCs w:val="22"/>
          <w:color w:val="auto"/>
        </w:rPr>
        <w:t>”: with respect to each calendar year, the number or percentage set forth in Schedule 1.3 (Sustainability Performance Thresholds) in the row labeled “Partially Successful Completion Threshold” for the applicable Key Performance Indicator for the applicable calendar year.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9.6(c)</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9.6(c)(ii)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 License</w:t>
      </w:r>
      <w:r>
        <w:rPr>
          <w:rFonts w:ascii="Arial" w:cs="Arial" w:eastAsia="Arial" w:hAnsi="Arial"/>
          <w:sz w:val="22"/>
          <w:szCs w:val="22"/>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Patriot Act</w:t>
      </w:r>
      <w:r>
        <w:rPr>
          <w:rFonts w:ascii="Arial" w:cs="Arial" w:eastAsia="Arial" w:hAnsi="Arial"/>
          <w:sz w:val="21"/>
          <w:szCs w:val="21"/>
          <w:color w:val="auto"/>
        </w:rPr>
        <w:t>”: the USA Patriot Act, Title III of Pub. L. 107-56, signed into law on October 26, 2001, as amended.</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8.11(b)</w:t>
      </w:r>
      <w:r>
        <w:rPr>
          <w:rFonts w:ascii="Arial" w:cs="Arial" w:eastAsia="Arial" w:hAnsi="Arial"/>
          <w:sz w:val="22"/>
          <w:szCs w:val="22"/>
          <w:color w:val="auto"/>
        </w:rPr>
        <w:t>.</w:t>
      </w:r>
    </w:p>
    <w:p>
      <w:pPr>
        <w:sectPr>
          <w:pgSz w:w="11900" w:h="16838" w:orient="portrait"/>
          <w:cols w:equalWidth="0" w:num="1">
            <w:col w:w="11240"/>
          </w:cols>
          <w:pgMar w:left="320" w:top="1413" w:right="339" w:bottom="1440" w:gutter="0" w:footer="0" w:header="0"/>
        </w:sectPr>
      </w:pPr>
    </w:p>
    <w:bookmarkStart w:id="230" w:name="page231"/>
    <w:bookmarkEnd w:id="23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the meaning assigned to it in </w:t>
      </w:r>
      <w:r>
        <w:rPr>
          <w:rFonts w:ascii="Arial" w:cs="Arial" w:eastAsia="Arial" w:hAnsi="Arial"/>
          <w:sz w:val="22"/>
          <w:szCs w:val="22"/>
          <w:u w:val="single" w:color="auto"/>
          <w:color w:val="auto"/>
        </w:rPr>
        <w:t>Section 8.11(a)</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the Pension Benefit Guaranty Corporation established pursuant to Subtitle A of Title IV of ERISA (or any successor).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“Periodic Term SOFR Determination Day”: the meaning specified in the definition of “Term SOFR”.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w:t>
      </w:r>
    </w:p>
    <w:p>
      <w:pPr>
        <w:spacing w:after="0" w:line="206" w:lineRule="exact"/>
        <w:rPr>
          <w:sz w:val="20"/>
          <w:szCs w:val="20"/>
          <w:color w:val="auto"/>
        </w:rPr>
      </w:pPr>
    </w:p>
    <w:p>
      <w:pPr>
        <w:ind w:left="660" w:firstLine="644"/>
        <w:spacing w:after="0" w:line="239" w:lineRule="auto"/>
        <w:tabs>
          <w:tab w:leader="none" w:pos="1846"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Liens existing as of the Closing Date or arising thereafter pursuant to related agreements existing as of the Closing Date;</w:t>
      </w:r>
    </w:p>
    <w:p>
      <w:pPr>
        <w:spacing w:after="0" w:line="184" w:lineRule="exact"/>
        <w:rPr>
          <w:rFonts w:ascii="Arial" w:cs="Arial" w:eastAsia="Arial" w:hAnsi="Arial"/>
          <w:sz w:val="22"/>
          <w:szCs w:val="22"/>
          <w:color w:val="010000"/>
        </w:rPr>
      </w:pPr>
    </w:p>
    <w:p>
      <w:pPr>
        <w:jc w:val="both"/>
        <w:ind w:left="660" w:firstLine="644"/>
        <w:spacing w:after="0" w:line="232" w:lineRule="auto"/>
        <w:tabs>
          <w:tab w:leader="none" w:pos="1830"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 or repaired and any improvements then or thereafter placed thereon and the capital stock of any Person formed to acquire such property, and any proceeds thereof, accessions thereto and insurance proceeds thereof;</w:t>
      </w:r>
    </w:p>
    <w:p>
      <w:pPr>
        <w:spacing w:after="0" w:line="185" w:lineRule="exact"/>
        <w:rPr>
          <w:rFonts w:ascii="Arial" w:cs="Arial" w:eastAsia="Arial" w:hAnsi="Arial"/>
          <w:sz w:val="22"/>
          <w:szCs w:val="22"/>
          <w:color w:val="010000"/>
        </w:rPr>
      </w:pPr>
    </w:p>
    <w:p>
      <w:pPr>
        <w:jc w:val="both"/>
        <w:ind w:left="660" w:firstLine="644"/>
        <w:spacing w:after="0" w:line="234" w:lineRule="auto"/>
        <w:tabs>
          <w:tab w:leader="none" w:pos="194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do not extend to other assets of the Borrower or its other Restricted Subsidiaries;</w:t>
      </w:r>
    </w:p>
    <w:p>
      <w:pPr>
        <w:spacing w:after="0" w:line="190" w:lineRule="exact"/>
        <w:rPr>
          <w:rFonts w:ascii="Arial" w:cs="Arial" w:eastAsia="Arial" w:hAnsi="Arial"/>
          <w:sz w:val="22"/>
          <w:szCs w:val="22"/>
          <w:color w:val="auto"/>
        </w:rPr>
      </w:pPr>
    </w:p>
    <w:p>
      <w:pPr>
        <w:jc w:val="both"/>
        <w:ind w:left="660" w:firstLine="644"/>
        <w:spacing w:after="0" w:line="233" w:lineRule="auto"/>
        <w:tabs>
          <w:tab w:leader="none" w:pos="1917" w:val="left"/>
        </w:tabs>
        <w:numPr>
          <w:ilvl w:val="0"/>
          <w:numId w:val="175"/>
        </w:numPr>
        <w:rPr>
          <w:rFonts w:ascii="Arial" w:cs="Arial" w:eastAsia="Arial" w:hAnsi="Arial"/>
          <w:sz w:val="22"/>
          <w:szCs w:val="22"/>
          <w:color w:val="010000"/>
        </w:rPr>
      </w:pPr>
      <w:r>
        <w:rPr>
          <w:rFonts w:ascii="Arial" w:cs="Arial" w:eastAsia="Arial" w:hAnsi="Arial"/>
          <w:sz w:val="22"/>
          <w:szCs w:val="22"/>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ectPr>
          <w:pgSz w:w="11900" w:h="16838" w:orient="portrait"/>
          <w:cols w:equalWidth="0" w:num="1">
            <w:col w:w="11240"/>
          </w:cols>
          <w:pgMar w:left="320" w:top="1413" w:right="339" w:bottom="1440" w:gutter="0" w:footer="0" w:header="0"/>
        </w:sectPr>
      </w:pPr>
    </w:p>
    <w:bookmarkStart w:id="231" w:name="page232"/>
    <w:bookmarkEnd w:id="231"/>
    <w:p>
      <w:pPr>
        <w:spacing w:after="0" w:line="251" w:lineRule="auto"/>
        <w:rPr>
          <w:sz w:val="20"/>
          <w:szCs w:val="20"/>
          <w:color w:val="auto"/>
        </w:rPr>
      </w:pPr>
      <w:r>
        <w:rPr>
          <w:rFonts w:ascii="Arial" w:cs="Arial" w:eastAsia="Arial" w:hAnsi="Arial"/>
          <w:sz w:val="22"/>
          <w:szCs w:val="22"/>
          <w:color w:val="auto"/>
        </w:rPr>
        <w:t>in the case of each of the preceding clauses (a) and (b), such Liens do not extend to other assets of the Borrower or its other Restricted Subsidiaries;</w:t>
      </w:r>
    </w:p>
    <w:p>
      <w:pPr>
        <w:spacing w:after="0" w:line="173" w:lineRule="exact"/>
        <w:rPr>
          <w:sz w:val="20"/>
          <w:szCs w:val="20"/>
          <w:color w:val="auto"/>
        </w:rPr>
      </w:pPr>
    </w:p>
    <w:p>
      <w:pPr>
        <w:jc w:val="both"/>
        <w:ind w:firstLine="644"/>
        <w:spacing w:after="0" w:line="238" w:lineRule="auto"/>
        <w:tabs>
          <w:tab w:leader="none" w:pos="1221"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71" w:lineRule="exact"/>
        <w:rPr>
          <w:rFonts w:ascii="Arial" w:cs="Arial" w:eastAsia="Arial" w:hAnsi="Arial"/>
          <w:sz w:val="22"/>
          <w:szCs w:val="22"/>
          <w:color w:val="010000"/>
        </w:rPr>
      </w:pPr>
    </w:p>
    <w:p>
      <w:pPr>
        <w:ind w:left="1140" w:hanging="496"/>
        <w:spacing w:after="0"/>
        <w:tabs>
          <w:tab w:leader="none" w:pos="1140"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in favor of the Borrower or a Restricted Subsidiary of the Borrower;</w:t>
      </w:r>
    </w:p>
    <w:p>
      <w:pPr>
        <w:spacing w:after="0" w:line="206" w:lineRule="exact"/>
        <w:rPr>
          <w:rFonts w:ascii="Arial" w:cs="Arial" w:eastAsia="Arial" w:hAnsi="Arial"/>
          <w:sz w:val="22"/>
          <w:szCs w:val="22"/>
          <w:color w:val="010000"/>
        </w:rPr>
      </w:pPr>
    </w:p>
    <w:p>
      <w:pPr>
        <w:jc w:val="both"/>
        <w:ind w:firstLine="644"/>
        <w:spacing w:after="0" w:line="236" w:lineRule="auto"/>
        <w:tabs>
          <w:tab w:leader="none" w:pos="1187"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7" w:lineRule="exact"/>
        <w:rPr>
          <w:rFonts w:ascii="Arial" w:cs="Arial" w:eastAsia="Arial" w:hAnsi="Arial"/>
          <w:sz w:val="22"/>
          <w:szCs w:val="22"/>
          <w:color w:val="010000"/>
        </w:rPr>
      </w:pPr>
    </w:p>
    <w:p>
      <w:pPr>
        <w:jc w:val="both"/>
        <w:ind w:firstLine="644"/>
        <w:spacing w:after="0" w:line="238" w:lineRule="auto"/>
        <w:tabs>
          <w:tab w:leader="none" w:pos="1184"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184" w:lineRule="exact"/>
        <w:rPr>
          <w:rFonts w:ascii="Arial" w:cs="Arial" w:eastAsia="Arial" w:hAnsi="Arial"/>
          <w:sz w:val="22"/>
          <w:szCs w:val="22"/>
          <w:color w:val="010000"/>
        </w:rPr>
      </w:pPr>
    </w:p>
    <w:p>
      <w:pPr>
        <w:jc w:val="both"/>
        <w:ind w:firstLine="644"/>
        <w:spacing w:after="0" w:line="244" w:lineRule="auto"/>
        <w:tabs>
          <w:tab w:leader="none" w:pos="1256" w:val="left"/>
        </w:tabs>
        <w:numPr>
          <w:ilvl w:val="0"/>
          <w:numId w:val="176"/>
        </w:numPr>
        <w:rPr>
          <w:rFonts w:ascii="Arial" w:cs="Arial" w:eastAsia="Arial" w:hAnsi="Arial"/>
          <w:sz w:val="21"/>
          <w:szCs w:val="21"/>
          <w:color w:val="010000"/>
        </w:rPr>
      </w:pPr>
      <w:r>
        <w:rPr>
          <w:rFonts w:ascii="Arial" w:cs="Arial" w:eastAsia="Arial" w:hAnsi="Arial"/>
          <w:sz w:val="21"/>
          <w:szCs w:val="21"/>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84" w:lineRule="exact"/>
        <w:rPr>
          <w:rFonts w:ascii="Arial" w:cs="Arial" w:eastAsia="Arial" w:hAnsi="Arial"/>
          <w:sz w:val="21"/>
          <w:szCs w:val="21"/>
          <w:color w:val="010000"/>
        </w:rPr>
      </w:pPr>
    </w:p>
    <w:p>
      <w:pPr>
        <w:jc w:val="both"/>
        <w:ind w:firstLine="644"/>
        <w:spacing w:after="0" w:line="238" w:lineRule="auto"/>
        <w:tabs>
          <w:tab w:leader="none" w:pos="1276"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71" w:lineRule="exact"/>
        <w:rPr>
          <w:rFonts w:ascii="Arial" w:cs="Arial" w:eastAsia="Arial" w:hAnsi="Arial"/>
          <w:sz w:val="22"/>
          <w:szCs w:val="22"/>
          <w:color w:val="010000"/>
        </w:rPr>
      </w:pPr>
    </w:p>
    <w:p>
      <w:pPr>
        <w:jc w:val="both"/>
        <w:ind w:firstLine="644"/>
        <w:spacing w:after="0" w:line="238" w:lineRule="auto"/>
        <w:tabs>
          <w:tab w:leader="none" w:pos="1352" w:val="left"/>
        </w:tabs>
        <w:numPr>
          <w:ilvl w:val="0"/>
          <w:numId w:val="176"/>
        </w:numPr>
        <w:rPr>
          <w:rFonts w:ascii="Arial" w:cs="Arial" w:eastAsia="Arial" w:hAnsi="Arial"/>
          <w:sz w:val="22"/>
          <w:szCs w:val="22"/>
          <w:color w:val="010000"/>
        </w:rPr>
      </w:pPr>
      <w:r>
        <w:rPr>
          <w:rFonts w:ascii="Arial" w:cs="Arial" w:eastAsia="Arial" w:hAnsi="Arial"/>
          <w:sz w:val="22"/>
          <w:szCs w:val="22"/>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ectPr>
          <w:pgSz w:w="11900" w:h="16838" w:orient="portrait"/>
          <w:cols w:equalWidth="0" w:num="1">
            <w:col w:w="10580"/>
          </w:cols>
          <w:pgMar w:left="980" w:top="1413" w:right="339" w:bottom="1440" w:gutter="0" w:footer="0" w:header="0"/>
        </w:sectPr>
      </w:pPr>
    </w:p>
    <w:bookmarkStart w:id="232" w:name="page233"/>
    <w:bookmarkEnd w:id="232"/>
    <w:p>
      <w:pPr>
        <w:jc w:val="both"/>
        <w:ind w:left="660" w:firstLine="644"/>
        <w:spacing w:after="0" w:line="241" w:lineRule="auto"/>
        <w:tabs>
          <w:tab w:leader="none" w:pos="1953"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2" w:lineRule="exact"/>
        <w:rPr>
          <w:rFonts w:ascii="Arial" w:cs="Arial" w:eastAsia="Arial" w:hAnsi="Arial"/>
          <w:sz w:val="22"/>
          <w:szCs w:val="22"/>
          <w:color w:val="010000"/>
        </w:rPr>
      </w:pPr>
    </w:p>
    <w:p>
      <w:pPr>
        <w:ind w:left="660" w:firstLine="644"/>
        <w:spacing w:after="0" w:line="251" w:lineRule="auto"/>
        <w:tabs>
          <w:tab w:leader="none" w:pos="2009"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Liens on, and consisting of, deposits made by the Borrower to discharge or defease any other Indebtedness;</w:t>
      </w:r>
    </w:p>
    <w:p>
      <w:pPr>
        <w:spacing w:after="0" w:line="172" w:lineRule="exact"/>
        <w:rPr>
          <w:rFonts w:ascii="Arial" w:cs="Arial" w:eastAsia="Arial" w:hAnsi="Arial"/>
          <w:sz w:val="22"/>
          <w:szCs w:val="22"/>
          <w:color w:val="010000"/>
        </w:rPr>
      </w:pPr>
    </w:p>
    <w:p>
      <w:pPr>
        <w:jc w:val="both"/>
        <w:ind w:left="660" w:firstLine="644"/>
        <w:spacing w:after="0" w:line="236" w:lineRule="auto"/>
        <w:tabs>
          <w:tab w:leader="none" w:pos="1955"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85" w:lineRule="exact"/>
        <w:rPr>
          <w:rFonts w:ascii="Arial" w:cs="Arial" w:eastAsia="Arial" w:hAnsi="Arial"/>
          <w:sz w:val="22"/>
          <w:szCs w:val="22"/>
          <w:color w:val="010000"/>
        </w:rPr>
      </w:pPr>
    </w:p>
    <w:p>
      <w:pPr>
        <w:jc w:val="both"/>
        <w:ind w:left="660" w:firstLine="644"/>
        <w:spacing w:after="0" w:line="241" w:lineRule="auto"/>
        <w:tabs>
          <w:tab w:leader="none" w:pos="1945"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82" w:lineRule="exact"/>
        <w:rPr>
          <w:rFonts w:ascii="Arial" w:cs="Arial" w:eastAsia="Arial" w:hAnsi="Arial"/>
          <w:sz w:val="22"/>
          <w:szCs w:val="22"/>
          <w:color w:val="010000"/>
        </w:rPr>
      </w:pPr>
    </w:p>
    <w:p>
      <w:pPr>
        <w:jc w:val="both"/>
        <w:ind w:left="660" w:firstLine="644"/>
        <w:spacing w:after="0" w:line="241" w:lineRule="auto"/>
        <w:tabs>
          <w:tab w:leader="none" w:pos="1965"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182" w:lineRule="exact"/>
        <w:rPr>
          <w:rFonts w:ascii="Arial" w:cs="Arial" w:eastAsia="Arial" w:hAnsi="Arial"/>
          <w:sz w:val="22"/>
          <w:szCs w:val="22"/>
          <w:color w:val="010000"/>
        </w:rPr>
      </w:pPr>
    </w:p>
    <w:p>
      <w:pPr>
        <w:jc w:val="both"/>
        <w:ind w:left="660" w:firstLine="644"/>
        <w:spacing w:after="0" w:line="232" w:lineRule="auto"/>
        <w:tabs>
          <w:tab w:leader="none" w:pos="2182" w:val="left"/>
        </w:tabs>
        <w:numPr>
          <w:ilvl w:val="0"/>
          <w:numId w:val="177"/>
        </w:numPr>
        <w:rPr>
          <w:rFonts w:ascii="Arial" w:cs="Arial" w:eastAsia="Arial" w:hAnsi="Arial"/>
          <w:sz w:val="22"/>
          <w:szCs w:val="22"/>
          <w:color w:val="010000"/>
        </w:rPr>
      </w:pPr>
      <w:r>
        <w:rPr>
          <w:rFonts w:ascii="Arial" w:cs="Arial" w:eastAsia="Arial" w:hAnsi="Arial"/>
          <w:sz w:val="22"/>
          <w:szCs w:val="22"/>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17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 at a particular time, any employee benefit plan that is covered by ERISA and in respect of which the Borrower or a Commonly Controlled Entity is (or, if such plan</w:t>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51" w:lineRule="auto"/>
        <w:rPr>
          <w:sz w:val="20"/>
          <w:szCs w:val="20"/>
          <w:color w:val="auto"/>
        </w:rPr>
      </w:pPr>
      <w:r>
        <w:rPr>
          <w:rFonts w:ascii="Arial" w:cs="Arial" w:eastAsia="Arial" w:hAnsi="Arial"/>
          <w:sz w:val="22"/>
          <w:szCs w:val="22"/>
          <w:color w:val="auto"/>
        </w:rPr>
        <w:t>were terminated at such time, would under Section 4069 of ERISA be deemed to be) an “employer” as defined in Section 3(5) of ERISA.</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with respect to any Person, all of such Person’s interests in any kind of property, assets (including the capital stock in and other securities of any other Person) or revenues.</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a prohibited transaction class exemption issued by the U.S. Department of Labor, as any such exemption may be amended from time to time.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9.15</w:t>
      </w:r>
      <w:r>
        <w:rPr>
          <w:rFonts w:ascii="Arial" w:cs="Arial" w:eastAsia="Arial" w:hAnsi="Arial"/>
          <w:sz w:val="22"/>
          <w:szCs w:val="22"/>
          <w:color w:val="auto"/>
        </w:rPr>
        <w:t>.</w:t>
      </w:r>
    </w:p>
    <w:p>
      <w:pPr>
        <w:spacing w:after="0" w:line="19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Acquisition</w:t>
      </w:r>
      <w:r>
        <w:rPr>
          <w:rFonts w:ascii="Arial" w:cs="Arial" w:eastAsia="Arial" w:hAnsi="Arial"/>
          <w:sz w:val="22"/>
          <w:szCs w:val="22"/>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 (x) the Total Leverage Ratio immediately prior to such Qualified Acquisition and (y) the Total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Agencies</w:t>
      </w:r>
      <w:r>
        <w:rPr>
          <w:rFonts w:ascii="Arial" w:cs="Arial" w:eastAsia="Arial" w:hAnsi="Arial"/>
          <w:sz w:val="22"/>
          <w:szCs w:val="22"/>
          <w:color w:val="auto"/>
        </w:rPr>
        <w:t>”: each of Moody’s, S&amp;P and Fitch.</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w:t>
      </w:r>
      <w:r>
        <w:rPr>
          <w:rFonts w:ascii="Arial" w:cs="Arial" w:eastAsia="Arial" w:hAnsi="Arial"/>
          <w:sz w:val="22"/>
          <w:szCs w:val="22"/>
          <w:color w:val="auto"/>
        </w:rPr>
        <w:t>”: a Key Performance Indicator measured by RBA Audit Score Average.</w:t>
      </w:r>
    </w:p>
    <w:p>
      <w:pPr>
        <w:sectPr>
          <w:pgSz w:w="11900" w:h="16838" w:orient="portrait"/>
          <w:cols w:equalWidth="0" w:num="1">
            <w:col w:w="11240"/>
          </w:cols>
          <w:pgMar w:left="320" w:top="1413" w:right="339" w:bottom="1440" w:gutter="0" w:footer="0" w:header="0"/>
        </w:sectPr>
      </w:pPr>
    </w:p>
    <w:bookmarkStart w:id="234" w:name="page235"/>
    <w:bookmarkEnd w:id="234"/>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 Average</w:t>
      </w:r>
      <w:r>
        <w:rPr>
          <w:rFonts w:ascii="Arial" w:cs="Arial" w:eastAsia="Arial" w:hAnsi="Arial"/>
          <w:sz w:val="22"/>
          <w:szCs w:val="22"/>
          <w:color w:val="auto"/>
        </w:rPr>
        <w:t>”: the average of the Responsible Business Alliance (RBA) Validated Assessment Program (VAP) audit scores received by the manufacturing locations of the Borrower and its Subsidiaries at the applicable calendar year end.</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RBA Audit Score Average Applicable Margin Adjustment Amount</w:t>
      </w:r>
      <w:r>
        <w:rPr>
          <w:rFonts w:ascii="Arial" w:cs="Arial" w:eastAsia="Arial" w:hAnsi="Arial"/>
          <w:sz w:val="22"/>
          <w:szCs w:val="22"/>
          <w:color w:val="auto"/>
        </w:rPr>
        <w:t>”: with respect to RBA Audit Score for any calendar year, (a) positive 1.67 basis points if the RBA Audit Score Average as set forth in the Sustainability Pricing Certificate is less than the Partially Successful Completion Threshold for such calendar year, (b) zero basis points if the RBA Audit Score Average as set forth in the Sustainability Pricing Certificate is less than the Successful Completion Threshold and is greater than or equal to the Partially Successful Completion Threshold for such calendar year; and (c) negative 1.67 basis points if the RBA Audit Score Average as set forth in the Sustainability Pricing Certificate is equal to or greater than the Successful Completion Threshold for such calendar year.</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Reference Time</w:t>
      </w:r>
      <w:r>
        <w:rPr>
          <w:rFonts w:ascii="Arial" w:cs="Arial" w:eastAsia="Arial" w:hAnsi="Arial"/>
          <w:sz w:val="22"/>
          <w:szCs w:val="22"/>
          <w:color w:val="auto"/>
        </w:rPr>
        <w:t xml:space="preserve">” with respect to any setting of the then-current Benchmark means (1) if such Benchmark is </w:t>
      </w:r>
      <w:r>
        <w:rPr>
          <w:rFonts w:ascii="Arial" w:cs="Arial" w:eastAsia="Arial" w:hAnsi="Arial"/>
          <w:sz w:val="22"/>
          <w:szCs w:val="22"/>
          <w:color w:val="FF0000"/>
          <w:strike w:val="1"/>
        </w:rPr>
        <w:t>LIBOR, 11:00 a.m. (London</w:t>
      </w:r>
      <w:r>
        <w:rPr>
          <w:rFonts w:ascii="Arial" w:cs="Arial" w:eastAsia="Arial" w:hAnsi="Arial"/>
          <w:sz w:val="22"/>
          <w:szCs w:val="22"/>
          <w:u w:val="single" w:color="auto"/>
          <w:color w:val="0000FF"/>
        </w:rPr>
        <w:t>the Term SOFR Reference Rate, 5:00 p.m. (Eastern</w:t>
      </w:r>
      <w:r>
        <w:rPr>
          <w:rFonts w:ascii="Arial" w:cs="Arial" w:eastAsia="Arial" w:hAnsi="Arial"/>
          <w:sz w:val="22"/>
          <w:szCs w:val="22"/>
          <w:color w:val="FF0000"/>
        </w:rPr>
        <w:t xml:space="preserve"> </w:t>
      </w:r>
      <w:r>
        <w:rPr>
          <w:rFonts w:ascii="Arial" w:cs="Arial" w:eastAsia="Arial" w:hAnsi="Arial"/>
          <w:sz w:val="22"/>
          <w:szCs w:val="22"/>
          <w:color w:val="000000"/>
        </w:rPr>
        <w:t>time) on the day that is two</w:t>
      </w:r>
      <w:r>
        <w:rPr>
          <w:rFonts w:ascii="Arial" w:cs="Arial" w:eastAsia="Arial" w:hAnsi="Arial"/>
          <w:sz w:val="22"/>
          <w:szCs w:val="22"/>
          <w:color w:val="FF0000"/>
        </w:rPr>
        <w:t xml:space="preserve"> </w:t>
      </w:r>
      <w:r>
        <w:rPr>
          <w:rFonts w:ascii="Arial" w:cs="Arial" w:eastAsia="Arial" w:hAnsi="Arial"/>
          <w:sz w:val="22"/>
          <w:szCs w:val="22"/>
          <w:color w:val="FF0000"/>
          <w:strike w:val="1"/>
        </w:rPr>
        <w:t>London</w:t>
      </w:r>
      <w:r>
        <w:rPr>
          <w:rFonts w:ascii="Arial" w:cs="Arial" w:eastAsia="Arial" w:hAnsi="Arial"/>
          <w:sz w:val="22"/>
          <w:szCs w:val="22"/>
          <w:color w:val="FF0000"/>
        </w:rPr>
        <w:t xml:space="preserve"> </w:t>
      </w:r>
      <w:r>
        <w:rPr>
          <w:rFonts w:ascii="Arial" w:cs="Arial" w:eastAsia="Arial" w:hAnsi="Arial"/>
          <w:sz w:val="22"/>
          <w:szCs w:val="22"/>
          <w:color w:val="FF0000"/>
          <w:strike w:val="1"/>
        </w:rPr>
        <w:t>banking</w:t>
      </w:r>
      <w:r>
        <w:rPr>
          <w:rFonts w:ascii="Arial" w:cs="Arial" w:eastAsia="Arial" w:hAnsi="Arial"/>
          <w:sz w:val="22"/>
          <w:szCs w:val="22"/>
          <w:u w:val="single" w:color="auto"/>
          <w:color w:val="0000FF"/>
        </w:rPr>
        <w:t>U.S. Government Securities Business</w:t>
      </w:r>
      <w:r>
        <w:rPr>
          <w:rFonts w:ascii="Arial" w:cs="Arial" w:eastAsia="Arial" w:hAnsi="Arial"/>
          <w:sz w:val="22"/>
          <w:szCs w:val="22"/>
          <w:color w:val="FF0000"/>
        </w:rPr>
        <w:t xml:space="preserve"> </w:t>
      </w:r>
      <w:r>
        <w:rPr>
          <w:rFonts w:ascii="Arial" w:cs="Arial" w:eastAsia="Arial" w:hAnsi="Arial"/>
          <w:sz w:val="22"/>
          <w:szCs w:val="22"/>
          <w:color w:val="FF0000"/>
          <w:strike w:val="1"/>
        </w:rPr>
        <w:t>d</w:t>
      </w:r>
      <w:r>
        <w:rPr>
          <w:rFonts w:ascii="Arial" w:cs="Arial" w:eastAsia="Arial" w:hAnsi="Arial"/>
          <w:sz w:val="22"/>
          <w:szCs w:val="22"/>
          <w:u w:val="single" w:color="auto"/>
          <w:color w:val="0000FF"/>
        </w:rPr>
        <w:t>D</w:t>
      </w:r>
      <w:r>
        <w:rPr>
          <w:rFonts w:ascii="Arial" w:cs="Arial" w:eastAsia="Arial" w:hAnsi="Arial"/>
          <w:sz w:val="22"/>
          <w:szCs w:val="22"/>
          <w:color w:val="000000"/>
        </w:rPr>
        <w:t>ays preceding the date of such setting</w:t>
      </w:r>
      <w:r>
        <w:rPr>
          <w:rFonts w:ascii="Arial" w:cs="Arial" w:eastAsia="Arial" w:hAnsi="Arial"/>
          <w:sz w:val="22"/>
          <w:szCs w:val="22"/>
          <w:color w:val="FF0000"/>
          <w:strike w:val="1"/>
        </w:rPr>
        <w:t>, and</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or</w:t>
      </w:r>
      <w:r>
        <w:rPr>
          <w:rFonts w:ascii="Arial" w:cs="Arial" w:eastAsia="Arial" w:hAnsi="Arial"/>
          <w:sz w:val="22"/>
          <w:szCs w:val="22"/>
          <w:color w:val="FF0000"/>
        </w:rPr>
        <w:t xml:space="preserve"> </w:t>
      </w:r>
      <w:r>
        <w:rPr>
          <w:rFonts w:ascii="Arial" w:cs="Arial" w:eastAsia="Arial" w:hAnsi="Arial"/>
          <w:sz w:val="22"/>
          <w:szCs w:val="22"/>
          <w:color w:val="000000"/>
        </w:rPr>
        <w:t>(2) if such</w:t>
      </w:r>
      <w:r>
        <w:rPr>
          <w:rFonts w:ascii="Arial" w:cs="Arial" w:eastAsia="Arial" w:hAnsi="Arial"/>
          <w:sz w:val="22"/>
          <w:szCs w:val="22"/>
          <w:color w:val="FF0000"/>
        </w:rPr>
        <w:t xml:space="preserve"> </w:t>
      </w:r>
      <w:r>
        <w:rPr>
          <w:rFonts w:ascii="Arial" w:cs="Arial" w:eastAsia="Arial" w:hAnsi="Arial"/>
          <w:sz w:val="22"/>
          <w:szCs w:val="22"/>
          <w:color w:val="000000"/>
        </w:rPr>
        <w:t xml:space="preserve">Benchmark is not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the Term SOFR Reference Rate</w:t>
      </w:r>
      <w:r>
        <w:rPr>
          <w:rFonts w:ascii="Arial" w:cs="Arial" w:eastAsia="Arial" w:hAnsi="Arial"/>
          <w:sz w:val="22"/>
          <w:szCs w:val="22"/>
          <w:color w:val="000000"/>
        </w:rPr>
        <w:t>, the time determined by the Administrative Agent in its reasonable discretion.</w:t>
      </w:r>
    </w:p>
    <w:p>
      <w:pPr>
        <w:spacing w:after="0" w:line="18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w:t>
      </w:r>
      <w:r>
        <w:rPr>
          <w:rFonts w:ascii="Arial" w:cs="Arial" w:eastAsia="Arial" w:hAnsi="Arial"/>
          <w:sz w:val="22"/>
          <w:szCs w:val="22"/>
          <w:color w:val="auto"/>
        </w:rPr>
        <w:t>” shall mean the repayment, repurchase, redemption, defeasance or other discharge of the Existing Credit Agreement and the termination and release of any security interests and guarantees in connection therewith.</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Regulatory Change</w:t>
      </w:r>
      <w:r>
        <w:rPr>
          <w:rFonts w:ascii="Arial" w:cs="Arial" w:eastAsia="Arial" w:hAnsi="Arial"/>
          <w:sz w:val="22"/>
          <w:szCs w:val="22"/>
          <w:color w:val="auto"/>
        </w:rPr>
        <w:t>” with respect to each calendar year and in relation to any Key Performance Indicator, a policy change, on which the Borrower and its Subsidiaries has no recourse or ability to act upon, which affects, significantly, whether positively and / or negatively, one or more of the KPI Metrics.</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the Federal Reserve Board or the Federal Reserve Bank of New York, or a committee officially endorsed or convened by the Federal Reserve Board or the Federal Reserve Bank of New York, or any successor thereto.</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9.6(b)(iv)</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Regulation U of the Board of Governors as in effect from time to time.</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Persons</w:t>
      </w:r>
      <w:r>
        <w:rPr>
          <w:rFonts w:ascii="Arial" w:cs="Arial" w:eastAsia="Arial" w:hAnsi="Arial"/>
          <w:sz w:val="22"/>
          <w:szCs w:val="22"/>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ectPr>
          <w:pgSz w:w="11900" w:h="16838" w:orient="portrait"/>
          <w:cols w:equalWidth="0" w:num="1">
            <w:col w:w="11240"/>
          </w:cols>
          <w:pgMar w:left="320" w:top="1413" w:right="339" w:bottom="1440" w:gutter="0" w:footer="0" w:header="0"/>
        </w:sectPr>
      </w:pPr>
    </w:p>
    <w:bookmarkStart w:id="235" w:name="page236"/>
    <w:bookmarkEnd w:id="235"/>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any of the events set forth in Section 4043(c) of ERISA, other than those events as to which the thirty (30) day notice period is waived under any regulation promulgated by the PBGC.</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Lenders</w:t>
      </w:r>
      <w:r>
        <w:rPr>
          <w:rFonts w:ascii="Arial" w:cs="Arial" w:eastAsia="Arial" w:hAnsi="Arial"/>
          <w:sz w:val="22"/>
          <w:szCs w:val="22"/>
          <w:color w:val="auto"/>
        </w:rPr>
        <w:t xml:space="preserve">”: at any time, Lenders holding more than 50% of the aggregate unpaid principal amount of the Term Loans then outstanding and unused Term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whenever there are one or more Defaulting Lenders, the total outstanding Term Loans and unused Term Commitments of each Defaulting Lender shall be excluded for purposes of making any determination of Required Lenders.</w:t>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an EEA Resolution Authority or, with respect to any UK Financial Institution, a UK Resolution Authority.</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xml:space="preserve"> ”: the chief executive officer, any president, any vice president, the chief financial officer, the treasurer, any assistant treasurer, the secretary or any assistant secretary of the Borrower.</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clause (i), any Voting Stock owned by a Subsidiary of the Borrower that is not a Restricted Subsidiary based on the foregoing clause shall be excluded.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Services, and any successor to its rating agency business.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at any time, a country, region or territory which is itself the subject or target of any Sanctions (at the time of this Agreement, Crimea, Cuba, Iran, North Korea and Syria).</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all economic or financial sanctions or trade embargoes imposed, administered or enforced from time to time by (a) the U.S. government, including those</w:t>
      </w:r>
    </w:p>
    <w:p>
      <w:pPr>
        <w:sectPr>
          <w:pgSz w:w="11900" w:h="16838" w:orient="portrait"/>
          <w:cols w:equalWidth="0" w:num="1">
            <w:col w:w="11240"/>
          </w:cols>
          <w:pgMar w:left="320" w:top="1413" w:right="339" w:bottom="1440" w:gutter="0" w:footer="0" w:header="0"/>
        </w:sectPr>
      </w:pPr>
    </w:p>
    <w:bookmarkStart w:id="236" w:name="page237"/>
    <w:bookmarkEnd w:id="236"/>
    <w:p>
      <w:pPr>
        <w:jc w:val="both"/>
        <w:spacing w:after="0" w:line="241" w:lineRule="auto"/>
        <w:rPr>
          <w:sz w:val="20"/>
          <w:szCs w:val="20"/>
          <w:color w:val="auto"/>
        </w:rPr>
      </w:pPr>
      <w:r>
        <w:rPr>
          <w:rFonts w:ascii="Arial" w:cs="Arial" w:eastAsia="Arial" w:hAnsi="Arial"/>
          <w:sz w:val="22"/>
          <w:szCs w:val="22"/>
          <w:color w:val="auto"/>
        </w:rPr>
        <w:t>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Scope 1 Emissions</w:t>
      </w:r>
      <w:r>
        <w:rPr>
          <w:rFonts w:ascii="Arial" w:cs="Arial" w:eastAsia="Arial" w:hAnsi="Arial"/>
          <w:sz w:val="22"/>
          <w:szCs w:val="22"/>
          <w:color w:val="auto"/>
        </w:rPr>
        <w:t xml:space="preserve"> ”: emissions represented in metric tons CO2e from the Borrower and its Subsidiaries’ direct operations, including the manufacturing process, onsite combustion and refrigeration and cooling, with such emissions data collected and calculated in alignment with the Greenhouse Gas Protocol: A Corporate Accounting and Reporting Standard (Revised Edition).</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Scope 2 Emissions</w:t>
      </w:r>
      <w:r>
        <w:rPr>
          <w:rFonts w:ascii="Arial" w:cs="Arial" w:eastAsia="Arial" w:hAnsi="Arial"/>
          <w:sz w:val="22"/>
          <w:szCs w:val="22"/>
          <w:color w:val="auto"/>
        </w:rPr>
        <w:t>”: emissions represented in metric tons CO2e from purchased electricity consumed by the Borrower and its Subsidiaries, with such emissions data collected and calculated in alignment with the Greenhouse Gas Protocol: A Corporate Accounting and Reporting Standard (Revised Edition).</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 any successor thereto and any analogous Governmental Authority.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the Securities Act of 1933, as amended, or any successor statute or statutes thereto.</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xml:space="preserve">”: any Subsidiary that is a “significant subsidiary” of the Borrower as defined under clauses (1) or (2) of Rule 1-02(w) of Regulation S-X under the Exchange 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references to “10 percent” in clauses (1) and (2) of such definition shall be replaced with “20 percent”.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any Plan that is covered by Title IV of ERISA, but that is not a Multiemployer Plan.</w:t>
      </w:r>
    </w:p>
    <w:p>
      <w:pPr>
        <w:spacing w:after="0" w:line="19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xml:space="preserve">”: </w:t>
      </w:r>
      <w:r>
        <w:rPr>
          <w:rFonts w:ascii="Arial" w:cs="Arial" w:eastAsia="Arial" w:hAnsi="Arial"/>
          <w:sz w:val="22"/>
          <w:szCs w:val="22"/>
          <w:color w:val="FF0000"/>
          <w:strike w:val="1"/>
        </w:rPr>
        <w:t>with respect to any Business Day,</w:t>
      </w:r>
      <w:r>
        <w:rPr>
          <w:rFonts w:ascii="Arial" w:cs="Arial" w:eastAsia="Arial" w:hAnsi="Arial"/>
          <w:sz w:val="22"/>
          <w:szCs w:val="22"/>
          <w:color w:val="auto"/>
        </w:rPr>
        <w:t xml:space="preserve"> a rate </w:t>
      </w:r>
      <w:r>
        <w:rPr>
          <w:rFonts w:ascii="Arial" w:cs="Arial" w:eastAsia="Arial" w:hAnsi="Arial"/>
          <w:sz w:val="22"/>
          <w:szCs w:val="22"/>
          <w:color w:val="FF0000"/>
          <w:strike w:val="1"/>
        </w:rPr>
        <w:t>per annum</w:t>
      </w:r>
      <w:r>
        <w:rPr>
          <w:rFonts w:ascii="Arial" w:cs="Arial" w:eastAsia="Arial" w:hAnsi="Arial"/>
          <w:sz w:val="22"/>
          <w:szCs w:val="22"/>
          <w:color w:val="auto"/>
        </w:rPr>
        <w:t xml:space="preserve"> equal to the secured overnight financing rate </w:t>
      </w:r>
      <w:r>
        <w:rPr>
          <w:rFonts w:ascii="Arial" w:cs="Arial" w:eastAsia="Arial" w:hAnsi="Arial"/>
          <w:sz w:val="22"/>
          <w:szCs w:val="22"/>
          <w:color w:val="FF0000"/>
          <w:strike w:val="1"/>
        </w:rPr>
        <w:t>for</w:t>
      </w:r>
      <w:r>
        <w:rPr>
          <w:rFonts w:ascii="Arial" w:cs="Arial" w:eastAsia="Arial" w:hAnsi="Arial"/>
          <w:sz w:val="22"/>
          <w:szCs w:val="22"/>
          <w:color w:val="auto"/>
        </w:rPr>
        <w:t xml:space="preserve"> </w:t>
      </w:r>
      <w:r>
        <w:rPr>
          <w:rFonts w:ascii="Arial" w:cs="Arial" w:eastAsia="Arial" w:hAnsi="Arial"/>
          <w:sz w:val="22"/>
          <w:szCs w:val="22"/>
          <w:color w:val="FF0000"/>
          <w:strike w:val="1"/>
        </w:rPr>
        <w:t>such Business Day published</w:t>
      </w:r>
      <w:r>
        <w:rPr>
          <w:rFonts w:ascii="Arial" w:cs="Arial" w:eastAsia="Arial" w:hAnsi="Arial"/>
          <w:sz w:val="22"/>
          <w:szCs w:val="22"/>
          <w:color w:val="FF0000"/>
        </w:rPr>
        <w:t xml:space="preserve"> </w:t>
      </w:r>
      <w:r>
        <w:rPr>
          <w:rFonts w:ascii="Arial" w:cs="Arial" w:eastAsia="Arial" w:hAnsi="Arial"/>
          <w:sz w:val="22"/>
          <w:szCs w:val="22"/>
          <w:u w:val="single" w:color="auto"/>
          <w:color w:val="0000FF"/>
        </w:rPr>
        <w:t>as administered</w:t>
      </w:r>
      <w:r>
        <w:rPr>
          <w:rFonts w:ascii="Arial" w:cs="Arial" w:eastAsia="Arial" w:hAnsi="Arial"/>
          <w:sz w:val="22"/>
          <w:szCs w:val="22"/>
          <w:color w:val="FF0000"/>
        </w:rPr>
        <w:t xml:space="preserve"> </w:t>
      </w:r>
      <w:r>
        <w:rPr>
          <w:rFonts w:ascii="Arial" w:cs="Arial" w:eastAsia="Arial" w:hAnsi="Arial"/>
          <w:sz w:val="22"/>
          <w:szCs w:val="22"/>
          <w:color w:val="000000"/>
        </w:rPr>
        <w:t>by the SOFR Administrator</w:t>
      </w:r>
      <w:r>
        <w:rPr>
          <w:rFonts w:ascii="Arial" w:cs="Arial" w:eastAsia="Arial" w:hAnsi="Arial"/>
          <w:sz w:val="22"/>
          <w:szCs w:val="22"/>
          <w:color w:val="FF0000"/>
        </w:rPr>
        <w:t xml:space="preserve"> on the SOFR Administrator’s Website at </w:t>
      </w:r>
      <w:r>
        <w:rPr>
          <w:rFonts w:ascii="Arial" w:cs="Arial" w:eastAsia="Arial" w:hAnsi="Arial"/>
          <w:sz w:val="22"/>
          <w:szCs w:val="22"/>
          <w:color w:val="FF0000"/>
          <w:strike w:val="1"/>
        </w:rPr>
        <w:t>approximately 8:00 a.m. (New York City time) on the immediately succeeding Business Day.</w:t>
      </w:r>
      <w:r>
        <w:rPr>
          <w:rFonts w:ascii="Arial" w:cs="Arial" w:eastAsia="Arial" w:hAnsi="Arial"/>
          <w:sz w:val="22"/>
          <w:szCs w:val="22"/>
          <w:u w:val="single" w:color="auto"/>
          <w:color w:val="0000FF"/>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4572000</wp:posOffset>
            </wp:positionH>
            <wp:positionV relativeFrom="paragraph">
              <wp:posOffset>-237490</wp:posOffset>
            </wp:positionV>
            <wp:extent cx="2565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the Federal Reserve Bank of New York (or a successor administrator of the secured overnight financing rate).</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FF0000"/>
          <w:strike w:val="1"/>
        </w:rPr>
        <w:t>“</w:t>
      </w:r>
      <w:r>
        <w:rPr>
          <w:rFonts w:ascii="Arial" w:cs="Arial" w:eastAsia="Arial" w:hAnsi="Arial"/>
          <w:sz w:val="22"/>
          <w:szCs w:val="22"/>
          <w:u w:val="single" w:color="auto"/>
          <w:color w:val="FF0000"/>
          <w:strike w:val="1"/>
        </w:rPr>
        <w:t>SOFR Administrator’s Website</w:t>
      </w:r>
      <w:r>
        <w:rPr>
          <w:rFonts w:ascii="Arial" w:cs="Arial" w:eastAsia="Arial" w:hAnsi="Arial"/>
          <w:sz w:val="22"/>
          <w:szCs w:val="22"/>
          <w:color w:val="FF0000"/>
          <w:strike w:val="1"/>
        </w:rPr>
        <w:t>”: the website of the Federal Reserve Bank of New York, currently at http://www.newyorkfed.org, or any successor source for the secured overnight financing rate identified as such by the SOFR Administrator from time to time.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“SOFR Loan</w:t>
      </w:r>
      <w:r>
        <w:rPr>
          <w:rFonts w:ascii="Arial" w:cs="Arial" w:eastAsia="Arial" w:hAnsi="Arial"/>
          <w:sz w:val="22"/>
          <w:szCs w:val="22"/>
          <w:u w:val="single" w:color="auto"/>
          <w:color w:val="008000"/>
        </w:rPr>
        <w:t>”: Term Loans the rate of interest applicable to which is based upon</w:t>
      </w:r>
      <w:r>
        <w:rPr>
          <w:rFonts w:ascii="Arial" w:cs="Arial" w:eastAsia="Arial" w:hAnsi="Arial"/>
          <w:sz w:val="22"/>
          <w:szCs w:val="22"/>
          <w:u w:val="single" w:color="auto"/>
          <w:color w:val="0000FF"/>
        </w:rPr>
        <w:t xml:space="preserve"> Adjusted Term SOFR.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 xml:space="preserve">“SOFR </w:t>
      </w:r>
      <w:r>
        <w:rPr>
          <w:rFonts w:ascii="Arial" w:cs="Arial" w:eastAsia="Arial" w:hAnsi="Arial"/>
          <w:sz w:val="22"/>
          <w:szCs w:val="22"/>
          <w:u w:val="single" w:color="auto"/>
          <w:color w:val="008000"/>
        </w:rPr>
        <w:t>Term Borrowing”: a Borrowing of Term Loans that are</w:t>
      </w:r>
      <w:r>
        <w:rPr>
          <w:rFonts w:ascii="Arial" w:cs="Arial" w:eastAsia="Arial" w:hAnsi="Arial"/>
          <w:sz w:val="22"/>
          <w:szCs w:val="22"/>
          <w:u w:val="single" w:color="auto"/>
          <w:color w:val="0000FF"/>
        </w:rPr>
        <w:t xml:space="preserve"> SOFR Loans.</w:t>
      </w:r>
    </w:p>
    <w:p>
      <w:pPr>
        <w:sectPr>
          <w:pgSz w:w="11900" w:h="16838" w:orient="portrait"/>
          <w:cols w:equalWidth="0" w:num="1">
            <w:col w:w="11240"/>
          </w:cols>
          <w:pgMar w:left="320" w:top="1413" w:right="339" w:bottom="1440" w:gutter="0" w:footer="0" w:header="0"/>
        </w:sectPr>
      </w:pPr>
    </w:p>
    <w:bookmarkStart w:id="237" w:name="page238"/>
    <w:bookmarkEnd w:id="237"/>
    <w:p>
      <w:pPr>
        <w:jc w:val="both"/>
        <w:ind w:firstLine="648"/>
        <w:spacing w:after="0" w:line="24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Solvent</w:t>
      </w:r>
      <w:r>
        <w:rPr>
          <w:rFonts w:ascii="Arial" w:cs="Arial" w:eastAsia="Arial" w:hAnsi="Arial"/>
          <w:sz w:val="21"/>
          <w:szCs w:val="21"/>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Fiscal Quarters</w:t>
      </w:r>
      <w:r>
        <w:rPr>
          <w:rFonts w:ascii="Arial" w:cs="Arial" w:eastAsia="Arial" w:hAnsi="Arial"/>
          <w:sz w:val="22"/>
          <w:szCs w:val="22"/>
          <w:color w:val="auto"/>
        </w:rPr>
        <w:t>”: the fiscal quarters of the Borrower ending August 31, 2023, November 30, 2023, February 29, 2024, May 30, 2024, and August 29, 2024.</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October 30, 2024.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with respect to any specified Person:</w:t>
      </w:r>
    </w:p>
    <w:p>
      <w:pPr>
        <w:spacing w:after="0" w:line="206" w:lineRule="exact"/>
        <w:rPr>
          <w:sz w:val="20"/>
          <w:szCs w:val="20"/>
          <w:color w:val="auto"/>
        </w:rPr>
      </w:pPr>
    </w:p>
    <w:p>
      <w:pPr>
        <w:jc w:val="both"/>
        <w:ind w:left="660" w:firstLine="644"/>
        <w:spacing w:after="0" w:line="235" w:lineRule="auto"/>
        <w:tabs>
          <w:tab w:leader="none" w:pos="1889"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7" w:lineRule="exact"/>
        <w:rPr>
          <w:rFonts w:ascii="Arial" w:cs="Arial" w:eastAsia="Arial" w:hAnsi="Arial"/>
          <w:sz w:val="22"/>
          <w:szCs w:val="22"/>
          <w:color w:val="010000"/>
        </w:rPr>
      </w:pPr>
    </w:p>
    <w:p>
      <w:pPr>
        <w:jc w:val="both"/>
        <w:ind w:left="660" w:firstLine="644"/>
        <w:spacing w:after="0" w:line="236" w:lineRule="auto"/>
        <w:tabs>
          <w:tab w:leader="none" w:pos="1927" w:val="left"/>
        </w:tabs>
        <w:numPr>
          <w:ilvl w:val="0"/>
          <w:numId w:val="178"/>
        </w:numPr>
        <w:rPr>
          <w:rFonts w:ascii="Arial" w:cs="Arial" w:eastAsia="Arial" w:hAnsi="Arial"/>
          <w:sz w:val="22"/>
          <w:szCs w:val="22"/>
          <w:color w:val="010000"/>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Guaranty</w:t>
      </w:r>
      <w:r>
        <w:rPr>
          <w:rFonts w:ascii="Arial" w:cs="Arial" w:eastAsia="Arial" w:hAnsi="Arial"/>
          <w:sz w:val="22"/>
          <w:szCs w:val="22"/>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Successful Completion Threshold</w:t>
      </w:r>
      <w:r>
        <w:rPr>
          <w:rFonts w:ascii="Arial" w:cs="Arial" w:eastAsia="Arial" w:hAnsi="Arial"/>
          <w:sz w:val="22"/>
          <w:szCs w:val="22"/>
          <w:color w:val="auto"/>
        </w:rPr>
        <w:t xml:space="preserve"> ” with respect to each calendar year, the number or percentage set forth in Schedule 1.3 (Sustainability Performance Thresholds)</w:t>
      </w:r>
    </w:p>
    <w:p>
      <w:pPr>
        <w:sectPr>
          <w:pgSz w:w="11900" w:h="16838" w:orient="portrait"/>
          <w:cols w:equalWidth="0" w:num="1">
            <w:col w:w="11240"/>
          </w:cols>
          <w:pgMar w:left="320" w:top="1413" w:right="339" w:bottom="1440" w:gutter="0" w:footer="0" w:header="0"/>
        </w:sectPr>
      </w:pPr>
    </w:p>
    <w:bookmarkStart w:id="238" w:name="page239"/>
    <w:bookmarkEnd w:id="238"/>
    <w:p>
      <w:pPr>
        <w:jc w:val="both"/>
        <w:spacing w:after="0" w:line="251" w:lineRule="auto"/>
        <w:rPr>
          <w:sz w:val="20"/>
          <w:szCs w:val="20"/>
          <w:color w:val="auto"/>
        </w:rPr>
      </w:pPr>
      <w:r>
        <w:rPr>
          <w:rFonts w:ascii="Arial" w:cs="Arial" w:eastAsia="Arial" w:hAnsi="Arial"/>
          <w:sz w:val="22"/>
          <w:szCs w:val="22"/>
          <w:color w:val="auto"/>
        </w:rPr>
        <w:t>in the row labeled “Successful Completion Threshold” for the applicable Key Performance Indicator for the applicable calendar year.</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Adjustment Date</w:t>
      </w:r>
      <w:r>
        <w:rPr>
          <w:rFonts w:ascii="Arial" w:cs="Arial" w:eastAsia="Arial" w:hAnsi="Arial"/>
          <w:sz w:val="22"/>
          <w:szCs w:val="22"/>
          <w:color w:val="auto"/>
        </w:rPr>
        <w:t>”: the date that is five Business Days following receipt from the Administrative Agent of the Sustainability Pricing Certificate in accordance with Section 5.2(d) for the applicable calendar year or the date that is 180 days after the end of the applicable calendar year if the Borrower fails to or elects not to deliver a Sustainability Pricing Certificate for such calendar year.</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Applicable Rate Adjustment</w:t>
      </w:r>
      <w:r>
        <w:rPr>
          <w:rFonts w:ascii="Arial" w:cs="Arial" w:eastAsia="Arial" w:hAnsi="Arial"/>
          <w:sz w:val="22"/>
          <w:szCs w:val="22"/>
          <w:color w:val="auto"/>
        </w:rPr>
        <w:t>”: at any date, the applicable rate per annum determined in accordance with the Sustainability Margin Adjustment.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Margin Adjustment</w:t>
      </w:r>
      <w:r>
        <w:rPr>
          <w:rFonts w:ascii="Arial" w:cs="Arial" w:eastAsia="Arial" w:hAnsi="Arial"/>
          <w:sz w:val="22"/>
          <w:szCs w:val="22"/>
          <w:color w:val="auto"/>
        </w:rPr>
        <w:t>”: with respect to any calendar year, an amount (whether positive, negative or zero), equal to the sum of (a) GHG Emissions Intensity Applicable Margin Adjustment Amount, plus (b) the RBA Audit Score Average Applicable Margin Adjustment Amount, plus (c) Waste Diversion Applicable Margin Adjustment Amount, in each case for such calendar year.</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Performance Thresholds</w:t>
      </w:r>
      <w:r>
        <w:rPr>
          <w:rFonts w:ascii="Arial" w:cs="Arial" w:eastAsia="Arial" w:hAnsi="Arial"/>
          <w:sz w:val="22"/>
          <w:szCs w:val="22"/>
          <w:color w:val="auto"/>
        </w:rPr>
        <w:t>”: the Borrower’s objectives to improve or maintain over a certain level the KPI Metric of each of the Key Performance Indicators as reflected in the Sustainability Pricing Certificate, and specified in Schedule 1.3 (Sustainability Performance Thresholds).</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Pricing Certificate</w:t>
      </w:r>
      <w:r>
        <w:rPr>
          <w:rFonts w:ascii="Arial" w:cs="Arial" w:eastAsia="Arial" w:hAnsi="Arial"/>
          <w:sz w:val="22"/>
          <w:szCs w:val="22"/>
          <w:color w:val="auto"/>
        </w:rPr>
        <w:t xml:space="preserve">”: a certificate signed by a duly elected Responsible Officer of the Borrower which shall be delivered by the Borrower once per calendar year to the Administrative Agent and Sustainability Structuring Agent pursuant to </w:t>
      </w:r>
      <w:r>
        <w:rPr>
          <w:rFonts w:ascii="Arial" w:cs="Arial" w:eastAsia="Arial" w:hAnsi="Arial"/>
          <w:sz w:val="22"/>
          <w:szCs w:val="22"/>
          <w:u w:val="single" w:color="auto"/>
          <w:color w:val="auto"/>
        </w:rPr>
        <w:t>Section 5.2(d)</w:t>
      </w:r>
      <w:r>
        <w:rPr>
          <w:rFonts w:ascii="Arial" w:cs="Arial" w:eastAsia="Arial" w:hAnsi="Arial"/>
          <w:sz w:val="22"/>
          <w:szCs w:val="22"/>
          <w:color w:val="auto"/>
        </w:rPr>
        <w:t xml:space="preserve"> substantially in the form of Exhibit I attaching (a) true and correct copies of the KPI Metrics Report for the immediately preceding calendar year and setting forth the Sustainability Margin Adjustment and (b) a review report of the KPI Metrics Auditor confirming that the KPI Auditor is not aware of any material modifications that should be made to such computations in order for them to be presented in all material respects in conformity with the applicable reporting criteria.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Pricing Certificate Inaccuracy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2.25(d)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Sustainability Structuring Agent</w:t>
      </w:r>
      <w:r>
        <w:rPr>
          <w:rFonts w:ascii="Arial" w:cs="Arial" w:eastAsia="Arial" w:hAnsi="Arial"/>
          <w:sz w:val="22"/>
          <w:szCs w:val="22"/>
          <w:color w:val="auto"/>
        </w:rPr>
        <w:t>”: Credit Agricole Corporate and Investment Bank or any successor thereto.</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Syndication Agent</w:t>
      </w:r>
      <w:r>
        <w:rPr>
          <w:rFonts w:ascii="Arial" w:cs="Arial" w:eastAsia="Arial" w:hAnsi="Arial"/>
          <w:sz w:val="22"/>
          <w:szCs w:val="22"/>
          <w:color w:val="auto"/>
        </w:rPr>
        <w:t>”: Oversea-Chinese Banking Corporation Limited, Los Angeles Agency or any successors thereto.</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the meaning set forth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Commitment</w:t>
      </w:r>
      <w:r>
        <w:rPr>
          <w:rFonts w:ascii="Arial" w:cs="Arial" w:eastAsia="Arial" w:hAnsi="Arial"/>
          <w:sz w:val="22"/>
          <w:szCs w:val="22"/>
          <w:color w:val="auto"/>
        </w:rPr>
        <w:t>”: with respect to each Lender, the obligation of such Lender, if any, to make Term Loans in an aggregate principal amount not to exceed the amount</w:t>
      </w:r>
    </w:p>
    <w:p>
      <w:pPr>
        <w:sectPr>
          <w:pgSz w:w="11900" w:h="16838" w:orient="portrait"/>
          <w:cols w:equalWidth="0" w:num="1">
            <w:col w:w="11240"/>
          </w:cols>
          <w:pgMar w:left="320" w:top="1413" w:right="3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set forth opposite its name on Schedule 1.1 annexed hereto under the heading “Term Commitment Amounts”.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Maturity Date</w:t>
      </w:r>
      <w:r>
        <w:rPr>
          <w:rFonts w:ascii="Arial" w:cs="Arial" w:eastAsia="Arial" w:hAnsi="Arial"/>
          <w:sz w:val="22"/>
          <w:szCs w:val="22"/>
          <w:color w:val="auto"/>
        </w:rPr>
        <w:t>”: the earlier to occur of (a) the Stated Maturity and (b) the acceleration of the Term Loans.</w:t>
      </w:r>
    </w:p>
    <w:p>
      <w:pPr>
        <w:spacing w:after="0" w:line="17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Percentage</w:t>
      </w:r>
      <w:r>
        <w:rPr>
          <w:rFonts w:ascii="Arial" w:cs="Arial" w:eastAsia="Arial" w:hAnsi="Arial"/>
          <w:sz w:val="22"/>
          <w:szCs w:val="22"/>
          <w:color w:val="auto"/>
        </w:rPr>
        <w:t>”: as to any Lender at any time, the percentage which such Lender’s Term Commitment then constitutes of the aggregate Term Commitments (or, at any time after the making of the Term Loans on the Closing Date, the percentage which the aggregate principal amount of such Lender’s Term Loans then outstanding constitutes of the aggregate principal amount of all Term Loans then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“Term SOFR”:</w:t>
      </w:r>
    </w:p>
    <w:p>
      <w:pPr>
        <w:spacing w:after="0" w:line="206" w:lineRule="exact"/>
        <w:rPr>
          <w:sz w:val="20"/>
          <w:szCs w:val="20"/>
          <w:color w:val="auto"/>
        </w:rPr>
      </w:pPr>
    </w:p>
    <w:p>
      <w:pPr>
        <w:jc w:val="both"/>
        <w:ind w:left="660" w:firstLine="644"/>
        <w:spacing w:after="0" w:line="241" w:lineRule="auto"/>
        <w:tabs>
          <w:tab w:leader="none" w:pos="1937" w:val="left"/>
        </w:tabs>
        <w:numPr>
          <w:ilvl w:val="1"/>
          <w:numId w:val="17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 xml:space="preserve">for any calculation with respect to a SOFR Loan, the Term SOFR Reference Rate for a tenor comparable to the applicable Interest Period on the day (such day, the “Periodic Term SOFR Determination Day”) that is two (2) U.S. Government Securities </w:t>
      </w:r>
      <w:r>
        <w:rPr>
          <w:rFonts w:ascii="Arial" w:cs="Arial" w:eastAsia="Arial" w:hAnsi="Arial"/>
          <w:sz w:val="21"/>
          <w:szCs w:val="21"/>
          <w:u w:val="single" w:color="auto"/>
          <w:color w:val="008000"/>
        </w:rPr>
        <w:t>Business Days prior to the</w:t>
      </w:r>
      <w:r>
        <w:rPr>
          <w:rFonts w:ascii="Arial" w:cs="Arial" w:eastAsia="Arial" w:hAnsi="Arial"/>
          <w:sz w:val="21"/>
          <w:szCs w:val="21"/>
          <w:u w:val="single" w:color="auto"/>
          <w:color w:val="0000FF"/>
        </w:rPr>
        <w:t xml:space="preserve"> first day of such Interest Period, as such rate is published by the Term SOFR Administrator; provided, however,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w:t>
      </w:r>
    </w:p>
    <w:p>
      <w:pPr>
        <w:spacing w:after="0" w:line="7" w:lineRule="exact"/>
        <w:rPr>
          <w:rFonts w:ascii="Arial" w:cs="Arial" w:eastAsia="Arial" w:hAnsi="Arial"/>
          <w:sz w:val="21"/>
          <w:szCs w:val="21"/>
          <w:u w:val="single" w:color="auto"/>
          <w:color w:val="0000FF"/>
        </w:rPr>
      </w:pPr>
    </w:p>
    <w:p>
      <w:pPr>
        <w:ind w:left="980" w:hanging="324"/>
        <w:spacing w:after="0"/>
        <w:tabs>
          <w:tab w:leader="none" w:pos="980" w:val="left"/>
        </w:tabs>
        <w:numPr>
          <w:ilvl w:val="0"/>
          <w:numId w:val="18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U.S. Government Securities Business Days prior to such Periodic Term SOFR Determination Day, and</w:t>
      </w:r>
    </w:p>
    <w:p>
      <w:pPr>
        <w:spacing w:after="0" w:line="190" w:lineRule="exact"/>
        <w:rPr>
          <w:rFonts w:ascii="Arial" w:cs="Arial" w:eastAsia="Arial" w:hAnsi="Arial"/>
          <w:sz w:val="22"/>
          <w:szCs w:val="22"/>
          <w:u w:val="single" w:color="auto"/>
          <w:color w:val="0000FF"/>
        </w:rPr>
      </w:pPr>
    </w:p>
    <w:p>
      <w:pPr>
        <w:jc w:val="both"/>
        <w:ind w:left="660" w:firstLine="644"/>
        <w:spacing w:after="0" w:line="232" w:lineRule="auto"/>
        <w:tabs>
          <w:tab w:leader="none" w:pos="1843" w:val="left"/>
        </w:tabs>
        <w:numPr>
          <w:ilvl w:val="1"/>
          <w:numId w:val="18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ectPr>
          <w:pgSz w:w="11900" w:h="16838" w:orient="portrait"/>
          <w:cols w:equalWidth="0" w:num="1">
            <w:col w:w="11240"/>
          </w:cols>
          <w:pgMar w:left="320" w:top="1413" w:right="339" w:bottom="1440" w:gutter="0" w:footer="0" w:header="0"/>
        </w:sectPr>
      </w:pPr>
    </w:p>
    <w:bookmarkStart w:id="240" w:name="page241"/>
    <w:bookmarkEnd w:id="240"/>
    <w:p>
      <w:pPr>
        <w:jc w:val="both"/>
        <w:ind w:firstLine="648"/>
        <w:spacing w:after="0" w:line="241" w:lineRule="auto"/>
        <w:rPr>
          <w:sz w:val="20"/>
          <w:szCs w:val="20"/>
          <w:color w:val="auto"/>
        </w:rPr>
      </w:pPr>
      <w:r>
        <w:rPr>
          <w:rFonts w:ascii="Arial" w:cs="Arial" w:eastAsia="Arial" w:hAnsi="Arial"/>
          <w:sz w:val="22"/>
          <w:szCs w:val="22"/>
          <w:u w:val="single" w:color="auto"/>
          <w:color w:val="0000FF"/>
        </w:rPr>
        <w:t>“Term SOFR Adjustment”: for any calculation with respect to a SOFR Loan or the SOFR prong of a Base Rate Loan, a percentage per annum as set forth below for the applicable Type of such Loan and (if applicable) Interest Period therefor:</w:t>
      </w:r>
    </w:p>
    <w:p>
      <w:pPr>
        <w:spacing w:after="0" w:line="212" w:lineRule="exact"/>
        <w:rPr>
          <w:sz w:val="20"/>
          <w:szCs w:val="20"/>
          <w:color w:val="auto"/>
        </w:rPr>
      </w:pPr>
    </w:p>
    <w:tbl>
      <w:tblPr>
        <w:tblLayout w:type="fixed"/>
        <w:tblInd w:w="1790" w:type="dxa"/>
        <w:tblCellMar>
          <w:top w:w="0" w:type="dxa"/>
          <w:left w:w="0" w:type="dxa"/>
          <w:bottom w:w="0" w:type="dxa"/>
          <w:right w:w="0" w:type="dxa"/>
        </w:tblCellMar>
      </w:tblPr>
      <w:tr>
        <w:trPr>
          <w:trHeight w:val="243"/>
        </w:trPr>
        <w:tc>
          <w:tcPr>
            <w:tcW w:w="1140" w:type="dxa"/>
            <w:vAlign w:val="bottom"/>
            <w:tcBorders>
              <w:top w:val="single" w:sz="8" w:color="auto"/>
              <w:left w:val="single" w:sz="8" w:color="auto"/>
            </w:tcBorders>
          </w:tcPr>
          <w:p>
            <w:pPr>
              <w:spacing w:after="0"/>
              <w:rPr>
                <w:sz w:val="21"/>
                <w:szCs w:val="21"/>
                <w:color w:val="auto"/>
              </w:rPr>
            </w:pPr>
          </w:p>
        </w:tc>
        <w:tc>
          <w:tcPr>
            <w:tcW w:w="2660" w:type="dxa"/>
            <w:vAlign w:val="bottom"/>
            <w:tcBorders>
              <w:top w:val="single" w:sz="8" w:color="auto"/>
              <w:right w:val="single" w:sz="8" w:color="auto"/>
            </w:tcBorders>
            <w:gridSpan w:val="6"/>
          </w:tcPr>
          <w:p>
            <w:pPr>
              <w:jc w:val="center"/>
              <w:ind w:right="1140"/>
              <w:spacing w:after="0" w:line="243" w:lineRule="exact"/>
              <w:rPr>
                <w:sz w:val="20"/>
                <w:szCs w:val="20"/>
                <w:color w:val="auto"/>
              </w:rPr>
            </w:pPr>
            <w:r>
              <w:rPr>
                <w:rFonts w:ascii="Arial" w:cs="Arial" w:eastAsia="Arial" w:hAnsi="Arial"/>
                <w:sz w:val="22"/>
                <w:szCs w:val="22"/>
                <w:b w:val="1"/>
                <w:bCs w:val="1"/>
                <w:color w:val="0000FF"/>
                <w:w w:val="98"/>
              </w:rPr>
              <w:t>Interest Period</w:t>
            </w:r>
          </w:p>
        </w:tc>
        <w:tc>
          <w:tcPr>
            <w:tcW w:w="1340" w:type="dxa"/>
            <w:vAlign w:val="bottom"/>
            <w:tcBorders>
              <w:top w:val="single" w:sz="8" w:color="auto"/>
            </w:tcBorders>
          </w:tcPr>
          <w:p>
            <w:pPr>
              <w:spacing w:after="0"/>
              <w:rPr>
                <w:sz w:val="21"/>
                <w:szCs w:val="21"/>
                <w:color w:val="auto"/>
              </w:rPr>
            </w:pPr>
          </w:p>
        </w:tc>
        <w:tc>
          <w:tcPr>
            <w:tcW w:w="2540" w:type="dxa"/>
            <w:vAlign w:val="bottom"/>
            <w:tcBorders>
              <w:top w:val="single" w:sz="8" w:color="auto"/>
              <w:right w:val="single" w:sz="8" w:color="auto"/>
            </w:tcBorders>
            <w:gridSpan w:val="6"/>
          </w:tcPr>
          <w:p>
            <w:pPr>
              <w:jc w:val="center"/>
              <w:ind w:right="1360"/>
              <w:spacing w:after="0" w:line="243" w:lineRule="exact"/>
              <w:rPr>
                <w:sz w:val="20"/>
                <w:szCs w:val="20"/>
                <w:color w:val="auto"/>
              </w:rPr>
            </w:pPr>
            <w:r>
              <w:rPr>
                <w:rFonts w:ascii="Arial" w:cs="Arial" w:eastAsia="Arial" w:hAnsi="Arial"/>
                <w:sz w:val="22"/>
                <w:szCs w:val="22"/>
                <w:b w:val="1"/>
                <w:bCs w:val="1"/>
                <w:color w:val="0000FF"/>
                <w:w w:val="99"/>
              </w:rPr>
              <w:t>Percentage</w:t>
            </w:r>
          </w:p>
        </w:tc>
      </w:tr>
      <w:tr>
        <w:trPr>
          <w:trHeight w:val="48"/>
        </w:trPr>
        <w:tc>
          <w:tcPr>
            <w:tcW w:w="1140" w:type="dxa"/>
            <w:vAlign w:val="bottom"/>
            <w:tcBorders>
              <w:left w:val="single" w:sz="8" w:color="auto"/>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9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right w:val="single" w:sz="8" w:color="auto"/>
            </w:tcBorders>
            <w:gridSpan w:val="5"/>
          </w:tcPr>
          <w:p>
            <w:pPr>
              <w:jc w:val="center"/>
              <w:ind w:right="1240"/>
              <w:spacing w:after="0" w:line="223" w:lineRule="exact"/>
              <w:rPr>
                <w:sz w:val="20"/>
                <w:szCs w:val="20"/>
                <w:color w:val="auto"/>
              </w:rPr>
            </w:pPr>
            <w:r>
              <w:rPr>
                <w:rFonts w:ascii="Arial" w:cs="Arial" w:eastAsia="Arial" w:hAnsi="Arial"/>
                <w:sz w:val="22"/>
                <w:szCs w:val="22"/>
                <w:color w:val="0000FF"/>
                <w:w w:val="99"/>
              </w:rPr>
              <w:t>One month</w:t>
            </w:r>
          </w:p>
        </w:tc>
        <w:tc>
          <w:tcPr>
            <w:tcW w:w="2400" w:type="dxa"/>
            <w:vAlign w:val="bottom"/>
            <w:gridSpan w:val="4"/>
          </w:tcPr>
          <w:p>
            <w:pPr>
              <w:jc w:val="center"/>
              <w:ind w:left="1352"/>
              <w:spacing w:after="0" w:line="223" w:lineRule="exact"/>
              <w:rPr>
                <w:sz w:val="20"/>
                <w:szCs w:val="20"/>
                <w:color w:val="auto"/>
              </w:rPr>
            </w:pPr>
            <w:r>
              <w:rPr>
                <w:rFonts w:ascii="Arial" w:cs="Arial" w:eastAsia="Arial" w:hAnsi="Arial"/>
                <w:sz w:val="22"/>
                <w:szCs w:val="22"/>
                <w:color w:val="0000FF"/>
                <w:w w:val="94"/>
              </w:rPr>
              <w:t>0.</w:t>
            </w:r>
            <w:r>
              <w:rPr>
                <w:rFonts w:ascii="Arial" w:cs="Arial" w:eastAsia="Arial" w:hAnsi="Arial"/>
                <w:sz w:val="22"/>
                <w:szCs w:val="22"/>
                <w:u w:val="single" w:color="auto"/>
                <w:color w:val="0000FF"/>
                <w:w w:val="94"/>
              </w:rPr>
              <w:t>11448%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48"/>
        </w:trPr>
        <w:tc>
          <w:tcPr>
            <w:tcW w:w="11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r>
        <w:trPr>
          <w:trHeight w:val="223"/>
        </w:trPr>
        <w:tc>
          <w:tcPr>
            <w:tcW w:w="11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right w:val="single" w:sz="8" w:color="auto"/>
            </w:tcBorders>
            <w:gridSpan w:val="5"/>
          </w:tcPr>
          <w:p>
            <w:pPr>
              <w:jc w:val="center"/>
              <w:ind w:right="1240"/>
              <w:spacing w:after="0" w:line="223" w:lineRule="exact"/>
              <w:rPr>
                <w:sz w:val="20"/>
                <w:szCs w:val="20"/>
                <w:color w:val="auto"/>
              </w:rPr>
            </w:pPr>
            <w:r>
              <w:rPr>
                <w:rFonts w:ascii="Arial" w:cs="Arial" w:eastAsia="Arial" w:hAnsi="Arial"/>
                <w:sz w:val="22"/>
                <w:szCs w:val="22"/>
                <w:color w:val="0000FF"/>
                <w:w w:val="97"/>
              </w:rPr>
              <w:t>Three months</w:t>
            </w:r>
          </w:p>
        </w:tc>
        <w:tc>
          <w:tcPr>
            <w:tcW w:w="2420" w:type="dxa"/>
            <w:vAlign w:val="bottom"/>
            <w:gridSpan w:val="5"/>
          </w:tcPr>
          <w:p>
            <w:pPr>
              <w:jc w:val="center"/>
              <w:ind w:left="1332"/>
              <w:spacing w:after="0" w:line="223" w:lineRule="exact"/>
              <w:rPr>
                <w:sz w:val="20"/>
                <w:szCs w:val="20"/>
                <w:color w:val="auto"/>
              </w:rPr>
            </w:pPr>
            <w:r>
              <w:rPr>
                <w:rFonts w:ascii="Arial" w:cs="Arial" w:eastAsia="Arial" w:hAnsi="Arial"/>
                <w:sz w:val="22"/>
                <w:szCs w:val="22"/>
                <w:color w:val="0000FF"/>
                <w:w w:val="98"/>
              </w:rPr>
              <w:t>0.</w:t>
            </w:r>
            <w:r>
              <w:rPr>
                <w:rFonts w:ascii="Arial" w:cs="Arial" w:eastAsia="Arial" w:hAnsi="Arial"/>
                <w:sz w:val="22"/>
                <w:szCs w:val="22"/>
                <w:u w:val="single" w:color="auto"/>
                <w:color w:val="0000FF"/>
                <w:w w:val="98"/>
              </w:rPr>
              <w:t>26161%</w:t>
            </w:r>
          </w:p>
        </w:tc>
        <w:tc>
          <w:tcPr>
            <w:tcW w:w="1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34"/>
        </w:trPr>
        <w:tc>
          <w:tcPr>
            <w:tcW w:w="11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80" w:type="dxa"/>
            <w:vAlign w:val="bottom"/>
            <w:tcBorders>
              <w:top w:val="single" w:sz="8" w:color="0000FF"/>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940" w:type="dxa"/>
            <w:vAlign w:val="bottom"/>
            <w:tcBorders>
              <w:top w:val="single" w:sz="8" w:color="0000FF"/>
              <w:bottom w:val="single" w:sz="8" w:color="auto"/>
            </w:tcBorders>
          </w:tcPr>
          <w:p>
            <w:pPr>
              <w:spacing w:after="0"/>
              <w:rPr>
                <w:sz w:val="2"/>
                <w:szCs w:val="2"/>
                <w:color w:val="auto"/>
              </w:rPr>
            </w:pPr>
          </w:p>
        </w:tc>
        <w:tc>
          <w:tcPr>
            <w:tcW w:w="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3"/>
        </w:trPr>
        <w:tc>
          <w:tcPr>
            <w:tcW w:w="114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right w:val="single" w:sz="8" w:color="auto"/>
            </w:tcBorders>
            <w:gridSpan w:val="4"/>
          </w:tcPr>
          <w:p>
            <w:pPr>
              <w:jc w:val="center"/>
              <w:ind w:right="1360"/>
              <w:spacing w:after="0" w:line="223" w:lineRule="exact"/>
              <w:rPr>
                <w:sz w:val="20"/>
                <w:szCs w:val="20"/>
                <w:color w:val="auto"/>
              </w:rPr>
            </w:pPr>
            <w:r>
              <w:rPr>
                <w:rFonts w:ascii="Arial" w:cs="Arial" w:eastAsia="Arial" w:hAnsi="Arial"/>
                <w:sz w:val="22"/>
                <w:szCs w:val="22"/>
                <w:color w:val="0000FF"/>
                <w:w w:val="99"/>
              </w:rPr>
              <w:t>Six months</w:t>
            </w:r>
          </w:p>
        </w:tc>
        <w:tc>
          <w:tcPr>
            <w:tcW w:w="2420" w:type="dxa"/>
            <w:vAlign w:val="bottom"/>
            <w:gridSpan w:val="5"/>
          </w:tcPr>
          <w:p>
            <w:pPr>
              <w:jc w:val="center"/>
              <w:ind w:left="1332"/>
              <w:spacing w:after="0" w:line="223" w:lineRule="exact"/>
              <w:rPr>
                <w:sz w:val="20"/>
                <w:szCs w:val="20"/>
                <w:color w:val="auto"/>
              </w:rPr>
            </w:pPr>
            <w:r>
              <w:rPr>
                <w:rFonts w:ascii="Arial" w:cs="Arial" w:eastAsia="Arial" w:hAnsi="Arial"/>
                <w:sz w:val="22"/>
                <w:szCs w:val="22"/>
                <w:color w:val="0000FF"/>
                <w:w w:val="98"/>
              </w:rPr>
              <w:t>0.</w:t>
            </w:r>
            <w:r>
              <w:rPr>
                <w:rFonts w:ascii="Arial" w:cs="Arial" w:eastAsia="Arial" w:hAnsi="Arial"/>
                <w:sz w:val="22"/>
                <w:szCs w:val="22"/>
                <w:u w:val="single" w:color="auto"/>
                <w:color w:val="0000FF"/>
                <w:w w:val="98"/>
              </w:rPr>
              <w:t>42826%</w:t>
            </w:r>
          </w:p>
        </w:tc>
        <w:tc>
          <w:tcPr>
            <w:tcW w:w="100" w:type="dxa"/>
            <w:vAlign w:val="bottom"/>
          </w:tcPr>
          <w:p>
            <w:pPr>
              <w:spacing w:after="0"/>
              <w:rPr>
                <w:sz w:val="19"/>
                <w:szCs w:val="19"/>
                <w:color w:val="auto"/>
              </w:rPr>
            </w:pPr>
          </w:p>
        </w:tc>
        <w:tc>
          <w:tcPr>
            <w:tcW w:w="1360" w:type="dxa"/>
            <w:vAlign w:val="bottom"/>
            <w:tcBorders>
              <w:right w:val="single" w:sz="8" w:color="auto"/>
            </w:tcBorders>
          </w:tcPr>
          <w:p>
            <w:pPr>
              <w:spacing w:after="0"/>
              <w:rPr>
                <w:sz w:val="19"/>
                <w:szCs w:val="19"/>
                <w:color w:val="auto"/>
              </w:rPr>
            </w:pPr>
          </w:p>
        </w:tc>
      </w:tr>
      <w:tr>
        <w:trPr>
          <w:trHeight w:val="48"/>
        </w:trPr>
        <w:tc>
          <w:tcPr>
            <w:tcW w:w="114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top w:val="single" w:sz="8" w:color="0000FF"/>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94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r>
    </w:tbl>
    <w:p>
      <w:pPr>
        <w:spacing w:after="0" w:line="2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u w:val="single" w:color="auto"/>
          <w:color w:val="0000FF"/>
        </w:rPr>
        <w:t xml:space="preserve">“Term SOFR Administrator”: CME Group Benchmark Administration Limited (CBA) (or a successor administrator of the Term SOFR Reference Rate </w:t>
      </w:r>
      <w:r>
        <w:rPr>
          <w:rFonts w:ascii="Arial" w:cs="Arial" w:eastAsia="Arial" w:hAnsi="Arial"/>
          <w:sz w:val="22"/>
          <w:szCs w:val="22"/>
          <w:u w:val="single" w:color="auto"/>
          <w:color w:val="008000"/>
        </w:rPr>
        <w:t>selected by the Administrative Agent in its reasonable discretion</w:t>
      </w:r>
      <w:r>
        <w:rPr>
          <w:rFonts w:ascii="Arial" w:cs="Arial" w:eastAsia="Arial" w:hAnsi="Arial"/>
          <w:sz w:val="22"/>
          <w:szCs w:val="22"/>
          <w:u w:val="single" w:color="auto"/>
          <w:color w:val="0000FF"/>
        </w:rPr>
        <w:t>).</w:t>
      </w:r>
    </w:p>
    <w:p>
      <w:pPr>
        <w:spacing w:after="0" w:line="17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FF0000"/>
          <w:strike w:val="1"/>
        </w:rPr>
        <w:t>”: for the applicable Corresponding Tenor as of the applicable Reference Time,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Reference Rate”:</w:t>
      </w:r>
      <w:r>
        <w:rPr>
          <w:rFonts w:ascii="Arial" w:cs="Arial" w:eastAsia="Arial" w:hAnsi="Arial"/>
          <w:sz w:val="22"/>
          <w:szCs w:val="22"/>
          <w:color w:val="auto"/>
        </w:rPr>
        <w:t xml:space="preserve"> the forward-looking term rate based on SOFR </w:t>
      </w:r>
      <w:r>
        <w:rPr>
          <w:rFonts w:ascii="Arial" w:cs="Arial" w:eastAsia="Arial" w:hAnsi="Arial"/>
          <w:sz w:val="22"/>
          <w:szCs w:val="22"/>
          <w:color w:val="FF0000"/>
        </w:rPr>
        <w:t>that has been selected or recommended by the Relevant</w:t>
      </w:r>
      <w:r>
        <w:rPr>
          <w:rFonts w:ascii="Arial" w:cs="Arial" w:eastAsia="Arial" w:hAnsi="Arial"/>
          <w:sz w:val="22"/>
          <w:szCs w:val="22"/>
          <w:color w:val="auto"/>
        </w:rPr>
        <w:t xml:space="preserve"> </w:t>
      </w:r>
      <w:r>
        <w:rPr>
          <w:rFonts w:ascii="Arial" w:cs="Arial" w:eastAsia="Arial" w:hAnsi="Arial"/>
          <w:sz w:val="22"/>
          <w:szCs w:val="22"/>
          <w:color w:val="FF0000"/>
          <w:strike w:val="1"/>
        </w:rPr>
        <w:t>Governmental Body</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6037580</wp:posOffset>
            </wp:positionH>
            <wp:positionV relativeFrom="paragraph">
              <wp:posOffset>-340360</wp:posOffset>
            </wp:positionV>
            <wp:extent cx="46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46990" cy="8255"/>
                    </a:xfrm>
                    <a:prstGeom prst="rect">
                      <a:avLst/>
                    </a:prstGeom>
                    <a:noFill/>
                  </pic:spPr>
                </pic:pic>
              </a:graphicData>
            </a:graphic>
          </wp:anchor>
        </w:drawing>
        <w:drawing>
          <wp:anchor simplePos="0" relativeHeight="251657728" behindDoc="1" locked="0" layoutInCell="0" allowOverlap="1">
            <wp:simplePos x="0" y="0"/>
            <wp:positionH relativeFrom="column">
              <wp:posOffset>3129280</wp:posOffset>
            </wp:positionH>
            <wp:positionV relativeFrom="paragraph">
              <wp:posOffset>-237490</wp:posOffset>
            </wp:positionV>
            <wp:extent cx="4008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400812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as of the of the date of determination thereof, the ratio of Indebtedness of the Borrower and its Consolidated Subsidiaries as of such date to Consolidated EBITDA of the Borrower for such Measurement Period.</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Net Leverage Ratio</w:t>
      </w:r>
      <w:r>
        <w:rPr>
          <w:rFonts w:ascii="Arial" w:cs="Arial" w:eastAsia="Arial" w:hAnsi="Arial"/>
          <w:sz w:val="22"/>
          <w:szCs w:val="22"/>
          <w:color w:val="auto"/>
        </w:rPr>
        <w:t>”: as of the date of determination thereof, the ratio of (a) Indebtedness of the Borrower and its Consolidated Subsidiaries as of such date minus the Unrestricted Cash, Cash Equivalent and Marketable Securities Amount as of such date, to (b) Consolidated EBITDA of the Borrower for such Measurement Period.</w:t>
      </w:r>
    </w:p>
    <w:p>
      <w:pPr>
        <w:spacing w:after="0" w:line="18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Trademarks</w:t>
      </w:r>
      <w:r>
        <w:rPr>
          <w:rFonts w:ascii="Arial" w:cs="Arial" w:eastAsia="Arial" w:hAnsi="Arial"/>
          <w:sz w:val="22"/>
          <w:szCs w:val="22"/>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 License</w:t>
      </w:r>
      <w:r>
        <w:rPr>
          <w:rFonts w:ascii="Arial" w:cs="Arial" w:eastAsia="Arial" w:hAnsi="Arial"/>
          <w:sz w:val="22"/>
          <w:szCs w:val="22"/>
          <w:color w:val="auto"/>
        </w:rPr>
        <w:t>”: any agreement, whether written or oral, providing for the grant by or to Borrower or any Guarantor of any right to use any Trademark.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any Assignee or Participant.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when used in reference to any Term Loan or Borrowing, refers to whether the rate of interest on such Term Loan, or on the Term Loans comprising such Borrowing, is determined by reference to the Base Rate or </w:t>
      </w:r>
      <w:r>
        <w:rPr>
          <w:rFonts w:ascii="Arial" w:cs="Arial" w:eastAsia="Arial" w:hAnsi="Arial"/>
          <w:sz w:val="22"/>
          <w:szCs w:val="22"/>
          <w:color w:val="FF0000"/>
          <w:strike w:val="1"/>
        </w:rPr>
        <w:t>the</w:t>
      </w:r>
      <w:r>
        <w:rPr>
          <w:rFonts w:ascii="Arial" w:cs="Arial" w:eastAsia="Arial" w:hAnsi="Arial"/>
          <w:sz w:val="22"/>
          <w:szCs w:val="22"/>
          <w:color w:val="auto"/>
        </w:rPr>
        <w:t xml:space="preserve"> </w:t>
      </w:r>
      <w:r>
        <w:rPr>
          <w:rFonts w:ascii="Arial" w:cs="Arial" w:eastAsia="Arial" w:hAnsi="Arial"/>
          <w:sz w:val="22"/>
          <w:szCs w:val="22"/>
          <w:color w:val="FF0000"/>
          <w:strike w:val="1"/>
        </w:rPr>
        <w:t>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000000"/>
        </w:rPr>
        <w: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in effect from time to time in the State of New York.</w:t>
      </w:r>
    </w:p>
    <w:p>
      <w:pPr>
        <w:sectPr>
          <w:pgSz w:w="11900" w:h="16838" w:orient="portrait"/>
          <w:cols w:equalWidth="0" w:num="1">
            <w:col w:w="11240"/>
          </w:cols>
          <w:pgMar w:left="320" w:top="1413" w:right="339" w:bottom="1440" w:gutter="0" w:footer="0" w:header="0"/>
        </w:sectPr>
      </w:pPr>
    </w:p>
    <w:bookmarkStart w:id="241" w:name="page242"/>
    <w:bookmarkEnd w:id="241"/>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xml:space="preserve"> ”: the Bank of England or any other public administrative authority having responsibility for the resolution of any UK Financial Institution.</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the applicable Benchmark Replacement excluding the related Benchmark Replacement Adjustment.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the United States of America.</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Cash, Cash Equivalent and Marketable Securities Amount</w:t>
      </w:r>
      <w:r>
        <w:rPr>
          <w:rFonts w:ascii="Arial" w:cs="Arial" w:eastAsia="Arial" w:hAnsi="Arial"/>
          <w:sz w:val="22"/>
          <w:szCs w:val="22"/>
          <w:color w:val="auto"/>
        </w:rPr>
        <w:t>”: as of the date of determination thereof, the aggregate amount of unrestricted cash, cash equivalents and Investment Grade Debt, as determined in accordance with GAAP and reported on the consolidated balance sheet of the Borrower and its Consolidated Subsidiaries as of the last day of the most recently ended fiscal quarter of the Borrower for which financial statements are available.</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(1) any Subsidiary of the Borrower listed on </w:t>
      </w:r>
      <w:r>
        <w:rPr>
          <w:rFonts w:ascii="Arial" w:cs="Arial" w:eastAsia="Arial" w:hAnsi="Arial"/>
          <w:sz w:val="22"/>
          <w:szCs w:val="22"/>
          <w:u w:val="single" w:color="auto"/>
          <w:color w:val="auto"/>
        </w:rPr>
        <w:t>Schedule 1.2</w:t>
      </w:r>
      <w:r>
        <w:rPr>
          <w:rFonts w:ascii="Arial" w:cs="Arial" w:eastAsia="Arial" w:hAnsi="Arial"/>
          <w:sz w:val="22"/>
          <w:szCs w:val="22"/>
          <w:color w:val="auto"/>
        </w:rPr>
        <w:t xml:space="preserve">, (2) any Subsidiary of the Borrower designated by the Borrower as an Unrestricted Subsidiary pursuant to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subsequent to the Closing Date, until such Person ceases to be an Unrestricted Subsidiary of the Borrower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5.7</w:t>
      </w:r>
      <w:r>
        <w:rPr>
          <w:rFonts w:ascii="Arial" w:cs="Arial" w:eastAsia="Arial" w:hAnsi="Arial"/>
          <w:sz w:val="22"/>
          <w:szCs w:val="22"/>
          <w:color w:val="auto"/>
        </w:rPr>
        <w:t xml:space="preserve"> and (3) any Subsidiary of an Unrestricted Subsidiary.</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u w:val="single" w:color="auto"/>
          <w:color w:val="0000FF"/>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w:t>
      </w:r>
      <w:r>
        <w:rPr>
          <w:rFonts w:ascii="Arial" w:cs="Arial" w:eastAsia="Arial" w:hAnsi="Arial"/>
          <w:sz w:val="22"/>
          <w:szCs w:val="22"/>
          <w:color w:val="auto"/>
        </w:rPr>
        <w:t>”: a Key Performance Indicator measured by Waste Diversion.</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 Diversion</w:t>
      </w:r>
      <w:r>
        <w:rPr>
          <w:rFonts w:ascii="Arial" w:cs="Arial" w:eastAsia="Arial" w:hAnsi="Arial"/>
          <w:sz w:val="22"/>
          <w:szCs w:val="22"/>
          <w:color w:val="auto"/>
        </w:rPr>
        <w:t>”: for each calendar year, expressed as a percentage, the Borrower and its Subsidiaries’ (i) hazardous and non-hazardous waste represented in kilograms diverted from landfill through on-site reuse, off-site reuse, recycling, composting, and recovery (including incineration with energy recovery) divided by (ii) total waste represented in kilograms.</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(a) with respect to any EEA Resolution Authority, the write-down and conversion powers of such EEA Resolution Authority from time to time under the Bail-In Legislation for the applicable EEA Member Country, which</w:t>
      </w:r>
    </w:p>
    <w:p>
      <w:pPr>
        <w:sectPr>
          <w:pgSz w:w="11900" w:h="16838" w:orient="portrait"/>
          <w:cols w:equalWidth="0" w:num="1">
            <w:col w:w="11240"/>
          </w:cols>
          <w:pgMar w:left="320" w:top="1413" w:right="339" w:bottom="1440" w:gutter="0" w:footer="0" w:header="0"/>
        </w:sectPr>
      </w:pPr>
    </w:p>
    <w:bookmarkStart w:id="242" w:name="page243"/>
    <w:bookmarkEnd w:id="242"/>
    <w:p>
      <w:pPr>
        <w:jc w:val="both"/>
        <w:spacing w:after="0" w:line="233" w:lineRule="auto"/>
        <w:rPr>
          <w:sz w:val="20"/>
          <w:szCs w:val="20"/>
          <w:color w:val="auto"/>
        </w:rPr>
      </w:pPr>
      <w:r>
        <w:rPr>
          <w:rFonts w:ascii="Arial" w:cs="Arial" w:eastAsia="Arial" w:hAnsi="Arial"/>
          <w:sz w:val="22"/>
          <w:szCs w:val="22"/>
          <w:color w:val="auto"/>
        </w:rPr>
        <w:t>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Waste Diversion Applicable Margin Adjustment Amount</w:t>
      </w:r>
      <w:r>
        <w:rPr>
          <w:rFonts w:ascii="Arial" w:cs="Arial" w:eastAsia="Arial" w:hAnsi="Arial"/>
          <w:sz w:val="22"/>
          <w:szCs w:val="22"/>
          <w:color w:val="auto"/>
        </w:rPr>
        <w:t xml:space="preserve"> ”: with respect to Waste for any calendar year, (a) positive 1.67 basis points if the Waste Diversion as set forth in the Sustainability Pricing Certificate is less than the Partially Successful Completion Threshold for such calendar year, (b) zero basis points if the Waste Diversion as set forth in the Sustainability Pricing Certificate is less than the Successful Completion Threshold and is greater than or equal to the Partially Successful Completion Threshold for such calendar year; and (c) negative 1.67 basis points if the Waste Diversion as set forth in the Sustainability Pricing Certificate is equal to or greater than the Successful Completion Threshold for such calendar year.</w:t>
      </w:r>
    </w:p>
    <w:p>
      <w:pPr>
        <w:spacing w:after="0" w:line="1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1"/>
          <w:szCs w:val="21"/>
          <w:u w:val="single" w:color="auto"/>
          <w:color w:val="auto"/>
        </w:rPr>
        <w:t>Other Definitional Provisions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6" w:lineRule="auto"/>
        <w:tabs>
          <w:tab w:leader="none" w:pos="1199" w:val="left"/>
        </w:tabs>
        <w:numPr>
          <w:ilvl w:val="0"/>
          <w:numId w:val="181"/>
        </w:numPr>
        <w:rPr>
          <w:rFonts w:ascii="Arial" w:cs="Arial" w:eastAsia="Arial" w:hAnsi="Arial"/>
          <w:sz w:val="22"/>
          <w:szCs w:val="22"/>
          <w:color w:val="auto"/>
        </w:rPr>
      </w:pPr>
      <w:r>
        <w:rPr>
          <w:rFonts w:ascii="Arial" w:cs="Arial" w:eastAsia="Arial" w:hAnsi="Arial"/>
          <w:sz w:val="22"/>
          <w:szCs w:val="22"/>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85" w:lineRule="exact"/>
        <w:rPr>
          <w:rFonts w:ascii="Arial" w:cs="Arial" w:eastAsia="Arial" w:hAnsi="Arial"/>
          <w:sz w:val="22"/>
          <w:szCs w:val="22"/>
          <w:color w:val="auto"/>
        </w:rPr>
      </w:pPr>
    </w:p>
    <w:p>
      <w:pPr>
        <w:jc w:val="both"/>
        <w:ind w:firstLine="656"/>
        <w:spacing w:after="0" w:line="234" w:lineRule="auto"/>
        <w:tabs>
          <w:tab w:leader="none" w:pos="1321"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90" w:lineRule="exact"/>
        <w:rPr>
          <w:rFonts w:ascii="Arial" w:cs="Arial" w:eastAsia="Arial" w:hAnsi="Arial"/>
          <w:sz w:val="22"/>
          <w:szCs w:val="22"/>
          <w:color w:val="auto"/>
        </w:rPr>
      </w:pPr>
    </w:p>
    <w:p>
      <w:pPr>
        <w:jc w:val="both"/>
        <w:ind w:firstLine="656"/>
        <w:spacing w:after="0" w:line="236" w:lineRule="auto"/>
        <w:tabs>
          <w:tab w:leader="none" w:pos="1182"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85" w:lineRule="exact"/>
        <w:rPr>
          <w:rFonts w:ascii="Arial" w:cs="Arial" w:eastAsia="Arial" w:hAnsi="Arial"/>
          <w:sz w:val="22"/>
          <w:szCs w:val="22"/>
          <w:color w:val="auto"/>
        </w:rPr>
      </w:pPr>
    </w:p>
    <w:p>
      <w:pPr>
        <w:jc w:val="both"/>
        <w:ind w:firstLine="656"/>
        <w:spacing w:after="0" w:line="236" w:lineRule="auto"/>
        <w:tabs>
          <w:tab w:leader="none" w:pos="122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ectPr>
          <w:pgSz w:w="11900" w:h="16838" w:orient="portrait"/>
          <w:cols w:equalWidth="0" w:num="1">
            <w:col w:w="11240"/>
          </w:cols>
          <w:pgMar w:left="320" w:top="1413" w:right="339" w:bottom="1440" w:gutter="0" w:footer="0" w:header="0"/>
        </w:sectPr>
      </w:pPr>
    </w:p>
    <w:bookmarkStart w:id="243" w:name="page244"/>
    <w:bookmarkEnd w:id="243"/>
    <w:p>
      <w:pPr>
        <w:jc w:val="both"/>
        <w:ind w:firstLine="648"/>
        <w:spacing w:after="0" w:line="251" w:lineRule="auto"/>
        <w:rPr>
          <w:sz w:val="20"/>
          <w:szCs w:val="20"/>
          <w:color w:val="auto"/>
        </w:rPr>
      </w:pPr>
      <w:r>
        <w:rPr>
          <w:rFonts w:ascii="Arial" w:cs="Arial" w:eastAsia="Arial" w:hAnsi="Arial"/>
          <w:sz w:val="22"/>
          <w:szCs w:val="22"/>
          <w:color w:val="auto"/>
        </w:rPr>
        <w:t>Except as otherwise provided herein, all terms of an accounting or financial nature shall be construed in accordance with GAAP.</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Delivery of Notices</w:t>
      </w:r>
      <w:r>
        <w:rPr>
          <w:rFonts w:ascii="Arial" w:cs="Arial" w:eastAsia="Arial" w:hAnsi="Arial"/>
          <w:sz w:val="22"/>
          <w:szCs w:val="22"/>
          <w:color w:val="auto"/>
        </w:rPr>
        <w:t>. Any reference to a delivery or notice date that is not a Business Day shall be deemed to mean the next succeeding day that is a Business Day.</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2_____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Credits</w:t>
      </w:r>
    </w:p>
    <w:p>
      <w:pPr>
        <w:spacing w:after="0" w:line="19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Term Commitments</w:t>
      </w:r>
      <w:r>
        <w:rPr>
          <w:rFonts w:ascii="Arial" w:cs="Arial" w:eastAsia="Arial" w:hAnsi="Arial"/>
          <w:sz w:val="22"/>
          <w:szCs w:val="22"/>
          <w:color w:val="auto"/>
        </w:rPr>
        <w:t xml:space="preserve">. Subject to the terms and conditions hereof, each Lender severally agrees to make term loans in Dollars (a “Term Loan”) to the Borrower on the Closing Date in an amount equal to the amount of the Term Commitment of such Lender. The Term Loans may from time to time be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or Base Rate Loans, as determined by the Borrower and notified to the Administrative Agent in accordance with Sections 2.2 and 2.12.</w:t>
      </w:r>
    </w:p>
    <w:p>
      <w:pPr>
        <w:spacing w:after="0" w:line="17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Term Loans</w:t>
      </w:r>
      <w:r>
        <w:rPr>
          <w:rFonts w:ascii="Arial" w:cs="Arial" w:eastAsia="Arial" w:hAnsi="Arial"/>
          <w:sz w:val="22"/>
          <w:szCs w:val="22"/>
          <w:color w:val="auto"/>
        </w:rPr>
        <w:t xml:space="preserve">. Each Lender at its option may make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by causing any domestic or foreign branch or Affiliate of such Lender to make such Term Loan by designating such branch or Affiliate as its lending office;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exercise of such option shall not affect the obligation of the Borrower to repay such Term Loan in accordance with the terms of this Agreement.</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Requests for Term Loan Borrowings</w:t>
      </w:r>
      <w:r>
        <w:rPr>
          <w:rFonts w:ascii="Arial" w:cs="Arial" w:eastAsia="Arial" w:hAnsi="Arial"/>
          <w:sz w:val="22"/>
          <w:szCs w:val="22"/>
          <w:color w:val="auto"/>
        </w:rPr>
        <w:t xml:space="preserve">. The Borrower shall give the Administrative Agent irrevocable notice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 (which notice must be received by the Administrative Agent (a) in the case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not later than 1:00 p.m., New York City time two (2) Business Days prior to the proposed Borrowing, or (b) in the case of a Base Rate Borrowing, not later than 12:00 p.m., New York City time, on the date of the proposed Borrowing (which shall be a Business Day)) requesting that the applicable Lenders make the Term Loans on the requested Borrowing Date. Each such Borrowing Request shall be irrevocable and shall be signed by a Responsible Officer of the Borrower. Each such Borrowing Request shall specify the following information:</w:t>
      </w:r>
    </w:p>
    <w:p>
      <w:pPr>
        <w:spacing w:after="0" w:line="190" w:lineRule="exact"/>
        <w:rPr>
          <w:sz w:val="20"/>
          <w:szCs w:val="20"/>
          <w:color w:val="auto"/>
        </w:rPr>
      </w:pPr>
    </w:p>
    <w:p>
      <w:pPr>
        <w:ind w:left="1560" w:hanging="256"/>
        <w:spacing w:after="0"/>
        <w:tabs>
          <w:tab w:leader="none" w:pos="15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aggregate amount of the requested Borrowing;</w:t>
      </w:r>
    </w:p>
    <w:p>
      <w:pPr>
        <w:spacing w:after="0" w:line="206" w:lineRule="exact"/>
        <w:rPr>
          <w:rFonts w:ascii="Arial" w:cs="Arial" w:eastAsia="Arial" w:hAnsi="Arial"/>
          <w:sz w:val="22"/>
          <w:szCs w:val="22"/>
          <w:color w:val="auto"/>
        </w:rPr>
      </w:pPr>
    </w:p>
    <w:p>
      <w:pPr>
        <w:ind w:left="1600" w:hanging="296"/>
        <w:spacing w:after="0"/>
        <w:tabs>
          <w:tab w:leader="none" w:pos="160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the Borrowing Date;</w:t>
      </w:r>
    </w:p>
    <w:p>
      <w:pPr>
        <w:spacing w:after="0" w:line="206" w:lineRule="exact"/>
        <w:rPr>
          <w:rFonts w:ascii="Arial" w:cs="Arial" w:eastAsia="Arial" w:hAnsi="Arial"/>
          <w:sz w:val="22"/>
          <w:szCs w:val="22"/>
          <w:color w:val="auto"/>
        </w:rPr>
      </w:pPr>
    </w:p>
    <w:p>
      <w:pPr>
        <w:ind w:left="1660" w:hanging="356"/>
        <w:spacing w:after="0"/>
        <w:tabs>
          <w:tab w:leader="none" w:pos="16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whether such Borrowing is to be a Base Rate Borrowing or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w:t>
      </w:r>
    </w:p>
    <w:p>
      <w:pPr>
        <w:sectPr>
          <w:pgSz w:w="11900" w:h="16838" w:orient="portrait"/>
          <w:cols w:equalWidth="0" w:num="1">
            <w:col w:w="11240"/>
          </w:cols>
          <w:pgMar w:left="320" w:top="1413" w:right="339" w:bottom="1440" w:gutter="0" w:footer="0" w:header="0"/>
        </w:sectPr>
      </w:pPr>
    </w:p>
    <w:bookmarkStart w:id="244" w:name="page245"/>
    <w:bookmarkEnd w:id="244"/>
    <w:p>
      <w:pPr>
        <w:ind w:left="660" w:firstLine="644"/>
        <w:spacing w:after="0" w:line="251" w:lineRule="auto"/>
        <w:tabs>
          <w:tab w:leader="none" w:pos="166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in the case of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the initial Interest Period to be applicable thereto, which shall be a period contemplated by the definition of the term “Interest Period”; and</w:t>
      </w:r>
    </w:p>
    <w:p>
      <w:pPr>
        <w:spacing w:after="0" w:line="172" w:lineRule="exact"/>
        <w:rPr>
          <w:rFonts w:ascii="Arial" w:cs="Arial" w:eastAsia="Arial" w:hAnsi="Arial"/>
          <w:sz w:val="22"/>
          <w:szCs w:val="22"/>
          <w:color w:val="auto"/>
        </w:rPr>
      </w:pPr>
    </w:p>
    <w:p>
      <w:pPr>
        <w:ind w:left="660" w:firstLine="644"/>
        <w:spacing w:after="0" w:line="251" w:lineRule="auto"/>
        <w:tabs>
          <w:tab w:leader="none" w:pos="163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location and number of the Borrower’s account to which funds are to be disbursed, which shall comply with the requirements of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If no election as to the Type of Term Loan Borrowing is specified, then the requested Term Loan Borrowing shall be a Base Rate Borrowing. If no Interest Period is specified with respect to any requested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Term </w:t>
      </w:r>
      <w:r>
        <w:rPr>
          <w:rFonts w:ascii="Arial" w:cs="Arial" w:eastAsia="Arial" w:hAnsi="Arial"/>
          <w:sz w:val="22"/>
          <w:szCs w:val="22"/>
          <w:color w:val="FF0000"/>
          <w:strike w:val="1"/>
        </w:rPr>
        <w:t>Loan</w:t>
      </w:r>
      <w:r>
        <w:rPr>
          <w:rFonts w:ascii="Arial" w:cs="Arial" w:eastAsia="Arial" w:hAnsi="Arial"/>
          <w:sz w:val="22"/>
          <w:szCs w:val="22"/>
          <w:color w:val="auto"/>
        </w:rPr>
        <w:t xml:space="preserve">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Term Loan to be made as part of the requested Borrowing.</w:t>
      </w:r>
    </w:p>
    <w:p>
      <w:pPr>
        <w:spacing w:after="0" w:line="18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0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1"/>
          <w:szCs w:val="21"/>
          <w:u w:val="single" w:color="auto"/>
          <w:color w:val="auto"/>
        </w:rPr>
        <w:t>Funding of Term Loan Borrowings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3" w:lineRule="auto"/>
        <w:tabs>
          <w:tab w:leader="none" w:pos="122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Each Lender shall make each Term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Term Loans available to the Borrower by promptly crediting the amounts so received, in like funds, to an account of the Borrower maintained at a financial institution reasonably acceptable to the Administrative Agent and designated by the Borrower in the applicable Borrowing Request.</w:t>
      </w:r>
    </w:p>
    <w:p>
      <w:pPr>
        <w:spacing w:after="0" w:line="186" w:lineRule="exact"/>
        <w:rPr>
          <w:rFonts w:ascii="Arial" w:cs="Arial" w:eastAsia="Arial" w:hAnsi="Arial"/>
          <w:sz w:val="22"/>
          <w:szCs w:val="22"/>
          <w:color w:val="auto"/>
        </w:rPr>
      </w:pPr>
    </w:p>
    <w:p>
      <w:pPr>
        <w:jc w:val="both"/>
        <w:ind w:firstLine="656"/>
        <w:spacing w:after="0" w:line="232" w:lineRule="auto"/>
        <w:tabs>
          <w:tab w:leader="none" w:pos="121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Unless the Administrative Agent shall have received notice from a Lender prior to the proposed date of any Borrowing that such Lender will not make available to the Administrative Agent such Lender’s Term Loan to be made as part of the requested Borrowing, the Administrative Agent may assume that such Lender has made such Term Loan available on such date in accordance with paragraph (a) of this Section and may, in reliance upon such assumption, make available to the Borrower a corresponding amount. In such event, if a Lender has not in fact made its Term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Term Loan included in such Borrowing.</w:t>
      </w:r>
    </w:p>
    <w:p>
      <w:pPr>
        <w:spacing w:after="0" w:line="18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Termination and Reduction of Term Commitments</w:t>
      </w:r>
      <w:r>
        <w:rPr>
          <w:rFonts w:ascii="Arial" w:cs="Arial" w:eastAsia="Arial" w:hAnsi="Arial"/>
          <w:sz w:val="22"/>
          <w:szCs w:val="22"/>
          <w:color w:val="auto"/>
        </w:rPr>
        <w:t>. Unless previously terminated, the Term Commitments shall terminate upon the making of the Term Loans on the Closing Date.</w:t>
      </w:r>
    </w:p>
    <w:p>
      <w:pPr>
        <w:sectPr>
          <w:pgSz w:w="11900" w:h="16838" w:orient="portrait"/>
          <w:cols w:equalWidth="0" w:num="1">
            <w:col w:w="11240"/>
          </w:cols>
          <w:pgMar w:left="320" w:top="1413" w:right="339" w:bottom="1440" w:gutter="0" w:footer="0" w:header="0"/>
        </w:sectPr>
      </w:pPr>
    </w:p>
    <w:bookmarkStart w:id="245" w:name="page246"/>
    <w:bookmarkEnd w:id="245"/>
    <w:p>
      <w:pPr>
        <w:spacing w:after="0" w:line="200" w:lineRule="exact"/>
        <w:rPr>
          <w:sz w:val="20"/>
          <w:szCs w:val="20"/>
          <w:color w:val="auto"/>
        </w:rPr>
      </w:pPr>
    </w:p>
    <w:p>
      <w:pPr>
        <w:spacing w:after="0" w:line="233"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u w:val="single" w:color="auto"/>
          <w:color w:val="auto"/>
        </w:rPr>
        <w:t>Repayment of Term Loans; Evidence of Debt</w:t>
      </w:r>
      <w:r>
        <w:rPr>
          <w:rFonts w:ascii="Arial" w:cs="Arial" w:eastAsia="Arial" w:hAnsi="Arial"/>
          <w:sz w:val="21"/>
          <w:szCs w:val="21"/>
          <w:color w:val="auto"/>
        </w:rPr>
        <w:t>.</w:t>
      </w:r>
    </w:p>
    <w:p>
      <w:pPr>
        <w:spacing w:after="0" w:line="206" w:lineRule="exact"/>
        <w:rPr>
          <w:sz w:val="20"/>
          <w:szCs w:val="20"/>
          <w:color w:val="auto"/>
        </w:rPr>
      </w:pPr>
    </w:p>
    <w:p>
      <w:pPr>
        <w:ind w:left="-656" w:firstLine="656"/>
        <w:spacing w:after="0" w:line="275" w:lineRule="auto"/>
        <w:tabs>
          <w:tab w:leader="none" w:pos="572"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Borrower hereby unconditionally promises to pay the Administrative Agent for the account of each Lender the then unpaid principal amount of each Term Loan made by such Lender on the Term Loan Maturity Date.</w:t>
      </w:r>
    </w:p>
    <w:p>
      <w:pPr>
        <w:spacing w:after="0" w:line="148" w:lineRule="exact"/>
        <w:rPr>
          <w:rFonts w:ascii="Arial" w:cs="Arial" w:eastAsia="Arial" w:hAnsi="Arial"/>
          <w:sz w:val="21"/>
          <w:szCs w:val="21"/>
          <w:color w:val="auto"/>
        </w:rPr>
      </w:pPr>
    </w:p>
    <w:p>
      <w:pPr>
        <w:jc w:val="both"/>
        <w:ind w:left="-656" w:firstLine="656"/>
        <w:spacing w:after="0" w:line="235" w:lineRule="auto"/>
        <w:tabs>
          <w:tab w:leader="none" w:pos="62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183" w:lineRule="exact"/>
        <w:rPr>
          <w:rFonts w:ascii="Arial" w:cs="Arial" w:eastAsia="Arial" w:hAnsi="Arial"/>
          <w:sz w:val="22"/>
          <w:szCs w:val="22"/>
          <w:color w:val="auto"/>
        </w:rPr>
      </w:pPr>
    </w:p>
    <w:p>
      <w:pPr>
        <w:jc w:val="both"/>
        <w:ind w:left="-656" w:firstLine="656"/>
        <w:spacing w:after="0" w:line="236" w:lineRule="auto"/>
        <w:tabs>
          <w:tab w:leader="none" w:pos="55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Administrative Agent shall, in respect of this Agreement, record in the Register, with separate sub-accounts for each Lender, (i) the amount and Borrowing Date of each Term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87" w:lineRule="exact"/>
        <w:rPr>
          <w:rFonts w:ascii="Arial" w:cs="Arial" w:eastAsia="Arial" w:hAnsi="Arial"/>
          <w:sz w:val="22"/>
          <w:szCs w:val="22"/>
          <w:color w:val="auto"/>
        </w:rPr>
      </w:pPr>
    </w:p>
    <w:p>
      <w:pPr>
        <w:jc w:val="both"/>
        <w:ind w:left="-656" w:firstLine="656"/>
        <w:spacing w:after="0" w:line="233" w:lineRule="auto"/>
        <w:tabs>
          <w:tab w:leader="none" w:pos="62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The entries made in the Register and the accounts of each Lender maintained pursuant to </w:t>
      </w:r>
      <w:r>
        <w:rPr>
          <w:rFonts w:ascii="Arial" w:cs="Arial" w:eastAsia="Arial" w:hAnsi="Arial"/>
          <w:sz w:val="22"/>
          <w:szCs w:val="22"/>
          <w:u w:val="single" w:color="auto"/>
          <w:color w:val="auto"/>
        </w:rPr>
        <w:t>Sections</w:t>
      </w:r>
      <w:r>
        <w:rPr>
          <w:rFonts w:ascii="Arial" w:cs="Arial" w:eastAsia="Arial" w:hAnsi="Arial"/>
          <w:sz w:val="22"/>
          <w:szCs w:val="22"/>
          <w:color w:val="auto"/>
        </w:rPr>
        <w:t xml:space="preserve"> </w:t>
      </w:r>
      <w:r>
        <w:rPr>
          <w:rFonts w:ascii="Arial" w:cs="Arial" w:eastAsia="Arial" w:hAnsi="Arial"/>
          <w:sz w:val="22"/>
          <w:szCs w:val="22"/>
          <w:u w:val="single" w:color="auto"/>
          <w:color w:val="auto"/>
        </w:rPr>
        <w:t>2.7(b)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186" w:lineRule="exact"/>
        <w:rPr>
          <w:rFonts w:ascii="Arial" w:cs="Arial" w:eastAsia="Arial" w:hAnsi="Arial"/>
          <w:sz w:val="22"/>
          <w:szCs w:val="22"/>
          <w:color w:val="auto"/>
        </w:rPr>
      </w:pPr>
    </w:p>
    <w:p>
      <w:pPr>
        <w:jc w:val="both"/>
        <w:ind w:left="-656" w:firstLine="656"/>
        <w:spacing w:after="0" w:line="238" w:lineRule="auto"/>
        <w:tabs>
          <w:tab w:leader="none" w:pos="51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Term Loans in form and substance reasonably satisfactory to the Lender and the Borrower.</w:t>
      </w:r>
    </w:p>
    <w:p>
      <w:pPr>
        <w:spacing w:after="0" w:line="185"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u w:val="single" w:color="auto"/>
          <w:color w:val="auto"/>
        </w:rPr>
        <w:t>Interest Rates and Payment Dates</w:t>
      </w:r>
      <w:r>
        <w:rPr>
          <w:rFonts w:ascii="Arial" w:cs="Arial" w:eastAsia="Arial" w:hAnsi="Arial"/>
          <w:sz w:val="21"/>
          <w:szCs w:val="21"/>
          <w:color w:val="auto"/>
        </w:rPr>
        <w:t>.</w:t>
      </w:r>
    </w:p>
    <w:p>
      <w:pPr>
        <w:spacing w:after="0" w:line="206" w:lineRule="exact"/>
        <w:rPr>
          <w:sz w:val="20"/>
          <w:szCs w:val="20"/>
          <w:color w:val="auto"/>
        </w:rPr>
      </w:pPr>
    </w:p>
    <w:p>
      <w:pPr>
        <w:jc w:val="both"/>
        <w:ind w:left="-656" w:firstLine="656"/>
        <w:spacing w:after="0" w:line="241" w:lineRule="auto"/>
        <w:tabs>
          <w:tab w:leader="none" w:pos="612"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Each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shall bear interest for each day during each Interest Period with respect thereto at a rate per annum equal to </w:t>
      </w:r>
      <w:r>
        <w:rPr>
          <w:rFonts w:ascii="Arial" w:cs="Arial" w:eastAsia="Arial" w:hAnsi="Arial"/>
          <w:sz w:val="22"/>
          <w:szCs w:val="22"/>
          <w:color w:val="FF0000"/>
          <w:strike w:val="1"/>
        </w:rPr>
        <w:t>the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determined for such Interest Period plus the Applicable Margin.</w:t>
      </w:r>
    </w:p>
    <w:p>
      <w:pPr>
        <w:spacing w:after="0" w:line="182" w:lineRule="exact"/>
        <w:rPr>
          <w:rFonts w:ascii="Arial" w:cs="Arial" w:eastAsia="Arial" w:hAnsi="Arial"/>
          <w:sz w:val="22"/>
          <w:szCs w:val="22"/>
          <w:color w:val="auto"/>
        </w:rPr>
      </w:pPr>
    </w:p>
    <w:p>
      <w:pPr>
        <w:ind w:left="-656" w:firstLine="656"/>
        <w:spacing w:after="0" w:line="239" w:lineRule="auto"/>
        <w:tabs>
          <w:tab w:leader="none" w:pos="553" w:val="left"/>
        </w:tabs>
        <w:numPr>
          <w:ilvl w:val="0"/>
          <w:numId w:val="186"/>
        </w:numPr>
        <w:rPr>
          <w:rFonts w:ascii="Arial" w:cs="Arial" w:eastAsia="Arial" w:hAnsi="Arial"/>
          <w:sz w:val="22"/>
          <w:szCs w:val="22"/>
          <w:color w:val="auto"/>
        </w:rPr>
      </w:pPr>
      <w:r>
        <w:rPr>
          <w:rFonts w:ascii="Arial" w:cs="Arial" w:eastAsia="Arial" w:hAnsi="Arial"/>
          <w:sz w:val="22"/>
          <w:szCs w:val="22"/>
          <w:color w:val="auto"/>
        </w:rPr>
        <w:t>Each Base Rate Loan shall bear interest at a rate per annum equal to the Base Rate from time to time plus the Applicable Margin.</w:t>
      </w:r>
    </w:p>
    <w:p>
      <w:pPr>
        <w:spacing w:after="0" w:line="184" w:lineRule="exact"/>
        <w:rPr>
          <w:rFonts w:ascii="Arial" w:cs="Arial" w:eastAsia="Arial" w:hAnsi="Arial"/>
          <w:sz w:val="22"/>
          <w:szCs w:val="22"/>
          <w:color w:val="auto"/>
        </w:rPr>
      </w:pPr>
    </w:p>
    <w:p>
      <w:pPr>
        <w:jc w:val="both"/>
        <w:ind w:left="-656" w:firstLine="656"/>
        <w:spacing w:after="0" w:line="241" w:lineRule="auto"/>
        <w:tabs>
          <w:tab w:leader="none" w:pos="56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Notwithstanding the foregoing, upon the occurrence and during the continuance of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at any time after the date on which any principal amount of any Term Loan is due and payable (whether on the</w:t>
      </w:r>
    </w:p>
    <w:p>
      <w:pPr>
        <w:sectPr>
          <w:pgSz w:w="11900" w:h="16838" w:orient="portrait"/>
          <w:cols w:equalWidth="0" w:num="1">
            <w:col w:w="10584"/>
          </w:cols>
          <w:pgMar w:left="976" w:top="1440" w:right="339" w:bottom="1440" w:gutter="0" w:footer="0" w:header="0"/>
        </w:sectPr>
      </w:pPr>
    </w:p>
    <w:bookmarkStart w:id="246" w:name="page247"/>
    <w:bookmarkEnd w:id="246"/>
    <w:p>
      <w:pPr>
        <w:jc w:val="both"/>
        <w:spacing w:after="0" w:line="233" w:lineRule="auto"/>
        <w:rPr>
          <w:sz w:val="20"/>
          <w:szCs w:val="20"/>
          <w:color w:val="auto"/>
        </w:rPr>
      </w:pPr>
      <w:r>
        <w:rPr>
          <w:rFonts w:ascii="Arial" w:cs="Arial" w:eastAsia="Arial" w:hAnsi="Arial"/>
          <w:sz w:val="22"/>
          <w:szCs w:val="22"/>
          <w:color w:val="auto"/>
        </w:rPr>
        <w:t>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Term Loan, the rate of interest that otherwise would be applicable to such Term Loan plus 2% per annum and (ii) in the case of overdue interest, fees, and other monetary Obligations, the rate then applicable to Base Rate Loans plus 2% per annum.</w:t>
      </w:r>
    </w:p>
    <w:p>
      <w:pPr>
        <w:spacing w:after="0" w:line="184" w:lineRule="exact"/>
        <w:rPr>
          <w:sz w:val="20"/>
          <w:szCs w:val="20"/>
          <w:color w:val="auto"/>
        </w:rPr>
      </w:pPr>
    </w:p>
    <w:p>
      <w:pPr>
        <w:ind w:firstLine="656"/>
        <w:spacing w:after="0" w:line="251" w:lineRule="auto"/>
        <w:tabs>
          <w:tab w:leader="none" w:pos="131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Interest shall be payable in arrears on each Interest Payment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interest accruing pursuant to paragraph (c) of this Section shall be payable from time to time on demand.</w:t>
      </w:r>
    </w:p>
    <w:p>
      <w:pPr>
        <w:spacing w:after="0" w:line="17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u w:val="single" w:color="auto"/>
          <w:color w:val="auto"/>
        </w:rPr>
        <w:t>Computation of Interest and Fees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2" w:lineRule="auto"/>
        <w:tabs>
          <w:tab w:leader="none" w:pos="1267"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w:t>
      </w:r>
      <w:r>
        <w:rPr>
          <w:rFonts w:ascii="Arial" w:cs="Arial" w:eastAsia="Arial" w:hAnsi="Arial"/>
          <w:sz w:val="22"/>
          <w:szCs w:val="22"/>
          <w:color w:val="FF0000"/>
          <w:strike w:val="1"/>
        </w:rPr>
        <w:t>a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Any change in the interest rate on a Term Loan resulting from a change in the Base Rate </w:t>
      </w:r>
      <w:r>
        <w:rPr>
          <w:rFonts w:ascii="Arial" w:cs="Arial" w:eastAsia="Arial" w:hAnsi="Arial"/>
          <w:sz w:val="22"/>
          <w:szCs w:val="22"/>
          <w:color w:val="FF0000"/>
          <w:strike w:val="1"/>
        </w:rPr>
        <w:t>or the Eurocurrency Reserve Requirements</w:t>
      </w:r>
      <w:r>
        <w:rPr>
          <w:rFonts w:ascii="Arial" w:cs="Arial" w:eastAsia="Arial" w:hAnsi="Arial"/>
          <w:sz w:val="22"/>
          <w:szCs w:val="22"/>
          <w:color w:val="auto"/>
        </w:rPr>
        <w:t xml:space="preserve">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188" w:lineRule="exact"/>
        <w:rPr>
          <w:rFonts w:ascii="Arial" w:cs="Arial" w:eastAsia="Arial" w:hAnsi="Arial"/>
          <w:sz w:val="22"/>
          <w:szCs w:val="22"/>
          <w:color w:val="auto"/>
        </w:rPr>
      </w:pPr>
    </w:p>
    <w:p>
      <w:pPr>
        <w:ind w:firstLine="656"/>
        <w:spacing w:after="0" w:line="251" w:lineRule="auto"/>
        <w:tabs>
          <w:tab w:leader="none" w:pos="130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Each determination of an interest rate by the Administrative Agent pursuant to any provision of this Agreement shall be conclusive and binding on the Borrower and the Lenders in the absence of manifest error.</w:t>
      </w:r>
    </w:p>
    <w:p>
      <w:pPr>
        <w:spacing w:after="0" w:line="172" w:lineRule="exact"/>
        <w:rPr>
          <w:rFonts w:ascii="Arial" w:cs="Arial" w:eastAsia="Arial" w:hAnsi="Arial"/>
          <w:sz w:val="22"/>
          <w:szCs w:val="22"/>
          <w:color w:val="auto"/>
        </w:rPr>
      </w:pPr>
    </w:p>
    <w:p>
      <w:pPr>
        <w:jc w:val="both"/>
        <w:ind w:firstLine="656"/>
        <w:spacing w:after="0" w:line="233" w:lineRule="auto"/>
        <w:tabs>
          <w:tab w:leader="none" w:pos="1233"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as a result of any restatement of public disclosure, inaccuracy in any certificate delivered or similar miscalculation of the KPI Metrics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u w:val="single" w:color="auto"/>
          <w:color w:val="auto"/>
        </w:rPr>
        <w:t>Benchmark Replacement Setting</w:t>
      </w:r>
      <w:r>
        <w:rPr>
          <w:rFonts w:ascii="Arial" w:cs="Arial" w:eastAsia="Arial" w:hAnsi="Arial"/>
          <w:sz w:val="21"/>
          <w:szCs w:val="21"/>
          <w:color w:val="auto"/>
        </w:rPr>
        <w:t>.</w:t>
      </w:r>
    </w:p>
    <w:p>
      <w:pPr>
        <w:spacing w:after="0" w:line="206" w:lineRule="exact"/>
        <w:rPr>
          <w:sz w:val="20"/>
          <w:szCs w:val="20"/>
          <w:color w:val="auto"/>
        </w:rPr>
      </w:pPr>
    </w:p>
    <w:p>
      <w:pPr>
        <w:ind w:left="1280" w:hanging="624"/>
        <w:spacing w:after="0"/>
        <w:tabs>
          <w:tab w:leader="none" w:pos="12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Subject to clauses (b), (c), (d), (e) and (f) of this Section 2.10, if prior to the first day of any Interest</w:t>
      </w:r>
    </w:p>
    <w:p>
      <w:pPr>
        <w:spacing w:after="0" w:line="6"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Period:</w:t>
      </w:r>
    </w:p>
    <w:p>
      <w:pPr>
        <w:spacing w:after="0" w:line="190" w:lineRule="exact"/>
        <w:rPr>
          <w:rFonts w:ascii="Arial" w:cs="Arial" w:eastAsia="Arial" w:hAnsi="Arial"/>
          <w:sz w:val="22"/>
          <w:szCs w:val="22"/>
          <w:color w:val="auto"/>
        </w:rPr>
      </w:pPr>
    </w:p>
    <w:p>
      <w:pPr>
        <w:jc w:val="both"/>
        <w:ind w:left="660" w:firstLine="644"/>
        <w:spacing w:after="0" w:line="241" w:lineRule="auto"/>
        <w:tabs>
          <w:tab w:leader="none" w:pos="203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Administrative Agent shall have reasonably determined (which determination shall be conclusive and binding upon the Borrower) that, by reason of circumstances affecting the relevant market, adequate and reasonable means</w:t>
      </w:r>
    </w:p>
    <w:p>
      <w:pPr>
        <w:sectPr>
          <w:pgSz w:w="11900" w:h="16838" w:orient="portrait"/>
          <w:cols w:equalWidth="0" w:num="1">
            <w:col w:w="11240"/>
          </w:cols>
          <w:pgMar w:left="320" w:top="1413" w:right="339" w:bottom="1440" w:gutter="0" w:footer="0" w:header="0"/>
        </w:sectPr>
      </w:pPr>
    </w:p>
    <w:bookmarkStart w:id="247" w:name="page248"/>
    <w:bookmarkEnd w:id="247"/>
    <w:p>
      <w:pPr>
        <w:ind w:left="660"/>
        <w:spacing w:after="0"/>
        <w:rPr>
          <w:sz w:val="20"/>
          <w:szCs w:val="20"/>
          <w:color w:val="auto"/>
        </w:rPr>
      </w:pPr>
      <w:r>
        <w:rPr>
          <w:rFonts w:ascii="Arial" w:cs="Arial" w:eastAsia="Arial" w:hAnsi="Arial"/>
          <w:sz w:val="22"/>
          <w:szCs w:val="22"/>
          <w:color w:val="auto"/>
        </w:rPr>
        <w:t xml:space="preserve">do not exist for ascertaining </w:t>
      </w:r>
      <w:r>
        <w:rPr>
          <w:rFonts w:ascii="Arial" w:cs="Arial" w:eastAsia="Arial" w:hAnsi="Arial"/>
          <w:sz w:val="22"/>
          <w:szCs w:val="22"/>
          <w:color w:val="FF0000"/>
          <w:strike w:val="1"/>
        </w:rPr>
        <w:t>the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for such Interest Period, or</w:t>
      </w:r>
    </w:p>
    <w:p>
      <w:pPr>
        <w:spacing w:after="0" w:line="206" w:lineRule="exact"/>
        <w:rPr>
          <w:sz w:val="20"/>
          <w:szCs w:val="20"/>
          <w:color w:val="auto"/>
        </w:rPr>
      </w:pPr>
    </w:p>
    <w:p>
      <w:pPr>
        <w:jc w:val="both"/>
        <w:ind w:left="660" w:firstLine="644"/>
        <w:spacing w:after="0" w:line="238" w:lineRule="auto"/>
        <w:tabs>
          <w:tab w:leader="none" w:pos="18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the Administrative Agent shall have received notice from the Required Lenders that </w:t>
      </w:r>
      <w:r>
        <w:rPr>
          <w:rFonts w:ascii="Arial" w:cs="Arial" w:eastAsia="Arial" w:hAnsi="Arial"/>
          <w:sz w:val="22"/>
          <w:szCs w:val="22"/>
          <w:color w:val="FF0000"/>
          <w:strike w:val="1"/>
        </w:rPr>
        <w:t>the Eurodollar</w:t>
      </w:r>
      <w:r>
        <w:rPr>
          <w:rFonts w:ascii="Arial" w:cs="Arial" w:eastAsia="Arial" w:hAnsi="Arial"/>
          <w:sz w:val="22"/>
          <w:szCs w:val="22"/>
          <w:color w:val="auto"/>
        </w:rPr>
        <w:t xml:space="preserve"> </w:t>
      </w:r>
      <w:r>
        <w:rPr>
          <w:rFonts w:ascii="Arial" w:cs="Arial" w:eastAsia="Arial" w:hAnsi="Arial"/>
          <w:sz w:val="22"/>
          <w:szCs w:val="22"/>
          <w:color w:val="FF0000"/>
          <w:strike w:val="1"/>
        </w:rPr>
        <w:t>Rate</w:t>
      </w:r>
      <w:r>
        <w:rPr>
          <w:rFonts w:ascii="Arial" w:cs="Arial" w:eastAsia="Arial" w:hAnsi="Arial"/>
          <w:sz w:val="22"/>
          <w:szCs w:val="22"/>
          <w:u w:val="single" w:color="auto"/>
          <w:color w:val="0000FF"/>
        </w:rPr>
        <w:t>Adjusted Term SOFR</w:t>
      </w:r>
      <w:r>
        <w:rPr>
          <w:rFonts w:ascii="Arial" w:cs="Arial" w:eastAsia="Arial" w:hAnsi="Arial"/>
          <w:sz w:val="22"/>
          <w:szCs w:val="22"/>
          <w:color w:val="FF0000"/>
        </w:rPr>
        <w:t xml:space="preserve"> </w:t>
      </w:r>
      <w:r>
        <w:rPr>
          <w:rFonts w:ascii="Arial" w:cs="Arial" w:eastAsia="Arial" w:hAnsi="Arial"/>
          <w:sz w:val="22"/>
          <w:szCs w:val="22"/>
          <w:color w:val="000000"/>
        </w:rPr>
        <w:t>determined or to be determined for such Interest Period in good faith by such</w:t>
      </w:r>
      <w:r>
        <w:rPr>
          <w:rFonts w:ascii="Arial" w:cs="Arial" w:eastAsia="Arial" w:hAnsi="Arial"/>
          <w:sz w:val="22"/>
          <w:szCs w:val="22"/>
          <w:color w:val="FF0000"/>
        </w:rPr>
        <w:t xml:space="preserve"> </w:t>
      </w:r>
      <w:r>
        <w:rPr>
          <w:rFonts w:ascii="Arial" w:cs="Arial" w:eastAsia="Arial" w:hAnsi="Arial"/>
          <w:sz w:val="22"/>
          <w:szCs w:val="22"/>
          <w:color w:val="000000"/>
        </w:rPr>
        <w:t>Required Lenders will not adequately and fairly reflect the cost to such Lenders (as conclusively certified by such Lenders) of making or maintaining their affected Term Loans during such Interest Period,</w:t>
      </w:r>
    </w:p>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the Administrative Agent shall give telecopy or telephonic notice thereof to the Borrower and the relevant Lenders as soon as practicable thereafter. If such notice is given (x)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hereunder requested to be made on the first day of such Interest Period shall be made as Base Rate Loans, (y) any Term Loans hereunder that were to have been converted on the first day of such Interest Period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shall be continued as Base Rate Loans and (z) any outstanding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hereunder shall be converted, on the last day of the then-current Interest Period, to Base Rate Loans;</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circumstances giving rise to such notice shall cease or otherwise become inapplicable to such Required Lenders, then such Required Lenders shall promptly give notice of such change in circumstances to the Administrative Agent and the Borrower. Until such notice has been withdrawn by the Administrative Agent, no further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hereunder shall be made or continued as such, nor shall the Borrower have the right to</w:t>
      </w:r>
      <w:r>
        <w:rPr>
          <w:rFonts w:ascii="Arial" w:cs="Arial" w:eastAsia="Arial" w:hAnsi="Arial"/>
          <w:sz w:val="22"/>
          <w:szCs w:val="22"/>
          <w:color w:val="FF0000"/>
        </w:rPr>
        <w:t xml:space="preserve"> </w:t>
      </w:r>
      <w:r>
        <w:rPr>
          <w:rFonts w:ascii="Arial" w:cs="Arial" w:eastAsia="Arial" w:hAnsi="Arial"/>
          <w:sz w:val="22"/>
          <w:szCs w:val="22"/>
          <w:color w:val="000000"/>
        </w:rPr>
        <w:t xml:space="preserve">convert Term Loans hereunder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Loans.</w:t>
      </w:r>
    </w:p>
    <w:p>
      <w:pPr>
        <w:spacing w:after="0" w:line="187" w:lineRule="exact"/>
        <w:rPr>
          <w:sz w:val="20"/>
          <w:szCs w:val="20"/>
          <w:color w:val="auto"/>
        </w:rPr>
      </w:pPr>
    </w:p>
    <w:p>
      <w:pPr>
        <w:jc w:val="both"/>
        <w:ind w:firstLine="656"/>
        <w:spacing w:after="0" w:line="230" w:lineRule="auto"/>
        <w:tabs>
          <w:tab w:leader="none" w:pos="1412" w:val="left"/>
        </w:tabs>
        <w:numPr>
          <w:ilvl w:val="0"/>
          <w:numId w:val="191"/>
        </w:numPr>
        <w:rPr>
          <w:rFonts w:ascii="Arial" w:cs="Arial" w:eastAsia="Arial" w:hAnsi="Arial"/>
          <w:sz w:val="22"/>
          <w:szCs w:val="22"/>
          <w:color w:val="auto"/>
        </w:rPr>
      </w:pP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Notwithstanding anything to the contrary herein or in any other Loan Document, if a Benchmark Transition Event </w:t>
      </w:r>
      <w:r>
        <w:rPr>
          <w:rFonts w:ascii="Arial" w:cs="Arial" w:eastAsia="Arial" w:hAnsi="Arial"/>
          <w:sz w:val="22"/>
          <w:szCs w:val="22"/>
          <w:color w:val="FF0000"/>
          <w:strike w:val="1"/>
        </w:rPr>
        <w:t>or an Early Opt-in Election, as applicable,</w:t>
      </w:r>
      <w:r>
        <w:rPr>
          <w:rFonts w:ascii="Arial" w:cs="Arial" w:eastAsia="Arial" w:hAnsi="Arial"/>
          <w:sz w:val="22"/>
          <w:szCs w:val="22"/>
          <w:color w:val="auto"/>
        </w:rPr>
        <w:t xml:space="preserve"> and its related Benchmark Replacement Date have occurred prior to the Reference Time in respect of any setting of the then-current Benchmark, then (x) if a Benchmark Replacement is determined in accordance with clause (1) </w:t>
      </w:r>
      <w:r>
        <w:rPr>
          <w:rFonts w:ascii="Arial" w:cs="Arial" w:eastAsia="Arial" w:hAnsi="Arial"/>
          <w:sz w:val="22"/>
          <w:szCs w:val="22"/>
          <w:color w:val="FF0000"/>
          <w:strike w:val="1"/>
        </w:rPr>
        <w:t>or (2)</w:t>
      </w:r>
      <w:r>
        <w:rPr>
          <w:rFonts w:ascii="Arial" w:cs="Arial" w:eastAsia="Arial" w:hAnsi="Arial"/>
          <w:sz w:val="22"/>
          <w:szCs w:val="22"/>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22"/>
          <w:szCs w:val="22"/>
          <w:color w:val="FF0000"/>
          <w:strike w:val="1"/>
        </w:rPr>
        <w:t>3</w:t>
      </w:r>
      <w:r>
        <w:rPr>
          <w:rFonts w:ascii="Arial" w:cs="Arial" w:eastAsia="Arial" w:hAnsi="Arial"/>
          <w:sz w:val="22"/>
          <w:szCs w:val="22"/>
          <w:u w:val="single" w:color="auto"/>
          <w:color w:val="0000FF"/>
        </w:rPr>
        <w:t>2</w:t>
      </w:r>
      <w:r>
        <w:rPr>
          <w:rFonts w:ascii="Arial" w:cs="Arial" w:eastAsia="Arial" w:hAnsi="Arial"/>
          <w:sz w:val="22"/>
          <w:szCs w:val="22"/>
          <w:color w:val="auto"/>
        </w:rPr>
        <w:t>)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ectPr>
          <w:pgSz w:w="11900" w:h="16838" w:orient="portrait"/>
          <w:cols w:equalWidth="0" w:num="1">
            <w:col w:w="11240"/>
          </w:cols>
          <w:pgMar w:left="320" w:top="1413" w:right="339" w:bottom="1440" w:gutter="0" w:footer="0" w:header="0"/>
        </w:sectPr>
      </w:pPr>
    </w:p>
    <w:bookmarkStart w:id="248" w:name="page249"/>
    <w:bookmarkEnd w:id="248"/>
    <w:p>
      <w:pPr>
        <w:jc w:val="both"/>
        <w:ind w:left="-8" w:firstLine="656"/>
        <w:spacing w:after="0" w:line="236" w:lineRule="auto"/>
        <w:tabs>
          <w:tab w:leader="none" w:pos="1201" w:val="left"/>
        </w:tabs>
        <w:numPr>
          <w:ilvl w:val="1"/>
          <w:numId w:val="192"/>
        </w:numPr>
        <w:rPr>
          <w:rFonts w:ascii="Arial" w:cs="Arial" w:eastAsia="Arial" w:hAnsi="Arial"/>
          <w:sz w:val="22"/>
          <w:szCs w:val="22"/>
          <w:color w:val="auto"/>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7" w:lineRule="exact"/>
        <w:rPr>
          <w:rFonts w:ascii="Arial" w:cs="Arial" w:eastAsia="Arial" w:hAnsi="Arial"/>
          <w:sz w:val="22"/>
          <w:szCs w:val="22"/>
          <w:color w:val="auto"/>
        </w:rPr>
      </w:pPr>
    </w:p>
    <w:p>
      <w:pPr>
        <w:jc w:val="both"/>
        <w:ind w:left="-8" w:firstLine="656"/>
        <w:spacing w:after="0" w:line="231" w:lineRule="auto"/>
        <w:tabs>
          <w:tab w:leader="none" w:pos="1225" w:val="left"/>
        </w:tabs>
        <w:numPr>
          <w:ilvl w:val="1"/>
          <w:numId w:val="192"/>
        </w:numPr>
        <w:rPr>
          <w:rFonts w:ascii="Arial" w:cs="Arial" w:eastAsia="Arial" w:hAnsi="Arial"/>
          <w:sz w:val="22"/>
          <w:szCs w:val="22"/>
          <w:color w:val="auto"/>
        </w:rPr>
      </w:pPr>
      <w:r>
        <w:rPr>
          <w:rFonts w:ascii="Arial" w:cs="Arial" w:eastAsia="Arial" w:hAnsi="Arial"/>
          <w:sz w:val="22"/>
          <w:szCs w:val="22"/>
          <w:u w:val="single" w:color="auto"/>
          <w:color w:val="auto"/>
        </w:rPr>
        <w:t>Notices; Standards for Decisions and Determinations</w:t>
      </w:r>
      <w:r>
        <w:rPr>
          <w:rFonts w:ascii="Arial" w:cs="Arial" w:eastAsia="Arial" w:hAnsi="Arial"/>
          <w:sz w:val="22"/>
          <w:szCs w:val="22"/>
          <w:color w:val="auto"/>
        </w:rPr>
        <w:t xml:space="preserve">. The Administrative Agent will promptly notify the Borrower and the Lenders of (i) any occurrence of a Benchmark Transition Event </w:t>
      </w:r>
      <w:r>
        <w:rPr>
          <w:rFonts w:ascii="Arial" w:cs="Arial" w:eastAsia="Arial" w:hAnsi="Arial"/>
          <w:sz w:val="22"/>
          <w:szCs w:val="22"/>
          <w:color w:val="FF0000"/>
          <w:strike w:val="1"/>
        </w:rPr>
        <w:t>or an Early Opt-in Election, as</w:t>
      </w:r>
      <w:r>
        <w:rPr>
          <w:rFonts w:ascii="Arial" w:cs="Arial" w:eastAsia="Arial" w:hAnsi="Arial"/>
          <w:sz w:val="22"/>
          <w:szCs w:val="22"/>
          <w:color w:val="auto"/>
        </w:rPr>
        <w:t xml:space="preserve"> </w:t>
      </w:r>
      <w:r>
        <w:rPr>
          <w:rFonts w:ascii="Arial" w:cs="Arial" w:eastAsia="Arial" w:hAnsi="Arial"/>
          <w:sz w:val="22"/>
          <w:szCs w:val="22"/>
          <w:color w:val="FF0000"/>
          <w:strike w:val="1"/>
        </w:rPr>
        <w:t>applicable,</w:t>
      </w:r>
      <w:r>
        <w:rPr>
          <w:rFonts w:ascii="Arial" w:cs="Arial" w:eastAsia="Arial" w:hAnsi="Arial"/>
          <w:sz w:val="22"/>
          <w:szCs w:val="22"/>
          <w:color w:val="FF0000"/>
        </w:rPr>
        <w:t xml:space="preserve"> </w:t>
      </w:r>
      <w:r>
        <w:rPr>
          <w:rFonts w:ascii="Arial" w:cs="Arial" w:eastAsia="Arial" w:hAnsi="Arial"/>
          <w:sz w:val="22"/>
          <w:szCs w:val="22"/>
          <w:color w:val="000000"/>
        </w:rPr>
        <w:t>and its related Benchmark Replacement Date, (ii) the implementation of any Benchmark Replacement,</w:t>
      </w:r>
    </w:p>
    <w:p>
      <w:pPr>
        <w:spacing w:after="0" w:line="1" w:lineRule="exact"/>
        <w:rPr>
          <w:rFonts w:ascii="Arial" w:cs="Arial" w:eastAsia="Arial" w:hAnsi="Arial"/>
          <w:sz w:val="22"/>
          <w:szCs w:val="22"/>
          <w:color w:val="auto"/>
        </w:rPr>
      </w:pPr>
    </w:p>
    <w:p>
      <w:pPr>
        <w:jc w:val="both"/>
        <w:ind w:left="-8" w:firstLine="8"/>
        <w:spacing w:after="0" w:line="232" w:lineRule="auto"/>
        <w:tabs>
          <w:tab w:leader="none" w:pos="35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titled “Benchmark Replacement Setting,”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titled “Benchmark Replacement Setting.”</w:t>
      </w:r>
    </w:p>
    <w:p>
      <w:pPr>
        <w:spacing w:after="0" w:line="172" w:lineRule="exact"/>
        <w:rPr>
          <w:rFonts w:ascii="Arial" w:cs="Arial" w:eastAsia="Arial" w:hAnsi="Arial"/>
          <w:sz w:val="22"/>
          <w:szCs w:val="22"/>
          <w:color w:val="auto"/>
        </w:rPr>
      </w:pPr>
    </w:p>
    <w:p>
      <w:pPr>
        <w:jc w:val="both"/>
        <w:ind w:left="-8" w:firstLine="656"/>
        <w:spacing w:after="0" w:line="243" w:lineRule="auto"/>
        <w:tabs>
          <w:tab w:leader="none" w:pos="1256" w:val="left"/>
        </w:tabs>
        <w:numPr>
          <w:ilvl w:val="1"/>
          <w:numId w:val="193"/>
        </w:numPr>
        <w:rPr>
          <w:rFonts w:ascii="Arial" w:cs="Arial" w:eastAsia="Arial" w:hAnsi="Arial"/>
          <w:sz w:val="21"/>
          <w:szCs w:val="21"/>
          <w:color w:val="auto"/>
        </w:rPr>
      </w:pPr>
      <w:r>
        <w:rPr>
          <w:rFonts w:ascii="Arial" w:cs="Arial" w:eastAsia="Arial" w:hAnsi="Arial"/>
          <w:sz w:val="21"/>
          <w:szCs w:val="21"/>
          <w:u w:val="single" w:color="auto"/>
          <w:color w:val="auto"/>
        </w:rPr>
        <w:t>Unavailability of Tenor of Benchmark</w:t>
      </w:r>
      <w:r>
        <w:rPr>
          <w:rFonts w:ascii="Arial" w:cs="Arial" w:eastAsia="Arial" w:hAnsi="Arial"/>
          <w:sz w:val="21"/>
          <w:szCs w:val="21"/>
          <w:color w:val="auto"/>
        </w:rPr>
        <w:t xml:space="preserve">. Notwithstanding anything to the contrary herein or in any other Loan Document, at any time (including in connection with the implementation of a Benchmark Replacement), (i) if the then-current Benchmark is a term rate (including Term SOFR </w:t>
      </w:r>
      <w:r>
        <w:rPr>
          <w:rFonts w:ascii="Arial" w:cs="Arial" w:eastAsia="Arial" w:hAnsi="Arial"/>
          <w:sz w:val="21"/>
          <w:szCs w:val="21"/>
          <w:color w:val="FF0000"/>
        </w:rPr>
        <w:t>or LIBOR</w:t>
      </w:r>
      <w:r>
        <w:rPr>
          <w:rFonts w:ascii="Arial" w:cs="Arial" w:eastAsia="Arial" w:hAnsi="Arial"/>
          <w:sz w:val="21"/>
          <w:szCs w:val="21"/>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w:t>
      </w:r>
    </w:p>
    <w:p>
      <w:pPr>
        <w:spacing w:after="0" w:line="3" w:lineRule="exact"/>
        <w:rPr>
          <w:rFonts w:ascii="Arial" w:cs="Arial" w:eastAsia="Arial" w:hAnsi="Arial"/>
          <w:sz w:val="21"/>
          <w:szCs w:val="21"/>
          <w:color w:val="auto"/>
        </w:rPr>
      </w:pPr>
    </w:p>
    <w:p>
      <w:pPr>
        <w:jc w:val="both"/>
        <w:ind w:left="-8" w:firstLine="8"/>
        <w:spacing w:after="0" w:line="231" w:lineRule="auto"/>
        <w:tabs>
          <w:tab w:leader="none" w:pos="32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4" w:lineRule="exact"/>
        <w:rPr>
          <w:rFonts w:ascii="Arial" w:cs="Arial" w:eastAsia="Arial" w:hAnsi="Arial"/>
          <w:sz w:val="22"/>
          <w:szCs w:val="22"/>
          <w:color w:val="auto"/>
        </w:rPr>
      </w:pPr>
    </w:p>
    <w:p>
      <w:pPr>
        <w:jc w:val="both"/>
        <w:ind w:left="-8" w:firstLine="656"/>
        <w:spacing w:after="0" w:line="238" w:lineRule="auto"/>
        <w:tabs>
          <w:tab w:leader="none" w:pos="1257" w:val="left"/>
        </w:tabs>
        <w:numPr>
          <w:ilvl w:val="1"/>
          <w:numId w:val="194"/>
        </w:numPr>
        <w:rPr>
          <w:rFonts w:ascii="Arial" w:cs="Arial" w:eastAsia="Arial" w:hAnsi="Arial"/>
          <w:sz w:val="22"/>
          <w:szCs w:val="22"/>
          <w:color w:val="auto"/>
        </w:rPr>
      </w:pP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Upon the Borrower’s receipt of notice of the commencement of a Benchmark Unavailability Period, the Borrower may revoke any request for a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Borrowing of, conversion to or continuation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to be made, converted or continued during any Benchmark Unavailability Period and, failing that, the Borrower will be deemed to have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3714750</wp:posOffset>
            </wp:positionH>
            <wp:positionV relativeFrom="paragraph">
              <wp:posOffset>-2371090</wp:posOffset>
            </wp:positionV>
            <wp:extent cx="614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14680" cy="8255"/>
                    </a:xfrm>
                    <a:prstGeom prst="rect">
                      <a:avLst/>
                    </a:prstGeom>
                    <a:noFill/>
                  </pic:spPr>
                </pic:pic>
              </a:graphicData>
            </a:graphic>
          </wp:anchor>
        </w:drawing>
      </w:r>
    </w:p>
    <w:p>
      <w:pPr>
        <w:sectPr>
          <w:pgSz w:w="11900" w:h="16838" w:orient="portrait"/>
          <w:cols w:equalWidth="0" w:num="1">
            <w:col w:w="11232"/>
          </w:cols>
          <w:pgMar w:left="328" w:top="1413" w:right="339" w:bottom="1440" w:gutter="0" w:footer="0" w:header="0"/>
        </w:sectPr>
      </w:pPr>
    </w:p>
    <w:bookmarkStart w:id="249" w:name="page250"/>
    <w:bookmarkEnd w:id="249"/>
    <w:p>
      <w:pPr>
        <w:jc w:val="both"/>
        <w:spacing w:after="0" w:line="238" w:lineRule="auto"/>
        <w:rPr>
          <w:sz w:val="20"/>
          <w:szCs w:val="20"/>
          <w:color w:val="auto"/>
        </w:rPr>
      </w:pPr>
      <w:r>
        <w:rPr>
          <w:rFonts w:ascii="Arial" w:cs="Arial" w:eastAsia="Arial" w:hAnsi="Arial"/>
          <w:sz w:val="22"/>
          <w:szCs w:val="22"/>
          <w:color w:val="auto"/>
        </w:rPr>
        <w:t>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The Administrative Agent does not warrant or accept any responsibility for, and shall not have any liability in respect of (a) the monitoring, determination or verification of the unavailability or cessation of </w:t>
      </w:r>
      <w:r>
        <w:rPr>
          <w:rFonts w:ascii="Arial" w:cs="Arial" w:eastAsia="Arial" w:hAnsi="Arial"/>
          <w:sz w:val="22"/>
          <w:szCs w:val="22"/>
          <w:color w:val="FF0000"/>
          <w:strike w:val="1"/>
        </w:rPr>
        <w:t>LIBOR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(or other applicable Benchmark), (b) the administration of, submission of or any other matter related to the reference rate or any spread adjustment, any component definition thereof or rates referenced in the definition thereof or any alternative, comparable or successor rate or adjustment thereto (including any then-current Benchmark, any Benchmark Replacement or any Benchmark Replacement Adjustment), including whether the composition or characteristics of any such alternative, comparable or successor rate or adjustment (including any Benchmark Replacement or any Benchmark Replacement Adjustment) will be similar to, or produce the same value of economic equivalence of, reference rate, any other Benchmark or any Benchmark Replacement Adjustment, or (b) the effect, implementation or composition of any Benchmark Replacement Conforming Changes.</w:t>
      </w:r>
    </w:p>
    <w:p>
      <w:pPr>
        <w:spacing w:after="0" w:line="18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u w:val="single" w:color="auto"/>
          <w:color w:val="auto"/>
        </w:rPr>
        <w:t>Prepayment of Term Loans.</w:t>
      </w:r>
    </w:p>
    <w:p>
      <w:pPr>
        <w:spacing w:after="0" w:line="206" w:lineRule="exact"/>
        <w:rPr>
          <w:sz w:val="20"/>
          <w:szCs w:val="20"/>
          <w:color w:val="auto"/>
        </w:rPr>
      </w:pPr>
    </w:p>
    <w:p>
      <w:pPr>
        <w:jc w:val="both"/>
        <w:ind w:firstLine="656"/>
        <w:spacing w:after="0" w:line="230" w:lineRule="auto"/>
        <w:tabs>
          <w:tab w:leader="none" w:pos="126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Subject to the provisos below, the Borrower may at any time and from time to time prepay the Term Loans, in whole or in part, without premium or penalty, upon irrevocable notice, which shall be in substantially the firm attached hereto as </w:t>
      </w:r>
      <w:r>
        <w:rPr>
          <w:rFonts w:ascii="Arial" w:cs="Arial" w:eastAsia="Arial" w:hAnsi="Arial"/>
          <w:sz w:val="22"/>
          <w:szCs w:val="22"/>
          <w:u w:val="single" w:color="auto"/>
          <w:color w:val="auto"/>
        </w:rPr>
        <w:t>Exhibit G</w:t>
      </w:r>
      <w:r>
        <w:rPr>
          <w:rFonts w:ascii="Arial" w:cs="Arial" w:eastAsia="Arial" w:hAnsi="Arial"/>
          <w:sz w:val="22"/>
          <w:szCs w:val="22"/>
          <w:color w:val="auto"/>
        </w:rPr>
        <w:t xml:space="preserve">, delivered to the Administrative Agent prior to 10:00 A.M., New York City time on the same Business Day, which notice shall specify the date and amount of prepayment and whether the prepayment is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or Base Rate Loans;</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FF0000"/>
        </w:rPr>
        <w:t xml:space="preserve"> </w:t>
      </w:r>
      <w:r>
        <w:rPr>
          <w:rFonts w:ascii="Arial" w:cs="Arial" w:eastAsia="Arial" w:hAnsi="Arial"/>
          <w:sz w:val="22"/>
          <w:szCs w:val="22"/>
          <w:color w:val="000000"/>
        </w:rPr>
        <w:t>that if a</w:t>
      </w:r>
      <w:r>
        <w:rPr>
          <w:rFonts w:ascii="Arial" w:cs="Arial" w:eastAsia="Arial" w:hAnsi="Arial"/>
          <w:sz w:val="22"/>
          <w:szCs w:val="22"/>
          <w:color w:val="FF0000"/>
        </w:rPr>
        <w:t xml:space="preserve">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 is prepaid on any day other</w:t>
      </w:r>
      <w:r>
        <w:rPr>
          <w:rFonts w:ascii="Arial" w:cs="Arial" w:eastAsia="Arial" w:hAnsi="Arial"/>
          <w:sz w:val="22"/>
          <w:szCs w:val="22"/>
          <w:color w:val="FF0000"/>
        </w:rPr>
        <w:t xml:space="preserve"> </w:t>
      </w:r>
      <w:r>
        <w:rPr>
          <w:rFonts w:ascii="Arial" w:cs="Arial" w:eastAsia="Arial" w:hAnsi="Arial"/>
          <w:sz w:val="22"/>
          <w:szCs w:val="22"/>
          <w:color w:val="000000"/>
        </w:rPr>
        <w:t xml:space="preserve">than the last day of the Interest Period applicable thereto, the Borrower shall also pay any amounts owing pursuant to </w:t>
      </w:r>
      <w:r>
        <w:rPr>
          <w:rFonts w:ascii="Arial" w:cs="Arial" w:eastAsia="Arial" w:hAnsi="Arial"/>
          <w:sz w:val="22"/>
          <w:szCs w:val="22"/>
          <w:u w:val="single" w:color="auto"/>
          <w:color w:val="000000"/>
        </w:rPr>
        <w:t>Section 2.17</w:t>
      </w:r>
      <w:r>
        <w:rPr>
          <w:rFonts w:ascii="Arial" w:cs="Arial" w:eastAsia="Arial" w:hAnsi="Arial"/>
          <w:sz w:val="22"/>
          <w:szCs w:val="22"/>
          <w:color w:val="000000"/>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Term Loans maintained as Base Rate Loans) accrued interest to such date on the amount prepaid. Partial prepayments shall be in an aggregate principal amount of $1,000,000 or a whole multiple of $1,000,000 in excess thereof (or, if less, the then outstanding principal amount of Term Loans). The application of any prepayment pursuant to this </w:t>
      </w:r>
      <w:r>
        <w:rPr>
          <w:rFonts w:ascii="Arial" w:cs="Arial" w:eastAsia="Arial" w:hAnsi="Arial"/>
          <w:sz w:val="22"/>
          <w:szCs w:val="22"/>
          <w:u w:val="single" w:color="auto"/>
          <w:color w:val="000000"/>
        </w:rPr>
        <w:t>Section 2.11(a)</w:t>
      </w:r>
      <w:r>
        <w:rPr>
          <w:rFonts w:ascii="Arial" w:cs="Arial" w:eastAsia="Arial" w:hAnsi="Arial"/>
          <w:sz w:val="22"/>
          <w:szCs w:val="22"/>
          <w:color w:val="000000"/>
        </w:rPr>
        <w:t xml:space="preserve"> shall be made, first, to Base Rate Loans of the respective Lenders (and of the respective tranche, if there are multiple tranches) and, second, to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000000"/>
        </w:rPr>
        <w:t xml:space="preserve"> Loans of the respective Lenders (and of the respective tranche, if there are multiple tranches). A notice of prepayment of all outstanding Term Loans pursuant to this </w:t>
      </w:r>
      <w:r>
        <w:rPr>
          <w:rFonts w:ascii="Arial" w:cs="Arial" w:eastAsia="Arial" w:hAnsi="Arial"/>
          <w:sz w:val="22"/>
          <w:szCs w:val="22"/>
          <w:u w:val="single" w:color="auto"/>
          <w:color w:val="000000"/>
        </w:rPr>
        <w:t>Section</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2.11(a)</w:t>
      </w:r>
      <w:r>
        <w:rPr>
          <w:rFonts w:ascii="Arial" w:cs="Arial" w:eastAsia="Arial" w:hAnsi="Arial"/>
          <w:sz w:val="22"/>
          <w:szCs w:val="22"/>
          <w:color w:val="000000"/>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w:t>
      </w:r>
    </w:p>
    <w:p>
      <w:pPr>
        <w:sectPr>
          <w:pgSz w:w="11900" w:h="16838" w:orient="portrait"/>
          <w:cols w:equalWidth="0" w:num="1">
            <w:col w:w="11240"/>
          </w:cols>
          <w:pgMar w:left="320" w:top="1413" w:right="339" w:bottom="1440" w:gutter="0" w:footer="0" w:header="0"/>
        </w:sectPr>
      </w:pPr>
    </w:p>
    <w:bookmarkStart w:id="250" w:name="page251"/>
    <w:bookmarkEnd w:id="250"/>
    <w:p>
      <w:pPr>
        <w:ind w:left="660"/>
        <w:spacing w:after="0"/>
        <w:tabs>
          <w:tab w:leader="none" w:pos="136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21"/>
          <w:szCs w:val="21"/>
          <w:u w:val="single" w:color="auto"/>
          <w:color w:val="auto"/>
        </w:rPr>
        <w:t>Conversion and Continuation Options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3" w:lineRule="auto"/>
        <w:tabs>
          <w:tab w:leader="none" w:pos="1266" w:val="left"/>
        </w:tabs>
        <w:numPr>
          <w:ilvl w:val="1"/>
          <w:numId w:val="196"/>
        </w:numPr>
        <w:rPr>
          <w:rFonts w:ascii="Arial" w:cs="Arial" w:eastAsia="Arial" w:hAnsi="Arial"/>
          <w:sz w:val="21"/>
          <w:szCs w:val="21"/>
          <w:color w:val="auto"/>
        </w:rPr>
      </w:pPr>
      <w:r>
        <w:rPr>
          <w:rFonts w:ascii="Arial" w:cs="Arial" w:eastAsia="Arial" w:hAnsi="Arial"/>
          <w:sz w:val="21"/>
          <w:szCs w:val="21"/>
          <w:color w:val="auto"/>
        </w:rPr>
        <w:t xml:space="preserve">The Borrower may elect from time to time to convert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to Base Rate Loans by giving the Administrative Agent prior irrevocable notice, in substantially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of such election no later than 12:00 Noon, New York City time, on the Business Day preceding the proposed conversion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conversion of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may only be made on the last day of an Interest Period with respect thereto. The Borrower may elect from time to time to convert Base Rate Loans to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Base Rate Loan may be converted into a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when any Event of Default has occurred and is continuing and the Administrative Agent or the Required Lenders have determined in its or their sole discretion not to permit such conversions. Upon receipt of any such notice, the Administrative Agent shall promptly notify each relevant Lender thereof.</w:t>
      </w:r>
    </w:p>
    <w:p>
      <w:pPr>
        <w:spacing w:after="0" w:line="186" w:lineRule="exact"/>
        <w:rPr>
          <w:rFonts w:ascii="Arial" w:cs="Arial" w:eastAsia="Arial" w:hAnsi="Arial"/>
          <w:sz w:val="21"/>
          <w:szCs w:val="21"/>
          <w:color w:val="auto"/>
        </w:rPr>
      </w:pPr>
    </w:p>
    <w:p>
      <w:pPr>
        <w:jc w:val="both"/>
        <w:ind w:firstLine="656"/>
        <w:spacing w:after="0"/>
        <w:tabs>
          <w:tab w:leader="none" w:pos="1257" w:val="left"/>
        </w:tabs>
        <w:numPr>
          <w:ilvl w:val="1"/>
          <w:numId w:val="196"/>
        </w:numPr>
        <w:rPr>
          <w:rFonts w:ascii="Arial" w:cs="Arial" w:eastAsia="Arial" w:hAnsi="Arial"/>
          <w:sz w:val="21"/>
          <w:szCs w:val="21"/>
          <w:color w:val="auto"/>
        </w:rPr>
      </w:pPr>
      <w:r>
        <w:rPr>
          <w:rFonts w:ascii="Arial" w:cs="Arial" w:eastAsia="Arial" w:hAnsi="Arial"/>
          <w:sz w:val="21"/>
          <w:szCs w:val="21"/>
          <w:color w:val="auto"/>
        </w:rPr>
        <w:t xml:space="preserve">Subject to the final sentence of this Section 2.12(b), any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 accordance with the applicable provisions of the term “Interest Period” set forth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the length of the next Interest Period to be applicable to such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if the Borrower shall fail to give any required notice as described above in this paragraph or if such continuation is not permitted pursuant to the preceding proviso such </w:t>
      </w:r>
      <w:r>
        <w:rPr>
          <w:rFonts w:ascii="Arial" w:cs="Arial" w:eastAsia="Arial" w:hAnsi="Arial"/>
          <w:sz w:val="21"/>
          <w:szCs w:val="21"/>
          <w:color w:val="FF0000"/>
          <w:strike w:val="1"/>
        </w:rPr>
        <w:t>Eurodollar</w:t>
      </w:r>
      <w:r>
        <w:rPr>
          <w:rFonts w:ascii="Arial" w:cs="Arial" w:eastAsia="Arial" w:hAnsi="Arial"/>
          <w:sz w:val="21"/>
          <w:szCs w:val="21"/>
          <w:u w:val="single" w:color="auto"/>
          <w:color w:val="0000FF"/>
        </w:rPr>
        <w:t>SOFR</w:t>
      </w:r>
      <w:r>
        <w:rPr>
          <w:rFonts w:ascii="Arial" w:cs="Arial" w:eastAsia="Arial" w:hAnsi="Arial"/>
          <w:sz w:val="21"/>
          <w:szCs w:val="21"/>
          <w:color w:val="auto"/>
        </w:rPr>
        <w:t xml:space="preserve"> Loans shall be automatically converted to Base Rate Loans on the last day of such then expiring Interest Period. Upon receipt of any such notice, the Administrative Agent shall promptly notify each relevant Lender thereof. The Borrower may provide in a Borrowing Request that, for each Interest Period ending on and after June 14, 2021, the Borrower elects for the then outstanding principal amount of the Term Loans to be automatically continued for an Interest Period of one month and such Borrowing Request shall constitute notice of continuation as required under this Section 2.12(b); provided that (i) the Borrower agrees that if prior to the time of any such continuation any Event of Default has occurred and is continuing or will (immediately after giving effect to such continuation) occur and be continuing, it will immediately notify the Administrative Agent and</w:t>
      </w:r>
    </w:p>
    <w:p>
      <w:pPr>
        <w:spacing w:after="0" w:line="14" w:lineRule="exact"/>
        <w:rPr>
          <w:rFonts w:ascii="Arial" w:cs="Arial" w:eastAsia="Arial" w:hAnsi="Arial"/>
          <w:sz w:val="21"/>
          <w:szCs w:val="21"/>
          <w:color w:val="auto"/>
        </w:rPr>
      </w:pPr>
    </w:p>
    <w:p>
      <w:pPr>
        <w:jc w:val="both"/>
        <w:ind w:firstLine="8"/>
        <w:spacing w:after="0" w:line="235" w:lineRule="auto"/>
        <w:tabs>
          <w:tab w:leader="none" w:pos="307" w:val="left"/>
        </w:tabs>
        <w:numPr>
          <w:ilvl w:val="0"/>
          <w:numId w:val="197"/>
        </w:numPr>
        <w:rPr>
          <w:rFonts w:ascii="Arial" w:cs="Arial" w:eastAsia="Arial" w:hAnsi="Arial"/>
          <w:sz w:val="22"/>
          <w:szCs w:val="22"/>
          <w:color w:val="auto"/>
        </w:rPr>
      </w:pPr>
      <w:r>
        <w:rPr>
          <w:rFonts w:ascii="Arial" w:cs="Arial" w:eastAsia="Arial" w:hAnsi="Arial"/>
          <w:sz w:val="22"/>
          <w:szCs w:val="22"/>
          <w:color w:val="auto"/>
        </w:rPr>
        <w:t>prior to the time of any such automatic continuation, unless the Administrative Agent receives written notice to the contrary from the Borrower, the Borrower shall be deemed to certify that no Event of Default has occurred or is continuing</w:t>
      </w:r>
    </w:p>
    <w:p>
      <w:pPr>
        <w:spacing w:after="0" w:line="18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Limitations on</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Eurodollar</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Tranches</w:t>
      </w:r>
      <w:r>
        <w:rPr>
          <w:rFonts w:ascii="Arial" w:cs="Arial" w:eastAsia="Arial" w:hAnsi="Arial"/>
          <w:sz w:val="22"/>
          <w:szCs w:val="22"/>
          <w:color w:val="auto"/>
        </w:rPr>
        <w:t xml:space="preserve">. Notwithstanding anything to the contrary in this Agreement, all borrowings, conversions and continuations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and all selections of Interest Periods shall be in</w:t>
      </w:r>
    </w:p>
    <w:p>
      <w:pPr>
        <w:sectPr>
          <w:pgSz w:w="11900" w:h="16838" w:orient="portrait"/>
          <w:cols w:equalWidth="0" w:num="1">
            <w:col w:w="11240"/>
          </w:cols>
          <w:pgMar w:left="320" w:top="1413" w:right="339" w:bottom="1440" w:gutter="0" w:footer="0" w:header="0"/>
        </w:sectPr>
      </w:pPr>
    </w:p>
    <w:bookmarkStart w:id="251" w:name="page252"/>
    <w:bookmarkEnd w:id="251"/>
    <w:p>
      <w:pPr>
        <w:jc w:val="both"/>
        <w:spacing w:after="0" w:line="241" w:lineRule="auto"/>
        <w:rPr>
          <w:sz w:val="20"/>
          <w:szCs w:val="20"/>
          <w:color w:val="auto"/>
        </w:rPr>
      </w:pPr>
      <w:r>
        <w:rPr>
          <w:rFonts w:ascii="Arial" w:cs="Arial" w:eastAsia="Arial" w:hAnsi="Arial"/>
          <w:sz w:val="22"/>
          <w:szCs w:val="22"/>
          <w:color w:val="auto"/>
        </w:rPr>
        <w:t>such amounts and be made pursuant to such elections so that no more than ten different Interest Periods of Term Loans be outstanding at any one time (unless a greater number of Interest Periods is permitted by the Administrative Agent).</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1"/>
          <w:szCs w:val="21"/>
          <w:u w:val="single" w:color="auto"/>
          <w:color w:val="auto"/>
        </w:rPr>
        <w:t>Pro Rata Treatment, etc.</w:t>
      </w:r>
    </w:p>
    <w:p>
      <w:pPr>
        <w:spacing w:after="0" w:line="206" w:lineRule="exact"/>
        <w:rPr>
          <w:sz w:val="20"/>
          <w:szCs w:val="20"/>
          <w:color w:val="auto"/>
        </w:rPr>
      </w:pPr>
    </w:p>
    <w:p>
      <w:pPr>
        <w:ind w:firstLine="656"/>
        <w:spacing w:after="0" w:line="251" w:lineRule="auto"/>
        <w:tabs>
          <w:tab w:leader="none" w:pos="121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Except as otherwise provided herein, the Term Loan Borrowing on the Closing Date shall be made </w:t>
      </w:r>
      <w:r>
        <w:rPr>
          <w:rFonts w:ascii="Arial" w:cs="Arial" w:eastAsia="Arial" w:hAnsi="Arial"/>
          <w:sz w:val="22"/>
          <w:szCs w:val="22"/>
          <w:u w:val="single" w:color="auto"/>
          <w:color w:val="auto"/>
        </w:rPr>
        <w:t>pro</w:t>
      </w:r>
      <w:r>
        <w:rPr>
          <w:rFonts w:ascii="Arial" w:cs="Arial" w:eastAsia="Arial" w:hAnsi="Arial"/>
          <w:sz w:val="22"/>
          <w:szCs w:val="22"/>
          <w:color w:val="auto"/>
        </w:rPr>
        <w:t xml:space="preserve"> </w:t>
      </w:r>
      <w:r>
        <w:rPr>
          <w:rFonts w:ascii="Arial" w:cs="Arial" w:eastAsia="Arial" w:hAnsi="Arial"/>
          <w:sz w:val="22"/>
          <w:szCs w:val="22"/>
          <w:u w:val="single" w:color="auto"/>
          <w:color w:val="auto"/>
        </w:rPr>
        <w:t>rata</w:t>
      </w:r>
      <w:r>
        <w:rPr>
          <w:rFonts w:ascii="Arial" w:cs="Arial" w:eastAsia="Arial" w:hAnsi="Arial"/>
          <w:sz w:val="22"/>
          <w:szCs w:val="22"/>
          <w:color w:val="auto"/>
        </w:rPr>
        <w:t xml:space="preserve"> among the Lenders.</w:t>
      </w:r>
    </w:p>
    <w:p>
      <w:pPr>
        <w:spacing w:after="0" w:line="159" w:lineRule="exact"/>
        <w:rPr>
          <w:rFonts w:ascii="Arial" w:cs="Arial" w:eastAsia="Arial" w:hAnsi="Arial"/>
          <w:sz w:val="22"/>
          <w:szCs w:val="22"/>
          <w:color w:val="auto"/>
        </w:rPr>
      </w:pPr>
    </w:p>
    <w:p>
      <w:pPr>
        <w:jc w:val="both"/>
        <w:ind w:firstLine="656"/>
        <w:spacing w:after="0" w:line="241" w:lineRule="auto"/>
        <w:tabs>
          <w:tab w:leader="none" w:pos="125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Except as otherwise provided herein, each payment (including each prepayment) by the Borrower on account of principal or interest of the Term Loans shall be made pro rata according to the respective outstanding principal amounts of such Term Loans then held by the applicable Lenders.</w:t>
      </w:r>
    </w:p>
    <w:p>
      <w:pPr>
        <w:spacing w:after="0" w:line="182" w:lineRule="exact"/>
        <w:rPr>
          <w:rFonts w:ascii="Arial" w:cs="Arial" w:eastAsia="Arial" w:hAnsi="Arial"/>
          <w:sz w:val="22"/>
          <w:szCs w:val="22"/>
          <w:color w:val="auto"/>
        </w:rPr>
      </w:pPr>
    </w:p>
    <w:p>
      <w:pPr>
        <w:jc w:val="both"/>
        <w:ind w:firstLine="656"/>
        <w:spacing w:after="0" w:line="234" w:lineRule="auto"/>
        <w:tabs>
          <w:tab w:leader="none" w:pos="122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Term Loan hereunder shall accrue from and including the date of such Term Loan to but excluding the date on which such Term Loan is paid in full.</w:t>
      </w:r>
    </w:p>
    <w:p>
      <w:pPr>
        <w:spacing w:after="0" w:line="190" w:lineRule="exact"/>
        <w:rPr>
          <w:rFonts w:ascii="Arial" w:cs="Arial" w:eastAsia="Arial" w:hAnsi="Arial"/>
          <w:sz w:val="22"/>
          <w:szCs w:val="22"/>
          <w:color w:val="auto"/>
        </w:rPr>
      </w:pPr>
    </w:p>
    <w:p>
      <w:pPr>
        <w:jc w:val="both"/>
        <w:ind w:firstLine="656"/>
        <w:spacing w:after="0" w:line="232" w:lineRule="auto"/>
        <w:tabs>
          <w:tab w:leader="none" w:pos="122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1"/>
          <w:szCs w:val="21"/>
          <w:u w:val="single" w:color="auto"/>
          <w:color w:val="auto"/>
        </w:rPr>
        <w:t>Requirements of Law</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48" w:lineRule="auto"/>
        <w:tabs>
          <w:tab w:leader="none" w:pos="1184" w:val="left"/>
        </w:tabs>
        <w:numPr>
          <w:ilvl w:val="0"/>
          <w:numId w:val="199"/>
        </w:numPr>
        <w:rPr>
          <w:rFonts w:ascii="Arial" w:cs="Arial" w:eastAsia="Arial" w:hAnsi="Arial"/>
          <w:sz w:val="21"/>
          <w:szCs w:val="21"/>
          <w:color w:val="auto"/>
        </w:rPr>
      </w:pPr>
      <w:r>
        <w:rPr>
          <w:rFonts w:ascii="Arial" w:cs="Arial" w:eastAsia="Arial" w:hAnsi="Arial"/>
          <w:sz w:val="21"/>
          <w:szCs w:val="21"/>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w:t>
      </w:r>
    </w:p>
    <w:p>
      <w:pPr>
        <w:sectPr>
          <w:pgSz w:w="11900" w:h="16838" w:orient="portrait"/>
          <w:cols w:equalWidth="0" w:num="1">
            <w:col w:w="11240"/>
          </w:cols>
          <w:pgMar w:left="320" w:top="1413" w:right="339" w:bottom="1440" w:gutter="0" w:footer="0" w:header="0"/>
        </w:sectPr>
      </w:pPr>
    </w:p>
    <w:bookmarkStart w:id="252" w:name="page253"/>
    <w:bookmarkEnd w:id="252"/>
    <w:p>
      <w:pPr>
        <w:spacing w:after="0" w:line="251" w:lineRule="auto"/>
        <w:rPr>
          <w:sz w:val="20"/>
          <w:szCs w:val="20"/>
          <w:color w:val="auto"/>
        </w:rPr>
      </w:pPr>
      <w:r>
        <w:rPr>
          <w:rFonts w:ascii="Arial" w:cs="Arial" w:eastAsia="Arial" w:hAnsi="Arial"/>
          <w:sz w:val="22"/>
          <w:szCs w:val="22"/>
          <w:color w:val="auto"/>
        </w:rPr>
        <w:t>Supervision (or any successor or similar authority) or the United States or foreign Governmental Authorities, in each case pursuant to Basel III):</w:t>
      </w:r>
    </w:p>
    <w:p>
      <w:pPr>
        <w:spacing w:after="0" w:line="173" w:lineRule="exact"/>
        <w:rPr>
          <w:sz w:val="20"/>
          <w:szCs w:val="20"/>
          <w:color w:val="auto"/>
        </w:rPr>
      </w:pPr>
    </w:p>
    <w:p>
      <w:pPr>
        <w:jc w:val="both"/>
        <w:ind w:left="660" w:firstLine="644"/>
        <w:spacing w:after="0" w:line="241" w:lineRule="auto"/>
        <w:tabs>
          <w:tab w:leader="none" w:pos="178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shall subject the Administrative Agent, any Lender to any Tax of any kind whatsoever with respect to this Agreement or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made by it (except for Non-Excluded Taxes or Other Taxes covered by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and any Excluded Taxes);</w:t>
      </w:r>
    </w:p>
    <w:p>
      <w:pPr>
        <w:spacing w:after="0" w:line="182" w:lineRule="exact"/>
        <w:rPr>
          <w:rFonts w:ascii="Arial" w:cs="Arial" w:eastAsia="Arial" w:hAnsi="Arial"/>
          <w:sz w:val="22"/>
          <w:szCs w:val="22"/>
          <w:color w:val="auto"/>
        </w:rPr>
      </w:pPr>
    </w:p>
    <w:p>
      <w:pPr>
        <w:jc w:val="both"/>
        <w:ind w:left="660" w:firstLine="644"/>
        <w:spacing w:after="0" w:line="235" w:lineRule="auto"/>
        <w:tabs>
          <w:tab w:leader="none" w:pos="1877"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w:t>
      </w:r>
      <w:r>
        <w:rPr>
          <w:rFonts w:ascii="Arial" w:cs="Arial" w:eastAsia="Arial" w:hAnsi="Arial"/>
          <w:sz w:val="22"/>
          <w:szCs w:val="22"/>
          <w:color w:val="FF0000"/>
          <w:strike w:val="1"/>
        </w:rPr>
        <w:t>the Eurodollar Rate</w:t>
      </w:r>
      <w:r>
        <w:rPr>
          <w:rFonts w:ascii="Arial" w:cs="Arial" w:eastAsia="Arial" w:hAnsi="Arial"/>
          <w:sz w:val="22"/>
          <w:szCs w:val="22"/>
          <w:u w:val="single" w:color="auto"/>
          <w:color w:val="0000FF"/>
        </w:rPr>
        <w:t>Adjusted Term SOFR</w:t>
      </w:r>
      <w:r>
        <w:rPr>
          <w:rFonts w:ascii="Arial" w:cs="Arial" w:eastAsia="Arial" w:hAnsi="Arial"/>
          <w:sz w:val="22"/>
          <w:szCs w:val="22"/>
          <w:color w:val="auto"/>
        </w:rPr>
        <w:t>; or</w:t>
      </w:r>
    </w:p>
    <w:p>
      <w:pPr>
        <w:spacing w:after="0" w:line="183" w:lineRule="exact"/>
        <w:rPr>
          <w:rFonts w:ascii="Arial" w:cs="Arial" w:eastAsia="Arial" w:hAnsi="Arial"/>
          <w:sz w:val="22"/>
          <w:szCs w:val="22"/>
          <w:color w:val="auto"/>
        </w:rPr>
      </w:pPr>
    </w:p>
    <w:p>
      <w:pPr>
        <w:jc w:val="both"/>
        <w:ind w:left="660" w:firstLine="644"/>
        <w:spacing w:after="0" w:line="241" w:lineRule="auto"/>
        <w:tabs>
          <w:tab w:leader="none" w:pos="191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shall impose on any such Lender or the London interbank market (by reasons of such Lender’s participation in the London interbank market) any other condition, cost or expense (other than Taxes) affecting this Agreement or Term Loans made by such Lender;</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 xml:space="preserve">and the result of any of the foregoing is to increase the cost to such Lender, by an amount that such Lender deems to be material, of making, converting into, continuing or maintaining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spacing w:after="0" w:line="184" w:lineRule="exact"/>
        <w:rPr>
          <w:sz w:val="20"/>
          <w:szCs w:val="20"/>
          <w:color w:val="auto"/>
        </w:rPr>
      </w:pPr>
    </w:p>
    <w:p>
      <w:pPr>
        <w:jc w:val="both"/>
        <w:ind w:firstLine="656"/>
        <w:spacing w:after="0" w:line="232" w:lineRule="auto"/>
        <w:tabs>
          <w:tab w:leader="none" w:pos="128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Closing Date shall have the effect of reducing the rate of return on such Lender’s or such corporation’s capital as a consequence of its obligations hereunder to a level below that which such Lender or such corporation could have achieved but for such adoption, change or compliance (taking into consideration such Lender’s or such corporation’s policies with respect to capital adequacy or liquidity requirements)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185" w:lineRule="exact"/>
        <w:rPr>
          <w:rFonts w:ascii="Arial" w:cs="Arial" w:eastAsia="Arial" w:hAnsi="Arial"/>
          <w:sz w:val="22"/>
          <w:szCs w:val="22"/>
          <w:color w:val="auto"/>
        </w:rPr>
      </w:pPr>
    </w:p>
    <w:p>
      <w:pPr>
        <w:jc w:val="both"/>
        <w:ind w:firstLine="656"/>
        <w:spacing w:after="0" w:line="241" w:lineRule="auto"/>
        <w:tabs>
          <w:tab w:leader="none" w:pos="114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 certificate as to any additional amounts payable pursuant to this Section submitted by any Lender to the Borrower (with a copy to the Administrative Agent) shall be conclusive in the absence of manifest error. Notwithstanding anything to the contrary</w:t>
      </w:r>
    </w:p>
    <w:p>
      <w:pPr>
        <w:sectPr>
          <w:pgSz w:w="11900" w:h="16838" w:orient="portrait"/>
          <w:cols w:equalWidth="0" w:num="1">
            <w:col w:w="11240"/>
          </w:cols>
          <w:pgMar w:left="320" w:top="1413" w:right="339" w:bottom="1440" w:gutter="0" w:footer="0" w:header="0"/>
        </w:sectPr>
      </w:pPr>
    </w:p>
    <w:bookmarkStart w:id="253" w:name="page254"/>
    <w:bookmarkEnd w:id="253"/>
    <w:p>
      <w:pPr>
        <w:jc w:val="both"/>
        <w:spacing w:after="0" w:line="235" w:lineRule="auto"/>
        <w:rPr>
          <w:sz w:val="20"/>
          <w:szCs w:val="20"/>
          <w:color w:val="auto"/>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the Borrower shall not be required to compensate any Lender pursuant to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for any amounts incurred more than 180 days prior to the date that such Lender notifies the Borrower of such Lender’s intention to claim compensation therefor;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shall survive the termination of this Agreement and the payment of the Term Loans and all other amounts payable hereunder.</w:t>
      </w:r>
    </w:p>
    <w:p>
      <w:pPr>
        <w:spacing w:after="0" w:line="17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Taxes</w:t>
      </w:r>
      <w:r>
        <w:rPr>
          <w:rFonts w:ascii="Arial" w:cs="Arial" w:eastAsia="Arial" w:hAnsi="Arial"/>
          <w:sz w:val="19"/>
          <w:szCs w:val="19"/>
          <w:color w:val="auto"/>
        </w:rPr>
        <w:t>.</w:t>
      </w:r>
    </w:p>
    <w:p>
      <w:pPr>
        <w:spacing w:after="0" w:line="206" w:lineRule="exact"/>
        <w:rPr>
          <w:sz w:val="20"/>
          <w:szCs w:val="20"/>
          <w:color w:val="auto"/>
        </w:rPr>
      </w:pPr>
    </w:p>
    <w:p>
      <w:pPr>
        <w:jc w:val="both"/>
        <w:ind w:firstLine="656"/>
        <w:spacing w:after="0" w:line="241" w:lineRule="auto"/>
        <w:tabs>
          <w:tab w:leader="none" w:pos="1214" w:val="left"/>
        </w:tabs>
        <w:numPr>
          <w:ilvl w:val="0"/>
          <w:numId w:val="202"/>
        </w:numPr>
        <w:rPr>
          <w:rFonts w:ascii="Arial" w:cs="Arial" w:eastAsia="Arial" w:hAnsi="Arial"/>
          <w:sz w:val="21"/>
          <w:szCs w:val="21"/>
          <w:color w:val="auto"/>
        </w:rPr>
      </w:pPr>
      <w:r>
        <w:rPr>
          <w:rFonts w:ascii="Arial" w:cs="Arial" w:eastAsia="Arial" w:hAnsi="Arial"/>
          <w:sz w:val="21"/>
          <w:szCs w:val="21"/>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21"/>
          <w:szCs w:val="21"/>
          <w:u w:val="single" w:color="auto"/>
          <w:color w:val="auto"/>
        </w:rPr>
        <w:t>Section 2.22</w:t>
      </w:r>
      <w:r>
        <w:rPr>
          <w:rFonts w:ascii="Arial" w:cs="Arial" w:eastAsia="Arial" w:hAnsi="Arial"/>
          <w:sz w:val="21"/>
          <w:szCs w:val="21"/>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21"/>
          <w:szCs w:val="21"/>
          <w:u w:val="single" w:color="auto"/>
          <w:color w:val="auto"/>
        </w:rPr>
        <w:t>Section 2.16(a)</w:t>
      </w:r>
      <w:r>
        <w:rPr>
          <w:rFonts w:ascii="Arial" w:cs="Arial" w:eastAsia="Arial" w:hAnsi="Arial"/>
          <w:sz w:val="21"/>
          <w:szCs w:val="21"/>
          <w:color w:val="auto"/>
        </w:rPr>
        <w:t xml:space="preserve">; (iv) any withholding Tax that is attributable to the recipient’s failure to comply with </w:t>
      </w:r>
      <w:r>
        <w:rPr>
          <w:rFonts w:ascii="Arial" w:cs="Arial" w:eastAsia="Arial" w:hAnsi="Arial"/>
          <w:sz w:val="21"/>
          <w:szCs w:val="21"/>
          <w:u w:val="single" w:color="auto"/>
          <w:color w:val="auto"/>
        </w:rPr>
        <w:t>Section 2.16(e)</w:t>
      </w:r>
      <w:r>
        <w:rPr>
          <w:rFonts w:ascii="Arial" w:cs="Arial" w:eastAsia="Arial" w:hAnsi="Arial"/>
          <w:sz w:val="21"/>
          <w:szCs w:val="21"/>
          <w:color w:val="auto"/>
        </w:rPr>
        <w:t xml:space="preserve"> hereof; and (v) any withholding Taxes imposed pursuant to FATCA. If any such non-excluded Taxes (“</w:t>
      </w:r>
      <w:r>
        <w:rPr>
          <w:rFonts w:ascii="Arial" w:cs="Arial" w:eastAsia="Arial" w:hAnsi="Arial"/>
          <w:sz w:val="21"/>
          <w:szCs w:val="21"/>
          <w:u w:val="single" w:color="auto"/>
          <w:color w:val="auto"/>
        </w:rPr>
        <w:t>Non-Excluded Taxes</w:t>
      </w:r>
      <w:r>
        <w:rPr>
          <w:rFonts w:ascii="Arial" w:cs="Arial" w:eastAsia="Arial" w:hAnsi="Arial"/>
          <w:sz w:val="21"/>
          <w:szCs w:val="21"/>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21"/>
          <w:szCs w:val="21"/>
          <w:u w:val="single" w:color="auto"/>
          <w:color w:val="auto"/>
        </w:rPr>
        <w:t>Section 2.16</w:t>
      </w:r>
      <w:r>
        <w:rPr>
          <w:rFonts w:ascii="Arial" w:cs="Arial" w:eastAsia="Arial" w:hAnsi="Arial"/>
          <w:sz w:val="21"/>
          <w:szCs w:val="21"/>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 (y) the applicable withholding agent shall make such deductions, and</w:t>
      </w:r>
    </w:p>
    <w:p>
      <w:pPr>
        <w:sectPr>
          <w:pgSz w:w="11900" w:h="16838" w:orient="portrait"/>
          <w:cols w:equalWidth="0" w:num="1">
            <w:col w:w="11240"/>
          </w:cols>
          <w:pgMar w:left="320" w:top="1413" w:right="339" w:bottom="1440" w:gutter="0" w:footer="0" w:header="0"/>
        </w:sectPr>
      </w:pPr>
    </w:p>
    <w:bookmarkStart w:id="254" w:name="page255"/>
    <w:bookmarkEnd w:id="254"/>
    <w:p>
      <w:pPr>
        <w:ind w:firstLine="8"/>
        <w:spacing w:after="0" w:line="251" w:lineRule="auto"/>
        <w:tabs>
          <w:tab w:leader="none" w:pos="3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applicable withholding agent shall timely pay the full amount deducted to the relevant Governmental Authority in accordance with applicable law.</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2.16(a)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2.16(b)</w:t>
      </w:r>
      <w:r>
        <w:rPr>
          <w:rFonts w:ascii="Arial" w:cs="Arial" w:eastAsia="Arial" w:hAnsi="Arial"/>
          <w:sz w:val="22"/>
          <w:szCs w:val="22"/>
          <w:color w:val="auto"/>
        </w:rPr>
        <w:t xml:space="preserve">, unless the Administrative Agent or a Lender gives notice to the applicable Loan Party that such Loan Party is obligated to pay an amount under </w:t>
      </w:r>
      <w:r>
        <w:rPr>
          <w:rFonts w:ascii="Arial" w:cs="Arial" w:eastAsia="Arial" w:hAnsi="Arial"/>
          <w:sz w:val="22"/>
          <w:szCs w:val="22"/>
          <w:u w:val="single" w:color="auto"/>
          <w:color w:val="auto"/>
        </w:rPr>
        <w:t>Section 2.16(a)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2.16(b)</w:t>
      </w:r>
      <w:r>
        <w:rPr>
          <w:rFonts w:ascii="Arial" w:cs="Arial" w:eastAsia="Arial" w:hAnsi="Arial"/>
          <w:sz w:val="22"/>
          <w:szCs w:val="22"/>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189" w:lineRule="exact"/>
        <w:rPr>
          <w:sz w:val="20"/>
          <w:szCs w:val="20"/>
          <w:color w:val="auto"/>
        </w:rPr>
      </w:pPr>
    </w:p>
    <w:p>
      <w:pPr>
        <w:ind w:firstLine="656"/>
        <w:spacing w:after="0" w:line="251" w:lineRule="auto"/>
        <w:tabs>
          <w:tab w:leader="none" w:pos="1303" w:val="left"/>
        </w:tabs>
        <w:numPr>
          <w:ilvl w:val="0"/>
          <w:numId w:val="204"/>
        </w:numPr>
        <w:rPr>
          <w:rFonts w:ascii="Arial" w:cs="Arial" w:eastAsia="Arial" w:hAnsi="Arial"/>
          <w:sz w:val="22"/>
          <w:szCs w:val="22"/>
          <w:color w:val="auto"/>
        </w:rPr>
      </w:pPr>
      <w:r>
        <w:rPr>
          <w:rFonts w:ascii="Arial" w:cs="Arial" w:eastAsia="Arial" w:hAnsi="Arial"/>
          <w:sz w:val="22"/>
          <w:szCs w:val="22"/>
          <w:color w:val="auto"/>
        </w:rPr>
        <w:t>In addition, the relevant Loan Party shall timely pay any Other Taxes to the relevant Governmental Authority in accordance with applicable law.</w:t>
      </w:r>
    </w:p>
    <w:p>
      <w:pPr>
        <w:spacing w:after="0" w:line="172" w:lineRule="exact"/>
        <w:rPr>
          <w:rFonts w:ascii="Arial" w:cs="Arial" w:eastAsia="Arial" w:hAnsi="Arial"/>
          <w:sz w:val="22"/>
          <w:szCs w:val="22"/>
          <w:color w:val="auto"/>
        </w:rPr>
      </w:pPr>
    </w:p>
    <w:p>
      <w:pPr>
        <w:jc w:val="both"/>
        <w:ind w:firstLine="656"/>
        <w:spacing w:after="0" w:line="238" w:lineRule="auto"/>
        <w:tabs>
          <w:tab w:leader="none" w:pos="116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Whenever any Taxes are payable by a Loan Party pursuant to this </w:t>
      </w:r>
      <w:r>
        <w:rPr>
          <w:rFonts w:ascii="Arial" w:cs="Arial" w:eastAsia="Arial" w:hAnsi="Arial"/>
          <w:sz w:val="22"/>
          <w:szCs w:val="22"/>
          <w:u w:val="single" w:color="auto"/>
          <w:color w:val="auto"/>
        </w:rPr>
        <w:t>Section 2.16</w:t>
      </w:r>
      <w:r>
        <w:rPr>
          <w:rFonts w:ascii="Arial" w:cs="Arial" w:eastAsia="Arial" w:hAnsi="Arial"/>
          <w:sz w:val="22"/>
          <w:szCs w:val="22"/>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71" w:lineRule="exact"/>
        <w:rPr>
          <w:rFonts w:ascii="Arial" w:cs="Arial" w:eastAsia="Arial" w:hAnsi="Arial"/>
          <w:sz w:val="22"/>
          <w:szCs w:val="22"/>
          <w:color w:val="auto"/>
        </w:rPr>
      </w:pPr>
    </w:p>
    <w:p>
      <w:pPr>
        <w:jc w:val="both"/>
        <w:ind w:firstLine="656"/>
        <w:spacing w:after="0" w:line="243" w:lineRule="auto"/>
        <w:tabs>
          <w:tab w:leader="none" w:pos="1239" w:val="left"/>
        </w:tabs>
        <w:numPr>
          <w:ilvl w:val="0"/>
          <w:numId w:val="204"/>
        </w:numPr>
        <w:rPr>
          <w:rFonts w:ascii="Arial" w:cs="Arial" w:eastAsia="Arial" w:hAnsi="Arial"/>
          <w:sz w:val="21"/>
          <w:szCs w:val="21"/>
          <w:color w:val="auto"/>
        </w:rPr>
      </w:pPr>
      <w:r>
        <w:rPr>
          <w:rFonts w:ascii="Arial" w:cs="Arial" w:eastAsia="Arial" w:hAnsi="Arial"/>
          <w:sz w:val="21"/>
          <w:szCs w:val="21"/>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21"/>
          <w:szCs w:val="21"/>
          <w:u w:val="single" w:color="auto"/>
          <w:color w:val="auto"/>
        </w:rPr>
        <w:t>Section 2.16</w:t>
      </w:r>
      <w:r>
        <w:rPr>
          <w:rFonts w:ascii="Arial" w:cs="Arial" w:eastAsia="Arial" w:hAnsi="Arial"/>
          <w:sz w:val="21"/>
          <w:szCs w:val="21"/>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6" w:lineRule="exact"/>
        <w:rPr>
          <w:rFonts w:ascii="Arial" w:cs="Arial" w:eastAsia="Arial" w:hAnsi="Arial"/>
          <w:sz w:val="21"/>
          <w:szCs w:val="21"/>
          <w:color w:val="auto"/>
        </w:rPr>
      </w:pPr>
    </w:p>
    <w:p>
      <w:pPr>
        <w:jc w:val="both"/>
        <w:ind w:firstLine="656"/>
        <w:spacing w:after="0" w:line="235" w:lineRule="auto"/>
        <w:tabs>
          <w:tab w:leader="none" w:pos="127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w:t>
      </w:r>
    </w:p>
    <w:p>
      <w:pPr>
        <w:sectPr>
          <w:pgSz w:w="11900" w:h="16838" w:orient="portrait"/>
          <w:cols w:equalWidth="0" w:num="1">
            <w:col w:w="11240"/>
          </w:cols>
          <w:pgMar w:left="320" w:top="1413" w:right="339" w:bottom="1440" w:gutter="0" w:footer="0" w:header="0"/>
        </w:sectPr>
      </w:pPr>
    </w:p>
    <w:bookmarkStart w:id="255" w:name="page256"/>
    <w:bookmarkEnd w:id="255"/>
    <w:p>
      <w:pPr>
        <w:jc w:val="both"/>
        <w:spacing w:after="0" w:line="243" w:lineRule="auto"/>
        <w:rPr>
          <w:sz w:val="20"/>
          <w:szCs w:val="20"/>
          <w:color w:val="auto"/>
        </w:rPr>
      </w:pPr>
      <w:r>
        <w:rPr>
          <w:rFonts w:ascii="Arial" w:cs="Arial" w:eastAsia="Arial" w:hAnsi="Arial"/>
          <w:sz w:val="21"/>
          <w:szCs w:val="21"/>
          <w:color w:val="auto"/>
        </w:rPr>
        <w:t xml:space="preserve">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21"/>
          <w:szCs w:val="21"/>
          <w:u w:val="single" w:color="auto"/>
          <w:color w:val="auto"/>
        </w:rPr>
        <w:t>Section 2.16(e)</w:t>
      </w:r>
      <w:r>
        <w:rPr>
          <w:rFonts w:ascii="Arial" w:cs="Arial" w:eastAsia="Arial" w:hAnsi="Arial"/>
          <w:sz w:val="21"/>
          <w:szCs w:val="21"/>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Without limiting the generality of the foregoing:</w:t>
      </w:r>
    </w:p>
    <w:p>
      <w:pPr>
        <w:spacing w:after="0" w:line="206" w:lineRule="exact"/>
        <w:rPr>
          <w:sz w:val="20"/>
          <w:szCs w:val="20"/>
          <w:color w:val="auto"/>
        </w:rPr>
      </w:pPr>
    </w:p>
    <w:p>
      <w:pPr>
        <w:jc w:val="both"/>
        <w:ind w:left="660" w:firstLine="644"/>
        <w:spacing w:after="0" w:line="235" w:lineRule="auto"/>
        <w:tabs>
          <w:tab w:leader="none" w:pos="1772"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183" w:lineRule="exact"/>
        <w:rPr>
          <w:rFonts w:ascii="Arial" w:cs="Arial" w:eastAsia="Arial" w:hAnsi="Arial"/>
          <w:sz w:val="22"/>
          <w:szCs w:val="22"/>
          <w:color w:val="auto"/>
        </w:rPr>
      </w:pPr>
    </w:p>
    <w:p>
      <w:pPr>
        <w:jc w:val="both"/>
        <w:ind w:left="660" w:firstLine="644"/>
        <w:spacing w:after="0" w:line="241" w:lineRule="auto"/>
        <w:tabs>
          <w:tab w:leader="none" w:pos="18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82" w:lineRule="exact"/>
        <w:rPr>
          <w:rFonts w:ascii="Arial" w:cs="Arial" w:eastAsia="Arial" w:hAnsi="Arial"/>
          <w:sz w:val="22"/>
          <w:szCs w:val="22"/>
          <w:color w:val="auto"/>
        </w:rPr>
      </w:pPr>
    </w:p>
    <w:p>
      <w:pPr>
        <w:jc w:val="both"/>
        <w:ind w:left="1300" w:firstLine="652"/>
        <w:spacing w:after="0" w:line="241" w:lineRule="auto"/>
        <w:tabs>
          <w:tab w:leader="none" w:pos="2564" w:val="left"/>
        </w:tabs>
        <w:numPr>
          <w:ilvl w:val="1"/>
          <w:numId w:val="205"/>
        </w:numPr>
        <w:rPr>
          <w:rFonts w:ascii="Arial" w:cs="Arial" w:eastAsia="Arial" w:hAnsi="Arial"/>
          <w:sz w:val="22"/>
          <w:szCs w:val="22"/>
          <w:color w:val="010000"/>
        </w:rPr>
      </w:pPr>
      <w:r>
        <w:rPr>
          <w:rFonts w:ascii="Arial" w:cs="Arial" w:eastAsia="Arial" w:hAnsi="Arial"/>
          <w:sz w:val="22"/>
          <w:szCs w:val="22"/>
          <w:color w:val="auto"/>
        </w:rPr>
        <w:t>two duly completed copies of Internal Revenue Service Form W-8BEN or W-8BEN-E (or any successor forms) claiming eligibility for benefits of an income tax treaty to which the United States of America is a party,</w:t>
      </w:r>
    </w:p>
    <w:p>
      <w:pPr>
        <w:spacing w:after="0" w:line="182" w:lineRule="exact"/>
        <w:rPr>
          <w:rFonts w:ascii="Arial" w:cs="Arial" w:eastAsia="Arial" w:hAnsi="Arial"/>
          <w:sz w:val="22"/>
          <w:szCs w:val="22"/>
          <w:color w:val="010000"/>
        </w:rPr>
      </w:pPr>
    </w:p>
    <w:p>
      <w:pPr>
        <w:ind w:left="2580" w:hanging="628"/>
        <w:spacing w:after="0"/>
        <w:tabs>
          <w:tab w:leader="none" w:pos="2580" w:val="left"/>
        </w:tabs>
        <w:numPr>
          <w:ilvl w:val="1"/>
          <w:numId w:val="205"/>
        </w:numPr>
        <w:rPr>
          <w:rFonts w:ascii="Arial" w:cs="Arial" w:eastAsia="Arial" w:hAnsi="Arial"/>
          <w:sz w:val="22"/>
          <w:szCs w:val="22"/>
          <w:color w:val="010000"/>
        </w:rPr>
      </w:pPr>
      <w:r>
        <w:rPr>
          <w:rFonts w:ascii="Arial" w:cs="Arial" w:eastAsia="Arial" w:hAnsi="Arial"/>
          <w:sz w:val="22"/>
          <w:szCs w:val="22"/>
          <w:color w:val="auto"/>
        </w:rPr>
        <w:t>two duly completed copies of Internal Revenue Service Form W-8ECI (or any successor</w:t>
      </w:r>
    </w:p>
    <w:p>
      <w:pPr>
        <w:spacing w:after="0" w:line="6" w:lineRule="exact"/>
        <w:rPr>
          <w:rFonts w:ascii="Arial" w:cs="Arial" w:eastAsia="Arial" w:hAnsi="Arial"/>
          <w:sz w:val="22"/>
          <w:szCs w:val="22"/>
          <w:color w:val="010000"/>
        </w:rPr>
      </w:pPr>
    </w:p>
    <w:p>
      <w:pPr>
        <w:ind w:left="1300"/>
        <w:spacing w:after="0"/>
        <w:rPr>
          <w:rFonts w:ascii="Arial" w:cs="Arial" w:eastAsia="Arial" w:hAnsi="Arial"/>
          <w:sz w:val="22"/>
          <w:szCs w:val="22"/>
          <w:color w:val="010000"/>
        </w:rPr>
      </w:pPr>
      <w:r>
        <w:rPr>
          <w:rFonts w:ascii="Arial" w:cs="Arial" w:eastAsia="Arial" w:hAnsi="Arial"/>
          <w:sz w:val="22"/>
          <w:szCs w:val="22"/>
          <w:color w:val="auto"/>
        </w:rPr>
        <w:t>forms),</w:t>
      </w:r>
    </w:p>
    <w:p>
      <w:pPr>
        <w:spacing w:after="0" w:line="176" w:lineRule="exact"/>
        <w:rPr>
          <w:rFonts w:ascii="Arial" w:cs="Arial" w:eastAsia="Arial" w:hAnsi="Arial"/>
          <w:sz w:val="22"/>
          <w:szCs w:val="22"/>
          <w:color w:val="010000"/>
        </w:rPr>
      </w:pPr>
    </w:p>
    <w:p>
      <w:pPr>
        <w:jc w:val="both"/>
        <w:ind w:left="1300" w:firstLine="652"/>
        <w:spacing w:after="0" w:line="245" w:lineRule="auto"/>
        <w:tabs>
          <w:tab w:leader="none" w:pos="2560" w:val="left"/>
        </w:tabs>
        <w:numPr>
          <w:ilvl w:val="1"/>
          <w:numId w:val="205"/>
        </w:numPr>
        <w:rPr>
          <w:rFonts w:ascii="Arial" w:cs="Arial" w:eastAsia="Arial" w:hAnsi="Arial"/>
          <w:sz w:val="21"/>
          <w:szCs w:val="21"/>
          <w:color w:val="010000"/>
        </w:rPr>
      </w:pPr>
      <w:r>
        <w:rPr>
          <w:rFonts w:ascii="Arial" w:cs="Arial" w:eastAsia="Arial" w:hAnsi="Arial"/>
          <w:sz w:val="21"/>
          <w:szCs w:val="21"/>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(any such certificate a “</w:t>
      </w:r>
      <w:r>
        <w:rPr>
          <w:rFonts w:ascii="Arial" w:cs="Arial" w:eastAsia="Arial" w:hAnsi="Arial"/>
          <w:sz w:val="21"/>
          <w:szCs w:val="21"/>
          <w:u w:val="single" w:color="auto"/>
          <w:color w:val="auto"/>
        </w:rPr>
        <w:t>United States Tax Compliance Certificate</w:t>
      </w:r>
      <w:r>
        <w:rPr>
          <w:rFonts w:ascii="Arial" w:cs="Arial" w:eastAsia="Arial" w:hAnsi="Arial"/>
          <w:sz w:val="21"/>
          <w:szCs w:val="21"/>
          <w:color w:val="auto"/>
        </w:rPr>
        <w:t>”), or any other form approved by the Administrative Agent, to the effect that such Lender is not (A) a “bank” within the meaning of Section 881(c)(3)(A) of the Code,</w:t>
      </w:r>
    </w:p>
    <w:p>
      <w:pPr>
        <w:spacing w:after="0" w:line="1" w:lineRule="exact"/>
        <w:rPr>
          <w:rFonts w:ascii="Arial" w:cs="Arial" w:eastAsia="Arial" w:hAnsi="Arial"/>
          <w:sz w:val="21"/>
          <w:szCs w:val="21"/>
          <w:color w:val="010000"/>
        </w:rPr>
      </w:pPr>
    </w:p>
    <w:p>
      <w:pPr>
        <w:ind w:left="1300"/>
        <w:spacing w:after="0"/>
        <w:rPr>
          <w:rFonts w:ascii="Arial" w:cs="Arial" w:eastAsia="Arial" w:hAnsi="Arial"/>
          <w:sz w:val="21"/>
          <w:szCs w:val="21"/>
          <w:color w:val="010000"/>
        </w:rPr>
      </w:pPr>
      <w:r>
        <w:rPr>
          <w:rFonts w:ascii="Arial" w:cs="Arial" w:eastAsia="Arial" w:hAnsi="Arial"/>
          <w:sz w:val="22"/>
          <w:szCs w:val="22"/>
          <w:color w:val="auto"/>
        </w:rPr>
        <w:t>(B) a “10 percent shareholder” of the Borrower within the meaning of Section</w:t>
      </w:r>
    </w:p>
    <w:p>
      <w:pPr>
        <w:sectPr>
          <w:pgSz w:w="11900" w:h="16838" w:orient="portrait"/>
          <w:cols w:equalWidth="0" w:num="1">
            <w:col w:w="11240"/>
          </w:cols>
          <w:pgMar w:left="320" w:top="1413" w:right="339" w:bottom="1440" w:gutter="0" w:footer="0" w:header="0"/>
        </w:sectPr>
      </w:pPr>
    </w:p>
    <w:bookmarkStart w:id="256" w:name="page257"/>
    <w:bookmarkEnd w:id="256"/>
    <w:p>
      <w:pPr>
        <w:jc w:val="both"/>
        <w:ind w:left="1300"/>
        <w:spacing w:after="0" w:line="238" w:lineRule="auto"/>
        <w:rPr>
          <w:sz w:val="20"/>
          <w:szCs w:val="20"/>
          <w:color w:val="auto"/>
        </w:rPr>
      </w:pPr>
      <w:r>
        <w:rPr>
          <w:rFonts w:ascii="Arial" w:cs="Arial" w:eastAsia="Arial" w:hAnsi="Arial"/>
          <w:sz w:val="22"/>
          <w:szCs w:val="22"/>
          <w:color w:val="auto"/>
        </w:rPr>
        <w:t>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185" w:lineRule="exact"/>
        <w:rPr>
          <w:sz w:val="20"/>
          <w:szCs w:val="20"/>
          <w:color w:val="auto"/>
        </w:rPr>
      </w:pPr>
    </w:p>
    <w:p>
      <w:pPr>
        <w:jc w:val="both"/>
        <w:ind w:left="1300" w:firstLine="652"/>
        <w:spacing w:after="0" w:line="232" w:lineRule="auto"/>
        <w:tabs>
          <w:tab w:leader="none" w:pos="2614" w:val="left"/>
        </w:tabs>
        <w:numPr>
          <w:ilvl w:val="1"/>
          <w:numId w:val="206"/>
        </w:numPr>
        <w:rPr>
          <w:rFonts w:ascii="Arial" w:cs="Arial" w:eastAsia="Arial" w:hAnsi="Arial"/>
          <w:sz w:val="22"/>
          <w:szCs w:val="22"/>
          <w:color w:val="010000"/>
        </w:rPr>
      </w:pPr>
      <w:r>
        <w:rPr>
          <w:rFonts w:ascii="Arial" w:cs="Arial" w:eastAsia="Arial" w:hAnsi="Arial"/>
          <w:sz w:val="22"/>
          <w:szCs w:val="22"/>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90" w:lineRule="exact"/>
        <w:rPr>
          <w:rFonts w:ascii="Arial" w:cs="Arial" w:eastAsia="Arial" w:hAnsi="Arial"/>
          <w:sz w:val="22"/>
          <w:szCs w:val="22"/>
          <w:color w:val="010000"/>
        </w:rPr>
      </w:pPr>
    </w:p>
    <w:p>
      <w:pPr>
        <w:jc w:val="both"/>
        <w:ind w:left="1300" w:firstLine="652"/>
        <w:spacing w:after="0" w:line="236" w:lineRule="auto"/>
        <w:tabs>
          <w:tab w:leader="none" w:pos="2534" w:val="left"/>
        </w:tabs>
        <w:numPr>
          <w:ilvl w:val="1"/>
          <w:numId w:val="206"/>
        </w:numPr>
        <w:rPr>
          <w:rFonts w:ascii="Arial" w:cs="Arial" w:eastAsia="Arial" w:hAnsi="Arial"/>
          <w:sz w:val="22"/>
          <w:szCs w:val="22"/>
          <w:color w:val="010000"/>
        </w:rPr>
      </w:pPr>
      <w:r>
        <w:rPr>
          <w:rFonts w:ascii="Arial" w:cs="Arial" w:eastAsia="Arial" w:hAnsi="Arial"/>
          <w:sz w:val="22"/>
          <w:szCs w:val="22"/>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73" w:lineRule="exact"/>
        <w:rPr>
          <w:rFonts w:ascii="Arial" w:cs="Arial" w:eastAsia="Arial" w:hAnsi="Arial"/>
          <w:sz w:val="22"/>
          <w:szCs w:val="22"/>
          <w:color w:val="010000"/>
        </w:rPr>
      </w:pPr>
    </w:p>
    <w:p>
      <w:pPr>
        <w:jc w:val="both"/>
        <w:ind w:left="660" w:firstLine="644"/>
        <w:spacing w:after="0" w:line="243" w:lineRule="auto"/>
        <w:tabs>
          <w:tab w:leader="none" w:pos="1986" w:val="left"/>
        </w:tabs>
        <w:numPr>
          <w:ilvl w:val="0"/>
          <w:numId w:val="207"/>
        </w:numPr>
        <w:rPr>
          <w:rFonts w:ascii="Arial" w:cs="Arial" w:eastAsia="Arial" w:hAnsi="Arial"/>
          <w:sz w:val="21"/>
          <w:szCs w:val="21"/>
          <w:color w:val="auto"/>
        </w:rPr>
      </w:pPr>
      <w:r>
        <w:rPr>
          <w:rFonts w:ascii="Arial" w:cs="Arial" w:eastAsia="Arial" w:hAnsi="Arial"/>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ectPr>
          <w:pgSz w:w="11900" w:h="16838" w:orient="portrait"/>
          <w:cols w:equalWidth="0" w:num="1">
            <w:col w:w="11240"/>
          </w:cols>
          <w:pgMar w:left="320" w:top="1413" w:right="339" w:bottom="1440" w:gutter="0" w:footer="0" w:header="0"/>
        </w:sectPr>
      </w:pPr>
    </w:p>
    <w:bookmarkStart w:id="257" w:name="page258"/>
    <w:bookmarkEnd w:id="257"/>
    <w:p>
      <w:pPr>
        <w:jc w:val="both"/>
        <w:ind w:firstLine="656"/>
        <w:spacing w:after="0" w:line="231" w:lineRule="auto"/>
        <w:tabs>
          <w:tab w:leader="none" w:pos="110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it shall pay over such refund the applicable Loan Party (but only to the extent of indemnity payments made, or additional amounts paid, by such Loan Party under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195" w:lineRule="exact"/>
        <w:rPr>
          <w:rFonts w:ascii="Arial" w:cs="Arial" w:eastAsia="Arial" w:hAnsi="Arial"/>
          <w:sz w:val="22"/>
          <w:szCs w:val="22"/>
          <w:color w:val="auto"/>
        </w:rPr>
      </w:pPr>
    </w:p>
    <w:p>
      <w:pPr>
        <w:jc w:val="both"/>
        <w:ind w:firstLine="656"/>
        <w:spacing w:after="0" w:line="241" w:lineRule="auto"/>
        <w:tabs>
          <w:tab w:leader="none" w:pos="119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The agreements in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shall survive the termination of this Agreement, any assignment by or replacement of a Lender, resignation of the Administrative Agent and the payment of the Term Loans and all other amounts payable hereunder or any other Loan Document.</w:t>
      </w:r>
    </w:p>
    <w:p>
      <w:pPr>
        <w:spacing w:after="0" w:line="169" w:lineRule="exact"/>
        <w:rPr>
          <w:rFonts w:ascii="Arial" w:cs="Arial" w:eastAsia="Arial" w:hAnsi="Arial"/>
          <w:sz w:val="22"/>
          <w:szCs w:val="22"/>
          <w:color w:val="auto"/>
        </w:rPr>
      </w:pPr>
    </w:p>
    <w:p>
      <w:pPr>
        <w:ind w:firstLine="656"/>
        <w:spacing w:after="0" w:line="251" w:lineRule="auto"/>
        <w:tabs>
          <w:tab w:leader="none" w:pos="127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For the avoidance of doubt, any payments made by the Administrative Agent to any Lender shall be treated as payments made by the applicable Loan Party.</w:t>
      </w:r>
    </w:p>
    <w:p>
      <w:pPr>
        <w:spacing w:after="0" w:line="17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2.17. </w:t>
      </w:r>
      <w:r>
        <w:rPr>
          <w:rFonts w:ascii="Arial" w:cs="Arial" w:eastAsia="Arial" w:hAnsi="Arial"/>
          <w:sz w:val="22"/>
          <w:szCs w:val="22"/>
          <w:u w:val="single" w:color="auto"/>
          <w:color w:val="auto"/>
        </w:rPr>
        <w:t>Indemnity</w:t>
      </w:r>
      <w:r>
        <w:rPr>
          <w:rFonts w:ascii="Arial" w:cs="Arial" w:eastAsia="Arial" w:hAnsi="Arial"/>
          <w:sz w:val="22"/>
          <w:szCs w:val="22"/>
          <w:color w:val="auto"/>
        </w:rPr>
        <w:t xml:space="preserve">. The Borrower agrees to indemnify each Lender for, and to hold each Lender harmless from, any loss or expense that such Lender may sustain or incur as a consequence of (a) default by the Borrower in making a borrowing of, conversion into or continuation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after the Borrower has given a notice requesting the same in accordance with the provisions of this Agreement, (b) default by the Borrower in making any prepayment of or conversion from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Loans after the Borrower has given a notice thereof in accordance with the provisions of this Agreement, or (c) the making of a prepayment or conversion of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FF0000"/>
        </w:rPr>
        <w:t xml:space="preserve"> </w:t>
      </w:r>
      <w:r>
        <w:rPr>
          <w:rFonts w:ascii="Arial" w:cs="Arial" w:eastAsia="Arial" w:hAnsi="Arial"/>
          <w:sz w:val="22"/>
          <w:szCs w:val="22"/>
          <w:color w:val="000000"/>
        </w:rPr>
        <w:t>Loans on a day that is not the last day of an Interest Period with respect thereto. Such</w:t>
      </w:r>
      <w:r>
        <w:rPr>
          <w:rFonts w:ascii="Arial" w:cs="Arial" w:eastAsia="Arial" w:hAnsi="Arial"/>
          <w:sz w:val="22"/>
          <w:szCs w:val="22"/>
          <w:color w:val="FF0000"/>
        </w:rPr>
        <w:t xml:space="preserve"> </w:t>
      </w:r>
      <w:r>
        <w:rPr>
          <w:rFonts w:ascii="Arial" w:cs="Arial" w:eastAsia="Arial" w:hAnsi="Arial"/>
          <w:sz w:val="22"/>
          <w:szCs w:val="22"/>
          <w:color w:val="000000"/>
        </w:rPr>
        <w:t>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Term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w:t>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33" w:lineRule="auto"/>
        <w:rPr>
          <w:sz w:val="20"/>
          <w:szCs w:val="20"/>
          <w:color w:val="auto"/>
        </w:rPr>
      </w:pPr>
      <w:r>
        <w:rPr>
          <w:rFonts w:ascii="Arial" w:cs="Arial" w:eastAsia="Arial" w:hAnsi="Arial"/>
          <w:sz w:val="22"/>
          <w:szCs w:val="22"/>
          <w:color w:val="auto"/>
        </w:rPr>
        <w:t>submitted to the Borrower by any Lender shall be conclusive in the absence of manifest error. Notwithstanding anything to the contrary in this Section 2.17, the Borrower shall not be required to compensate a Lender pursuant to this Section 2.17 for any amounts incurred more than 180 days prior to the date that such Lender notifies the Borrower of such Lender’s intention to claim compensation therefor; provided that, if the circumstances giving rise to such claim have a retroactive effect, then such 180 days period shall be extended to include the period of such retroactive effect. This covenant shall survive the termination of this Agreement and the payment of the Term Loans and all other amounts payable hereunder.</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Change of Lending Office</w:t>
      </w:r>
      <w:r>
        <w:rPr>
          <w:rFonts w:ascii="Arial" w:cs="Arial" w:eastAsia="Arial" w:hAnsi="Arial"/>
          <w:sz w:val="22"/>
          <w:szCs w:val="22"/>
          <w:color w:val="auto"/>
        </w:rPr>
        <w:t>. Each Lender agrees that, upon the occurrence of any event giving rise to the operation of Section 2.15 or 2.16(a) with respect to such Lender, it will, if requested by the Borrower, use reasonable efforts (subject to overall policy considerations of such Lender) to designate another lending office for any Term Loans affected by such event with the object of avoiding the consequences of such event; provided that such designation is made on terms that, in the good faith judgment of such Lender, cause such Lender and its lending office(s) to suffer no economic, legal or regulatory disadvantage, and provided, further, that nothing in this Section shall affect or postpone any of the obligations of the Borrower or the rights of any Lender pursuant to Section 2.15 or 2.16(a).</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2.19. </w:t>
      </w:r>
      <w:r>
        <w:rPr>
          <w:rFonts w:ascii="Arial" w:cs="Arial" w:eastAsia="Arial" w:hAnsi="Arial"/>
          <w:sz w:val="22"/>
          <w:szCs w:val="22"/>
          <w:u w:val="single" w:color="auto"/>
          <w:color w:val="auto"/>
        </w:rPr>
        <w:t>Fees</w:t>
      </w:r>
      <w:r>
        <w:rPr>
          <w:rFonts w:ascii="Arial" w:cs="Arial" w:eastAsia="Arial" w:hAnsi="Arial"/>
          <w:sz w:val="22"/>
          <w:szCs w:val="22"/>
          <w:color w:val="auto"/>
        </w:rPr>
        <w:t>. The Borrower agrees to pay to the Administrative Agent (i) the fees in the amounts and on the dates as set forth in the Engagement Letter and (ii) for its own account, the annual administration fee separately agreed in writing between the Borrower and the Administrative Agent, and, in each case, to perform any other obligations contained therein.</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u w:val="single" w:color="auto"/>
          <w:color w:val="auto"/>
        </w:rPr>
        <w:t>Nature of Fees</w:t>
      </w:r>
      <w:r>
        <w:rPr>
          <w:rFonts w:ascii="Arial" w:cs="Arial" w:eastAsia="Arial" w:hAnsi="Arial"/>
          <w:sz w:val="22"/>
          <w:szCs w:val="22"/>
          <w:color w:val="auto"/>
        </w:rPr>
        <w:t>. All Fees shall be paid on the dates due, in immediately available funds, to the Administrative Agent (for the respective accounts of the Administrative Agent and the Lenders), as provided herein. Once paid, none of the Fees shall be refundable under any circumstances.</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1"/>
          <w:szCs w:val="21"/>
          <w:color w:val="auto"/>
        </w:rPr>
        <w:t xml:space="preserve">2.22. </w:t>
      </w:r>
      <w:r>
        <w:rPr>
          <w:rFonts w:ascii="Arial" w:cs="Arial" w:eastAsia="Arial" w:hAnsi="Arial"/>
          <w:sz w:val="21"/>
          <w:szCs w:val="21"/>
          <w:u w:val="single" w:color="auto"/>
          <w:color w:val="auto"/>
        </w:rPr>
        <w:t>Replacement of Lenders</w:t>
      </w:r>
      <w:r>
        <w:rPr>
          <w:rFonts w:ascii="Arial" w:cs="Arial" w:eastAsia="Arial" w:hAnsi="Arial"/>
          <w:sz w:val="21"/>
          <w:szCs w:val="21"/>
          <w:color w:val="auto"/>
        </w:rPr>
        <w:t>. The Borrower shall be permitted to replace any Lender that (a) requests reimbursement for amounts owing pursuant to Section 2.15, 2.16 or 2.17, and is unable to designate a different lending office in accordance with Section 2.18 so as to eliminate the continued need for payment of amounts owing pursuant to Sections 2.15, 2.16 or 2.17, or (b)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Term Loans) has been obtained), in each case with a replacement financial institution(s); provided that</w:t>
      </w:r>
    </w:p>
    <w:p>
      <w:pPr>
        <w:spacing w:after="0" w:line="6" w:lineRule="exact"/>
        <w:rPr>
          <w:sz w:val="20"/>
          <w:szCs w:val="20"/>
          <w:color w:val="auto"/>
        </w:rPr>
      </w:pPr>
    </w:p>
    <w:p>
      <w:pPr>
        <w:jc w:val="both"/>
        <w:ind w:firstLine="8"/>
        <w:spacing w:after="0" w:line="234" w:lineRule="auto"/>
        <w:tabs>
          <w:tab w:leader="none" w:pos="26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such replacement does not conflict with any Requirement of Law, (ii) no Event of Default shall have occurred and be continuing at the time of such replacement, (iii) the replacement financial institution(s) shall purchase, at par, all Term Loans outstanding, Term Commitments and other amounts related thereto owing to such replaced Lender on or prior to the date of</w:t>
      </w:r>
    </w:p>
    <w:p>
      <w:pPr>
        <w:sectPr>
          <w:pgSz w:w="11900" w:h="16838" w:orient="portrait"/>
          <w:cols w:equalWidth="0" w:num="1">
            <w:col w:w="11240"/>
          </w:cols>
          <w:pgMar w:left="320" w:top="1413" w:right="339" w:bottom="1440" w:gutter="0" w:footer="0" w:header="0"/>
        </w:sectPr>
      </w:pPr>
    </w:p>
    <w:bookmarkStart w:id="259" w:name="page260"/>
    <w:bookmarkEnd w:id="259"/>
    <w:p>
      <w:pPr>
        <w:jc w:val="both"/>
        <w:spacing w:after="0" w:line="232" w:lineRule="auto"/>
        <w:rPr>
          <w:sz w:val="20"/>
          <w:szCs w:val="20"/>
          <w:color w:val="auto"/>
        </w:rPr>
      </w:pPr>
      <w:r>
        <w:rPr>
          <w:rFonts w:ascii="Arial" w:cs="Arial" w:eastAsia="Arial" w:hAnsi="Arial"/>
          <w:sz w:val="22"/>
          <w:szCs w:val="22"/>
          <w:color w:val="auto"/>
        </w:rPr>
        <w:t xml:space="preserve">replacement, (iv) the Borrower shall be liable to such replaced Lender under Section 2.17 if any </w:t>
      </w:r>
      <w:r>
        <w:rPr>
          <w:rFonts w:ascii="Arial" w:cs="Arial" w:eastAsia="Arial" w:hAnsi="Arial"/>
          <w:sz w:val="22"/>
          <w:szCs w:val="22"/>
          <w:color w:val="FF0000"/>
          <w:strike w:val="1"/>
        </w:rPr>
        <w:t>Eurodollar</w:t>
      </w:r>
      <w:r>
        <w:rPr>
          <w:rFonts w:ascii="Arial" w:cs="Arial" w:eastAsia="Arial" w:hAnsi="Arial"/>
          <w:sz w:val="22"/>
          <w:szCs w:val="22"/>
          <w:u w:val="single" w:color="auto"/>
          <w:color w:val="0000FF"/>
        </w:rPr>
        <w:t>SOFR</w:t>
      </w:r>
      <w:r>
        <w:rPr>
          <w:rFonts w:ascii="Arial" w:cs="Arial" w:eastAsia="Arial" w:hAnsi="Arial"/>
          <w:sz w:val="22"/>
          <w:szCs w:val="22"/>
          <w:color w:val="auto"/>
        </w:rPr>
        <w:t xml:space="preserve">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 (vi) the replaced Lender shall be obligated to make such replacement in accordance with the provisions of Section 9.6 (provided that the Borrower shall be obligated to pay the registration and processing fee referred to therein), (vii) until such time as such replacement shall be consummated, the Borrower shall pay all additional amounts (if any) required pursuant to Section 2.15, 2.16 or 2.17, as the case may be, and (viii) any such replacement shall not be deemed to be a waiver of any rights that the Borrower, the Administrative Agent or any other Lender shall have against the replaced Lender.</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Reserved</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3" w:lineRule="exact"/>
        <w:rPr>
          <w:sz w:val="20"/>
          <w:szCs w:val="20"/>
          <w:color w:val="auto"/>
        </w:rPr>
      </w:pPr>
    </w:p>
    <w:p>
      <w:pPr>
        <w:jc w:val="both"/>
        <w:ind w:firstLine="656"/>
        <w:spacing w:after="0" w:line="233" w:lineRule="auto"/>
        <w:tabs>
          <w:tab w:leader="none" w:pos="1187"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The Term Loans and Term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amendment, waiver or other modification requiring the consent of all Lenders or all Lenders affected thereby shall, except as otherwise provided in </w:t>
      </w:r>
      <w:r>
        <w:rPr>
          <w:rFonts w:ascii="Arial" w:cs="Arial" w:eastAsia="Arial" w:hAnsi="Arial"/>
          <w:sz w:val="22"/>
          <w:szCs w:val="22"/>
          <w:u w:val="single" w:color="auto"/>
          <w:color w:val="auto"/>
        </w:rPr>
        <w:t>Section 9.1</w:t>
      </w:r>
      <w:r>
        <w:rPr>
          <w:rFonts w:ascii="Arial" w:cs="Arial" w:eastAsia="Arial" w:hAnsi="Arial"/>
          <w:sz w:val="22"/>
          <w:szCs w:val="22"/>
          <w:color w:val="auto"/>
        </w:rPr>
        <w:t>, require the consent of such Defaulting Lender in accordance with the terms hereof.</w:t>
      </w:r>
    </w:p>
    <w:p>
      <w:pPr>
        <w:spacing w:after="0" w:line="186" w:lineRule="exact"/>
        <w:rPr>
          <w:rFonts w:ascii="Arial" w:cs="Arial" w:eastAsia="Arial" w:hAnsi="Arial"/>
          <w:sz w:val="22"/>
          <w:szCs w:val="22"/>
          <w:color w:val="auto"/>
        </w:rPr>
      </w:pPr>
    </w:p>
    <w:p>
      <w:pPr>
        <w:jc w:val="both"/>
        <w:ind w:firstLine="656"/>
        <w:spacing w:after="0" w:line="231" w:lineRule="auto"/>
        <w:tabs>
          <w:tab w:leader="none" w:pos="1246"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Defaulting Lender Waterfall</w:t>
      </w:r>
      <w:r>
        <w:rPr>
          <w:rFonts w:ascii="Arial" w:cs="Arial" w:eastAsia="Arial" w:hAnsi="Arial"/>
          <w:sz w:val="22"/>
          <w:szCs w:val="22"/>
          <w:color w:val="auto"/>
        </w:rPr>
        <w:t xml:space="preserve">. Any payment of principal, interest, fees or other amounts received by the Administrative Agent for the account of such Defaulting Lender hereunder (whether voluntary, at maturity,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Term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Term Loans under this Agreement; 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w:t>
      </w:r>
    </w:p>
    <w:p>
      <w:pPr>
        <w:sectPr>
          <w:pgSz w:w="11900" w:h="16838" w:orient="portrait"/>
          <w:cols w:equalWidth="0" w:num="1">
            <w:col w:w="11240"/>
          </w:cols>
          <w:pgMar w:left="320" w:top="1413" w:right="339" w:bottom="1440" w:gutter="0" w:footer="0" w:header="0"/>
        </w:sectPr>
      </w:pPr>
    </w:p>
    <w:bookmarkStart w:id="260" w:name="page261"/>
    <w:bookmarkEnd w:id="260"/>
    <w:p>
      <w:pPr>
        <w:jc w:val="both"/>
        <w:spacing w:after="0" w:line="241" w:lineRule="auto"/>
        <w:rPr>
          <w:sz w:val="20"/>
          <w:szCs w:val="20"/>
          <w:color w:val="auto"/>
        </w:rPr>
      </w:pPr>
      <w:r>
        <w:rPr>
          <w:rFonts w:ascii="Arial" w:cs="Arial" w:eastAsia="Arial" w:hAnsi="Arial"/>
          <w:sz w:val="22"/>
          <w:szCs w:val="22"/>
          <w:color w:val="auto"/>
        </w:rPr>
        <w:t>jurisdiction.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83" w:lineRule="exact"/>
        <w:rPr>
          <w:sz w:val="20"/>
          <w:szCs w:val="20"/>
          <w:color w:val="auto"/>
        </w:rPr>
      </w:pPr>
    </w:p>
    <w:p>
      <w:pPr>
        <w:jc w:val="both"/>
        <w:ind w:firstLine="656"/>
        <w:spacing w:after="0" w:line="243" w:lineRule="auto"/>
        <w:tabs>
          <w:tab w:leader="none" w:pos="1179"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Defaulting Lender Cure</w:t>
      </w:r>
      <w:r>
        <w:rPr>
          <w:rFonts w:ascii="Arial" w:cs="Arial" w:eastAsia="Arial" w:hAnsi="Arial"/>
          <w:sz w:val="21"/>
          <w:szCs w:val="21"/>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Term Loans of the other Lenders or take such other actions as the Administrative Agent (unless the Administrative Agent is the Defaulting Lender) may determine to be necessary to cause the Term Loans to be held pro rata by the Lenders in accordance with the relative amounts of their Term Commitments, whereupon such Lender will cease to be a Defaulting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1"/>
          <w:szCs w:val="21"/>
          <w:u w:val="single" w:color="auto"/>
          <w:color w:val="auto"/>
        </w:rPr>
        <w:t>Sustainability Adjustments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5" w:lineRule="auto"/>
        <w:tabs>
          <w:tab w:leader="none" w:pos="991" w:val="left"/>
        </w:tabs>
        <w:numPr>
          <w:ilvl w:val="0"/>
          <w:numId w:val="212"/>
        </w:numPr>
        <w:rPr>
          <w:rFonts w:ascii="Arial" w:cs="Arial" w:eastAsia="Arial" w:hAnsi="Arial"/>
          <w:sz w:val="22"/>
          <w:szCs w:val="22"/>
          <w:color w:val="auto"/>
        </w:rPr>
      </w:pPr>
      <w:r>
        <w:rPr>
          <w:rFonts w:ascii="Arial" w:cs="Arial" w:eastAsia="Arial" w:hAnsi="Arial"/>
          <w:sz w:val="22"/>
          <w:szCs w:val="22"/>
          <w:color w:val="auto"/>
        </w:rPr>
        <w:t>(A) The Sustainability Margin Adjustment shall be effective on the Sustainability Adjustment Date and (B) each change in the Applicable Margin resulting from a Sustainability Pricing Certificate shall be effective during the period commencing on and including the applicable Sustainability Adjustment Date and ending on the date immediately preceding the next such Sustainability Adjustment Date.</w:t>
      </w:r>
    </w:p>
    <w:p>
      <w:pPr>
        <w:spacing w:after="0" w:line="183" w:lineRule="exact"/>
        <w:rPr>
          <w:rFonts w:ascii="Arial" w:cs="Arial" w:eastAsia="Arial" w:hAnsi="Arial"/>
          <w:sz w:val="22"/>
          <w:szCs w:val="22"/>
          <w:color w:val="auto"/>
        </w:rPr>
      </w:pPr>
    </w:p>
    <w:p>
      <w:pPr>
        <w:jc w:val="both"/>
        <w:ind w:firstLine="656"/>
        <w:spacing w:after="0" w:line="235" w:lineRule="auto"/>
        <w:tabs>
          <w:tab w:leader="none" w:pos="116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For the avoidance of doubt, the Sustainability Pricing Certificate may be delivered only once in respect of any calendar year. It is further understood and agreed that the Applicable Margin will never be reduced or increased by more than 5.00 basis points pursuant to the Sustainability Margin Adjustment during any calendar year (the “</w:t>
      </w:r>
      <w:r>
        <w:rPr>
          <w:rFonts w:ascii="Arial" w:cs="Arial" w:eastAsia="Arial" w:hAnsi="Arial"/>
          <w:sz w:val="22"/>
          <w:szCs w:val="22"/>
          <w:u w:val="single" w:color="auto"/>
          <w:color w:val="auto"/>
        </w:rPr>
        <w:t>Maximum Adjustment</w:t>
      </w:r>
      <w:r>
        <w:rPr>
          <w:rFonts w:ascii="Arial" w:cs="Arial" w:eastAsia="Arial" w:hAnsi="Arial"/>
          <w:sz w:val="22"/>
          <w:szCs w:val="22"/>
          <w:color w:val="auto"/>
        </w:rPr>
        <w:t>”). For the avoidance of doubt, any adjustment to the Applicable Margin due to a Sustainability Margin Adjustment in any calendar year shall not be cumulative year-over-year. Each applicable adjustment shall only apply until the date on which the next adjustment is due to take place.</w:t>
      </w:r>
    </w:p>
    <w:p>
      <w:pPr>
        <w:spacing w:after="0" w:line="187" w:lineRule="exact"/>
        <w:rPr>
          <w:rFonts w:ascii="Arial" w:cs="Arial" w:eastAsia="Arial" w:hAnsi="Arial"/>
          <w:sz w:val="22"/>
          <w:szCs w:val="22"/>
          <w:color w:val="auto"/>
        </w:rPr>
      </w:pPr>
    </w:p>
    <w:p>
      <w:pPr>
        <w:jc w:val="both"/>
        <w:ind w:firstLine="656"/>
        <w:spacing w:after="0" w:line="246" w:lineRule="auto"/>
        <w:tabs>
          <w:tab w:leader="none" w:pos="1146"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If the Borrower fails to provide the Administrative Agent with the Sustainability Pricing Certificate or one or more of the KPI Metrics for any calendar year within the timeframe indicated in Section 5.2(d), the Applicable Margin shall be increased by 1.67 basis points for each applicable Key Performance Indicator for which a KPI Metric has not been submitted, commencing on the day by which such Sustainability Pricing Certificate was required to have been delivered pursuant to the terms of </w:t>
      </w:r>
      <w:r>
        <w:rPr>
          <w:rFonts w:ascii="Arial" w:cs="Arial" w:eastAsia="Arial" w:hAnsi="Arial"/>
          <w:sz w:val="21"/>
          <w:szCs w:val="21"/>
          <w:u w:val="single" w:color="auto"/>
          <w:color w:val="auto"/>
        </w:rPr>
        <w:t>Section 5.2(d)</w:t>
      </w:r>
      <w:r>
        <w:rPr>
          <w:rFonts w:ascii="Arial" w:cs="Arial" w:eastAsia="Arial" w:hAnsi="Arial"/>
          <w:sz w:val="21"/>
          <w:szCs w:val="21"/>
          <w:color w:val="auto"/>
        </w:rPr>
        <w:t xml:space="preserve"> and continuing until the Borrower submits another Sustainability</w:t>
      </w:r>
    </w:p>
    <w:p>
      <w:pPr>
        <w:sectPr>
          <w:pgSz w:w="11900" w:h="16838" w:orient="portrait"/>
          <w:cols w:equalWidth="0" w:num="1">
            <w:col w:w="11240"/>
          </w:cols>
          <w:pgMar w:left="320" w:top="1413" w:right="339" w:bottom="1440" w:gutter="0" w:footer="0" w:header="0"/>
        </w:sectPr>
      </w:pPr>
    </w:p>
    <w:bookmarkStart w:id="261" w:name="page262"/>
    <w:bookmarkEnd w:id="261"/>
    <w:p>
      <w:pPr>
        <w:spacing w:after="0" w:line="251" w:lineRule="auto"/>
        <w:rPr>
          <w:sz w:val="20"/>
          <w:szCs w:val="20"/>
          <w:color w:val="auto"/>
        </w:rPr>
      </w:pPr>
      <w:r>
        <w:rPr>
          <w:rFonts w:ascii="Arial" w:cs="Arial" w:eastAsia="Arial" w:hAnsi="Arial"/>
          <w:sz w:val="22"/>
          <w:szCs w:val="22"/>
          <w:color w:val="auto"/>
        </w:rPr>
        <w:t>Pricing Certificate for the subsequent calendar year; provided that it is understood and agreed that the Applicable Margin will never be increased by more than the Maximum Adjustment.</w:t>
      </w:r>
    </w:p>
    <w:p>
      <w:pPr>
        <w:spacing w:after="0" w:line="173" w:lineRule="exact"/>
        <w:rPr>
          <w:sz w:val="20"/>
          <w:szCs w:val="20"/>
          <w:color w:val="auto"/>
        </w:rPr>
      </w:pPr>
    </w:p>
    <w:p>
      <w:pPr>
        <w:jc w:val="both"/>
        <w:ind w:firstLine="656"/>
        <w:spacing w:after="0" w:line="241" w:lineRule="auto"/>
        <w:tabs>
          <w:tab w:leader="none" w:pos="128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If (i)(A) the Borrower or any Lender becomes aware of any material inaccuracy in any Sustainability Applicable Rate Adjustment or any KPI Metric calculation as reported in a Sustainability Pricing Certificate (any such material inaccuracy, a “</w:t>
      </w:r>
      <w:r>
        <w:rPr>
          <w:rFonts w:ascii="Arial" w:cs="Arial" w:eastAsia="Arial" w:hAnsi="Arial"/>
          <w:sz w:val="21"/>
          <w:szCs w:val="21"/>
          <w:u w:val="single" w:color="auto"/>
          <w:color w:val="auto"/>
        </w:rPr>
        <w:t>Sustainability Pricing Certificate Inaccuracy</w:t>
      </w:r>
      <w:r>
        <w:rPr>
          <w:rFonts w:ascii="Arial" w:cs="Arial" w:eastAsia="Arial" w:hAnsi="Arial"/>
          <w:sz w:val="21"/>
          <w:szCs w:val="21"/>
          <w:color w:val="auto"/>
        </w:rPr>
        <w:t xml:space="preserve">”) and, in the case of any Lender, such Lender delivers, not later than 10 Business Days after obtaining knowledge thereof, a written notice to the Administrative Agent and the Sustainability Structuring Agent describing such Sustainability Pricing Certificate Inaccuracy in reasonable detail (which description shall be promptly shared with each Lender and the Borrower), or (B) the Borrower and the Lenders agree that there was a Sustainability Pricing Certificate Inaccuracy at the time of delivery of a Sustainability Pricing Certificate, and (ii) a proper calculation of the Sustainability Applicable Rate Adjustments or the KPI Metrics would have resulted in an increase in the Applicable Margin for any applicable period, the Borrower shall pay to the Administrative Agent for the account of the Lenders promptly following written demand by the Administrative Agent (or, after the occurrence of an actual or deemed entry of an order for relief with respect to the Borrower under the Bankruptcy Code, automatically and without further action by the Administrative Agent, any Lender), but in any event within 10 Business Days after the Borrower has received written notice in reasonable detail of, or has agreed in writing that there was, a Sustainability Pricing Certificate Inaccuracy, an amount equal to the excess of (1) the amount of interest that should have been paid for such period over (2) the amount of interest actually paid for such period. If the Borrower becomes aware of any Sustainability Pricing Certificate Inaccuracy and, in connection therewith, if a proper calculation of the Sustainability Applicable Rate Adjustment or the KPI Metrics would have resulted in a decrease in the Applicable Margin for any period, then, upon receipt by the Administrative Agent of notice from the Borrower of such Sustainability Pricing Certificate Inaccuracy (which notice shall include corrections to the calculations of the Sustainability Applicable Rate Adjustment or the KPI Metrics, as applicable and be certified to by a Responsible Officer of the Borrower), commencing on the Business Day following receipt by the Administrative Agent of such notice, the Applicable Margin shall be adjusted to reflect the corrected calculations of the Sustainability Applicable Rate Adjustment or the KPI Metrics, as applicable. It is understood and agreed that any Sustainability Pricing Certificate Inaccuracy with respect to any applicable period shall not constitute a Default or Event of Default unless the Borrower fails to make a payment required by the foregoing terms of this </w:t>
      </w:r>
      <w:r>
        <w:rPr>
          <w:rFonts w:ascii="Arial" w:cs="Arial" w:eastAsia="Arial" w:hAnsi="Arial"/>
          <w:sz w:val="21"/>
          <w:szCs w:val="21"/>
          <w:u w:val="single" w:color="auto"/>
          <w:color w:val="auto"/>
        </w:rPr>
        <w:t>Section 2.25(d)</w:t>
      </w:r>
      <w:r>
        <w:rPr>
          <w:rFonts w:ascii="Arial" w:cs="Arial" w:eastAsia="Arial" w:hAnsi="Arial"/>
          <w:sz w:val="21"/>
          <w:szCs w:val="21"/>
          <w:color w:val="auto"/>
        </w:rPr>
        <w:t xml:space="preserve"> with respect to such Sustainability Pricing Certificate Inaccuracy following demand for payment by the Administrative Agent made in accordance with the foregoing terms of this </w:t>
      </w:r>
      <w:r>
        <w:rPr>
          <w:rFonts w:ascii="Arial" w:cs="Arial" w:eastAsia="Arial" w:hAnsi="Arial"/>
          <w:sz w:val="21"/>
          <w:szCs w:val="21"/>
          <w:u w:val="single" w:color="auto"/>
          <w:color w:val="auto"/>
        </w:rPr>
        <w:t>Section 2.25(d)</w:t>
      </w:r>
      <w:r>
        <w:rPr>
          <w:rFonts w:ascii="Arial" w:cs="Arial" w:eastAsia="Arial" w:hAnsi="Arial"/>
          <w:sz w:val="21"/>
          <w:szCs w:val="21"/>
          <w:color w:val="auto"/>
        </w:rPr>
        <w:t>. Notwithstanding anything to the contrary herein, unless such amounts shall be due upon the occurrence of an actual or deemed entry of an order for relief with respect to the Borrower under the Bankruptcy Code, (a) any additional amounts required to be paid pursuant the immediately preceding paragraph shall not be due and payable until a written demand is made for such payment by the Administrative Agent in accordance with such paragraph, (b) any nonpayment of such additional amounts prior to or upon such demand for payment by Administrative Agent shall not constitute a Default or Event of Default (whether retroactively or otherwise) and (c) none of such additional</w:t>
      </w:r>
    </w:p>
    <w:p>
      <w:pPr>
        <w:sectPr>
          <w:pgSz w:w="11900" w:h="16838" w:orient="portrait"/>
          <w:cols w:equalWidth="0" w:num="1">
            <w:col w:w="11240"/>
          </w:cols>
          <w:pgMar w:left="320" w:top="1413" w:right="339" w:bottom="1440" w:gutter="0" w:footer="0" w:header="0"/>
        </w:sectPr>
      </w:pPr>
    </w:p>
    <w:bookmarkStart w:id="262" w:name="page263"/>
    <w:bookmarkEnd w:id="262"/>
    <w:p>
      <w:pPr>
        <w:spacing w:after="0" w:line="251" w:lineRule="auto"/>
        <w:rPr>
          <w:sz w:val="20"/>
          <w:szCs w:val="20"/>
          <w:color w:val="auto"/>
        </w:rPr>
      </w:pPr>
      <w:r>
        <w:rPr>
          <w:rFonts w:ascii="Arial" w:cs="Arial" w:eastAsia="Arial" w:hAnsi="Arial"/>
          <w:sz w:val="22"/>
          <w:szCs w:val="22"/>
          <w:color w:val="auto"/>
        </w:rPr>
        <w:t>amounts shall be deemed overdue prior to such a demand or shall accrue interest at the Default Rate prior to such a demand.</w:t>
      </w:r>
    </w:p>
    <w:p>
      <w:pPr>
        <w:spacing w:after="0" w:line="173" w:lineRule="exact"/>
        <w:rPr>
          <w:sz w:val="20"/>
          <w:szCs w:val="20"/>
          <w:color w:val="auto"/>
        </w:rPr>
      </w:pPr>
    </w:p>
    <w:p>
      <w:pPr>
        <w:jc w:val="both"/>
        <w:ind w:firstLine="656"/>
        <w:spacing w:after="0" w:line="233" w:lineRule="auto"/>
        <w:tabs>
          <w:tab w:leader="none" w:pos="121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Each party hereto hereby agrees that neither the Administrative Agent nor the Sustainability Structuring Agent shall have any responsibility for (or liability in respect of) reviewing, auditing or otherwise evaluating any calculation by the Borrower of any Sustainability Applicable Rate Adjustment (or any of the data or computations that are part of or related to any such calculation) set forth in the Initial KPI Metrics Report, any KPI Metrics Report or any Sustainability Pricing Certificate (and the Administrative Agent may rely conclusively on any such certificate, without further inquiry).</w:t>
      </w:r>
    </w:p>
    <w:p>
      <w:pPr>
        <w:spacing w:after="0" w:line="186" w:lineRule="exact"/>
        <w:rPr>
          <w:rFonts w:ascii="Arial" w:cs="Arial" w:eastAsia="Arial" w:hAnsi="Arial"/>
          <w:sz w:val="22"/>
          <w:szCs w:val="22"/>
          <w:color w:val="auto"/>
        </w:rPr>
      </w:pPr>
    </w:p>
    <w:p>
      <w:pPr>
        <w:jc w:val="both"/>
        <w:ind w:firstLine="656"/>
        <w:spacing w:after="0" w:line="231" w:lineRule="auto"/>
        <w:tabs>
          <w:tab w:leader="none" w:pos="114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In the event of a Regulatory Change in relation to any Key Performance Indicator, the Borrower and the Sustainability Structuring Agent shall negotiate in good faith, by no later than 60 days following such Regulatory Change any necessary amendment, modification or other supplement to Schedule 1.3 (Sustainability Performance Thresholds) (and any component definitions thereof). Such amendment, modification or other supplement, shall be consented to by the Administrative Agent, Sustainability Structuring Agent and the Borrower and will take effect so long as Lenders constituting Required Lenders do not object to such changes within five Business Days after notice of such proposed amendment, modification or other supplement. If the Borrower and the Structuring Sustainability Agent do not agree to any such amendment, modification or supplement following the 60 day period, then, upon the written agreement among the Sustainability Structuring Agent, the Borrower and the Administrative Agent, which will take effect so long as Lenders constituting Required Lenders do not object to such agreement within five Business Days after notice of such proposed agreement, the Sustainability Applicable Rate Adjustment shall cease to apply for the relevant Key Performance Indicator and, notwithstanding anything to the contrary herein, for all purposes hereunder, the Sustainability Applicable Rate Adjustment for such Key Performance Indicator shall be deemed to be zero. In the case such Key Performance Indicator no longer applies, the Borrower will then cease to refer to the applicable Key Performance Indicator in the Sustainability Pricing Certificate.</w:t>
      </w:r>
    </w:p>
    <w:p>
      <w:pPr>
        <w:spacing w:after="0" w:line="195"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3_____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Borrower represents and warrant on the Closing Date to the Administrative Agent and each Lender as follows:</w:t>
      </w:r>
    </w:p>
    <w:p>
      <w:pPr>
        <w:spacing w:after="0" w:line="15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Existence; Compliance with Law</w:t>
      </w:r>
      <w:r>
        <w:rPr>
          <w:rFonts w:ascii="Arial" w:cs="Arial" w:eastAsia="Arial" w:hAnsi="Arial"/>
          <w:sz w:val="22"/>
          <w:szCs w:val="22"/>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w:t>
      </w:r>
    </w:p>
    <w:p>
      <w:pPr>
        <w:sectPr>
          <w:pgSz w:w="11900" w:h="16838" w:orient="portrait"/>
          <w:cols w:equalWidth="0" w:num="1">
            <w:col w:w="11240"/>
          </w:cols>
          <w:pgMar w:left="320" w:top="1413" w:right="339" w:bottom="1440" w:gutter="0" w:footer="0" w:header="0"/>
        </w:sectPr>
      </w:pPr>
    </w:p>
    <w:bookmarkStart w:id="263" w:name="page264"/>
    <w:bookmarkEnd w:id="263"/>
    <w:p>
      <w:pPr>
        <w:jc w:val="both"/>
        <w:spacing w:after="0" w:line="251" w:lineRule="auto"/>
        <w:rPr>
          <w:sz w:val="20"/>
          <w:szCs w:val="20"/>
          <w:color w:val="auto"/>
        </w:rPr>
      </w:pPr>
      <w:r>
        <w:rPr>
          <w:rFonts w:ascii="Arial" w:cs="Arial" w:eastAsia="Arial" w:hAnsi="Arial"/>
          <w:sz w:val="22"/>
          <w:szCs w:val="22"/>
          <w:color w:val="auto"/>
        </w:rPr>
        <w:t>clauses (a) through (d), to the extent that the failure to comply therewith would not, in the aggregate, reasonably be expected to have a Material Adverse Effect.</w:t>
      </w:r>
    </w:p>
    <w:p>
      <w:pPr>
        <w:spacing w:after="0" w:line="17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Power; Authorizations; Enforceable Obligations</w:t>
      </w:r>
      <w:r>
        <w:rPr>
          <w:rFonts w:ascii="Arial" w:cs="Arial" w:eastAsia="Arial" w:hAnsi="Arial"/>
          <w:sz w:val="22"/>
          <w:szCs w:val="22"/>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 made and are in full force and effect and (ii)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 Legal Bar</w:t>
      </w:r>
      <w:r>
        <w:rPr>
          <w:rFonts w:ascii="Arial" w:cs="Arial" w:eastAsia="Arial" w:hAnsi="Arial"/>
          <w:sz w:val="22"/>
          <w:szCs w:val="22"/>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19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Accuracy of Information</w:t>
      </w:r>
      <w:r>
        <w:rPr>
          <w:rFonts w:ascii="Arial" w:cs="Arial" w:eastAsia="Arial" w:hAnsi="Arial"/>
          <w:sz w:val="22"/>
          <w:szCs w:val="22"/>
          <w:color w:val="auto"/>
        </w:rPr>
        <w:t>. No statement or information contained in this Agreement, any other Loan Document, or any other document, certificate or statement, including, without limitation, with respect to the KPI Metrics and any reporting in connection therewith,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provided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w:t>
      </w:r>
    </w:p>
    <w:p>
      <w:pPr>
        <w:sectPr>
          <w:pgSz w:w="11900" w:h="16838" w:orient="portrait"/>
          <w:cols w:equalWidth="0" w:num="1">
            <w:col w:w="11240"/>
          </w:cols>
          <w:pgMar w:left="320" w:top="1413" w:right="3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such projected financial information may vary from actual results and such variations could be material.</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Title to Assets; Liens</w:t>
      </w:r>
      <w:r>
        <w:rPr>
          <w:rFonts w:ascii="Arial" w:cs="Arial" w:eastAsia="Arial" w:hAnsi="Arial"/>
          <w:sz w:val="22"/>
          <w:szCs w:val="22"/>
          <w:color w:val="auto"/>
        </w:rPr>
        <w:t>. The Borrower and its Restricted Subsidiaries have good and marketable title to, or a valid leasehold or easement interest in, all their other material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Liens permitted under Section 6.2.</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Term Loans shall be utilized for the Refinancing and general corporate purposes.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Litigation</w:t>
      </w:r>
      <w:r>
        <w:rPr>
          <w:rFonts w:ascii="Arial" w:cs="Arial" w:eastAsia="Arial" w:hAnsi="Arial"/>
          <w:sz w:val="22"/>
          <w:szCs w:val="22"/>
          <w:color w:val="auto"/>
        </w:rPr>
        <w:t>. No litigation, investigation or proceeding of or before any arbitrator or Governmental Authority is pending or, to the knowledge of the Borrower, threatened (including “cease and desist” letters and 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Federal Reserve Regulations</w:t>
      </w:r>
      <w:r>
        <w:rPr>
          <w:rFonts w:ascii="Arial" w:cs="Arial" w:eastAsia="Arial" w:hAnsi="Arial"/>
          <w:sz w:val="22"/>
          <w:szCs w:val="22"/>
          <w:color w:val="auto"/>
        </w:rPr>
        <w:t>. No part of the proceeds of any Term Loan will be used for any purpose that violates the provisions of the Regulations of the Board of Governors. Neither the Borrower nor any of its Subsidiaries is engaged principally, or as one of its important activities, in the business of extending credit for the purpose of purchasing or carrying any “margin stock.”</w:t>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Solvency</w:t>
      </w:r>
      <w:r>
        <w:rPr>
          <w:rFonts w:ascii="Arial" w:cs="Arial" w:eastAsia="Arial" w:hAnsi="Arial"/>
          <w:sz w:val="22"/>
          <w:szCs w:val="22"/>
          <w:color w:val="auto"/>
        </w:rPr>
        <w:t>. The Borrower and its Subsidiaries, taken as a whole, are, and after giving effect to the incurrence of all Indebtedness and obligations being incurred in connection herewith will be, Solvent.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w:t>
      </w:r>
    </w:p>
    <w:p>
      <w:pPr>
        <w:sectPr>
          <w:pgSz w:w="11900" w:h="16838" w:orient="portrait"/>
          <w:cols w:equalWidth="0" w:num="1">
            <w:col w:w="11240"/>
          </w:cols>
          <w:pgMar w:left="320" w:top="1413" w:right="339" w:bottom="1440" w:gutter="0" w:footer="0" w:header="0"/>
        </w:sectPr>
      </w:pPr>
    </w:p>
    <w:bookmarkStart w:id="265" w:name="page266"/>
    <w:bookmarkEnd w:id="265"/>
    <w:p>
      <w:pPr>
        <w:jc w:val="both"/>
        <w:spacing w:after="0" w:line="233" w:lineRule="auto"/>
        <w:rPr>
          <w:sz w:val="20"/>
          <w:szCs w:val="20"/>
          <w:color w:val="auto"/>
        </w:rPr>
      </w:pPr>
      <w:r>
        <w:rPr>
          <w:rFonts w:ascii="Arial" w:cs="Arial" w:eastAsia="Arial" w:hAnsi="Arial"/>
          <w:sz w:val="22"/>
          <w:szCs w:val="22"/>
          <w:color w:val="auto"/>
        </w:rPr>
        <w:t>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18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ERISA</w:t>
      </w:r>
      <w:r>
        <w:rPr>
          <w:rFonts w:ascii="Arial" w:cs="Arial" w:eastAsia="Arial" w:hAnsi="Arial"/>
          <w:sz w:val="22"/>
          <w:szCs w:val="22"/>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19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Environmental Matters; Hazardous Material</w:t>
      </w:r>
      <w:r>
        <w:rPr>
          <w:rFonts w:ascii="Arial" w:cs="Arial" w:eastAsia="Arial" w:hAnsi="Arial"/>
          <w:sz w:val="22"/>
          <w:szCs w:val="22"/>
          <w:color w:val="auto"/>
        </w:rPr>
        <w:t>. There has been no matter with respect to Environmental Laws or Materials of Environmental Concern which, in the aggregate, would reasonably be expected to have a Material Adverse Effect.</w:t>
      </w:r>
    </w:p>
    <w:p>
      <w:pPr>
        <w:spacing w:after="0" w:line="18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3.15. </w:t>
      </w:r>
      <w:r>
        <w:rPr>
          <w:rFonts w:ascii="Arial" w:cs="Arial" w:eastAsia="Arial" w:hAnsi="Arial"/>
          <w:sz w:val="22"/>
          <w:szCs w:val="22"/>
          <w:u w:val="single" w:color="auto"/>
          <w:color w:val="auto"/>
        </w:rPr>
        <w:t>Investment Company Act; Other Regulations</w:t>
      </w:r>
      <w:r>
        <w:rPr>
          <w:rFonts w:ascii="Arial" w:cs="Arial" w:eastAsia="Arial" w:hAnsi="Arial"/>
          <w:sz w:val="22"/>
          <w:szCs w:val="22"/>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3.16. </w:t>
      </w:r>
      <w:r>
        <w:rPr>
          <w:rFonts w:ascii="Arial" w:cs="Arial" w:eastAsia="Arial" w:hAnsi="Arial"/>
          <w:sz w:val="22"/>
          <w:szCs w:val="22"/>
          <w:u w:val="single" w:color="auto"/>
          <w:color w:val="auto"/>
        </w:rPr>
        <w:t>Labor Matters</w:t>
      </w:r>
      <w:r>
        <w:rPr>
          <w:rFonts w:ascii="Arial" w:cs="Arial" w:eastAsia="Arial" w:hAnsi="Arial"/>
          <w:sz w:val="22"/>
          <w:szCs w:val="22"/>
          <w:color w:val="auto"/>
        </w:rPr>
        <w:t xml:space="preserve"> . Except as, in the aggregate, would not reasonably be expected to have a Material Adverse Effect: (a) there are no strikes or other labor disputes against the Borrower or any Restricted Subsidiary pending or, to the knowledge of the Borrower, threatened; (b) hours worked by and payment made to</w:t>
      </w:r>
    </w:p>
    <w:p>
      <w:pPr>
        <w:sectPr>
          <w:pgSz w:w="11900" w:h="16838" w:orient="portrait"/>
          <w:cols w:equalWidth="0" w:num="1">
            <w:col w:w="11240"/>
          </w:cols>
          <w:pgMar w:left="320" w:top="1413" w:right="339" w:bottom="1440" w:gutter="0" w:footer="0" w:header="0"/>
        </w:sectPr>
      </w:pPr>
    </w:p>
    <w:bookmarkStart w:id="266" w:name="page267"/>
    <w:bookmarkEnd w:id="266"/>
    <w:p>
      <w:pPr>
        <w:jc w:val="both"/>
        <w:spacing w:after="0" w:line="238" w:lineRule="auto"/>
        <w:rPr>
          <w:sz w:val="20"/>
          <w:szCs w:val="20"/>
          <w:color w:val="auto"/>
        </w:rPr>
      </w:pPr>
      <w:r>
        <w:rPr>
          <w:rFonts w:ascii="Arial" w:cs="Arial" w:eastAsia="Arial" w:hAnsi="Arial"/>
          <w:sz w:val="22"/>
          <w:szCs w:val="22"/>
          <w:color w:val="auto"/>
        </w:rPr>
        <w:t>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18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3.17.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3.18.</w:t>
      </w:r>
      <w:r>
        <w:rPr>
          <w:sz w:val="20"/>
          <w:szCs w:val="20"/>
          <w:color w:val="auto"/>
        </w:rPr>
        <w:tab/>
      </w:r>
      <w:r>
        <w:rPr>
          <w:rFonts w:ascii="Arial" w:cs="Arial" w:eastAsia="Arial" w:hAnsi="Arial"/>
          <w:sz w:val="21"/>
          <w:szCs w:val="21"/>
          <w:u w:val="single" w:color="auto"/>
          <w:color w:val="auto"/>
        </w:rPr>
        <w:t>Affected Financial Institutions</w:t>
      </w:r>
      <w:r>
        <w:rPr>
          <w:rFonts w:ascii="Arial" w:cs="Arial" w:eastAsia="Arial" w:hAnsi="Arial"/>
          <w:sz w:val="21"/>
          <w:szCs w:val="21"/>
          <w:color w:val="auto"/>
        </w:rPr>
        <w:t>. No Loan Party is an Affected Financial Institution.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3.19. </w:t>
      </w: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6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3.20. </w:t>
      </w:r>
      <w:r>
        <w:rPr>
          <w:rFonts w:ascii="Arial" w:cs="Arial" w:eastAsia="Arial" w:hAnsi="Arial"/>
          <w:sz w:val="22"/>
          <w:szCs w:val="22"/>
          <w:u w:val="single" w:color="auto"/>
          <w:color w:val="auto"/>
        </w:rPr>
        <w:t>ERISA Event</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183"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4_____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Precedent</w:t>
      </w:r>
    </w:p>
    <w:p>
      <w:pPr>
        <w:spacing w:after="0" w:line="19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Conditions to the Closing Date</w:t>
      </w:r>
      <w:r>
        <w:rPr>
          <w:rFonts w:ascii="Arial" w:cs="Arial" w:eastAsia="Arial" w:hAnsi="Arial"/>
          <w:sz w:val="22"/>
          <w:szCs w:val="22"/>
          <w:color w:val="auto"/>
        </w:rPr>
        <w:t>. The obligations of the Lenders to make Term Loans hereunder shall not become effective until the date on which each of the following conditions is satisfied (or waived in accordance with Section 9.1):</w:t>
      </w:r>
    </w:p>
    <w:p>
      <w:pPr>
        <w:spacing w:after="0" w:line="183" w:lineRule="exact"/>
        <w:rPr>
          <w:sz w:val="20"/>
          <w:szCs w:val="20"/>
          <w:color w:val="auto"/>
        </w:rPr>
      </w:pPr>
    </w:p>
    <w:p>
      <w:pPr>
        <w:jc w:val="both"/>
        <w:ind w:firstLine="656"/>
        <w:spacing w:after="0" w:line="236" w:lineRule="auto"/>
        <w:tabs>
          <w:tab w:leader="none" w:pos="1350"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Loan Documents</w:t>
      </w:r>
      <w:r>
        <w:rPr>
          <w:rFonts w:ascii="Arial" w:cs="Arial" w:eastAsia="Arial" w:hAnsi="Arial"/>
          <w:sz w:val="22"/>
          <w:szCs w:val="22"/>
          <w:color w:val="auto"/>
        </w:rPr>
        <w:t>. The Administrative Agent shall have received counterparts hereof executed and delivered by the Borrower, the Administrative Agent, the Sustainability Structuring Agent, and each other Lender and Schedules to this Agreement.</w:t>
      </w:r>
    </w:p>
    <w:p>
      <w:pPr>
        <w:spacing w:after="0" w:line="185" w:lineRule="exact"/>
        <w:rPr>
          <w:rFonts w:ascii="Arial" w:cs="Arial" w:eastAsia="Arial" w:hAnsi="Arial"/>
          <w:sz w:val="22"/>
          <w:szCs w:val="22"/>
          <w:color w:val="auto"/>
        </w:rPr>
      </w:pPr>
    </w:p>
    <w:p>
      <w:pPr>
        <w:jc w:val="both"/>
        <w:ind w:firstLine="656"/>
        <w:spacing w:after="0" w:line="238" w:lineRule="auto"/>
        <w:tabs>
          <w:tab w:leader="none" w:pos="1203" w:val="left"/>
        </w:tabs>
        <w:numPr>
          <w:ilvl w:val="0"/>
          <w:numId w:val="215"/>
        </w:numPr>
        <w:rPr>
          <w:rFonts w:ascii="Arial" w:cs="Arial" w:eastAsia="Arial" w:hAnsi="Arial"/>
          <w:sz w:val="22"/>
          <w:szCs w:val="22"/>
          <w:color w:val="auto"/>
        </w:rPr>
      </w:pPr>
      <w:r>
        <w:rPr>
          <w:rFonts w:ascii="Arial" w:cs="Arial" w:eastAsia="Arial" w:hAnsi="Arial"/>
          <w:sz w:val="22"/>
          <w:szCs w:val="22"/>
          <w:u w:val="single" w:color="auto"/>
          <w:color w:val="auto"/>
        </w:rPr>
        <w:t>Corporate Documents and Proceedings</w:t>
      </w:r>
      <w:r>
        <w:rPr>
          <w:rFonts w:ascii="Arial" w:cs="Arial" w:eastAsia="Arial" w:hAnsi="Arial"/>
          <w:sz w:val="22"/>
          <w:szCs w:val="22"/>
          <w:color w:val="auto"/>
        </w:rPr>
        <w:t xml:space="preserve">. The Administrative Agent shall have received (i) a certificate of Borrower, dated the Closing Date,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with appropriate insertions and attachments, including the certificate of incorporation of Borrower, and (ii) a long form good standing certificate for Borrower from its jurisdiction of organization.</w:t>
      </w:r>
    </w:p>
    <w:p>
      <w:pPr>
        <w:sectPr>
          <w:pgSz w:w="11900" w:h="16838" w:orient="portrait"/>
          <w:cols w:equalWidth="0" w:num="1">
            <w:col w:w="11240"/>
          </w:cols>
          <w:pgMar w:left="320" w:top="1413" w:right="339" w:bottom="1440" w:gutter="0" w:footer="0" w:header="0"/>
        </w:sectPr>
      </w:pPr>
    </w:p>
    <w:bookmarkStart w:id="267" w:name="page268"/>
    <w:bookmarkEnd w:id="267"/>
    <w:p>
      <w:pPr>
        <w:ind w:left="-8" w:firstLine="656"/>
        <w:spacing w:after="0" w:line="251" w:lineRule="auto"/>
        <w:tabs>
          <w:tab w:leader="none" w:pos="1163"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Since September 3, 2020, there has been no development or event that has had or would reasonably be expected to have a Material Adverse Effect.</w:t>
      </w:r>
    </w:p>
    <w:p>
      <w:pPr>
        <w:spacing w:after="0" w:line="172" w:lineRule="exact"/>
        <w:rPr>
          <w:rFonts w:ascii="Arial" w:cs="Arial" w:eastAsia="Arial" w:hAnsi="Arial"/>
          <w:sz w:val="22"/>
          <w:szCs w:val="22"/>
          <w:color w:val="auto"/>
        </w:rPr>
      </w:pPr>
    </w:p>
    <w:p>
      <w:pPr>
        <w:jc w:val="both"/>
        <w:ind w:left="-8" w:firstLine="656"/>
        <w:spacing w:after="0" w:line="238" w:lineRule="auto"/>
        <w:tabs>
          <w:tab w:leader="none" w:pos="1221" w:val="left"/>
        </w:tabs>
        <w:numPr>
          <w:ilvl w:val="1"/>
          <w:numId w:val="216"/>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22"/>
          <w:szCs w:val="22"/>
          <w:u w:val="single" w:color="auto"/>
          <w:color w:val="auto"/>
        </w:rPr>
        <w:t>Section 4.1(c)</w:t>
      </w:r>
      <w:r>
        <w:rPr>
          <w:rFonts w:ascii="Arial" w:cs="Arial" w:eastAsia="Arial" w:hAnsi="Arial"/>
          <w:sz w:val="22"/>
          <w:szCs w:val="22"/>
          <w:color w:val="auto"/>
        </w:rPr>
        <w:t>,</w:t>
      </w:r>
    </w:p>
    <w:p>
      <w:pPr>
        <w:ind w:left="312" w:hanging="312"/>
        <w:spacing w:after="0"/>
        <w:tabs>
          <w:tab w:leader="none" w:pos="312" w:val="left"/>
        </w:tabs>
        <w:numPr>
          <w:ilvl w:val="0"/>
          <w:numId w:val="217"/>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(l)</w:t>
      </w:r>
      <w:r>
        <w:rPr>
          <w:rFonts w:ascii="Arial" w:cs="Arial" w:eastAsia="Arial" w:hAnsi="Arial"/>
          <w:sz w:val="22"/>
          <w:szCs w:val="22"/>
          <w:color w:val="auto"/>
        </w:rPr>
        <w:t xml:space="preserve"> (and covering all representations and warranties in </w:t>
      </w:r>
      <w:r>
        <w:rPr>
          <w:rFonts w:ascii="Arial" w:cs="Arial" w:eastAsia="Arial" w:hAnsi="Arial"/>
          <w:sz w:val="22"/>
          <w:szCs w:val="22"/>
          <w:u w:val="single" w:color="auto"/>
          <w:color w:val="auto"/>
        </w:rPr>
        <w:t>Section 3</w:t>
      </w:r>
      <w:r>
        <w:rPr>
          <w:rFonts w:ascii="Arial" w:cs="Arial" w:eastAsia="Arial" w:hAnsi="Arial"/>
          <w:sz w:val="22"/>
          <w:szCs w:val="22"/>
          <w:color w:val="auto"/>
        </w:rPr>
        <w:t>).</w:t>
      </w:r>
    </w:p>
    <w:p>
      <w:pPr>
        <w:spacing w:after="0" w:line="190" w:lineRule="exact"/>
        <w:rPr>
          <w:rFonts w:ascii="Arial" w:cs="Arial" w:eastAsia="Arial" w:hAnsi="Arial"/>
          <w:sz w:val="22"/>
          <w:szCs w:val="22"/>
          <w:u w:val="single" w:color="auto"/>
          <w:color w:val="auto"/>
        </w:rPr>
      </w:pPr>
    </w:p>
    <w:p>
      <w:pPr>
        <w:jc w:val="both"/>
        <w:ind w:left="-8" w:firstLine="656"/>
        <w:spacing w:after="0" w:line="235" w:lineRule="auto"/>
        <w:tabs>
          <w:tab w:leader="none" w:pos="1184"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183" w:lineRule="exact"/>
        <w:rPr>
          <w:rFonts w:ascii="Arial" w:cs="Arial" w:eastAsia="Arial" w:hAnsi="Arial"/>
          <w:sz w:val="22"/>
          <w:szCs w:val="22"/>
          <w:color w:val="auto"/>
        </w:rPr>
      </w:pPr>
    </w:p>
    <w:p>
      <w:pPr>
        <w:jc w:val="both"/>
        <w:ind w:left="-8" w:firstLine="656"/>
        <w:spacing w:after="0" w:line="241" w:lineRule="auto"/>
        <w:tabs>
          <w:tab w:leader="none" w:pos="1196"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Payment of Fees; Expenses</w:t>
      </w:r>
      <w:r>
        <w:rPr>
          <w:rFonts w:ascii="Arial" w:cs="Arial" w:eastAsia="Arial" w:hAnsi="Arial"/>
          <w:sz w:val="22"/>
          <w:szCs w:val="22"/>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82" w:lineRule="exact"/>
        <w:rPr>
          <w:rFonts w:ascii="Arial" w:cs="Arial" w:eastAsia="Arial" w:hAnsi="Arial"/>
          <w:sz w:val="22"/>
          <w:szCs w:val="22"/>
          <w:color w:val="auto"/>
        </w:rPr>
      </w:pPr>
    </w:p>
    <w:p>
      <w:pPr>
        <w:ind w:left="-8" w:firstLine="656"/>
        <w:spacing w:after="0" w:line="251" w:lineRule="auto"/>
        <w:tabs>
          <w:tab w:leader="none" w:pos="1358"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Legal Opinion</w:t>
      </w:r>
      <w:r>
        <w:rPr>
          <w:rFonts w:ascii="Arial" w:cs="Arial" w:eastAsia="Arial" w:hAnsi="Arial"/>
          <w:sz w:val="22"/>
          <w:szCs w:val="22"/>
          <w:color w:val="auto"/>
        </w:rPr>
        <w:t>. The Administrative Agent shall have received a legal opinion from Wilson Sonsini Goodrich &amp; Rosati P.C., counsel to the Borrower, in form and substance satisfactory to the Administrative Agent.</w:t>
      </w:r>
    </w:p>
    <w:p>
      <w:pPr>
        <w:spacing w:after="0" w:line="172" w:lineRule="exact"/>
        <w:rPr>
          <w:rFonts w:ascii="Arial" w:cs="Arial" w:eastAsia="Arial" w:hAnsi="Arial"/>
          <w:sz w:val="22"/>
          <w:szCs w:val="22"/>
          <w:color w:val="auto"/>
        </w:rPr>
      </w:pPr>
    </w:p>
    <w:p>
      <w:pPr>
        <w:ind w:left="1152" w:hanging="504"/>
        <w:spacing w:after="0"/>
        <w:tabs>
          <w:tab w:leader="none" w:pos="1152" w:val="left"/>
        </w:tabs>
        <w:numPr>
          <w:ilvl w:val="1"/>
          <w:numId w:val="217"/>
        </w:numPr>
        <w:rPr>
          <w:rFonts w:ascii="Arial" w:cs="Arial" w:eastAsia="Arial" w:hAnsi="Arial"/>
          <w:sz w:val="21"/>
          <w:szCs w:val="21"/>
          <w:color w:val="auto"/>
        </w:rPr>
      </w:pPr>
      <w:r>
        <w:rPr>
          <w:rFonts w:ascii="Arial" w:cs="Arial" w:eastAsia="Arial" w:hAnsi="Arial"/>
          <w:sz w:val="21"/>
          <w:szCs w:val="21"/>
          <w:u w:val="single" w:color="auto"/>
          <w:color w:val="auto"/>
        </w:rPr>
        <w:t>Refinancing</w:t>
      </w:r>
      <w:r>
        <w:rPr>
          <w:rFonts w:ascii="Arial" w:cs="Arial" w:eastAsia="Arial" w:hAnsi="Arial"/>
          <w:sz w:val="21"/>
          <w:szCs w:val="21"/>
          <w:color w:val="auto"/>
        </w:rPr>
        <w:t>. Substantially simultaneously with the Closing Date, the Refinancing shall be consummated.</w:t>
      </w:r>
    </w:p>
    <w:p>
      <w:pPr>
        <w:spacing w:after="0" w:line="217" w:lineRule="exact"/>
        <w:rPr>
          <w:rFonts w:ascii="Arial" w:cs="Arial" w:eastAsia="Arial" w:hAnsi="Arial"/>
          <w:sz w:val="21"/>
          <w:szCs w:val="21"/>
          <w:color w:val="auto"/>
        </w:rPr>
      </w:pPr>
    </w:p>
    <w:p>
      <w:pPr>
        <w:jc w:val="both"/>
        <w:ind w:left="-8" w:firstLine="656"/>
        <w:spacing w:after="0" w:line="232" w:lineRule="auto"/>
        <w:tabs>
          <w:tab w:leader="none" w:pos="1090"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Patriot Act and Beneficial Ownership Regulation</w:t>
      </w:r>
      <w:r>
        <w:rPr>
          <w:rFonts w:ascii="Arial" w:cs="Arial" w:eastAsia="Arial" w:hAnsi="Arial"/>
          <w:sz w:val="22"/>
          <w:szCs w:val="22"/>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upon the execution and delivery by such Lender of its signature page to this Agreement, the condition set forth in this clause (ii) shall be deemed to be satisfied).</w:t>
      </w:r>
    </w:p>
    <w:p>
      <w:pPr>
        <w:spacing w:after="0" w:line="187" w:lineRule="exact"/>
        <w:rPr>
          <w:rFonts w:ascii="Arial" w:cs="Arial" w:eastAsia="Arial" w:hAnsi="Arial"/>
          <w:sz w:val="22"/>
          <w:szCs w:val="22"/>
          <w:color w:val="auto"/>
        </w:rPr>
      </w:pPr>
    </w:p>
    <w:p>
      <w:pPr>
        <w:jc w:val="both"/>
        <w:ind w:left="-8" w:firstLine="656"/>
        <w:spacing w:after="0" w:line="236" w:lineRule="auto"/>
        <w:tabs>
          <w:tab w:leader="none" w:pos="1127"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Initial KPI Metrics Report</w:t>
      </w:r>
      <w:r>
        <w:rPr>
          <w:rFonts w:ascii="Arial" w:cs="Arial" w:eastAsia="Arial" w:hAnsi="Arial"/>
          <w:sz w:val="22"/>
          <w:szCs w:val="22"/>
          <w:color w:val="auto"/>
        </w:rPr>
        <w:t>. The Administrative Agent shall have received the Initial KPI Metrics Report, of which all data and information in such Initial KPI Metrics Report has been made publicly available by the Borrower via the Borrower’s annual report on environmental, social and governance issues.</w:t>
      </w:r>
    </w:p>
    <w:p>
      <w:pPr>
        <w:spacing w:after="0" w:line="185" w:lineRule="exact"/>
        <w:rPr>
          <w:rFonts w:ascii="Arial" w:cs="Arial" w:eastAsia="Arial" w:hAnsi="Arial"/>
          <w:sz w:val="22"/>
          <w:szCs w:val="22"/>
          <w:color w:val="auto"/>
        </w:rPr>
      </w:pPr>
    </w:p>
    <w:p>
      <w:pPr>
        <w:jc w:val="both"/>
        <w:ind w:left="-8" w:firstLine="656"/>
        <w:spacing w:after="0" w:line="241" w:lineRule="auto"/>
        <w:tabs>
          <w:tab w:leader="none" w:pos="1157" w:val="left"/>
        </w:tabs>
        <w:numPr>
          <w:ilvl w:val="1"/>
          <w:numId w:val="217"/>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All representations and warranties contained in this Agreement shall be true and correct in all material respects on and as of the Closing Date, with the same effect as if made on and as of such date (unless</w:t>
      </w:r>
    </w:p>
    <w:p>
      <w:pPr>
        <w:sectPr>
          <w:pgSz w:w="11900" w:h="16838" w:orient="portrait"/>
          <w:cols w:equalWidth="0" w:num="1">
            <w:col w:w="11232"/>
          </w:cols>
          <w:pgMar w:left="328" w:top="1413" w:right="339" w:bottom="1440" w:gutter="0" w:footer="0" w:header="0"/>
        </w:sectPr>
      </w:pPr>
    </w:p>
    <w:bookmarkStart w:id="268" w:name="page269"/>
    <w:bookmarkEnd w:id="268"/>
    <w:p>
      <w:pPr>
        <w:jc w:val="both"/>
        <w:spacing w:after="0" w:line="241" w:lineRule="auto"/>
        <w:rPr>
          <w:sz w:val="20"/>
          <w:szCs w:val="20"/>
          <w:color w:val="auto"/>
        </w:rPr>
      </w:pPr>
      <w:r>
        <w:rPr>
          <w:rFonts w:ascii="Arial" w:cs="Arial" w:eastAsia="Arial" w:hAnsi="Arial"/>
          <w:sz w:val="22"/>
          <w:szCs w:val="22"/>
          <w:color w:val="auto"/>
        </w:rPr>
        <w:t>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83" w:lineRule="exact"/>
        <w:rPr>
          <w:sz w:val="20"/>
          <w:szCs w:val="20"/>
          <w:color w:val="auto"/>
        </w:rPr>
      </w:pPr>
    </w:p>
    <w:p>
      <w:pPr>
        <w:ind w:left="1080" w:hanging="424"/>
        <w:spacing w:after="0"/>
        <w:tabs>
          <w:tab w:leader="none" w:pos="1080" w:val="left"/>
        </w:tabs>
        <w:numPr>
          <w:ilvl w:val="0"/>
          <w:numId w:val="218"/>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and be continuing.</w:t>
      </w:r>
    </w:p>
    <w:p>
      <w:pPr>
        <w:spacing w:after="0" w:line="206"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5_____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Until the Term Commitments have expired or been terminated and the principal of and interest on each Term Loan and all fees payable hereunder shall have been paid in full, the Borrower covenants and agrees that:</w:t>
      </w:r>
    </w:p>
    <w:p>
      <w:pPr>
        <w:spacing w:after="0" w:line="17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Financial Statements, etc</w:t>
      </w:r>
      <w:r>
        <w:rPr>
          <w:rFonts w:ascii="Arial" w:cs="Arial" w:eastAsia="Arial" w:hAnsi="Arial"/>
          <w:sz w:val="22"/>
          <w:szCs w:val="22"/>
          <w:color w:val="auto"/>
        </w:rPr>
        <w:t>.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Section 13 or 15(d) of the Exchange Act (other than confidential filings, documents subject to confidential treatment and correspondence with the SEC); provided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Section 5.1.</w:t>
      </w:r>
    </w:p>
    <w:p>
      <w:pPr>
        <w:spacing w:after="0" w:line="17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u w:val="single" w:color="auto"/>
          <w:color w:val="auto"/>
        </w:rPr>
        <w:t>Compliance Certificate; Reporting</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5" w:lineRule="auto"/>
        <w:tabs>
          <w:tab w:leader="none" w:pos="132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Promptly (and in any event within 5 Business Days) following delivery of the quarterly and annual financial statements provided for in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on Form 10-Q or 10-K, as applicable, a certificate of a Financial Officer of the Borrower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firstLine="656"/>
        <w:spacing w:after="0" w:line="234" w:lineRule="auto"/>
        <w:tabs>
          <w:tab w:leader="none" w:pos="1217"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84" w:lineRule="exact"/>
        <w:rPr>
          <w:rFonts w:ascii="Arial" w:cs="Arial" w:eastAsia="Arial" w:hAnsi="Arial"/>
          <w:sz w:val="22"/>
          <w:szCs w:val="22"/>
          <w:color w:val="auto"/>
        </w:rPr>
      </w:pPr>
    </w:p>
    <w:p>
      <w:pPr>
        <w:jc w:val="both"/>
        <w:ind w:firstLine="656"/>
        <w:spacing w:after="0" w:line="241" w:lineRule="auto"/>
        <w:tabs>
          <w:tab w:leader="none" w:pos="1385" w:val="left"/>
        </w:tabs>
        <w:numPr>
          <w:ilvl w:val="0"/>
          <w:numId w:val="219"/>
        </w:numPr>
        <w:rPr>
          <w:rFonts w:ascii="Arial" w:cs="Arial" w:eastAsia="Arial" w:hAnsi="Arial"/>
          <w:sz w:val="22"/>
          <w:szCs w:val="22"/>
          <w:color w:val="auto"/>
        </w:rPr>
      </w:pPr>
      <w:r>
        <w:rPr>
          <w:rFonts w:ascii="Arial" w:cs="Arial" w:eastAsia="Arial" w:hAnsi="Arial"/>
          <w:sz w:val="22"/>
          <w:szCs w:val="22"/>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w:t>
      </w:r>
    </w:p>
    <w:p>
      <w:pPr>
        <w:sectPr>
          <w:pgSz w:w="11900" w:h="16838" w:orient="portrait"/>
          <w:cols w:equalWidth="0" w:num="1">
            <w:col w:w="11240"/>
          </w:cols>
          <w:pgMar w:left="320" w:top="1413" w:right="339" w:bottom="1440" w:gutter="0" w:footer="0" w:header="0"/>
        </w:sectPr>
      </w:pPr>
    </w:p>
    <w:bookmarkStart w:id="269" w:name="page270"/>
    <w:bookmarkEnd w:id="269"/>
    <w:p>
      <w:pPr>
        <w:jc w:val="both"/>
        <w:spacing w:after="0" w:line="241" w:lineRule="auto"/>
        <w:rPr>
          <w:sz w:val="20"/>
          <w:szCs w:val="20"/>
          <w:color w:val="auto"/>
        </w:rPr>
      </w:pPr>
      <w:r>
        <w:rPr>
          <w:rFonts w:ascii="Arial" w:cs="Arial" w:eastAsia="Arial" w:hAnsi="Arial"/>
          <w:sz w:val="22"/>
          <w:szCs w:val="22"/>
          <w:color w:val="auto"/>
        </w:rPr>
        <w:t>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183" w:lineRule="exact"/>
        <w:rPr>
          <w:sz w:val="20"/>
          <w:szCs w:val="20"/>
          <w:color w:val="auto"/>
        </w:rPr>
      </w:pPr>
    </w:p>
    <w:p>
      <w:pPr>
        <w:jc w:val="both"/>
        <w:ind w:firstLine="656"/>
        <w:spacing w:after="0" w:line="233" w:lineRule="auto"/>
        <w:tabs>
          <w:tab w:leader="none" w:pos="1363" w:val="left"/>
        </w:tabs>
        <w:numPr>
          <w:ilvl w:val="0"/>
          <w:numId w:val="220"/>
        </w:numPr>
        <w:rPr>
          <w:rFonts w:ascii="Arial" w:cs="Arial" w:eastAsia="Arial" w:hAnsi="Arial"/>
          <w:sz w:val="22"/>
          <w:szCs w:val="22"/>
          <w:color w:val="auto"/>
        </w:rPr>
      </w:pPr>
      <w:r>
        <w:rPr>
          <w:rFonts w:ascii="Arial" w:cs="Arial" w:eastAsia="Arial" w:hAnsi="Arial"/>
          <w:sz w:val="22"/>
          <w:szCs w:val="22"/>
          <w:color w:val="auto"/>
        </w:rPr>
        <w:t xml:space="preserve">as soon as available and in any event within 180 days following the end of each calendar year (commencing with the calendar year ending December 31, 2021, the Borrower will furnish to the Administrative Agent a Sustainability Pricing Certificate for the most recently-ended calendar year; provided, however, that for any calendar year the Borrower may elect not to deliver a Sustainability Pricing Certificate, and such election shall not constitute a Default or Event of Default under this Agreement (but such failure to so deliver a Sustainability Pricing Certificate by the end of such 180-day period shall result in the Sustainability Applicable Rate Adjustment being applied as set forth in </w:t>
      </w:r>
      <w:r>
        <w:rPr>
          <w:rFonts w:ascii="Arial" w:cs="Arial" w:eastAsia="Arial" w:hAnsi="Arial"/>
          <w:sz w:val="22"/>
          <w:szCs w:val="22"/>
          <w:u w:val="single" w:color="auto"/>
          <w:color w:val="auto"/>
        </w:rPr>
        <w:t>Section 2.25(c)</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Maintenance of Existence</w:t>
      </w:r>
      <w:r>
        <w:rPr>
          <w:rFonts w:ascii="Arial" w:cs="Arial" w:eastAsia="Arial" w:hAnsi="Arial"/>
          <w:sz w:val="22"/>
          <w:szCs w:val="22"/>
          <w:color w:val="auto"/>
        </w:rPr>
        <w:t>. The Borrower and its Restricted Subsidiaries shall (i) preserve, renew and keep in full force and effect its organizational existence and (ii) take all reasonable action to maintain all rights, privileges and franchises reasonably necessary in the normal conduct of its business, except, in each case, (x) as otherwise permitted by Section 6.3 or (y) to the extent that failure to do so would not, in the aggregate, reasonably be expected to have a Material Adverse Effect.</w:t>
      </w:r>
    </w:p>
    <w:p>
      <w:pPr>
        <w:spacing w:after="0" w:line="187"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u w:val="single" w:color="auto"/>
          <w:color w:val="auto"/>
        </w:rPr>
        <w:t>Maintenance of Insurance</w:t>
      </w:r>
      <w:r>
        <w:rPr>
          <w:rFonts w:ascii="Arial" w:cs="Arial" w:eastAsia="Arial" w:hAnsi="Arial"/>
          <w:sz w:val="21"/>
          <w:szCs w:val="21"/>
          <w:color w:val="auto"/>
        </w:rPr>
        <w:t>.</w:t>
      </w:r>
    </w:p>
    <w:p>
      <w:pPr>
        <w:spacing w:after="0" w:line="20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Arial" w:cs="Arial" w:eastAsia="Arial" w:hAnsi="Arial"/>
          <w:sz w:val="22"/>
          <w:szCs w:val="22"/>
          <w:u w:val="single" w:color="auto"/>
          <w:color w:val="auto"/>
        </w:rPr>
        <w:t>Section 5.4</w:t>
      </w:r>
      <w:r>
        <w:rPr>
          <w:rFonts w:ascii="Arial" w:cs="Arial" w:eastAsia="Arial" w:hAnsi="Arial"/>
          <w:sz w:val="22"/>
          <w:szCs w:val="22"/>
          <w:color w:val="auto"/>
        </w:rPr>
        <w:t xml:space="preserve"> shall be deemed satisfied if the Borrower obtains insurance policies that are customary and appropriate for the applicable jurisdiction.</w:t>
      </w:r>
    </w:p>
    <w:p>
      <w:pPr>
        <w:spacing w:after="0" w:line="18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Term Loans will be used only for general corporate purposes. No part of the proceeds of any Term Loan will be used, whether directly or indirectly, for any purpose that entails a violation of any of the regulations of the Federal Reserve Board, including Regulations T, U and X.</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u w:val="single" w:color="auto"/>
          <w:color w:val="auto"/>
        </w:rPr>
        <w:t>Designation of Subsidiaries</w:t>
      </w:r>
      <w:r>
        <w:rPr>
          <w:rFonts w:ascii="Arial" w:cs="Arial" w:eastAsia="Arial" w:hAnsi="Arial"/>
          <w:sz w:val="21"/>
          <w:szCs w:val="21"/>
          <w:color w:val="auto"/>
        </w:rPr>
        <w:t>. The Borrower may at any time by written notice to the Administrative Agent</w:t>
      </w:r>
    </w:p>
    <w:p>
      <w:pPr>
        <w:spacing w:after="0" w:line="6" w:lineRule="exact"/>
        <w:rPr>
          <w:sz w:val="20"/>
          <w:szCs w:val="20"/>
          <w:color w:val="auto"/>
        </w:rPr>
      </w:pPr>
    </w:p>
    <w:p>
      <w:pPr>
        <w:jc w:val="both"/>
        <w:ind w:firstLine="8"/>
        <w:spacing w:after="0" w:line="235" w:lineRule="auto"/>
        <w:tabs>
          <w:tab w:leader="none" w:pos="26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designate any Restricted Subsidiary as an Unrestricted Subsidiary or (ii) designate any Unrestricted Subsidiary as a Restricted Subsidiary; provided that no Default or Event of Default shall have occurred and be continuing or would result therefrom.</w:t>
      </w:r>
    </w:p>
    <w:p>
      <w:pPr>
        <w:sectPr>
          <w:pgSz w:w="11900" w:h="16838" w:orient="portrait"/>
          <w:cols w:equalWidth="0" w:num="1">
            <w:col w:w="11240"/>
          </w:cols>
          <w:pgMar w:left="320" w:top="1413" w:right="339" w:bottom="1440" w:gutter="0" w:footer="0" w:header="0"/>
        </w:sectPr>
      </w:pPr>
    </w:p>
    <w:bookmarkStart w:id="270" w:name="page271"/>
    <w:bookmarkEnd w:id="270"/>
    <w:p>
      <w:pPr>
        <w:ind w:left="4880"/>
        <w:spacing w:after="0"/>
        <w:rPr>
          <w:sz w:val="20"/>
          <w:szCs w:val="20"/>
          <w:color w:val="auto"/>
        </w:rPr>
      </w:pPr>
      <w:r>
        <w:rPr>
          <w:rFonts w:ascii="Arial" w:cs="Arial" w:eastAsia="Arial" w:hAnsi="Arial"/>
          <w:sz w:val="22"/>
          <w:szCs w:val="22"/>
          <w:color w:val="010000"/>
        </w:rPr>
        <w:t>Section 6_____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Until the Term Commitments have expired or been terminated and the principal of and interest on each Term Loan and all fees payable hereunder shall have been paid in full, the Borrower covenants and agrees that:</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Limitation on Indebtedness</w:t>
      </w:r>
      <w:r>
        <w:rPr>
          <w:rFonts w:ascii="Arial" w:cs="Arial" w:eastAsia="Arial" w:hAnsi="Arial"/>
          <w:sz w:val="22"/>
          <w:szCs w:val="22"/>
          <w:color w:val="auto"/>
        </w:rPr>
        <w:t>. The Borrower will not permit any of its Restricted Subsidiaries to create, assume, incur, Guarantee or otherwise become liable for any Indebtedness, without causing such Restricted Subsidiary (excluding any Subsidiary that is not a Material Subsidiary) to become a Guarantor, other than:</w:t>
      </w:r>
    </w:p>
    <w:p>
      <w:pPr>
        <w:spacing w:after="0" w:line="185" w:lineRule="exact"/>
        <w:rPr>
          <w:sz w:val="20"/>
          <w:szCs w:val="20"/>
          <w:color w:val="auto"/>
        </w:rPr>
      </w:pPr>
    </w:p>
    <w:p>
      <w:pPr>
        <w:ind w:left="1160" w:hanging="504"/>
        <w:spacing w:after="0"/>
        <w:tabs>
          <w:tab w:leader="none" w:pos="116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Indebtedness in respect of or under the Obligations or Guarantees thereof;</w:t>
      </w:r>
    </w:p>
    <w:p>
      <w:pPr>
        <w:spacing w:after="0" w:line="206" w:lineRule="exact"/>
        <w:rPr>
          <w:rFonts w:ascii="Arial" w:cs="Arial" w:eastAsia="Arial" w:hAnsi="Arial"/>
          <w:sz w:val="22"/>
          <w:szCs w:val="22"/>
          <w:color w:val="auto"/>
        </w:rPr>
      </w:pPr>
    </w:p>
    <w:p>
      <w:pPr>
        <w:jc w:val="both"/>
        <w:ind w:firstLine="656"/>
        <w:spacing w:after="0" w:line="233" w:lineRule="auto"/>
        <w:tabs>
          <w:tab w:leader="none" w:pos="1324"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179" w:lineRule="exact"/>
        <w:rPr>
          <w:rFonts w:ascii="Arial" w:cs="Arial" w:eastAsia="Arial" w:hAnsi="Arial"/>
          <w:sz w:val="22"/>
          <w:szCs w:val="22"/>
          <w:color w:val="auto"/>
        </w:rPr>
      </w:pPr>
    </w:p>
    <w:p>
      <w:pPr>
        <w:ind w:left="1140" w:hanging="484"/>
        <w:spacing w:after="0"/>
        <w:tabs>
          <w:tab w:leader="none" w:pos="1140"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Indebtedness owed to the Borrower or any Restricted Subsidiary;</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01" w:val="left"/>
        </w:tabs>
        <w:numPr>
          <w:ilvl w:val="1"/>
          <w:numId w:val="222"/>
        </w:numPr>
        <w:rPr>
          <w:rFonts w:ascii="Arial" w:cs="Arial" w:eastAsia="Arial" w:hAnsi="Arial"/>
          <w:sz w:val="21"/>
          <w:szCs w:val="21"/>
          <w:color w:val="auto"/>
        </w:rPr>
      </w:pPr>
      <w:r>
        <w:rPr>
          <w:rFonts w:ascii="Arial" w:cs="Arial" w:eastAsia="Arial" w:hAnsi="Arial"/>
          <w:sz w:val="21"/>
          <w:szCs w:val="21"/>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such Indebtedness is created, incurred, issued, assumed or Guaranteed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w:t>
      </w:r>
    </w:p>
    <w:p>
      <w:pPr>
        <w:spacing w:after="0" w:line="5" w:lineRule="exact"/>
        <w:rPr>
          <w:rFonts w:ascii="Arial" w:cs="Arial" w:eastAsia="Arial" w:hAnsi="Arial"/>
          <w:sz w:val="21"/>
          <w:szCs w:val="21"/>
          <w:color w:val="auto"/>
        </w:rPr>
      </w:pPr>
    </w:p>
    <w:p>
      <w:pPr>
        <w:jc w:val="both"/>
        <w:ind w:firstLine="8"/>
        <w:spacing w:after="0" w:line="231" w:lineRule="auto"/>
        <w:tabs>
          <w:tab w:leader="none" w:pos="381"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 without duplication, does not exceed 100% of the fair value of the property or equipment acquired or developed, operated, constructed, altered, repaired or improved at the time such Indebtedness is incurred;</w:t>
      </w:r>
    </w:p>
    <w:p>
      <w:pPr>
        <w:sectPr>
          <w:pgSz w:w="11900" w:h="16838" w:orient="portrait"/>
          <w:cols w:equalWidth="0" w:num="1">
            <w:col w:w="11240"/>
          </w:cols>
          <w:pgMar w:left="320" w:top="1413" w:right="339" w:bottom="1440" w:gutter="0" w:footer="0" w:header="0"/>
        </w:sectPr>
      </w:pPr>
    </w:p>
    <w:bookmarkStart w:id="271" w:name="page272"/>
    <w:bookmarkEnd w:id="271"/>
    <w:p>
      <w:pPr>
        <w:ind w:firstLine="656"/>
        <w:spacing w:after="0" w:line="251" w:lineRule="auto"/>
        <w:tabs>
          <w:tab w:leader="none" w:pos="1329" w:val="left"/>
        </w:tabs>
        <w:numPr>
          <w:ilvl w:val="0"/>
          <w:numId w:val="224"/>
        </w:numPr>
        <w:rPr>
          <w:rFonts w:ascii="Arial" w:cs="Arial" w:eastAsia="Arial" w:hAnsi="Arial"/>
          <w:sz w:val="22"/>
          <w:szCs w:val="22"/>
          <w:color w:val="auto"/>
        </w:rPr>
      </w:pPr>
      <w:r>
        <w:rPr>
          <w:rFonts w:ascii="Arial" w:cs="Arial" w:eastAsia="Arial" w:hAnsi="Arial"/>
          <w:sz w:val="22"/>
          <w:szCs w:val="22"/>
          <w:color w:val="auto"/>
        </w:rPr>
        <w:t>Indebtedness permitted to be secured by Liens permitted by clauses (5) or (6) of the definition of Permitted Lien (whether or not such Indebtedness is in fact secured by such Liens) and any Guarantees thereof;</w:t>
      </w:r>
    </w:p>
    <w:p>
      <w:pPr>
        <w:spacing w:after="0" w:line="172" w:lineRule="exact"/>
        <w:rPr>
          <w:rFonts w:ascii="Arial" w:cs="Arial" w:eastAsia="Arial" w:hAnsi="Arial"/>
          <w:sz w:val="22"/>
          <w:szCs w:val="22"/>
          <w:color w:val="auto"/>
        </w:rPr>
      </w:pPr>
    </w:p>
    <w:p>
      <w:pPr>
        <w:jc w:val="both"/>
        <w:ind w:firstLine="656"/>
        <w:spacing w:after="0" w:line="231" w:lineRule="auto"/>
        <w:tabs>
          <w:tab w:leader="none" w:pos="1241"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any extension, renewal, substitution, replacement, refinancing or refunding of Indebtedness that was permitted pursuant to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at the time such Indebtedness was created or incurred;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195" w:lineRule="exact"/>
        <w:rPr>
          <w:rFonts w:ascii="Arial" w:cs="Arial" w:eastAsia="Arial" w:hAnsi="Arial"/>
          <w:sz w:val="22"/>
          <w:szCs w:val="22"/>
          <w:color w:val="auto"/>
        </w:rPr>
      </w:pPr>
    </w:p>
    <w:p>
      <w:pPr>
        <w:jc w:val="both"/>
        <w:ind w:firstLine="656"/>
        <w:spacing w:after="0" w:line="234" w:lineRule="auto"/>
        <w:tabs>
          <w:tab w:leader="none" w:pos="1252"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18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For purposes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in the event that any Indebtedness meets the criteria of more exceptions in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the Borrower, in its sole discretion, will classify, and may reclassify, such Indebtedness and such Indebtedness may be divided and classified and reclassified into more than one of the exceptions in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described above. In addition, for purposes of calculating compliance with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Arial" w:cs="Arial" w:eastAsia="Arial" w:hAnsi="Arial"/>
          <w:sz w:val="22"/>
          <w:szCs w:val="22"/>
          <w:u w:val="single" w:color="auto"/>
          <w:color w:val="auto"/>
        </w:rPr>
        <w:t>Section 6.1</w:t>
      </w:r>
      <w:r>
        <w:rPr>
          <w:rFonts w:ascii="Arial" w:cs="Arial" w:eastAsia="Arial" w:hAnsi="Arial"/>
          <w:sz w:val="22"/>
          <w:szCs w:val="22"/>
          <w:color w:val="auto"/>
        </w:rPr>
        <w:t>, the amount of such Indebtedness shall only be included once for purposes of such calculations).</w:t>
      </w:r>
    </w:p>
    <w:p>
      <w:pPr>
        <w:sectPr>
          <w:pgSz w:w="11900" w:h="16838" w:orient="portrait"/>
          <w:cols w:equalWidth="0" w:num="1">
            <w:col w:w="11240"/>
          </w:cols>
          <w:pgMar w:left="320" w:top="1413" w:right="339" w:bottom="1440" w:gutter="0" w:footer="0" w:header="0"/>
        </w:sectPr>
      </w:pPr>
    </w:p>
    <w:bookmarkStart w:id="272" w:name="page273"/>
    <w:bookmarkEnd w:id="272"/>
    <w:p>
      <w:pPr>
        <w:jc w:val="both"/>
        <w:ind w:firstLine="648"/>
        <w:spacing w:after="0" w:line="241"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The Borrower will not, and will not permit any of its Restricted Subsidiaries, to create or incur any Lien on Property, whether now owned or hereafter acquired, in order to secure any Indebtedness, other than:</w:t>
      </w:r>
    </w:p>
    <w:p>
      <w:pPr>
        <w:spacing w:after="0" w:line="183" w:lineRule="exact"/>
        <w:rPr>
          <w:sz w:val="20"/>
          <w:szCs w:val="20"/>
          <w:color w:val="auto"/>
        </w:rPr>
      </w:pPr>
    </w:p>
    <w:p>
      <w:pPr>
        <w:ind w:left="1160" w:hanging="504"/>
        <w:spacing w:after="0"/>
        <w:tabs>
          <w:tab w:leader="none" w:pos="116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Permitted Liens; and</w:t>
      </w:r>
    </w:p>
    <w:p>
      <w:pPr>
        <w:spacing w:after="0" w:line="206" w:lineRule="exact"/>
        <w:rPr>
          <w:rFonts w:ascii="Arial" w:cs="Arial" w:eastAsia="Arial" w:hAnsi="Arial"/>
          <w:sz w:val="22"/>
          <w:szCs w:val="22"/>
          <w:color w:val="auto"/>
        </w:rPr>
      </w:pPr>
    </w:p>
    <w:p>
      <w:pPr>
        <w:jc w:val="both"/>
        <w:ind w:firstLine="656"/>
        <w:spacing w:after="0" w:line="233" w:lineRule="auto"/>
        <w:tabs>
          <w:tab w:leader="none" w:pos="116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Liens securing Indebtedness of the Restricted Subsidiaries permitted by Section 6.1(g) and Indebtedness of the 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 incurrence; provided that, for the avoidance of doubt, any Liens will be excluded from this clause (b) to the extent the Lien relating thereto is included in clause (a) of this Section 6.2.</w:t>
      </w:r>
    </w:p>
    <w:p>
      <w:pPr>
        <w:spacing w:after="0" w:line="18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For purposes of this Section 6.2,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Section 6.2, the Borrower, in its sole discretion, will classify, and may reclassify, such Lien and such Lien may be divided and classified and reclassified into more than one of the exceptions in this Section 6.2.</w:t>
      </w:r>
    </w:p>
    <w:p>
      <w:pPr>
        <w:spacing w:after="0" w:line="18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u w:val="single" w:color="auto"/>
          <w:color w:val="auto"/>
        </w:rPr>
        <w:t>Merger, Consolidation, or Sale of Assets</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41" w:lineRule="auto"/>
        <w:tabs>
          <w:tab w:leader="none" w:pos="1221" w:val="left"/>
        </w:tabs>
        <w:numPr>
          <w:ilvl w:val="0"/>
          <w:numId w:val="226"/>
        </w:numPr>
        <w:rPr>
          <w:rFonts w:ascii="Arial" w:cs="Arial" w:eastAsia="Arial" w:hAnsi="Arial"/>
          <w:sz w:val="22"/>
          <w:szCs w:val="22"/>
          <w:color w:val="auto"/>
        </w:rPr>
      </w:pPr>
      <w:r>
        <w:rPr>
          <w:rFonts w:ascii="Arial" w:cs="Arial" w:eastAsia="Arial" w:hAnsi="Arial"/>
          <w:sz w:val="22"/>
          <w:szCs w:val="22"/>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82" w:lineRule="exact"/>
        <w:rPr>
          <w:rFonts w:ascii="Arial" w:cs="Arial" w:eastAsia="Arial" w:hAnsi="Arial"/>
          <w:sz w:val="22"/>
          <w:szCs w:val="22"/>
          <w:color w:val="auto"/>
        </w:rPr>
      </w:pPr>
    </w:p>
    <w:p>
      <w:pPr>
        <w:jc w:val="both"/>
        <w:ind w:left="660" w:firstLine="644"/>
        <w:spacing w:after="0" w:line="234" w:lineRule="auto"/>
        <w:tabs>
          <w:tab w:leader="none" w:pos="1830" w:val="left"/>
        </w:tabs>
        <w:numPr>
          <w:ilvl w:val="1"/>
          <w:numId w:val="226"/>
        </w:numPr>
        <w:rPr>
          <w:rFonts w:ascii="Arial" w:cs="Arial" w:eastAsia="Arial" w:hAnsi="Arial"/>
          <w:sz w:val="22"/>
          <w:szCs w:val="22"/>
          <w:color w:val="010000"/>
        </w:rPr>
      </w:pPr>
      <w:r>
        <w:rPr>
          <w:rFonts w:ascii="Arial" w:cs="Arial" w:eastAsia="Arial" w:hAnsi="Arial"/>
          <w:sz w:val="22"/>
          <w:szCs w:val="22"/>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22"/>
          <w:szCs w:val="22"/>
          <w:u w:val="single" w:color="auto"/>
          <w:color w:val="auto"/>
        </w:rPr>
        <w:t>Successor Company</w:t>
      </w:r>
      <w:r>
        <w:rPr>
          <w:rFonts w:ascii="Arial" w:cs="Arial" w:eastAsia="Arial" w:hAnsi="Arial"/>
          <w:sz w:val="22"/>
          <w:szCs w:val="22"/>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77" w:lineRule="exact"/>
        <w:rPr>
          <w:rFonts w:ascii="Arial" w:cs="Arial" w:eastAsia="Arial" w:hAnsi="Arial"/>
          <w:sz w:val="22"/>
          <w:szCs w:val="22"/>
          <w:color w:val="010000"/>
        </w:rPr>
      </w:pPr>
    </w:p>
    <w:p>
      <w:pPr>
        <w:jc w:val="both"/>
        <w:ind w:left="660" w:firstLine="644"/>
        <w:spacing w:after="0" w:line="241" w:lineRule="auto"/>
        <w:tabs>
          <w:tab w:leader="none" w:pos="2029" w:val="left"/>
        </w:tabs>
        <w:numPr>
          <w:ilvl w:val="1"/>
          <w:numId w:val="226"/>
        </w:numPr>
        <w:rPr>
          <w:rFonts w:ascii="Arial" w:cs="Arial" w:eastAsia="Arial" w:hAnsi="Arial"/>
          <w:sz w:val="22"/>
          <w:szCs w:val="22"/>
          <w:color w:val="010000"/>
        </w:rPr>
      </w:pPr>
      <w:r>
        <w:rPr>
          <w:rFonts w:ascii="Arial" w:cs="Arial" w:eastAsia="Arial" w:hAnsi="Arial"/>
          <w:sz w:val="22"/>
          <w:szCs w:val="22"/>
          <w:color w:val="auto"/>
        </w:rPr>
        <w:t>in any such transaction in which there is a Successor Company, the Successor Company expressly assumes the Obligations pursuant to joinder agreements or other documents reasonably satisfactory to the Administrative Agent; and</w:t>
      </w:r>
    </w:p>
    <w:p>
      <w:pPr>
        <w:sectPr>
          <w:pgSz w:w="11900" w:h="16838" w:orient="portrait"/>
          <w:cols w:equalWidth="0" w:num="1">
            <w:col w:w="11240"/>
          </w:cols>
          <w:pgMar w:left="320" w:top="1413" w:right="339" w:bottom="1440" w:gutter="0" w:footer="0" w:header="0"/>
        </w:sectPr>
      </w:pPr>
    </w:p>
    <w:bookmarkStart w:id="273" w:name="page274"/>
    <w:bookmarkEnd w:id="273"/>
    <w:p>
      <w:pPr>
        <w:ind w:left="4" w:firstLine="644"/>
        <w:spacing w:after="0" w:line="251" w:lineRule="auto"/>
        <w:tabs>
          <w:tab w:leader="none" w:pos="1242" w:val="left"/>
        </w:tabs>
        <w:numPr>
          <w:ilvl w:val="0"/>
          <w:numId w:val="227"/>
        </w:numPr>
        <w:rPr>
          <w:rFonts w:ascii="Arial" w:cs="Arial" w:eastAsia="Arial" w:hAnsi="Arial"/>
          <w:sz w:val="22"/>
          <w:szCs w:val="22"/>
          <w:color w:val="010000"/>
        </w:rPr>
      </w:pPr>
      <w:r>
        <w:rPr>
          <w:rFonts w:ascii="Arial" w:cs="Arial" w:eastAsia="Arial" w:hAnsi="Arial"/>
          <w:sz w:val="22"/>
          <w:szCs w:val="22"/>
          <w:color w:val="auto"/>
        </w:rPr>
        <w:t>immediately after giving effect to the transaction, no Event of Default and no Default shall have occurred and be continuing.</w:t>
      </w:r>
    </w:p>
    <w:p>
      <w:pPr>
        <w:spacing w:after="0" w:line="173" w:lineRule="exact"/>
        <w:rPr>
          <w:sz w:val="20"/>
          <w:szCs w:val="20"/>
          <w:color w:val="auto"/>
        </w:rPr>
      </w:pPr>
    </w:p>
    <w:p>
      <w:pPr>
        <w:jc w:val="both"/>
        <w:ind w:left="4" w:firstLine="648"/>
        <w:spacing w:after="0" w:line="24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shall not apply to a merger of the Borrower with an Affiliate solely for the purpose of reincorporating the Borrower in another jurisdiction in the United States of America, any State thereof or the District of Columbia.</w:t>
      </w:r>
      <w:r>
        <w:rPr>
          <w:rFonts w:ascii="Arial" w:cs="Arial" w:eastAsia="Arial" w:hAnsi="Arial"/>
          <w:sz w:val="22"/>
          <w:szCs w:val="22"/>
          <w:u w:val="single" w:color="auto"/>
          <w:color w:val="auto"/>
        </w:rPr>
        <w:t>Section 6.3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56" w:firstLine="656"/>
        <w:spacing w:after="0" w:line="233" w:lineRule="auto"/>
        <w:tabs>
          <w:tab w:leader="none" w:pos="577"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22"/>
          <w:szCs w:val="22"/>
          <w:u w:val="single" w:color="auto"/>
          <w:color w:val="auto"/>
        </w:rPr>
        <w:t>Section 6.3(a)</w:t>
      </w:r>
      <w:r>
        <w:rPr>
          <w:rFonts w:ascii="Arial" w:cs="Arial" w:eastAsia="Arial" w:hAnsi="Arial"/>
          <w:sz w:val="22"/>
          <w:szCs w:val="22"/>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184"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u w:val="single" w:color="auto"/>
          <w:color w:val="auto"/>
        </w:rPr>
        <w:t>Limitation on Sale and Leaseback Transactions</w:t>
      </w:r>
      <w:r>
        <w:rPr>
          <w:rFonts w:ascii="Arial" w:cs="Arial" w:eastAsia="Arial" w:hAnsi="Arial"/>
          <w:sz w:val="21"/>
          <w:szCs w:val="21"/>
          <w:color w:val="auto"/>
        </w:rPr>
        <w:t>.</w:t>
      </w:r>
    </w:p>
    <w:p>
      <w:pPr>
        <w:spacing w:after="0" w:line="206" w:lineRule="exact"/>
        <w:rPr>
          <w:sz w:val="20"/>
          <w:szCs w:val="20"/>
          <w:color w:val="auto"/>
        </w:rPr>
      </w:pPr>
    </w:p>
    <w:p>
      <w:pPr>
        <w:ind w:left="-656" w:firstLine="656"/>
        <w:spacing w:after="0" w:line="251" w:lineRule="auto"/>
        <w:tabs>
          <w:tab w:leader="none" w:pos="578" w:val="left"/>
        </w:tabs>
        <w:numPr>
          <w:ilvl w:val="0"/>
          <w:numId w:val="229"/>
        </w:numPr>
        <w:rPr>
          <w:rFonts w:ascii="Arial" w:cs="Arial" w:eastAsia="Arial" w:hAnsi="Arial"/>
          <w:sz w:val="22"/>
          <w:szCs w:val="22"/>
          <w:color w:val="auto"/>
        </w:rPr>
      </w:pPr>
      <w:r>
        <w:rPr>
          <w:rFonts w:ascii="Arial" w:cs="Arial" w:eastAsia="Arial" w:hAnsi="Arial"/>
          <w:sz w:val="22"/>
          <w:szCs w:val="22"/>
          <w:color w:val="auto"/>
        </w:rPr>
        <w:t>The Borrower will not, and will not permit any of its Restricted Subsidiaries, to enter into any sale and lease-back transaction with respect to any Property, whether now owned or hereafter acquired, unless:</w:t>
      </w:r>
    </w:p>
    <w:p>
      <w:pPr>
        <w:spacing w:after="0" w:line="172" w:lineRule="exact"/>
        <w:rPr>
          <w:rFonts w:ascii="Arial" w:cs="Arial" w:eastAsia="Arial" w:hAnsi="Arial"/>
          <w:sz w:val="22"/>
          <w:szCs w:val="22"/>
          <w:color w:val="auto"/>
        </w:rPr>
      </w:pPr>
    </w:p>
    <w:p>
      <w:pPr>
        <w:ind w:left="1144" w:hanging="496"/>
        <w:spacing w:after="0"/>
        <w:tabs>
          <w:tab w:leader="none" w:pos="1144"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such transaction was entered into prior to the Closing Date;</w:t>
      </w:r>
    </w:p>
    <w:p>
      <w:pPr>
        <w:spacing w:after="0" w:line="206" w:lineRule="exact"/>
        <w:rPr>
          <w:rFonts w:ascii="Arial" w:cs="Arial" w:eastAsia="Arial" w:hAnsi="Arial"/>
          <w:sz w:val="22"/>
          <w:szCs w:val="22"/>
          <w:color w:val="010000"/>
        </w:rPr>
      </w:pPr>
    </w:p>
    <w:p>
      <w:pPr>
        <w:ind w:left="4" w:firstLine="644"/>
        <w:spacing w:after="0" w:line="251" w:lineRule="auto"/>
        <w:tabs>
          <w:tab w:leader="none" w:pos="1206"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such transaction was for the sale and leasing back to the Borrower or a Restricted Subsidiary by the Borrower or any Restricted Subsidiary of any Property;</w:t>
      </w:r>
    </w:p>
    <w:p>
      <w:pPr>
        <w:spacing w:after="0" w:line="172" w:lineRule="exact"/>
        <w:rPr>
          <w:rFonts w:ascii="Arial" w:cs="Arial" w:eastAsia="Arial" w:hAnsi="Arial"/>
          <w:sz w:val="22"/>
          <w:szCs w:val="22"/>
          <w:color w:val="010000"/>
        </w:rPr>
      </w:pPr>
    </w:p>
    <w:p>
      <w:pPr>
        <w:jc w:val="both"/>
        <w:ind w:left="4" w:firstLine="644"/>
        <w:spacing w:after="0" w:line="233" w:lineRule="auto"/>
        <w:tabs>
          <w:tab w:leader="none" w:pos="1157"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186" w:lineRule="exact"/>
        <w:rPr>
          <w:rFonts w:ascii="Arial" w:cs="Arial" w:eastAsia="Arial" w:hAnsi="Arial"/>
          <w:sz w:val="22"/>
          <w:szCs w:val="22"/>
          <w:color w:val="010000"/>
        </w:rPr>
      </w:pPr>
    </w:p>
    <w:p>
      <w:pPr>
        <w:ind w:left="4" w:firstLine="644"/>
        <w:spacing w:after="0" w:line="251" w:lineRule="auto"/>
        <w:tabs>
          <w:tab w:leader="none" w:pos="1225"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such transaction involves a lease for not more than three years (or which may be terminated by the Borrower or the applicable Restricted Subsidiary within a period of not more than three years);</w:t>
      </w:r>
    </w:p>
    <w:p>
      <w:pPr>
        <w:spacing w:after="0" w:line="172" w:lineRule="exact"/>
        <w:rPr>
          <w:rFonts w:ascii="Arial" w:cs="Arial" w:eastAsia="Arial" w:hAnsi="Arial"/>
          <w:sz w:val="22"/>
          <w:szCs w:val="22"/>
          <w:color w:val="010000"/>
        </w:rPr>
      </w:pPr>
    </w:p>
    <w:p>
      <w:pPr>
        <w:jc w:val="both"/>
        <w:ind w:left="4" w:firstLine="644"/>
        <w:spacing w:after="0" w:line="241" w:lineRule="auto"/>
        <w:tabs>
          <w:tab w:leader="none" w:pos="1317" w:val="left"/>
        </w:tabs>
        <w:numPr>
          <w:ilvl w:val="1"/>
          <w:numId w:val="229"/>
        </w:numPr>
        <w:rPr>
          <w:rFonts w:ascii="Arial" w:cs="Arial" w:eastAsia="Arial" w:hAnsi="Arial"/>
          <w:sz w:val="22"/>
          <w:szCs w:val="22"/>
          <w:color w:val="010000"/>
        </w:rPr>
      </w:pPr>
      <w:r>
        <w:rPr>
          <w:rFonts w:ascii="Arial" w:cs="Arial" w:eastAsia="Arial" w:hAnsi="Arial"/>
          <w:sz w:val="22"/>
          <w:szCs w:val="22"/>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 or</w:t>
      </w:r>
    </w:p>
    <w:p>
      <w:pPr>
        <w:sectPr>
          <w:pgSz w:w="11900" w:h="16838" w:orient="portrait"/>
          <w:cols w:equalWidth="0" w:num="1">
            <w:col w:w="10584"/>
          </w:cols>
          <w:pgMar w:left="976" w:top="1413" w:right="339" w:bottom="1440" w:gutter="0" w:footer="0" w:header="0"/>
        </w:sectPr>
      </w:pPr>
    </w:p>
    <w:bookmarkStart w:id="274" w:name="page275"/>
    <w:bookmarkEnd w:id="274"/>
    <w:p>
      <w:pPr>
        <w:jc w:val="both"/>
        <w:ind w:left="660" w:firstLine="644"/>
        <w:spacing w:after="0" w:line="238" w:lineRule="auto"/>
        <w:tabs>
          <w:tab w:leader="none" w:pos="1840" w:val="left"/>
        </w:tabs>
        <w:numPr>
          <w:ilvl w:val="1"/>
          <w:numId w:val="230"/>
        </w:numPr>
        <w:rPr>
          <w:rFonts w:ascii="Arial" w:cs="Arial" w:eastAsia="Arial" w:hAnsi="Arial"/>
          <w:sz w:val="22"/>
          <w:szCs w:val="22"/>
          <w:color w:val="010000"/>
        </w:rPr>
      </w:pPr>
      <w:r>
        <w:rPr>
          <w:rFonts w:ascii="Arial" w:cs="Arial" w:eastAsia="Arial" w:hAnsi="Arial"/>
          <w:sz w:val="22"/>
          <w:szCs w:val="22"/>
          <w:color w:val="auto"/>
        </w:rPr>
        <w:t>the Borrower or the applicable Restricted Subsidiary applies an amount equal to the net proceeds from the sale of the Property to the purchase of other Property or to the retirement, repurchase or other repayment or prepayment of the Term Loans within 365 calendar days before or after the effective date of any such sale and lease-back transaction; and</w:t>
      </w:r>
    </w:p>
    <w:p>
      <w:pPr>
        <w:spacing w:after="0" w:line="184" w:lineRule="exact"/>
        <w:rPr>
          <w:rFonts w:ascii="Arial" w:cs="Arial" w:eastAsia="Arial" w:hAnsi="Arial"/>
          <w:sz w:val="22"/>
          <w:szCs w:val="22"/>
          <w:color w:val="010000"/>
        </w:rPr>
      </w:pPr>
    </w:p>
    <w:p>
      <w:pPr>
        <w:jc w:val="both"/>
        <w:ind w:firstLine="656"/>
        <w:spacing w:after="0" w:line="234" w:lineRule="auto"/>
        <w:tabs>
          <w:tab w:leader="none" w:pos="134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Notwithstanding the other provisions of </w:t>
      </w:r>
      <w:r>
        <w:rPr>
          <w:rFonts w:ascii="Arial" w:cs="Arial" w:eastAsia="Arial" w:hAnsi="Arial"/>
          <w:sz w:val="22"/>
          <w:szCs w:val="22"/>
          <w:u w:val="single" w:color="auto"/>
          <w:color w:val="auto"/>
        </w:rPr>
        <w:t>Section 6.4(a)</w:t>
      </w:r>
      <w:r>
        <w:rPr>
          <w:rFonts w:ascii="Arial" w:cs="Arial" w:eastAsia="Arial" w:hAnsi="Arial"/>
          <w:sz w:val="22"/>
          <w:szCs w:val="22"/>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6.2</w:t>
      </w:r>
      <w:r>
        <w:rPr>
          <w:rFonts w:ascii="Arial" w:cs="Arial" w:eastAsia="Arial" w:hAnsi="Arial"/>
          <w:sz w:val="22"/>
          <w:szCs w:val="22"/>
          <w:color w:val="auto"/>
        </w:rPr>
        <w:t>.</w:t>
      </w:r>
    </w:p>
    <w:p>
      <w:pPr>
        <w:spacing w:after="0" w:line="18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18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Financial Covenant</w:t>
      </w:r>
      <w:r>
        <w:rPr>
          <w:rFonts w:ascii="Arial" w:cs="Arial" w:eastAsia="Arial" w:hAnsi="Arial"/>
          <w:sz w:val="22"/>
          <w:szCs w:val="22"/>
          <w:color w:val="auto"/>
        </w:rPr>
        <w:t>. The Borrower will not permit, (a) as of the last day of any fiscal quarter of the Borrower other than a Specified Fiscal Quarter, the Total Leverage Ratio to exceed 3.25 to 1.00 and (b) as of the last day of any Specified Fiscal Quarter, either of the following (i) or (ii) (at the Borrower’s sole election as to the applicability of (i) or (ii) for such Specified Fiscal Quarter (provided that (ii) shall not be elected in more than three (3) of such Specified Fiscal Quarters)): (i) the Total Net Leverage Ratio to exceed 3.25 to 1.00 or (ii) Liquidity to be less than $5,000,000,000; provided that following the consummation of a Qualified Acquisition for the four fiscal quarters of the Borrower then ended as set forth in the last Compliance Certificate delivered pursuant to Section 5.2, the Total Leverage Ratio and Total Net Leverage Ratio set forth above shall increase for each of the four fiscal quarters of the Borrower ending following the consummation of a Qualified Acquisition to 3.75 to 1.00.</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7_____</w:t>
      </w:r>
    </w:p>
    <w:p>
      <w:pPr>
        <w:spacing w:after="0" w:line="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Events of Default</w:t>
      </w:r>
    </w:p>
    <w:p>
      <w:pPr>
        <w:spacing w:after="0" w:line="19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Each of the following is an “Event of Default”:</w:t>
      </w:r>
    </w:p>
    <w:p>
      <w:pPr>
        <w:spacing w:after="0" w:line="206" w:lineRule="exact"/>
        <w:rPr>
          <w:sz w:val="20"/>
          <w:szCs w:val="20"/>
          <w:color w:val="auto"/>
        </w:rPr>
      </w:pPr>
    </w:p>
    <w:p>
      <w:pPr>
        <w:ind w:left="1160" w:hanging="504"/>
        <w:spacing w:after="0"/>
        <w:tabs>
          <w:tab w:leader="none" w:pos="1160"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failure by the Borrower to pay principal of a Term Loan when due;</w:t>
      </w:r>
    </w:p>
    <w:p>
      <w:pPr>
        <w:spacing w:after="0" w:line="206" w:lineRule="exact"/>
        <w:rPr>
          <w:rFonts w:ascii="Arial" w:cs="Arial" w:eastAsia="Arial" w:hAnsi="Arial"/>
          <w:sz w:val="22"/>
          <w:szCs w:val="22"/>
          <w:color w:val="auto"/>
        </w:rPr>
      </w:pPr>
    </w:p>
    <w:p>
      <w:pPr>
        <w:jc w:val="both"/>
        <w:ind w:firstLine="656"/>
        <w:spacing w:after="0" w:line="241" w:lineRule="auto"/>
        <w:tabs>
          <w:tab w:leader="none" w:pos="1309"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ectPr>
          <w:pgSz w:w="11900" w:h="16838" w:orient="portrait"/>
          <w:cols w:equalWidth="0" w:num="1">
            <w:col w:w="11240"/>
          </w:cols>
          <w:pgMar w:left="320" w:top="1413" w:right="339" w:bottom="1440" w:gutter="0" w:footer="0" w:header="0"/>
        </w:sectPr>
      </w:pPr>
    </w:p>
    <w:bookmarkStart w:id="275" w:name="page276"/>
    <w:bookmarkEnd w:id="275"/>
    <w:p>
      <w:pPr>
        <w:ind w:left="484" w:hanging="484"/>
        <w:spacing w:after="0"/>
        <w:tabs>
          <w:tab w:leader="none" w:pos="48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failure by the Borrower to comply with </w:t>
      </w:r>
      <w:r>
        <w:rPr>
          <w:rFonts w:ascii="Arial" w:cs="Arial" w:eastAsia="Arial" w:hAnsi="Arial"/>
          <w:sz w:val="22"/>
          <w:szCs w:val="22"/>
          <w:u w:val="single" w:color="auto"/>
          <w:color w:val="auto"/>
        </w:rPr>
        <w:t>Section 6.6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56" w:firstLine="656"/>
        <w:spacing w:after="0" w:line="238" w:lineRule="auto"/>
        <w:tabs>
          <w:tab w:leader="none" w:pos="521" w:val="left"/>
        </w:tabs>
        <w:numPr>
          <w:ilvl w:val="0"/>
          <w:numId w:val="233"/>
        </w:numPr>
        <w:rPr>
          <w:rFonts w:ascii="Arial" w:cs="Arial" w:eastAsia="Arial" w:hAnsi="Arial"/>
          <w:sz w:val="22"/>
          <w:szCs w:val="22"/>
          <w:color w:val="auto"/>
        </w:rPr>
      </w:pPr>
      <w:r>
        <w:rPr>
          <w:rFonts w:ascii="Arial" w:cs="Arial" w:eastAsia="Arial" w:hAnsi="Arial"/>
          <w:sz w:val="22"/>
          <w:szCs w:val="22"/>
          <w:color w:val="auto"/>
        </w:rPr>
        <w:t>failure by the Borrower or any of its Restricted Subsidiaries to perform, or breach by the Borrower or any of its Restricted Subsidiaries of, any other covenant (other than Section 5.2(d)),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184" w:lineRule="exact"/>
        <w:rPr>
          <w:rFonts w:ascii="Arial" w:cs="Arial" w:eastAsia="Arial" w:hAnsi="Arial"/>
          <w:sz w:val="22"/>
          <w:szCs w:val="22"/>
          <w:color w:val="auto"/>
        </w:rPr>
      </w:pPr>
    </w:p>
    <w:p>
      <w:pPr>
        <w:jc w:val="both"/>
        <w:ind w:left="-656" w:firstLine="656"/>
        <w:spacing w:after="0" w:line="232" w:lineRule="auto"/>
        <w:tabs>
          <w:tab w:leader="none" w:pos="59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187" w:lineRule="exact"/>
        <w:rPr>
          <w:rFonts w:ascii="Arial" w:cs="Arial" w:eastAsia="Arial" w:hAnsi="Arial"/>
          <w:sz w:val="22"/>
          <w:szCs w:val="22"/>
          <w:color w:val="auto"/>
        </w:rPr>
      </w:pPr>
    </w:p>
    <w:p>
      <w:pPr>
        <w:ind w:left="444" w:hanging="444"/>
        <w:spacing w:after="0"/>
        <w:tabs>
          <w:tab w:leader="none" w:pos="44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Borrower or any Significant Subsidiary, pursuant to or within the meaning of any Debtor Relief Law:</w:t>
      </w:r>
    </w:p>
    <w:p>
      <w:pPr>
        <w:spacing w:after="0" w:line="206" w:lineRule="exact"/>
        <w:rPr>
          <w:rFonts w:ascii="Arial" w:cs="Arial" w:eastAsia="Arial" w:hAnsi="Arial"/>
          <w:sz w:val="22"/>
          <w:szCs w:val="22"/>
          <w:color w:val="auto"/>
        </w:rPr>
      </w:pPr>
    </w:p>
    <w:p>
      <w:pPr>
        <w:ind w:left="1144" w:hanging="496"/>
        <w:spacing w:after="0"/>
        <w:tabs>
          <w:tab w:leader="none" w:pos="1144"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commences proceedings to be adjudicated bankrupt or insolvent;</w:t>
      </w:r>
    </w:p>
    <w:p>
      <w:pPr>
        <w:spacing w:after="0" w:line="192" w:lineRule="exact"/>
        <w:rPr>
          <w:rFonts w:ascii="Arial" w:cs="Arial" w:eastAsia="Arial" w:hAnsi="Arial"/>
          <w:sz w:val="22"/>
          <w:szCs w:val="22"/>
          <w:color w:val="010000"/>
        </w:rPr>
      </w:pPr>
    </w:p>
    <w:p>
      <w:pPr>
        <w:jc w:val="both"/>
        <w:ind w:left="4" w:firstLine="644"/>
        <w:spacing w:after="0" w:line="241" w:lineRule="auto"/>
        <w:tabs>
          <w:tab w:leader="none" w:pos="1176"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82" w:lineRule="exact"/>
        <w:rPr>
          <w:rFonts w:ascii="Arial" w:cs="Arial" w:eastAsia="Arial" w:hAnsi="Arial"/>
          <w:sz w:val="22"/>
          <w:szCs w:val="22"/>
          <w:color w:val="010000"/>
        </w:rPr>
      </w:pPr>
    </w:p>
    <w:p>
      <w:pPr>
        <w:ind w:left="4" w:firstLine="644"/>
        <w:spacing w:after="0" w:line="251" w:lineRule="auto"/>
        <w:tabs>
          <w:tab w:leader="none" w:pos="1317"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consents to the appointment of a receiver, interim receiver, receiver and manager, liquidator, assignee, trustee, sequestrator or other similar official of it or for all or substantially all of its property; or</w:t>
      </w:r>
    </w:p>
    <w:p>
      <w:pPr>
        <w:spacing w:after="0" w:line="172" w:lineRule="exact"/>
        <w:rPr>
          <w:rFonts w:ascii="Arial" w:cs="Arial" w:eastAsia="Arial" w:hAnsi="Arial"/>
          <w:sz w:val="22"/>
          <w:szCs w:val="22"/>
          <w:color w:val="010000"/>
        </w:rPr>
      </w:pPr>
    </w:p>
    <w:p>
      <w:pPr>
        <w:ind w:left="1144" w:hanging="496"/>
        <w:spacing w:after="0"/>
        <w:tabs>
          <w:tab w:leader="none" w:pos="1144"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makes a general assignment for the benefit of its creditors;</w:t>
      </w:r>
    </w:p>
    <w:p>
      <w:pPr>
        <w:spacing w:after="0" w:line="206" w:lineRule="exact"/>
        <w:rPr>
          <w:rFonts w:ascii="Arial" w:cs="Arial" w:eastAsia="Arial" w:hAnsi="Arial"/>
          <w:sz w:val="22"/>
          <w:szCs w:val="22"/>
          <w:color w:val="010000"/>
        </w:rPr>
      </w:pPr>
    </w:p>
    <w:p>
      <w:pPr>
        <w:ind w:left="504" w:hanging="504"/>
        <w:spacing w:after="0"/>
        <w:tabs>
          <w:tab w:leader="none" w:pos="504"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Debtor Relief Law that:</w:t>
      </w:r>
    </w:p>
    <w:p>
      <w:pPr>
        <w:spacing w:after="0" w:line="206" w:lineRule="exact"/>
        <w:rPr>
          <w:rFonts w:ascii="Arial" w:cs="Arial" w:eastAsia="Arial" w:hAnsi="Arial"/>
          <w:sz w:val="22"/>
          <w:szCs w:val="22"/>
          <w:color w:val="auto"/>
        </w:rPr>
      </w:pPr>
    </w:p>
    <w:p>
      <w:pPr>
        <w:ind w:left="4" w:firstLine="644"/>
        <w:spacing w:after="0" w:line="251" w:lineRule="auto"/>
        <w:tabs>
          <w:tab w:leader="none" w:pos="1337"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is for relief against the Borrower or any Significant Subsidiary in a proceeding in which the Borrower or any Significant Subsidiary is to be adjudicated bankrupt or insolvent;</w:t>
      </w:r>
    </w:p>
    <w:p>
      <w:pPr>
        <w:spacing w:after="0" w:line="172" w:lineRule="exact"/>
        <w:rPr>
          <w:rFonts w:ascii="Arial" w:cs="Arial" w:eastAsia="Arial" w:hAnsi="Arial"/>
          <w:sz w:val="22"/>
          <w:szCs w:val="22"/>
          <w:color w:val="010000"/>
        </w:rPr>
      </w:pPr>
    </w:p>
    <w:p>
      <w:pPr>
        <w:ind w:left="4" w:firstLine="644"/>
        <w:spacing w:after="0" w:line="239" w:lineRule="auto"/>
        <w:tabs>
          <w:tab w:leader="none" w:pos="1446" w:val="left"/>
        </w:tabs>
        <w:numPr>
          <w:ilvl w:val="1"/>
          <w:numId w:val="233"/>
        </w:numPr>
        <w:rPr>
          <w:rFonts w:ascii="Arial" w:cs="Arial" w:eastAsia="Arial" w:hAnsi="Arial"/>
          <w:sz w:val="22"/>
          <w:szCs w:val="22"/>
          <w:color w:val="010000"/>
        </w:rPr>
      </w:pPr>
      <w:r>
        <w:rPr>
          <w:rFonts w:ascii="Arial" w:cs="Arial" w:eastAsia="Arial" w:hAnsi="Arial"/>
          <w:sz w:val="22"/>
          <w:szCs w:val="22"/>
          <w:color w:val="auto"/>
        </w:rPr>
        <w:t>appoints a receiver, interim receiver, receiver and manager, liquidator, assignee, trustee, sequestrator or other similar official of the Borrower</w:t>
      </w:r>
    </w:p>
    <w:p>
      <w:pPr>
        <w:sectPr>
          <w:pgSz w:w="11900" w:h="16838" w:orient="portrait"/>
          <w:cols w:equalWidth="0" w:num="1">
            <w:col w:w="10584"/>
          </w:cols>
          <w:pgMar w:left="976" w:top="1413" w:right="339" w:bottom="1440" w:gutter="0" w:footer="0" w:header="0"/>
        </w:sectPr>
      </w:pPr>
    </w:p>
    <w:bookmarkStart w:id="276" w:name="page277"/>
    <w:bookmarkEnd w:id="276"/>
    <w:p>
      <w:pPr>
        <w:ind w:left="660"/>
        <w:spacing w:after="0" w:line="251" w:lineRule="auto"/>
        <w:rPr>
          <w:sz w:val="20"/>
          <w:szCs w:val="20"/>
          <w:color w:val="auto"/>
        </w:rPr>
      </w:pPr>
      <w:r>
        <w:rPr>
          <w:rFonts w:ascii="Arial" w:cs="Arial" w:eastAsia="Arial" w:hAnsi="Arial"/>
          <w:sz w:val="22"/>
          <w:szCs w:val="22"/>
          <w:color w:val="auto"/>
        </w:rPr>
        <w:t>or any Significant Subsidiary, or for all or substantially all of the property of the Borrower or any Significant Subsidiary; or</w:t>
      </w:r>
    </w:p>
    <w:p>
      <w:pPr>
        <w:spacing w:after="0" w:line="173" w:lineRule="exact"/>
        <w:rPr>
          <w:sz w:val="20"/>
          <w:szCs w:val="20"/>
          <w:color w:val="auto"/>
        </w:rPr>
      </w:pPr>
    </w:p>
    <w:p>
      <w:pPr>
        <w:ind w:right="560" w:firstLine="1304"/>
        <w:spacing w:after="0" w:line="435" w:lineRule="auto"/>
        <w:tabs>
          <w:tab w:leader="none" w:pos="1800"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orders the liquidation, dissolution or winding up of the Borrower or any Significant Subsidiary; and the order or decree remains unstayed and in effect for 60 consecutive days;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90" w:lineRule="exact"/>
        <w:rPr>
          <w:sz w:val="20"/>
          <w:szCs w:val="20"/>
          <w:color w:val="auto"/>
        </w:rPr>
      </w:pPr>
    </w:p>
    <w:p>
      <w:pPr>
        <w:jc w:val="both"/>
        <w:ind w:firstLine="656"/>
        <w:spacing w:after="0" w:line="241" w:lineRule="auto"/>
        <w:tabs>
          <w:tab w:leader="none" w:pos="116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82" w:lineRule="exact"/>
        <w:rPr>
          <w:rFonts w:ascii="Arial" w:cs="Arial" w:eastAsia="Arial" w:hAnsi="Arial"/>
          <w:sz w:val="22"/>
          <w:szCs w:val="22"/>
          <w:color w:val="auto"/>
        </w:rPr>
      </w:pPr>
    </w:p>
    <w:p>
      <w:pPr>
        <w:ind w:left="1080" w:hanging="424"/>
        <w:spacing w:after="0"/>
        <w:tabs>
          <w:tab w:leader="none" w:pos="108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any Change of Control shall occur.</w:t>
      </w:r>
    </w:p>
    <w:p>
      <w:pPr>
        <w:spacing w:after="0" w:line="20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In the case of an Event of Default, then, and in every such event (other than an event with respect to the Borrower described in clause (f) or (g) of this Section), and at any time thereafter during the continuance of such event, the Administrative Agent may take any and all of the following actions: (A) [reserved], and (B) at the request of the Required Lenders, the Administrative Agent shall, by notice to the Borrower (i)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and the Lenders all rights and remedies available to it and the Lenders under the Loan Documents and applicable law. In case of any event with respect to the Borrower described in clause (f) or (g) of this Section, any outstanding Term Commitments shall automatically terminate and the principal of the Term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19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In the event of a declaration of acceleration of the Term Loans because an Event of Default described in </w:t>
      </w:r>
      <w:r>
        <w:rPr>
          <w:rFonts w:ascii="Arial" w:cs="Arial" w:eastAsia="Arial" w:hAnsi="Arial"/>
          <w:sz w:val="22"/>
          <w:szCs w:val="22"/>
          <w:u w:val="single" w:color="auto"/>
          <w:color w:val="auto"/>
        </w:rPr>
        <w:t>Section 7.1(e)</w:t>
      </w:r>
      <w:r>
        <w:rPr>
          <w:rFonts w:ascii="Arial" w:cs="Arial" w:eastAsia="Arial" w:hAnsi="Arial"/>
          <w:sz w:val="22"/>
          <w:szCs w:val="22"/>
          <w:color w:val="auto"/>
        </w:rPr>
        <w:t xml:space="preserve"> has occurred and is continuing, the declaration of acceleration of the Term Loans shall be automatically annulled if the event of default or</w:t>
      </w:r>
    </w:p>
    <w:p>
      <w:pPr>
        <w:sectPr>
          <w:pgSz w:w="11900" w:h="16838" w:orient="portrait"/>
          <w:cols w:equalWidth="0" w:num="1">
            <w:col w:w="11240"/>
          </w:cols>
          <w:pgMar w:left="320" w:top="1413" w:right="339" w:bottom="1440" w:gutter="0" w:footer="0" w:header="0"/>
        </w:sectPr>
      </w:pPr>
    </w:p>
    <w:bookmarkStart w:id="277" w:name="page278"/>
    <w:bookmarkEnd w:id="277"/>
    <w:p>
      <w:pPr>
        <w:jc w:val="both"/>
        <w:spacing w:after="0" w:line="248" w:lineRule="auto"/>
        <w:rPr>
          <w:sz w:val="20"/>
          <w:szCs w:val="20"/>
          <w:color w:val="auto"/>
        </w:rPr>
      </w:pPr>
      <w:r>
        <w:rPr>
          <w:rFonts w:ascii="Arial" w:cs="Arial" w:eastAsia="Arial" w:hAnsi="Arial"/>
          <w:sz w:val="21"/>
          <w:szCs w:val="21"/>
          <w:color w:val="auto"/>
        </w:rPr>
        <w:t xml:space="preserve">payment default triggering such Event of Default pursuant to </w:t>
      </w:r>
      <w:r>
        <w:rPr>
          <w:rFonts w:ascii="Arial" w:cs="Arial" w:eastAsia="Arial" w:hAnsi="Arial"/>
          <w:sz w:val="21"/>
          <w:szCs w:val="21"/>
          <w:u w:val="single" w:color="auto"/>
          <w:color w:val="auto"/>
        </w:rPr>
        <w:t>Section 7.1(e)</w:t>
      </w:r>
      <w:r>
        <w:rPr>
          <w:rFonts w:ascii="Arial" w:cs="Arial" w:eastAsia="Arial" w:hAnsi="Arial"/>
          <w:sz w:val="21"/>
          <w:szCs w:val="21"/>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Term Loans would not conflict with any judgment or decree of a court of competent jurisdiction and (2) all existing Events of Default, except nonpayment of principal, premium or interest on the Term Loans that became due solely because of the acceleration of the Term Loans, have been cured or waived.</w:t>
      </w:r>
    </w:p>
    <w:p>
      <w:pPr>
        <w:spacing w:after="0" w:line="163" w:lineRule="exact"/>
        <w:rPr>
          <w:sz w:val="20"/>
          <w:szCs w:val="20"/>
          <w:color w:val="auto"/>
        </w:rPr>
      </w:pPr>
    </w:p>
    <w:p>
      <w:pPr>
        <w:ind w:left="4880"/>
        <w:spacing w:after="0"/>
        <w:rPr>
          <w:sz w:val="20"/>
          <w:szCs w:val="20"/>
          <w:color w:val="auto"/>
        </w:rPr>
      </w:pPr>
      <w:r>
        <w:rPr>
          <w:rFonts w:ascii="Arial" w:cs="Arial" w:eastAsia="Arial" w:hAnsi="Arial"/>
          <w:sz w:val="22"/>
          <w:szCs w:val="22"/>
          <w:color w:val="010000"/>
        </w:rPr>
        <w:t>Section 8_____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Agents</w:t>
      </w:r>
    </w:p>
    <w:p>
      <w:pPr>
        <w:spacing w:after="0" w:line="19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Appointment</w:t>
      </w:r>
      <w:r>
        <w:rPr>
          <w:rFonts w:ascii="Arial" w:cs="Arial" w:eastAsia="Arial" w:hAnsi="Arial"/>
          <w:sz w:val="22"/>
          <w:szCs w:val="22"/>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hereby irrevocably designates and appoints the Sustainability Structuring Agent as the agent of such Lender under this Agreement and the other Loan Documents, and each such Lender irrevocably authorizes the Sustainability Structuring Agent, in such capacity, to take such action on its behalf under the provisions of this Agreement and the other Loan Documents and to exercise such powers and perform such duties as are expressly delegated to the Sustainability Structuring Agent by the terms of this Agreement and the other Loan Documents, together with such other powers as are reasonably incidental thereto. Notwithstanding any provision to the contrary elsewhere in this Agreement, none of the Administrative Agent and the Sustainability Structuring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 or the Sustainability Structuring Agent.</w:t>
      </w:r>
    </w:p>
    <w:p>
      <w:pPr>
        <w:spacing w:after="0" w:line="19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Each of the Administrative Agent and the Sustainability Structuring Agent may execute any of their duties under this Agreement and the other Loan Documents by or through agents or attorneys in fact and shall be entitled to advice of counsel concerning all matters pertaining to such duties. None of the Administrative Agent and the Sustainability Structuring Agent shall be responsible for the negligence or misconduct of any agents or attorneys in fact selected by it with reasonable care.</w:t>
      </w:r>
    </w:p>
    <w:p>
      <w:pPr>
        <w:spacing w:after="0" w:line="18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Exculpatory Provisions</w:t>
      </w:r>
      <w:r>
        <w:rPr>
          <w:rFonts w:ascii="Arial" w:cs="Arial" w:eastAsia="Arial" w:hAnsi="Arial"/>
          <w:sz w:val="22"/>
          <w:szCs w:val="22"/>
          <w:color w:val="auto"/>
        </w:rPr>
        <w:t>. “Use of the term “agent” in the Agreement or in any other Loan Documents (or any other similar term) with reference to the Administrative Agent or Sustainability Structuring Agent does not connote (and is not intended to connote), any fiduciary or other implied (or express) obligation arising under agency doctrine of any applicable law. Instead such term is used as a matter of market custom, and is intended to create or reflect only an administrative relationship between</w:t>
      </w:r>
    </w:p>
    <w:p>
      <w:pPr>
        <w:sectPr>
          <w:pgSz w:w="11900" w:h="16838" w:orient="portrait"/>
          <w:cols w:equalWidth="0" w:num="1">
            <w:col w:w="11240"/>
          </w:cols>
          <w:pgMar w:left="320" w:top="1413" w:right="339" w:bottom="1440" w:gutter="0" w:footer="0" w:header="0"/>
        </w:sectPr>
      </w:pPr>
    </w:p>
    <w:bookmarkStart w:id="278" w:name="page279"/>
    <w:bookmarkEnd w:id="278"/>
    <w:p>
      <w:pPr>
        <w:jc w:val="both"/>
        <w:spacing w:after="0" w:line="241" w:lineRule="auto"/>
        <w:rPr>
          <w:sz w:val="20"/>
          <w:szCs w:val="20"/>
          <w:color w:val="auto"/>
        </w:rPr>
      </w:pPr>
      <w:r>
        <w:rPr>
          <w:rFonts w:ascii="Arial" w:cs="Arial" w:eastAsia="Arial" w:hAnsi="Arial"/>
          <w:sz w:val="21"/>
          <w:szCs w:val="21"/>
          <w:color w:val="auto"/>
        </w:rPr>
        <w:t>the contracting parties. The Administrative Agent and Sustainability Structuring Agent shall not have any duty to take any discretionary action or exercise any discretionary power, except discretionary rights and powers expressly contemplated by the Agreement that the Administrative Agent and Sustainability Structuring Agent are required to exercise and only so long as so directed in writing to take such discretionary action by the “Required Lenders” provided, however, that the Administrative Agent and Sustainability Structuring Agent shall not be required to take any action that, in its opinion or the opinion of its counsel, may expose the Administrative Agent or Sustainability Structuring Agent to liability or that is contrary to any Loan Document or Applicable Law, including, for the avoidance of doubt, any action that may be in violation of the automatic stay or that may effect a forfeiture, modification or termination of a property interest in violation of any applicable bankruptcy/insolvency laws and the Administrative Agent and Sustainability Structuring Agent shall in all cases be fully justified in failing or refusing to act under the Agreement or any other Loan Document unless it first receives further assurances of its indemnification from the Lenders that the Administrative Agent and Sustainability Structuring Agent reasonably believe it may require, including prepayment of any related expenses and any other protection it requires against any and all costs, expenses and liabilities it may incur in taking or continuing to take any such discretionary action at the direction of the Required Lenders. The Administrative Agent and Sustainability Structuring Agent shall not have any duty to disclose, and shall not be liable for the failure to disclose, except as expressly set forth in the Agreement and in the other Loan Documents, any information relating to the borrower or any of its affiliates that is communicated to or obtained by the Administrative Agent, Sustainability Structuring Agent, or any of their affiliates in any capacity. The Administrative Agent and Sustainability Structuring Agent shall not be responsible for or have any duty to ascertain or inquire into (i) any statement, warranty or representation made in or in connection with the Loan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instrument or document, or (v) the satisfaction of any conditions precedent set forth in the Loan Agreement, other than to confirm receipt of items expressly required to be delivered to the Administrative Agent or Sustainability Structuring Agent.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u w:val="single" w:color="auto"/>
          <w:color w:val="auto"/>
        </w:rPr>
        <w:t>Reliance by the Administrative Agent</w:t>
      </w:r>
      <w:r>
        <w:rPr>
          <w:rFonts w:ascii="Arial" w:cs="Arial" w:eastAsia="Arial" w:hAnsi="Arial"/>
          <w:sz w:val="21"/>
          <w:szCs w:val="21"/>
          <w:color w:val="auto"/>
        </w:rPr>
        <w:t>. The Administrative Agent and Sustainability Structuring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and Sustainability Structuring Agent. The Administrative Agent and Sustainability Structuring Agent shall be fully justified in failing or refusing to take any action under this Agreement or any other Loan Document unless the Administrative Agent and Sustainability Structuring Agent shall first receive such advice or concurrence of the Required Lenders (or, if so specified by this Agreement, all</w:t>
      </w:r>
    </w:p>
    <w:p>
      <w:pPr>
        <w:sectPr>
          <w:pgSz w:w="11900" w:h="16838" w:orient="portrait"/>
          <w:cols w:equalWidth="0" w:num="1">
            <w:col w:w="11240"/>
          </w:cols>
          <w:pgMar w:left="320" w:top="1413" w:right="339" w:bottom="1440" w:gutter="0" w:footer="0" w:header="0"/>
        </w:sectPr>
      </w:pPr>
    </w:p>
    <w:bookmarkStart w:id="279" w:name="page280"/>
    <w:bookmarkEnd w:id="279"/>
    <w:p>
      <w:pPr>
        <w:jc w:val="both"/>
        <w:spacing w:after="0" w:line="232" w:lineRule="auto"/>
        <w:rPr>
          <w:sz w:val="20"/>
          <w:szCs w:val="20"/>
          <w:color w:val="auto"/>
        </w:rPr>
      </w:pPr>
      <w:r>
        <w:rPr>
          <w:rFonts w:ascii="Arial" w:cs="Arial" w:eastAsia="Arial" w:hAnsi="Arial"/>
          <w:sz w:val="22"/>
          <w:szCs w:val="22"/>
          <w:color w:val="auto"/>
        </w:rPr>
        <w:t>Lenders) as it deems appropriate or it shall first be indemnified to its satisfaction by the Lenders against any and all liability and expense that may be incurred by it by reason of taking or continuing to take any such action. In determining compliance with any condition to the making of a loan, or the issuance, extension, renewal or increase of a Letter of Credit, the Administrative Agent may presume that such condition is satisfactory to such Lender unless the Administrative Agent receives notice to the contrary from such Lender prior to the making of such loan or the issuance of such Letter of Credit. The Administrative Agent and Sustainability Structuring Agent shall in all cases be fully protected in acting, or in refraining from acting, under this Agreement and the other Loan Documents in accordance with a request of the Required Lenders (or, if so specified by this Agreement or any other Loan Document, all Lenders), and such request and any action taken or failure to act pursuant thereto shall be binding upon all the Lenders and all future holders of the Term Loans. The Administrative Agent and Sustainability Structuring Agent shall not be liable for any action taken or not taken by it in accordance with the advice of any such counsel, accountants or experts.</w:t>
      </w:r>
    </w:p>
    <w:p>
      <w:pPr>
        <w:spacing w:after="0" w:line="18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Notice of Default</w:t>
      </w:r>
      <w:r>
        <w:rPr>
          <w:rFonts w:ascii="Arial" w:cs="Arial" w:eastAsia="Arial" w:hAnsi="Arial"/>
          <w:sz w:val="22"/>
          <w:szCs w:val="22"/>
          <w:color w:val="auto"/>
        </w:rPr>
        <w:t>. The Administrative Agent shall not be deemed to have knowledge or notice of the occurrence of any Default or Event of Default unless it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The Administrative Agent shall take such action with respect to such Default or Event of Default as shall be reasonably directed by the Required Lenders (or, if so specified by this Agreement or any other Loan Document, all Lenders); provided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The Administrative Agent shall not be obligated to follow any direction by Required Lenders if the Administrative Agent reasonably determines that such direction is in conflict with any provisions of any applicable law, and the Administrative Agent shall not, under any circumstances, be liable to any Lenders, the Borrower or any other person or entity for following the direction of Required Lenders. At all 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Non-Reliance on the Agent and Other Lenders</w:t>
      </w:r>
      <w:r>
        <w:rPr>
          <w:rFonts w:ascii="Arial" w:cs="Arial" w:eastAsia="Arial" w:hAnsi="Arial"/>
          <w:sz w:val="22"/>
          <w:szCs w:val="22"/>
          <w:color w:val="auto"/>
        </w:rPr>
        <w:t>. Each Lender expressly acknowledges that neither the Agent, the Sustainability Structuring Agent, nor any of their respective officers, directors, employees, agents, attorneys in fact or affiliates have made any representations or warranties to it and that no act by any Agent or the Sustainability Structuring Agent hereafter taken, including any review of the affairs of a Loan Party or any affiliate of a Loan Party, shall be deemed to constitute any representation or warranty by any Agent or the Sustainability Structuring Agent to any Lender. Each Lender represents to the Agent and Sustainability Structuring Agent that it has, independently and without reliance upon any Agent or the Sustainability Structuring Agent, any other Lender and based on such documents and information as it has</w:t>
      </w:r>
    </w:p>
    <w:p>
      <w:pPr>
        <w:sectPr>
          <w:pgSz w:w="11900" w:h="16838" w:orient="portrait"/>
          <w:cols w:equalWidth="0" w:num="1">
            <w:col w:w="11240"/>
          </w:cols>
          <w:pgMar w:left="320" w:top="1413" w:right="339" w:bottom="1440" w:gutter="0" w:footer="0" w:header="0"/>
        </w:sectPr>
      </w:pPr>
    </w:p>
    <w:bookmarkStart w:id="280" w:name="page281"/>
    <w:bookmarkEnd w:id="280"/>
    <w:p>
      <w:pPr>
        <w:jc w:val="both"/>
        <w:spacing w:after="0" w:line="231" w:lineRule="auto"/>
        <w:rPr>
          <w:sz w:val="20"/>
          <w:szCs w:val="20"/>
          <w:color w:val="auto"/>
        </w:rPr>
      </w:pPr>
      <w:r>
        <w:rPr>
          <w:rFonts w:ascii="Arial" w:cs="Arial" w:eastAsia="Arial" w:hAnsi="Arial"/>
          <w:sz w:val="22"/>
          <w:szCs w:val="22"/>
          <w:color w:val="auto"/>
        </w:rPr>
        <w:t>deemed appropriate, made its own appraisal of and investigation into the business, operations, property, financial and other condition and creditworthiness of the Loan Parties and their affiliates and made its own decision to make its Term Loans hereunder and enter into this Agreement. Each Lender also represents that it will, independently and without reliance upon any Agent, the Sustainability Structuring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or the Sustainability Structuring Agent hereunder, the Administrative Agent and Sustainability Structuring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the Sustainability Structuring Agent, or any of their officers, directors, employees, agents, attorneys in fact or affiliates.</w:t>
      </w:r>
    </w:p>
    <w:p>
      <w:pPr>
        <w:spacing w:after="0" w:line="19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1"/>
          <w:szCs w:val="21"/>
          <w:color w:val="auto"/>
        </w:rPr>
        <w:t>It is understood and agreed that the Administrative Agent and the Sustainability Structuring Agent make no assurances as to (i) whether this Agreement meets any Loan Party or Lender criteria or expectations with regard to environmental impact and sustainability performance, or (ii) whether the characteristics of the relevant sustainability performance targets and/or key performance indicators included in the Agreement, including any environmental and sustainability criteria or any computation methodology with respect thereto, meet any industry standards for sustainability-linked credit facilities. It is further understood and agreed that neither the Administrative Agent nor the Sustainability Structuring Agent shall have any responsibility for (or liability in respect of) reviewing, auditing or otherwise evaluating any calculation by any Loan Party of (i) the relevant sustainability performance targets and/or key performance indicators or (ii) any Sustainability Adjustment (or any of the data or computations that are part of or related to any such calculation) set forth in any Sustainability Pricing Certificate (and the Administrative Agent may rely conclusively on any such certificate, without further inquiry, when implementing any such pricing adjustment).</w:t>
      </w:r>
    </w:p>
    <w:p>
      <w:pPr>
        <w:spacing w:after="0" w:line="18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Indemnification</w:t>
      </w:r>
      <w:r>
        <w:rPr>
          <w:rFonts w:ascii="Arial" w:cs="Arial" w:eastAsia="Arial" w:hAnsi="Arial"/>
          <w:sz w:val="22"/>
          <w:szCs w:val="22"/>
          <w:color w:val="auto"/>
        </w:rPr>
        <w:t>. To the extent the Borrower fails to pay any amount required to be paid by it to the Administrative Agent, the Sustainability Structuring Agent or any other agent under Section 9.5, the Lenders severally agree to indemnify the Agent in their capacity as such (to the extent not reimbursed by the Borrower and without limiting the obligation of the Borrower to do so), ratably according to their respective Term Percentage in effect on the date on which indemnification is sought under this Section 8.7 (or, if indemnification is sought after the date upon which the Term Commitments shall have terminated and the Term Loans shall have been paid in full, ratably in accordance with such Term Percentage immediately prior to such date), from and against any and all liabilities, obligations, losses, damages, penalties, actions, judgments, suits, costs, expenses or disbursements of any kind whatsoever that may at any time (whether before or after the payment of the Term Loans) be imposed on,</w:t>
      </w:r>
    </w:p>
    <w:p>
      <w:pPr>
        <w:sectPr>
          <w:pgSz w:w="11900" w:h="16838" w:orient="portrait"/>
          <w:cols w:equalWidth="0" w:num="1">
            <w:col w:w="11240"/>
          </w:cols>
          <w:pgMar w:left="320" w:top="1413" w:right="339" w:bottom="1440" w:gutter="0" w:footer="0" w:header="0"/>
        </w:sectPr>
      </w:pPr>
    </w:p>
    <w:bookmarkStart w:id="281" w:name="page282"/>
    <w:bookmarkEnd w:id="281"/>
    <w:p>
      <w:pPr>
        <w:jc w:val="both"/>
        <w:spacing w:after="0" w:line="232" w:lineRule="auto"/>
        <w:rPr>
          <w:sz w:val="20"/>
          <w:szCs w:val="20"/>
          <w:color w:val="auto"/>
        </w:rPr>
      </w:pPr>
      <w:r>
        <w:rPr>
          <w:rFonts w:ascii="Arial" w:cs="Arial" w:eastAsia="Arial" w:hAnsi="Arial"/>
          <w:sz w:val="22"/>
          <w:szCs w:val="22"/>
          <w:color w:val="auto"/>
        </w:rPr>
        <w:t>incurred by or asserted against such Agent, in any way relating to or arising out of, the Term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8.7 shall survive the payment of the Term Loans and all other amounts payable hereunder.</w:t>
      </w:r>
    </w:p>
    <w:p>
      <w:pPr>
        <w:spacing w:after="0" w:line="1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Agent and Sustainability Structuring Agent in Their Individual Capacity</w:t>
      </w:r>
      <w:r>
        <w:rPr>
          <w:rFonts w:ascii="Arial" w:cs="Arial" w:eastAsia="Arial" w:hAnsi="Arial"/>
          <w:sz w:val="22"/>
          <w:szCs w:val="22"/>
          <w:color w:val="auto"/>
        </w:rPr>
        <w:t>. Each Agent, the Sustainability Structuring Agent and their affiliates may make loans to, accept deposits from and generally engage in any kind of business with any Loan Party as though such Agent or Sustainability Structuring Agent, as applicable, were not an Agent or Sustainability Structuring Agent, as applicable. With respect to its Term Loans made or renewed by it, each Agent and the Sustainability Structuring Agent shall have the same rights and powers under this Agreement and the other Loan Documents as any Lender and may exercise the same as though it were not an Agent or the Sustainability Structuring Agent, as applicable, and the terms “Lender” and “Lenders” shall include each Agent or the Sustainability Structuring Agent in their individual capacity.</w:t>
      </w:r>
    </w:p>
    <w:p>
      <w:pPr>
        <w:spacing w:after="0" w:line="187"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 The Administrative Agent may resign as Administrative Agent upon 30 days’ notice to the Lenders and any Loan Party. If the Administrative Agent shall resign as Administrative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Term Loans. If no successor agent has accepted appointment as an Administrative Agent by the date that is ten (10) days following the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the retiring Administrative Agent’s resignation, the provisions of this Section 8 and Section 9.5 shall inure to its benefit as to any actions taken or omitted to be taken by it while it was Administrative Agent under this Agreement and the other Loan Documents.</w:t>
      </w:r>
    </w:p>
    <w:p>
      <w:pPr>
        <w:spacing w:after="0" w:line="1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8.10. </w:t>
      </w:r>
      <w:r>
        <w:rPr>
          <w:rFonts w:ascii="Arial" w:cs="Arial" w:eastAsia="Arial" w:hAnsi="Arial"/>
          <w:sz w:val="22"/>
          <w:szCs w:val="22"/>
          <w:u w:val="single" w:color="auto"/>
          <w:color w:val="auto"/>
        </w:rPr>
        <w:t>Successor Sustainability Structuring Agent</w:t>
      </w:r>
      <w:r>
        <w:rPr>
          <w:rFonts w:ascii="Arial" w:cs="Arial" w:eastAsia="Arial" w:hAnsi="Arial"/>
          <w:sz w:val="22"/>
          <w:szCs w:val="22"/>
          <w:color w:val="auto"/>
        </w:rPr>
        <w:t>. The Sustainability Structuring Agent may resign as Sustainability Structuring Agent upon 30 days’ notice to the</w:t>
      </w:r>
    </w:p>
    <w:p>
      <w:pPr>
        <w:sectPr>
          <w:pgSz w:w="11900" w:h="16838" w:orient="portrait"/>
          <w:cols w:equalWidth="0" w:num="1">
            <w:col w:w="11240"/>
          </w:cols>
          <w:pgMar w:left="320" w:top="1413" w:right="339" w:bottom="1440" w:gutter="0" w:footer="0" w:header="0"/>
        </w:sectPr>
      </w:pPr>
    </w:p>
    <w:bookmarkStart w:id="282" w:name="page283"/>
    <w:bookmarkEnd w:id="282"/>
    <w:p>
      <w:pPr>
        <w:jc w:val="both"/>
        <w:spacing w:after="0" w:line="231" w:lineRule="auto"/>
        <w:rPr>
          <w:sz w:val="20"/>
          <w:szCs w:val="20"/>
          <w:color w:val="auto"/>
        </w:rPr>
      </w:pPr>
      <w:r>
        <w:rPr>
          <w:rFonts w:ascii="Arial" w:cs="Arial" w:eastAsia="Arial" w:hAnsi="Arial"/>
          <w:sz w:val="22"/>
          <w:szCs w:val="22"/>
          <w:color w:val="auto"/>
        </w:rPr>
        <w:t>Lenders and any Loan Party. If the Sustainability Structuring Agent shall resign as Sustainability Structuring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Sustainability Structuring Agent, and the term “Sustainability Structuring Agent” shall mean such successor agent effective upon such appointment and approval, and the former Sustainability Structuring Agent’s rights, powers and duties as an Sustainability Structuring Agent shall be terminated, without any other or further act or deed on the part of such former Sustainability Structuring Agent or any of the parties to this Agreement or any holders of the Term Loans. If no successor agent has accepted appointment as an Sustainability Structuring Agent by the date that is ten (10) days following the retiring Sustainability Structuring Agent’s notice of resignation, the retiring Sustainability Structuring Agent’s resignation shall nevertheless thereupon become effective, and the Lenders shall assume and perform all of the duties of the Sustainability Structuring Agent hereunder until such time, if any, as the Required Lenders appoint a successor agent as provided for above. After the retiring Sustainability Structuring Agent’s resignation, the provisions of this Section 8 and Section 9.5 shall inure to its benefit as to any actions taken or omitted to be taken by it while it was Sustainability Structuring Agent under this Agreement and the other Loan Documents.</w:t>
      </w:r>
    </w:p>
    <w:p>
      <w:pPr>
        <w:spacing w:after="0" w:line="19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21"/>
          <w:szCs w:val="21"/>
          <w:u w:val="single" w:color="auto"/>
          <w:color w:val="auto"/>
        </w:rPr>
        <w:t>Payments</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42" w:lineRule="auto"/>
        <w:tabs>
          <w:tab w:leader="none" w:pos="1168"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If the Administrative Agent notifies a Lender or any Person who has received funds on behalf of a Lender (any such Lender or other recipient, a “</w:t>
      </w:r>
      <w:r>
        <w:rPr>
          <w:rFonts w:ascii="Arial" w:cs="Arial" w:eastAsia="Arial" w:hAnsi="Arial"/>
          <w:sz w:val="21"/>
          <w:szCs w:val="21"/>
          <w:u w:val="single" w:color="auto"/>
          <w:color w:val="auto"/>
        </w:rPr>
        <w:t>Payment Recipient</w:t>
      </w:r>
      <w:r>
        <w:rPr>
          <w:rFonts w:ascii="Arial" w:cs="Arial" w:eastAsia="Arial" w:hAnsi="Arial"/>
          <w:sz w:val="21"/>
          <w:szCs w:val="21"/>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21"/>
          <w:szCs w:val="21"/>
          <w:u w:val="single" w:color="auto"/>
          <w:color w:val="auto"/>
        </w:rPr>
        <w:t>Erroneous</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w:t>
      </w:r>
      <w:r>
        <w:rPr>
          <w:rFonts w:ascii="Arial" w:cs="Arial" w:eastAsia="Arial" w:hAnsi="Arial"/>
          <w:sz w:val="21"/>
          <w:szCs w:val="21"/>
          <w:color w:val="auto"/>
        </w:rPr>
        <w:t>”)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ectPr>
          <w:pgSz w:w="11900" w:h="16838" w:orient="portrait"/>
          <w:cols w:equalWidth="0" w:num="1">
            <w:col w:w="11240"/>
          </w:cols>
          <w:pgMar w:left="320" w:top="1413" w:right="339" w:bottom="1440" w:gutter="0" w:footer="0" w:header="0"/>
        </w:sectPr>
      </w:pPr>
    </w:p>
    <w:bookmarkStart w:id="283" w:name="page284"/>
    <w:bookmarkEnd w:id="283"/>
    <w:p>
      <w:pPr>
        <w:jc w:val="both"/>
        <w:ind w:left="-656" w:firstLine="656"/>
        <w:spacing w:after="0" w:line="232" w:lineRule="auto"/>
        <w:tabs>
          <w:tab w:leader="none" w:pos="50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Arial" w:cs="Arial" w:eastAsia="Arial" w:hAnsi="Arial"/>
          <w:sz w:val="22"/>
          <w:szCs w:val="22"/>
          <w:u w:val="single" w:color="auto"/>
          <w:color w:val="auto"/>
        </w:rPr>
        <w:t>Payment Notice</w:t>
      </w:r>
      <w:r>
        <w:rPr>
          <w:rFonts w:ascii="Arial" w:cs="Arial" w:eastAsia="Arial" w:hAnsi="Arial"/>
          <w:sz w:val="22"/>
          <w:szCs w:val="22"/>
          <w:color w:val="auto"/>
        </w:rPr>
        <w:t>”), (y) that was not preceded or accompanied by a Payment Notice, or (z) that such Payment Recipient otherwise becomes aware was transmitted, or received, in error or by mistake (in whole or in part) in each case:</w:t>
      </w:r>
    </w:p>
    <w:p>
      <w:pPr>
        <w:spacing w:after="0" w:line="190" w:lineRule="exact"/>
        <w:rPr>
          <w:rFonts w:ascii="Arial" w:cs="Arial" w:eastAsia="Arial" w:hAnsi="Arial"/>
          <w:sz w:val="22"/>
          <w:szCs w:val="22"/>
          <w:color w:val="auto"/>
        </w:rPr>
      </w:pPr>
    </w:p>
    <w:p>
      <w:pPr>
        <w:jc w:val="both"/>
        <w:ind w:left="4" w:firstLine="644"/>
        <w:spacing w:after="0" w:line="241" w:lineRule="auto"/>
        <w:tabs>
          <w:tab w:leader="none" w:pos="1114" w:val="left"/>
        </w:tabs>
        <w:numPr>
          <w:ilvl w:val="1"/>
          <w:numId w:val="237"/>
        </w:numPr>
        <w:rPr>
          <w:rFonts w:ascii="Arial" w:cs="Arial" w:eastAsia="Arial" w:hAnsi="Arial"/>
          <w:sz w:val="22"/>
          <w:szCs w:val="22"/>
          <w:color w:val="auto"/>
        </w:rPr>
      </w:pPr>
      <w:r>
        <w:rPr>
          <w:rFonts w:ascii="Arial" w:cs="Arial" w:eastAsia="Arial" w:hAnsi="Arial"/>
          <w:sz w:val="22"/>
          <w:szCs w:val="22"/>
          <w:color w:val="auto"/>
        </w:rPr>
        <w:t>an error may have been made (in the case of immediately preceding clauses (x) or (y)) or an error has been made (in the case of immediately preceding clause (z)) with respect to such payment, prepayment or repayment; and</w:t>
      </w:r>
    </w:p>
    <w:p>
      <w:pPr>
        <w:spacing w:after="0" w:line="182" w:lineRule="exact"/>
        <w:rPr>
          <w:rFonts w:ascii="Arial" w:cs="Arial" w:eastAsia="Arial" w:hAnsi="Arial"/>
          <w:sz w:val="22"/>
          <w:szCs w:val="22"/>
          <w:color w:val="auto"/>
        </w:rPr>
      </w:pPr>
    </w:p>
    <w:p>
      <w:pPr>
        <w:jc w:val="both"/>
        <w:ind w:left="4" w:firstLine="644"/>
        <w:spacing w:after="0" w:line="241" w:lineRule="auto"/>
        <w:tabs>
          <w:tab w:leader="none" w:pos="1352" w:val="left"/>
        </w:tabs>
        <w:numPr>
          <w:ilvl w:val="1"/>
          <w:numId w:val="237"/>
        </w:numPr>
        <w:rPr>
          <w:rFonts w:ascii="Arial" w:cs="Arial" w:eastAsia="Arial" w:hAnsi="Arial"/>
          <w:sz w:val="22"/>
          <w:szCs w:val="22"/>
          <w:color w:val="auto"/>
        </w:rPr>
      </w:pPr>
      <w:r>
        <w:rPr>
          <w:rFonts w:ascii="Arial" w:cs="Arial" w:eastAsia="Arial" w:hAnsi="Arial"/>
          <w:sz w:val="22"/>
          <w:szCs w:val="22"/>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182" w:lineRule="exact"/>
        <w:rPr>
          <w:rFonts w:ascii="Arial" w:cs="Arial" w:eastAsia="Arial" w:hAnsi="Arial"/>
          <w:sz w:val="22"/>
          <w:szCs w:val="22"/>
          <w:color w:val="auto"/>
        </w:rPr>
      </w:pPr>
    </w:p>
    <w:p>
      <w:pPr>
        <w:jc w:val="both"/>
        <w:ind w:left="-656" w:firstLine="656"/>
        <w:spacing w:after="0" w:line="235" w:lineRule="auto"/>
        <w:tabs>
          <w:tab w:leader="none" w:pos="51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or under the indemnification provisions of this Agreement.</w:t>
      </w:r>
    </w:p>
    <w:p>
      <w:pPr>
        <w:spacing w:after="0" w:line="183" w:lineRule="exact"/>
        <w:rPr>
          <w:rFonts w:ascii="Arial" w:cs="Arial" w:eastAsia="Arial" w:hAnsi="Arial"/>
          <w:sz w:val="22"/>
          <w:szCs w:val="22"/>
          <w:color w:val="auto"/>
        </w:rPr>
      </w:pPr>
    </w:p>
    <w:p>
      <w:pPr>
        <w:jc w:val="both"/>
        <w:ind w:left="-656" w:firstLine="656"/>
        <w:spacing w:after="0" w:line="242" w:lineRule="auto"/>
        <w:tabs>
          <w:tab w:leader="none" w:pos="548" w:val="left"/>
        </w:tabs>
        <w:numPr>
          <w:ilvl w:val="0"/>
          <w:numId w:val="237"/>
        </w:numPr>
        <w:rPr>
          <w:rFonts w:ascii="Arial" w:cs="Arial" w:eastAsia="Arial" w:hAnsi="Arial"/>
          <w:sz w:val="21"/>
          <w:szCs w:val="21"/>
          <w:color w:val="auto"/>
        </w:rPr>
      </w:pPr>
      <w:r>
        <w:rPr>
          <w:rFonts w:ascii="Arial" w:cs="Arial" w:eastAsia="Arial" w:hAnsi="Arial"/>
          <w:sz w:val="21"/>
          <w:szCs w:val="21"/>
          <w:color w:val="auto"/>
        </w:rPr>
        <w:t xml:space="preserve">In the event an Erroneous Payment (or portion thereof) is not recovered by the Administrative Agent for any reason, after demand therefor by the Administrative Agent in accordance with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from any Lender that has received such Erroneous Payment (or portion thereof) (or from any Payment Recipient who received such Erroneous Payment (or portion thereof) on its respective behalf) (such unrecovered amount, an “</w:t>
      </w:r>
      <w:r>
        <w:rPr>
          <w:rFonts w:ascii="Arial" w:cs="Arial" w:eastAsia="Arial" w:hAnsi="Arial"/>
          <w:sz w:val="21"/>
          <w:szCs w:val="21"/>
          <w:u w:val="single" w:color="auto"/>
          <w:color w:val="auto"/>
        </w:rPr>
        <w:t>Erroneous Payment Return Deficiency</w:t>
      </w:r>
      <w:r>
        <w:rPr>
          <w:rFonts w:ascii="Arial" w:cs="Arial" w:eastAsia="Arial" w:hAnsi="Arial"/>
          <w:sz w:val="21"/>
          <w:szCs w:val="21"/>
          <w:color w:val="auto"/>
        </w:rPr>
        <w:t>”), upon the Administrative Agent’s request to such Lender or Issuing Lender at any time, (i) such Lender shall be deemed to have assigned its Term Loans (but not its Term Commitments) with respect to which such Erroneous Payment was made in an amount equal to the Erroneous Payment Return Deficiency (such assignment of the Term Loans (but not Term Commitments), the “</w:t>
      </w:r>
      <w:r>
        <w:rPr>
          <w:rFonts w:ascii="Arial" w:cs="Arial" w:eastAsia="Arial" w:hAnsi="Arial"/>
          <w:sz w:val="21"/>
          <w:szCs w:val="21"/>
          <w:u w:val="single" w:color="auto"/>
          <w:color w:val="auto"/>
        </w:rPr>
        <w:t>Erroneous Payment Deficiency</w:t>
      </w:r>
      <w:r>
        <w:rPr>
          <w:rFonts w:ascii="Arial" w:cs="Arial" w:eastAsia="Arial" w:hAnsi="Arial"/>
          <w:sz w:val="21"/>
          <w:szCs w:val="21"/>
          <w:color w:val="auto"/>
        </w:rPr>
        <w:t xml:space="preserve"> </w:t>
      </w:r>
      <w:r>
        <w:rPr>
          <w:rFonts w:ascii="Arial" w:cs="Arial" w:eastAsia="Arial" w:hAnsi="Arial"/>
          <w:sz w:val="21"/>
          <w:szCs w:val="21"/>
          <w:u w:val="single" w:color="auto"/>
          <w:color w:val="auto"/>
        </w:rPr>
        <w:t>Assignment</w:t>
      </w:r>
      <w:r>
        <w:rPr>
          <w:rFonts w:ascii="Arial" w:cs="Arial" w:eastAsia="Arial" w:hAnsi="Arial"/>
          <w:sz w:val="21"/>
          <w:szCs w:val="21"/>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Term Loans to the Borrower or the Administrative Agent, (ii) the Administrative Agent as the assignee Lender shall be deemed to acquire the Erroneous Payment Deficiency Assignment and (iii) upon such deemed acquisition, the Administrative Agent as the assignee Lender</w:t>
      </w:r>
    </w:p>
    <w:p>
      <w:pPr>
        <w:sectPr>
          <w:pgSz w:w="11900" w:h="16838" w:orient="portrait"/>
          <w:cols w:equalWidth="0" w:num="1">
            <w:col w:w="10584"/>
          </w:cols>
          <w:pgMar w:left="976" w:top="1413" w:right="339" w:bottom="1440" w:gutter="0" w:footer="0" w:header="0"/>
        </w:sectPr>
      </w:pPr>
    </w:p>
    <w:bookmarkStart w:id="284" w:name="page285"/>
    <w:bookmarkEnd w:id="284"/>
    <w:p>
      <w:pPr>
        <w:jc w:val="both"/>
        <w:spacing w:after="0" w:line="235" w:lineRule="auto"/>
        <w:rPr>
          <w:sz w:val="20"/>
          <w:szCs w:val="20"/>
          <w:color w:val="auto"/>
        </w:rPr>
      </w:pPr>
      <w:r>
        <w:rPr>
          <w:rFonts w:ascii="Arial" w:cs="Arial" w:eastAsia="Arial" w:hAnsi="Arial"/>
          <w:sz w:val="22"/>
          <w:szCs w:val="22"/>
          <w:color w:val="auto"/>
        </w:rPr>
        <w:t>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Term Commitments which shall survive as to such assigning Lender. For the avoidance of doubt, no Erroneous Payment Deficiency Assignment will reduce the Term Commitments of any Lender and such Term Commitments shall remain available in accordance with the terms of this Agreement.</w:t>
      </w:r>
    </w:p>
    <w:p>
      <w:pPr>
        <w:spacing w:after="0" w:line="174" w:lineRule="exact"/>
        <w:rPr>
          <w:sz w:val="20"/>
          <w:szCs w:val="20"/>
          <w:color w:val="auto"/>
        </w:rPr>
      </w:pPr>
    </w:p>
    <w:p>
      <w:pPr>
        <w:jc w:val="both"/>
        <w:ind w:firstLine="656"/>
        <w:spacing w:after="0" w:line="236" w:lineRule="auto"/>
        <w:tabs>
          <w:tab w:leader="none" w:pos="1166"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187" w:lineRule="exact"/>
        <w:rPr>
          <w:rFonts w:ascii="Arial" w:cs="Arial" w:eastAsia="Arial" w:hAnsi="Arial"/>
          <w:sz w:val="22"/>
          <w:szCs w:val="22"/>
          <w:color w:val="auto"/>
        </w:rPr>
      </w:pPr>
    </w:p>
    <w:p>
      <w:pPr>
        <w:jc w:val="both"/>
        <w:ind w:firstLine="656"/>
        <w:spacing w:after="0" w:line="236" w:lineRule="auto"/>
        <w:tabs>
          <w:tab w:leader="none" w:pos="121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87" w:lineRule="exact"/>
        <w:rPr>
          <w:rFonts w:ascii="Arial" w:cs="Arial" w:eastAsia="Arial" w:hAnsi="Arial"/>
          <w:sz w:val="22"/>
          <w:szCs w:val="22"/>
          <w:color w:val="auto"/>
        </w:rPr>
      </w:pPr>
    </w:p>
    <w:p>
      <w:pPr>
        <w:jc w:val="both"/>
        <w:ind w:firstLine="656"/>
        <w:spacing w:after="0" w:line="235" w:lineRule="auto"/>
        <w:tabs>
          <w:tab w:leader="none" w:pos="1174" w:val="left"/>
        </w:tabs>
        <w:numPr>
          <w:ilvl w:val="0"/>
          <w:numId w:val="238"/>
        </w:numPr>
        <w:rPr>
          <w:rFonts w:ascii="Arial" w:cs="Arial" w:eastAsia="Arial" w:hAnsi="Arial"/>
          <w:sz w:val="22"/>
          <w:szCs w:val="22"/>
          <w:color w:val="auto"/>
        </w:rPr>
      </w:pPr>
      <w:r>
        <w:rPr>
          <w:rFonts w:ascii="Arial" w:cs="Arial" w:eastAsia="Arial" w:hAnsi="Arial"/>
          <w:sz w:val="22"/>
          <w:szCs w:val="22"/>
          <w:color w:val="auto"/>
        </w:rPr>
        <w:t>Each party’s obligations, agreements and waivers under this Section 8.11 shall survive the resignation or replacement of the Administrative Agent, any transfer of rights or obligations by, or the replacement of, a Lender, the termination of the Term Commitments and/or the repayment, satisfaction or discharge of all Obligations (or any portion thereof) under any Loan Document.</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21"/>
          <w:szCs w:val="21"/>
          <w:u w:val="single" w:color="auto"/>
          <w:color w:val="auto"/>
        </w:rPr>
        <w:t>Other Terms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8" w:lineRule="auto"/>
        <w:tabs>
          <w:tab w:leader="none" w:pos="129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Administrative Agent and Sustainability Structuring Agent shall be entitled to take any action or refuse to take any action which the Administrative Agent or Sustainability Structuring Agent regards as necessary for the Administrative Agent or Sustainability Structuring Agent to comply with any applicable law, regulation or court order.</w:t>
      </w:r>
    </w:p>
    <w:p>
      <w:pPr>
        <w:spacing w:after="0" w:line="184" w:lineRule="exact"/>
        <w:rPr>
          <w:rFonts w:ascii="Arial" w:cs="Arial" w:eastAsia="Arial" w:hAnsi="Arial"/>
          <w:sz w:val="22"/>
          <w:szCs w:val="22"/>
          <w:color w:val="auto"/>
        </w:rPr>
      </w:pPr>
    </w:p>
    <w:p>
      <w:pPr>
        <w:jc w:val="both"/>
        <w:ind w:firstLine="656"/>
        <w:spacing w:after="0" w:line="233" w:lineRule="auto"/>
        <w:tabs>
          <w:tab w:leader="none" w:pos="135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Notwithstanding anything to the contrary set forth herein, each reference to any discretion of the Administrative Agent or Sustainability Structuring Agent herein or to any action that is required to be satisfactory to any Administrative Agent or the Sustainability Structuring Agent or determined by any Administrative Agent or Sustainability Structuring Agent, shall be deemed to refer to the Administrative Agent or Sustainability Structuring Agent taking direction from the Lenders or the Required Lenders with respect to such discretion or approval, as applicable.</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8.13. </w:t>
      </w:r>
      <w:r>
        <w:rPr>
          <w:rFonts w:ascii="Arial" w:cs="Arial" w:eastAsia="Arial" w:hAnsi="Arial"/>
          <w:sz w:val="21"/>
          <w:szCs w:val="21"/>
          <w:u w:val="single" w:color="auto"/>
          <w:color w:val="auto"/>
        </w:rPr>
        <w:t>Enforcement by the Administrative Agent</w:t>
      </w:r>
      <w:r>
        <w:rPr>
          <w:rFonts w:ascii="Arial" w:cs="Arial" w:eastAsia="Arial" w:hAnsi="Arial"/>
          <w:sz w:val="21"/>
          <w:szCs w:val="21"/>
          <w:color w:val="auto"/>
        </w:rPr>
        <w:t>. All rights of action under this Agreement and under the Notes hereunder may be enforced by the Administrative Agent and any suit or proceeding instituted by the Administrative Agent in furtherance of such enforcement shall be brought in its name as Administrative Agent without the</w:t>
      </w:r>
    </w:p>
    <w:p>
      <w:pPr>
        <w:sectPr>
          <w:pgSz w:w="11900" w:h="16838" w:orient="portrait"/>
          <w:cols w:equalWidth="0" w:num="1">
            <w:col w:w="11240"/>
          </w:cols>
          <w:pgMar w:left="320" w:top="1413" w:right="339" w:bottom="1440" w:gutter="0" w:footer="0" w:header="0"/>
        </w:sectPr>
      </w:pPr>
    </w:p>
    <w:bookmarkStart w:id="285" w:name="page286"/>
    <w:bookmarkEnd w:id="285"/>
    <w:p>
      <w:pPr>
        <w:jc w:val="both"/>
        <w:spacing w:after="0" w:line="251" w:lineRule="auto"/>
        <w:rPr>
          <w:sz w:val="20"/>
          <w:szCs w:val="20"/>
          <w:color w:val="auto"/>
        </w:rPr>
      </w:pPr>
      <w:r>
        <w:rPr>
          <w:rFonts w:ascii="Arial" w:cs="Arial" w:eastAsia="Arial" w:hAnsi="Arial"/>
          <w:sz w:val="22"/>
          <w:szCs w:val="22"/>
          <w:color w:val="auto"/>
        </w:rPr>
        <w:t>necessity of joining as plaintiffs or defendants any other Lenders, and the recovery of any judgment shall be for the benefit of Lenders subject to the expenses of the Administrative Agent.</w:t>
      </w:r>
    </w:p>
    <w:p>
      <w:pPr>
        <w:spacing w:after="0" w:line="17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8.14. </w:t>
      </w:r>
      <w:r>
        <w:rPr>
          <w:rFonts w:ascii="Arial" w:cs="Arial" w:eastAsia="Arial" w:hAnsi="Arial"/>
          <w:sz w:val="22"/>
          <w:szCs w:val="22"/>
          <w:u w:val="single" w:color="auto"/>
          <w:color w:val="auto"/>
        </w:rPr>
        <w:t>Withholding Tax</w:t>
      </w:r>
      <w:r>
        <w:rPr>
          <w:rFonts w:ascii="Arial" w:cs="Arial" w:eastAsia="Arial" w:hAnsi="Arial"/>
          <w:sz w:val="22"/>
          <w:szCs w:val="22"/>
          <w:color w:val="auto"/>
        </w:rPr>
        <w:t>. Each Lender shall severally indemnify the Administrative Agent, within 10 days after demand therefor, for (i) any Non-Excluded Taxes or Other Taxes attributable to such Lender (but only to the extent that the Borrower has not already indemnified the Administrative Agent for such Non-Excluded Taxes or Other Taxes and without limiting the obligation of the Borrower to do so), (ii) any Taxes attributable to such Lender’s failure to comply with the provisions of Section 9.6(c) relating to the maintenance of a Participant Register and (iii)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Section 8.14. The agreements in this Section 8.14 shall survive the resignation and/or replacement of the Administrative Agent, any assignment of rights by, or the replacement of, a Lender, the termination of this Agreement and the repayment, satisfaction or discharge of all other Obligations.</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8.15. </w:t>
      </w:r>
      <w:r>
        <w:rPr>
          <w:rFonts w:ascii="Arial" w:cs="Arial" w:eastAsia="Arial" w:hAnsi="Arial"/>
          <w:sz w:val="21"/>
          <w:szCs w:val="21"/>
          <w:u w:val="single" w:color="auto"/>
          <w:color w:val="auto"/>
        </w:rPr>
        <w:t>Certain ERISA Matters</w:t>
      </w:r>
      <w:r>
        <w:rPr>
          <w:rFonts w:ascii="Arial" w:cs="Arial" w:eastAsia="Arial" w:hAnsi="Arial"/>
          <w:sz w:val="21"/>
          <w:szCs w:val="21"/>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the Sustainability Structuring Agent and each Arranger and their respective Affiliates, and not, for the avoidance of doubt, to or for the benefit of the Borrower or any other Loan Party, that at least one of the following is and will be true:</w:t>
      </w:r>
    </w:p>
    <w:p>
      <w:pPr>
        <w:spacing w:after="0" w:line="180" w:lineRule="exact"/>
        <w:rPr>
          <w:sz w:val="20"/>
          <w:szCs w:val="20"/>
          <w:color w:val="auto"/>
        </w:rPr>
      </w:pPr>
    </w:p>
    <w:p>
      <w:pPr>
        <w:jc w:val="both"/>
        <w:ind w:left="660" w:firstLine="644"/>
        <w:spacing w:after="0" w:line="241" w:lineRule="auto"/>
        <w:tabs>
          <w:tab w:leader="none" w:pos="176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Term Loans, the Term Commitments, or this Agreement.</w:t>
      </w:r>
    </w:p>
    <w:p>
      <w:pPr>
        <w:spacing w:after="0" w:line="182" w:lineRule="exact"/>
        <w:rPr>
          <w:rFonts w:ascii="Arial" w:cs="Arial" w:eastAsia="Arial" w:hAnsi="Arial"/>
          <w:sz w:val="22"/>
          <w:szCs w:val="22"/>
          <w:color w:val="auto"/>
        </w:rPr>
      </w:pPr>
    </w:p>
    <w:p>
      <w:pPr>
        <w:jc w:val="both"/>
        <w:ind w:left="660" w:firstLine="644"/>
        <w:spacing w:after="0" w:line="232" w:lineRule="auto"/>
        <w:tabs>
          <w:tab w:leader="none" w:pos="1845"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Term Commitments and this Agreement.</w:t>
      </w:r>
    </w:p>
    <w:p>
      <w:pPr>
        <w:sectPr>
          <w:pgSz w:w="11900" w:h="16838" w:orient="portrait"/>
          <w:cols w:equalWidth="0" w:num="1">
            <w:col w:w="11240"/>
          </w:cols>
          <w:pgMar w:left="320" w:top="1413" w:right="339" w:bottom="1440" w:gutter="0" w:footer="0" w:header="0"/>
        </w:sectPr>
      </w:pPr>
    </w:p>
    <w:bookmarkStart w:id="286" w:name="page287"/>
    <w:bookmarkEnd w:id="286"/>
    <w:p>
      <w:pPr>
        <w:jc w:val="both"/>
        <w:ind w:left="660" w:firstLine="644"/>
        <w:spacing w:after="0" w:line="232" w:lineRule="auto"/>
        <w:tabs>
          <w:tab w:leader="none" w:pos="196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Term Commitments and this Agreement, (C) the entrance into, participation in, administration of and performance of the Term Loans, the Term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Term Loans, the Term Commitments and this Agreement, or</w:t>
      </w:r>
    </w:p>
    <w:p>
      <w:pPr>
        <w:spacing w:after="0" w:line="188" w:lineRule="exact"/>
        <w:rPr>
          <w:rFonts w:ascii="Arial" w:cs="Arial" w:eastAsia="Arial" w:hAnsi="Arial"/>
          <w:sz w:val="22"/>
          <w:szCs w:val="22"/>
          <w:color w:val="auto"/>
        </w:rPr>
      </w:pPr>
    </w:p>
    <w:p>
      <w:pPr>
        <w:ind w:left="660" w:firstLine="644"/>
        <w:spacing w:after="0" w:line="251" w:lineRule="auto"/>
        <w:tabs>
          <w:tab w:leader="none" w:pos="2013" w:val="left"/>
        </w:tabs>
        <w:numPr>
          <w:ilvl w:val="1"/>
          <w:numId w:val="241"/>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2" w:lineRule="exact"/>
        <w:rPr>
          <w:rFonts w:ascii="Arial" w:cs="Arial" w:eastAsia="Arial" w:hAnsi="Arial"/>
          <w:sz w:val="22"/>
          <w:szCs w:val="22"/>
          <w:color w:val="auto"/>
        </w:rPr>
      </w:pPr>
    </w:p>
    <w:p>
      <w:pPr>
        <w:jc w:val="both"/>
        <w:ind w:firstLine="656"/>
        <w:spacing w:after="0" w:line="232" w:lineRule="auto"/>
        <w:tabs>
          <w:tab w:leader="none" w:pos="1181" w:val="left"/>
        </w:tabs>
        <w:numPr>
          <w:ilvl w:val="0"/>
          <w:numId w:val="242"/>
        </w:numPr>
        <w:rPr>
          <w:rFonts w:ascii="Arial" w:cs="Arial" w:eastAsia="Arial" w:hAnsi="Arial"/>
          <w:sz w:val="22"/>
          <w:szCs w:val="22"/>
          <w:color w:val="auto"/>
        </w:rPr>
      </w:pPr>
      <w:r>
        <w:rPr>
          <w:rFonts w:ascii="Arial" w:cs="Arial" w:eastAsia="Arial" w:hAnsi="Arial"/>
          <w:sz w:val="22"/>
          <w:szCs w:val="22"/>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Sustainability Structuring Agent, and not, for the avoidance of doubt, to or for the benefit of the Borrower or any other Loan Party, that the Administrative Agent and Sustainability Structuring Agent are not fiduciaries with respect to the assets of such Lender involved in such Lender’s entrance into, participation in, administration of and performance of the Term Loans, the Term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Section 9_____</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19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Amendments and Waivers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44" w:lineRule="auto"/>
        <w:tabs>
          <w:tab w:leader="none" w:pos="1208"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2.25(f)</w:t>
      </w:r>
      <w:r>
        <w:rPr>
          <w:rFonts w:ascii="Arial" w:cs="Arial" w:eastAsia="Arial" w:hAnsi="Arial"/>
          <w:sz w:val="21"/>
          <w:szCs w:val="21"/>
          <w:color w:val="auto"/>
        </w:rPr>
        <w:t xml:space="preserve">, none of this Agreement, any Note, any other Loan Document, nor any terms hereof or thereof may be amended, supplemented or modified except in accordance with the provisions of this </w:t>
      </w:r>
      <w:r>
        <w:rPr>
          <w:rFonts w:ascii="Arial" w:cs="Arial" w:eastAsia="Arial" w:hAnsi="Arial"/>
          <w:sz w:val="21"/>
          <w:szCs w:val="21"/>
          <w:u w:val="single" w:color="auto"/>
          <w:color w:val="auto"/>
        </w:rPr>
        <w:t>Section 9.1</w:t>
      </w:r>
      <w:r>
        <w:rPr>
          <w:rFonts w:ascii="Arial" w:cs="Arial" w:eastAsia="Arial" w:hAnsi="Arial"/>
          <w:sz w:val="21"/>
          <w:szCs w:val="21"/>
          <w:color w:val="auto"/>
        </w:rPr>
        <w:t>.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w:t>
      </w:r>
    </w:p>
    <w:p>
      <w:pPr>
        <w:sectPr>
          <w:pgSz w:w="11900" w:h="16838" w:orient="portrait"/>
          <w:cols w:equalWidth="0" w:num="1">
            <w:col w:w="11240"/>
          </w:cols>
          <w:pgMar w:left="320" w:top="1413" w:right="339" w:bottom="1440" w:gutter="0" w:footer="0" w:header="0"/>
        </w:sectPr>
      </w:pPr>
    </w:p>
    <w:bookmarkStart w:id="287" w:name="page288"/>
    <w:bookmarkEnd w:id="287"/>
    <w:p>
      <w:pPr>
        <w:jc w:val="both"/>
        <w:spacing w:after="0" w:line="249" w:lineRule="auto"/>
        <w:rPr>
          <w:sz w:val="20"/>
          <w:szCs w:val="20"/>
          <w:color w:val="auto"/>
        </w:rPr>
      </w:pPr>
      <w:r>
        <w:rPr>
          <w:rFonts w:ascii="Arial" w:cs="Arial" w:eastAsia="Arial" w:hAnsi="Arial"/>
          <w:sz w:val="21"/>
          <w:szCs w:val="21"/>
          <w:color w:val="auto"/>
        </w:rPr>
        <w:t xml:space="preserve">Default and its consequences;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 such waiver and no such amendment, supplement or modification shall (A)(i) forgive the principal amount or extend the final scheduled date of maturity of any Term Loan,</w:t>
      </w:r>
    </w:p>
    <w:p>
      <w:pPr>
        <w:spacing w:after="0" w:line="1" w:lineRule="exact"/>
        <w:rPr>
          <w:sz w:val="20"/>
          <w:szCs w:val="20"/>
          <w:color w:val="auto"/>
        </w:rPr>
      </w:pPr>
    </w:p>
    <w:p>
      <w:pPr>
        <w:jc w:val="both"/>
        <w:ind w:firstLine="8"/>
        <w:spacing w:after="0"/>
        <w:tabs>
          <w:tab w:leader="none" w:pos="351" w:val="left"/>
        </w:tabs>
        <w:numPr>
          <w:ilvl w:val="0"/>
          <w:numId w:val="244"/>
        </w:numPr>
        <w:rPr>
          <w:rFonts w:ascii="Arial" w:cs="Arial" w:eastAsia="Arial" w:hAnsi="Arial"/>
          <w:sz w:val="21"/>
          <w:szCs w:val="21"/>
          <w:color w:val="auto"/>
        </w:rPr>
      </w:pPr>
      <w:r>
        <w:rPr>
          <w:rFonts w:ascii="Arial" w:cs="Arial" w:eastAsia="Arial" w:hAnsi="Arial"/>
          <w:sz w:val="21"/>
          <w:szCs w:val="21"/>
          <w:color w:val="auto"/>
        </w:rPr>
        <w:t xml:space="preserve">reduce the stated rate of any interest or fee payable hereunder (including, for the avoidance of doubt, the Sustainability Margin Adjustment)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Term Commitment (it being understood that a waiver of any Event of Default or Default shall not be deemed to be an increase in the amount of or extension of the expiration date of any Lender’s Term Commitments), (iv) release all or substantially all of the Guarantors (except as expressly permitted by the Loan Documents, including in accordance with </w:t>
      </w:r>
      <w:r>
        <w:rPr>
          <w:rFonts w:ascii="Arial" w:cs="Arial" w:eastAsia="Arial" w:hAnsi="Arial"/>
          <w:sz w:val="21"/>
          <w:szCs w:val="21"/>
          <w:u w:val="single" w:color="auto"/>
          <w:color w:val="auto"/>
        </w:rPr>
        <w:t>Section 9.14</w:t>
      </w:r>
      <w:r>
        <w:rPr>
          <w:rFonts w:ascii="Arial" w:cs="Arial" w:eastAsia="Arial" w:hAnsi="Arial"/>
          <w:sz w:val="21"/>
          <w:szCs w:val="21"/>
          <w:color w:val="auto"/>
        </w:rPr>
        <w:t xml:space="preserve">) or (v) amend, modify or waive any provision of </w:t>
      </w:r>
      <w:r>
        <w:rPr>
          <w:rFonts w:ascii="Arial" w:cs="Arial" w:eastAsia="Arial" w:hAnsi="Arial"/>
          <w:sz w:val="21"/>
          <w:szCs w:val="21"/>
          <w:u w:val="single" w:color="auto"/>
          <w:color w:val="auto"/>
        </w:rPr>
        <w:t>Section 9.7(a)</w:t>
      </w:r>
      <w:r>
        <w:rPr>
          <w:rFonts w:ascii="Arial" w:cs="Arial" w:eastAsia="Arial" w:hAnsi="Arial"/>
          <w:sz w:val="21"/>
          <w:szCs w:val="21"/>
          <w:color w:val="auto"/>
        </w:rPr>
        <w:t xml:space="preserve">, in each case without the written consent of each Lender directly affected thereby, (B) without the consent of all the Lenders, (i) amend, modify or waive any provision of this </w:t>
      </w:r>
      <w:r>
        <w:rPr>
          <w:rFonts w:ascii="Arial" w:cs="Arial" w:eastAsia="Arial" w:hAnsi="Arial"/>
          <w:sz w:val="21"/>
          <w:szCs w:val="21"/>
          <w:u w:val="single" w:color="auto"/>
          <w:color w:val="auto"/>
        </w:rPr>
        <w:t>Section 9.1(a)</w:t>
      </w:r>
      <w:r>
        <w:rPr>
          <w:rFonts w:ascii="Arial" w:cs="Arial" w:eastAsia="Arial" w:hAnsi="Arial"/>
          <w:sz w:val="21"/>
          <w:szCs w:val="21"/>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Term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Term Commitments are included on the Closing Date), or (iii) change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in a manner that would alter the pro rata sharing of payments required thereby (other than as permitted thereby or by </w:t>
      </w:r>
      <w:r>
        <w:rPr>
          <w:rFonts w:ascii="Arial" w:cs="Arial" w:eastAsia="Arial" w:hAnsi="Arial"/>
          <w:sz w:val="21"/>
          <w:szCs w:val="21"/>
          <w:u w:val="single" w:color="auto"/>
          <w:color w:val="auto"/>
        </w:rPr>
        <w:t>Section 9.1(b)</w:t>
      </w:r>
      <w:r>
        <w:rPr>
          <w:rFonts w:ascii="Arial" w:cs="Arial" w:eastAsia="Arial" w:hAnsi="Arial"/>
          <w:sz w:val="21"/>
          <w:szCs w:val="21"/>
          <w:color w:val="auto"/>
        </w:rPr>
        <w:t xml:space="preserve">), (C) amend, modify or waive any provision of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or any other provision of this Agreement or the other Loan Documents, which affects, the rights, duties or obligations of the Administrative Agent without the written consent of the Administrative Agent and (D) [reserved];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no such agreement shall amend, modify or otherwise affect the rights or duties of the Administrative Agent hereunder without the prior written consent of the Administrative Agent. Any such waiver and any such amendment, supplement or modification shall apply equally to each of the Lenders and shall be binding upon the Loan Parties, the Lenders, the Administrative Agent and all future holders of the Term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 Notwithstanding anything to the contrary contained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any amendment, supplement or modification related to </w:t>
      </w:r>
      <w:r>
        <w:rPr>
          <w:rFonts w:ascii="Arial" w:cs="Arial" w:eastAsia="Arial" w:hAnsi="Arial"/>
          <w:sz w:val="21"/>
          <w:szCs w:val="21"/>
          <w:u w:val="single" w:color="auto"/>
          <w:color w:val="auto"/>
        </w:rPr>
        <w:t>Section 2.25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1.3</w:t>
      </w:r>
      <w:r>
        <w:rPr>
          <w:rFonts w:ascii="Arial" w:cs="Arial" w:eastAsia="Arial" w:hAnsi="Arial"/>
          <w:sz w:val="21"/>
          <w:szCs w:val="21"/>
          <w:color w:val="auto"/>
        </w:rPr>
        <w:t xml:space="preserve"> (and any component definitions thereof related to sustainability provisions) shall require, in addition to the other requirements set forth in this Agreement, the consent of the Sustainability Structuring Agent.</w:t>
      </w:r>
    </w:p>
    <w:p>
      <w:pPr>
        <w:spacing w:after="0" w:line="206" w:lineRule="exact"/>
        <w:rPr>
          <w:rFonts w:ascii="Arial" w:cs="Arial" w:eastAsia="Arial" w:hAnsi="Arial"/>
          <w:sz w:val="21"/>
          <w:szCs w:val="21"/>
          <w:color w:val="auto"/>
        </w:rPr>
      </w:pPr>
    </w:p>
    <w:p>
      <w:pPr>
        <w:ind w:firstLine="656"/>
        <w:spacing w:after="0" w:line="251" w:lineRule="auto"/>
        <w:tabs>
          <w:tab w:leader="none" w:pos="1168" w:val="left"/>
        </w:tabs>
        <w:numPr>
          <w:ilvl w:val="1"/>
          <w:numId w:val="24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w:t>
      </w:r>
      <w:r>
        <w:rPr>
          <w:rFonts w:ascii="Arial" w:cs="Arial" w:eastAsia="Arial" w:hAnsi="Arial"/>
          <w:sz w:val="22"/>
          <w:szCs w:val="22"/>
          <w:u w:val="single" w:color="auto"/>
          <w:color w:val="auto"/>
        </w:rPr>
        <w:t>Section 9.1</w:t>
      </w:r>
      <w:r>
        <w:rPr>
          <w:rFonts w:ascii="Arial" w:cs="Arial" w:eastAsia="Arial" w:hAnsi="Arial"/>
          <w:sz w:val="22"/>
          <w:szCs w:val="22"/>
          <w:color w:val="auto"/>
        </w:rPr>
        <w:t>, if the Administrative Agent and the Borrower shall have jointly identified an obvious error</w:t>
      </w:r>
    </w:p>
    <w:p>
      <w:pPr>
        <w:sectPr>
          <w:pgSz w:w="11900" w:h="16838" w:orient="portrait"/>
          <w:cols w:equalWidth="0" w:num="1">
            <w:col w:w="11240"/>
          </w:cols>
          <w:pgMar w:left="320" w:top="1413" w:right="339" w:bottom="1440" w:gutter="0" w:footer="0" w:header="0"/>
        </w:sectPr>
      </w:pPr>
    </w:p>
    <w:bookmarkStart w:id="288" w:name="page289"/>
    <w:bookmarkEnd w:id="288"/>
    <w:p>
      <w:pPr>
        <w:jc w:val="both"/>
        <w:spacing w:after="0" w:line="232" w:lineRule="auto"/>
        <w:rPr>
          <w:sz w:val="20"/>
          <w:szCs w:val="20"/>
          <w:color w:val="auto"/>
        </w:rPr>
      </w:pPr>
      <w:r>
        <w:rPr>
          <w:rFonts w:ascii="Arial" w:cs="Arial" w:eastAsia="Arial" w:hAnsi="Arial"/>
          <w:sz w:val="22"/>
          <w:szCs w:val="22"/>
          <w:color w:val="auto"/>
        </w:rPr>
        <w:t>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each such Lender expressly consents), without any further action or the consent of any other party to any Loan Document, to make any technical amendments to the Guarantee Agreement to correct any cross-references therein to any provision of this Agreement that may be necessary in order to properly reflect the amendments made to this Agreement.</w:t>
      </w:r>
    </w:p>
    <w:p>
      <w:pPr>
        <w:spacing w:after="0" w:line="189" w:lineRule="exact"/>
        <w:rPr>
          <w:sz w:val="20"/>
          <w:szCs w:val="20"/>
          <w:color w:val="auto"/>
        </w:rPr>
      </w:pPr>
    </w:p>
    <w:p>
      <w:pPr>
        <w:jc w:val="both"/>
        <w:ind w:firstLine="656"/>
        <w:spacing w:after="0" w:line="234" w:lineRule="auto"/>
        <w:tabs>
          <w:tab w:leader="none" w:pos="1297" w:val="left"/>
        </w:tabs>
        <w:numPr>
          <w:ilvl w:val="0"/>
          <w:numId w:val="24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the Loan Documents, the Term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 pursuant to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w:t>
      </w:r>
    </w:p>
    <w:p>
      <w:pPr>
        <w:spacing w:after="0" w:line="193" w:lineRule="exact"/>
        <w:rPr>
          <w:sz w:val="20"/>
          <w:szCs w:val="20"/>
          <w:color w:val="auto"/>
        </w:rPr>
      </w:pPr>
    </w:p>
    <w:p>
      <w:pPr>
        <w:jc w:val="both"/>
        <w:ind w:firstLine="656"/>
        <w:spacing w:after="0" w:line="236" w:lineRule="auto"/>
        <w:tabs>
          <w:tab w:leader="none" w:pos="1252" w:val="left"/>
        </w:tabs>
        <w:numPr>
          <w:ilvl w:val="0"/>
          <w:numId w:val="246"/>
        </w:numPr>
        <w:rPr>
          <w:rFonts w:ascii="Arial" w:cs="Arial" w:eastAsia="Arial" w:hAnsi="Arial"/>
          <w:sz w:val="22"/>
          <w:szCs w:val="22"/>
          <w:color w:val="auto"/>
        </w:rPr>
      </w:pPr>
      <w:r>
        <w:rPr>
          <w:rFonts w:ascii="Arial" w:cs="Arial" w:eastAsia="Arial" w:hAnsi="Arial"/>
          <w:sz w:val="22"/>
          <w:szCs w:val="22"/>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or to such other address as may be hereafter notified by the respective parties hereto and any future parties:</w:t>
      </w:r>
    </w:p>
    <w:p>
      <w:pPr>
        <w:sectPr>
          <w:pgSz w:w="11900" w:h="16838" w:orient="portrait"/>
          <w:cols w:equalWidth="0" w:num="1">
            <w:col w:w="11240"/>
          </w:cols>
          <w:pgMar w:left="320" w:top="1413"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color w:val="auto"/>
        </w:rPr>
        <w:t>The Borrower: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w:t>
      </w:r>
    </w:p>
    <w:p>
      <w:pPr>
        <w:ind w:left="1140"/>
        <w:spacing w:after="0" w:line="236" w:lineRule="auto"/>
        <w:rPr>
          <w:sz w:val="20"/>
          <w:szCs w:val="20"/>
          <w:color w:val="auto"/>
        </w:rPr>
      </w:pPr>
      <w:r>
        <w:rPr>
          <w:rFonts w:ascii="Arial" w:cs="Arial" w:eastAsia="Arial" w:hAnsi="Arial"/>
          <w:sz w:val="22"/>
          <w:szCs w:val="22"/>
          <w:color w:val="auto"/>
        </w:rPr>
        <w:t>8000 S. Federal Way</w:t>
      </w:r>
    </w:p>
    <w:p>
      <w:pPr>
        <w:ind w:left="1140"/>
        <w:spacing w:after="0" w:line="230" w:lineRule="auto"/>
        <w:rPr>
          <w:sz w:val="20"/>
          <w:szCs w:val="20"/>
          <w:color w:val="auto"/>
        </w:rPr>
      </w:pPr>
      <w:r>
        <w:rPr>
          <w:rFonts w:ascii="Arial" w:cs="Arial" w:eastAsia="Arial" w:hAnsi="Arial"/>
          <w:sz w:val="22"/>
          <w:szCs w:val="22"/>
          <w:color w:val="auto"/>
        </w:rPr>
        <w:t>Boise, ID 83716-9632</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Attention: General Counsel</w:t>
      </w:r>
    </w:p>
    <w:p>
      <w:pPr>
        <w:spacing w:after="0" w:line="200" w:lineRule="exact"/>
        <w:rPr>
          <w:sz w:val="20"/>
          <w:szCs w:val="20"/>
          <w:color w:val="auto"/>
        </w:rPr>
      </w:pPr>
    </w:p>
    <w:p>
      <w:pPr>
        <w:sectPr>
          <w:pgSz w:w="11900" w:h="16838" w:orient="portrait"/>
          <w:cols w:equalWidth="0" w:num="2">
            <w:col w:w="1380" w:space="720"/>
            <w:col w:w="9140"/>
          </w:cols>
          <w:pgMar w:left="320" w:top="1413" w:right="339" w:bottom="1440" w:gutter="0" w:footer="0" w:header="0"/>
          <w:type w:val="continuous"/>
        </w:sectPr>
      </w:pPr>
    </w:p>
    <w:p>
      <w:pPr>
        <w:spacing w:after="0" w:line="2"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with copies (which shall not constitute notice) to:</w:t>
      </w:r>
    </w:p>
    <w:p>
      <w:pPr>
        <w:spacing w:after="0" w:line="20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Wilson Sonsini Goodrich &amp; Rosati</w:t>
      </w:r>
    </w:p>
    <w:p>
      <w:pPr>
        <w:ind w:left="3240"/>
        <w:spacing w:after="0" w:line="236" w:lineRule="auto"/>
        <w:rPr>
          <w:sz w:val="20"/>
          <w:szCs w:val="20"/>
          <w:color w:val="auto"/>
        </w:rPr>
      </w:pPr>
      <w:r>
        <w:rPr>
          <w:rFonts w:ascii="Arial" w:cs="Arial" w:eastAsia="Arial" w:hAnsi="Arial"/>
          <w:sz w:val="22"/>
          <w:szCs w:val="22"/>
          <w:color w:val="auto"/>
        </w:rPr>
        <w:t>650 Page Mill Road</w:t>
      </w:r>
    </w:p>
    <w:p>
      <w:pPr>
        <w:ind w:left="3240"/>
        <w:spacing w:after="0" w:line="230" w:lineRule="auto"/>
        <w:rPr>
          <w:sz w:val="20"/>
          <w:szCs w:val="20"/>
          <w:color w:val="auto"/>
        </w:rPr>
      </w:pPr>
      <w:r>
        <w:rPr>
          <w:rFonts w:ascii="Arial" w:cs="Arial" w:eastAsia="Arial" w:hAnsi="Arial"/>
          <w:sz w:val="22"/>
          <w:szCs w:val="22"/>
          <w:color w:val="auto"/>
        </w:rPr>
        <w:t>Palo Alto, CA 94304</w:t>
      </w:r>
    </w:p>
    <w:p>
      <w:pPr>
        <w:ind w:left="3240"/>
        <w:spacing w:after="0" w:line="231" w:lineRule="auto"/>
        <w:rPr>
          <w:sz w:val="20"/>
          <w:szCs w:val="20"/>
          <w:color w:val="auto"/>
        </w:rPr>
      </w:pPr>
      <w:r>
        <w:rPr>
          <w:rFonts w:ascii="Arial" w:cs="Arial" w:eastAsia="Arial" w:hAnsi="Arial"/>
          <w:sz w:val="22"/>
          <w:szCs w:val="22"/>
          <w:color w:val="auto"/>
        </w:rPr>
        <w:t>Attention: Erik Franks</w:t>
      </w:r>
    </w:p>
    <w:p>
      <w:pPr>
        <w:ind w:left="3240"/>
        <w:spacing w:after="0" w:line="230" w:lineRule="auto"/>
        <w:rPr>
          <w:sz w:val="20"/>
          <w:szCs w:val="20"/>
          <w:color w:val="auto"/>
        </w:rPr>
      </w:pPr>
      <w:r>
        <w:rPr>
          <w:rFonts w:ascii="Arial" w:cs="Arial" w:eastAsia="Arial" w:hAnsi="Arial"/>
          <w:sz w:val="22"/>
          <w:szCs w:val="22"/>
          <w:color w:val="auto"/>
        </w:rPr>
        <w:t>Email: [Omitted]@wsgr.com</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Telecopier No.: 650-493-6811</w:t>
      </w:r>
    </w:p>
    <w:p>
      <w:pPr>
        <w:sectPr>
          <w:pgSz w:w="11900" w:h="16838" w:orient="portrait"/>
          <w:cols w:equalWidth="0" w:num="1">
            <w:col w:w="11240"/>
          </w:cols>
          <w:pgMar w:left="320" w:top="1413" w:right="3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The Administrative Agent: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color w:val="auto"/>
        </w:rPr>
        <w:t>Wells Fargo Bank, National Association</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MAC D1109-019</w:t>
      </w:r>
    </w:p>
    <w:p>
      <w:pPr>
        <w:sectPr>
          <w:pgSz w:w="11900" w:h="16838" w:orient="portrait"/>
          <w:cols w:equalWidth="0" w:num="2">
            <w:col w:w="2460" w:space="480"/>
            <w:col w:w="8300"/>
          </w:cols>
          <w:pgMar w:left="320" w:top="1413" w:right="339" w:bottom="1440" w:gutter="0" w:footer="0" w:header="0"/>
          <w:type w:val="continuous"/>
        </w:sectPr>
      </w:pPr>
    </w:p>
    <w:bookmarkStart w:id="289" w:name="page290"/>
    <w:bookmarkEnd w:id="289"/>
    <w:p>
      <w:pPr>
        <w:ind w:left="3240"/>
        <w:spacing w:after="0"/>
        <w:rPr>
          <w:sz w:val="20"/>
          <w:szCs w:val="20"/>
          <w:color w:val="auto"/>
        </w:rPr>
      </w:pPr>
      <w:r>
        <w:rPr>
          <w:rFonts w:ascii="Arial" w:cs="Arial" w:eastAsia="Arial" w:hAnsi="Arial"/>
          <w:sz w:val="22"/>
          <w:szCs w:val="22"/>
          <w:color w:val="auto"/>
        </w:rPr>
        <w:t>1525 West W.T. Harris Blvd.</w:t>
      </w:r>
    </w:p>
    <w:p>
      <w:pPr>
        <w:ind w:left="3240"/>
        <w:spacing w:after="0" w:line="236" w:lineRule="auto"/>
        <w:rPr>
          <w:sz w:val="20"/>
          <w:szCs w:val="20"/>
          <w:color w:val="auto"/>
        </w:rPr>
      </w:pPr>
      <w:r>
        <w:rPr>
          <w:rFonts w:ascii="Arial" w:cs="Arial" w:eastAsia="Arial" w:hAnsi="Arial"/>
          <w:sz w:val="22"/>
          <w:szCs w:val="22"/>
          <w:color w:val="auto"/>
        </w:rPr>
        <w:t>Charlotte, NC 28262</w:t>
      </w:r>
    </w:p>
    <w:p>
      <w:pPr>
        <w:ind w:left="3240"/>
        <w:spacing w:after="0" w:line="230" w:lineRule="auto"/>
        <w:rPr>
          <w:sz w:val="20"/>
          <w:szCs w:val="20"/>
          <w:color w:val="auto"/>
        </w:rPr>
      </w:pPr>
      <w:r>
        <w:rPr>
          <w:rFonts w:ascii="Arial" w:cs="Arial" w:eastAsia="Arial" w:hAnsi="Arial"/>
          <w:sz w:val="22"/>
          <w:szCs w:val="22"/>
          <w:color w:val="auto"/>
        </w:rPr>
        <w:t>Attention: Syndication Agency Services</w:t>
      </w:r>
    </w:p>
    <w:p>
      <w:pPr>
        <w:ind w:left="3240"/>
        <w:spacing w:after="0" w:line="231" w:lineRule="auto"/>
        <w:rPr>
          <w:sz w:val="20"/>
          <w:szCs w:val="20"/>
          <w:color w:val="auto"/>
        </w:rPr>
      </w:pPr>
      <w:r>
        <w:rPr>
          <w:rFonts w:ascii="Arial" w:cs="Arial" w:eastAsia="Arial" w:hAnsi="Arial"/>
          <w:sz w:val="22"/>
          <w:szCs w:val="22"/>
          <w:color w:val="auto"/>
        </w:rPr>
        <w:t>Facsimile Number: (888) 879-5899</w:t>
      </w:r>
    </w:p>
    <w:p>
      <w:pPr>
        <w:ind w:left="3240"/>
        <w:spacing w:after="0"/>
        <w:rPr>
          <w:sz w:val="20"/>
          <w:szCs w:val="20"/>
          <w:color w:val="auto"/>
        </w:rPr>
      </w:pPr>
      <w:r>
        <w:rPr>
          <w:rFonts w:ascii="Arial" w:cs="Arial" w:eastAsia="Arial" w:hAnsi="Arial"/>
          <w:sz w:val="22"/>
          <w:szCs w:val="22"/>
          <w:color w:val="auto"/>
        </w:rPr>
        <w:t>Email: [Omitted]</w:t>
      </w:r>
      <w:r>
        <w:rPr>
          <w:rFonts w:ascii="Arial" w:cs="Arial" w:eastAsia="Arial" w:hAnsi="Arial"/>
          <w:sz w:val="22"/>
          <w:szCs w:val="22"/>
          <w:color w:val="0000FF"/>
        </w:rPr>
        <w:t>@wellsfargo.com</w:t>
      </w:r>
    </w:p>
    <w:p>
      <w:pPr>
        <w:spacing w:after="0" w:line="1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with copies (which shall not constitute notice) to:</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Simpson Thacher &amp; Bartlett LLP</w:t>
      </w:r>
    </w:p>
    <w:p>
      <w:pPr>
        <w:ind w:left="3240"/>
        <w:spacing w:after="0" w:line="236" w:lineRule="auto"/>
        <w:rPr>
          <w:sz w:val="20"/>
          <w:szCs w:val="20"/>
          <w:color w:val="auto"/>
        </w:rPr>
      </w:pPr>
      <w:r>
        <w:rPr>
          <w:rFonts w:ascii="Arial" w:cs="Arial" w:eastAsia="Arial" w:hAnsi="Arial"/>
          <w:sz w:val="22"/>
          <w:szCs w:val="22"/>
          <w:color w:val="auto"/>
        </w:rPr>
        <w:t>425 Lexington Ave</w:t>
      </w:r>
    </w:p>
    <w:p>
      <w:pPr>
        <w:ind w:left="3240"/>
        <w:spacing w:after="0" w:line="230" w:lineRule="auto"/>
        <w:rPr>
          <w:sz w:val="20"/>
          <w:szCs w:val="20"/>
          <w:color w:val="auto"/>
        </w:rPr>
      </w:pPr>
      <w:r>
        <w:rPr>
          <w:rFonts w:ascii="Arial" w:cs="Arial" w:eastAsia="Arial" w:hAnsi="Arial"/>
          <w:sz w:val="22"/>
          <w:szCs w:val="22"/>
          <w:color w:val="auto"/>
        </w:rPr>
        <w:t>New York, NY 10017</w:t>
      </w:r>
    </w:p>
    <w:p>
      <w:pPr>
        <w:ind w:left="3240"/>
        <w:spacing w:after="0" w:line="231" w:lineRule="auto"/>
        <w:rPr>
          <w:sz w:val="20"/>
          <w:szCs w:val="20"/>
          <w:color w:val="auto"/>
        </w:rPr>
      </w:pPr>
      <w:r>
        <w:rPr>
          <w:rFonts w:ascii="Arial" w:cs="Arial" w:eastAsia="Arial" w:hAnsi="Arial"/>
          <w:sz w:val="22"/>
          <w:szCs w:val="22"/>
          <w:color w:val="auto"/>
        </w:rPr>
        <w:t>Attention: Justin M. Lungstrum</w:t>
      </w:r>
    </w:p>
    <w:p>
      <w:pPr>
        <w:ind w:left="3240"/>
        <w:spacing w:after="0"/>
        <w:rPr>
          <w:sz w:val="20"/>
          <w:szCs w:val="20"/>
          <w:color w:val="auto"/>
        </w:rPr>
      </w:pPr>
      <w:r>
        <w:rPr>
          <w:rFonts w:ascii="Arial" w:cs="Arial" w:eastAsia="Arial" w:hAnsi="Arial"/>
          <w:sz w:val="22"/>
          <w:szCs w:val="22"/>
          <w:color w:val="auto"/>
        </w:rPr>
        <w:t>Telecopier No.: 212-455-2502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Sustainability</w:t>
      </w:r>
    </w:p>
    <w:p>
      <w:pPr>
        <w:spacing w:after="0"/>
        <w:tabs>
          <w:tab w:leader="none" w:pos="2420" w:val="left"/>
        </w:tabs>
        <w:rPr>
          <w:sz w:val="20"/>
          <w:szCs w:val="20"/>
          <w:color w:val="auto"/>
        </w:rPr>
      </w:pPr>
      <w:r>
        <w:rPr>
          <w:rFonts w:ascii="Arial" w:cs="Arial" w:eastAsia="Arial" w:hAnsi="Arial"/>
          <w:sz w:val="22"/>
          <w:szCs w:val="22"/>
          <w:color w:val="auto"/>
        </w:rPr>
        <w:t>Structuring Agent:</w:t>
      </w:r>
      <w:r>
        <w:rPr>
          <w:sz w:val="20"/>
          <w:szCs w:val="20"/>
          <w:color w:val="auto"/>
        </w:rPr>
        <w:tab/>
      </w:r>
      <w:r>
        <w:rPr>
          <w:rFonts w:ascii="Arial" w:cs="Arial" w:eastAsia="Arial" w:hAnsi="Arial"/>
          <w:sz w:val="21"/>
          <w:szCs w:val="21"/>
          <w:color w:val="auto"/>
        </w:rPr>
        <w:t>Credit Agricole Corporate and Investment Bank</w:t>
      </w:r>
    </w:p>
    <w:p>
      <w:pPr>
        <w:ind w:left="3240"/>
        <w:spacing w:after="0" w:line="230" w:lineRule="auto"/>
        <w:rPr>
          <w:sz w:val="20"/>
          <w:szCs w:val="20"/>
          <w:color w:val="auto"/>
        </w:rPr>
      </w:pPr>
      <w:r>
        <w:rPr>
          <w:rFonts w:ascii="Arial" w:cs="Arial" w:eastAsia="Arial" w:hAnsi="Arial"/>
          <w:sz w:val="22"/>
          <w:szCs w:val="22"/>
          <w:color w:val="auto"/>
        </w:rPr>
        <w:t>1301 Avenue of the Americas</w:t>
      </w:r>
    </w:p>
    <w:p>
      <w:pPr>
        <w:ind w:left="3240"/>
        <w:spacing w:after="0" w:line="231" w:lineRule="auto"/>
        <w:rPr>
          <w:sz w:val="20"/>
          <w:szCs w:val="20"/>
          <w:color w:val="auto"/>
        </w:rPr>
      </w:pPr>
      <w:r>
        <w:rPr>
          <w:rFonts w:ascii="Arial" w:cs="Arial" w:eastAsia="Arial" w:hAnsi="Arial"/>
          <w:sz w:val="22"/>
          <w:szCs w:val="22"/>
          <w:color w:val="auto"/>
        </w:rPr>
        <w:t>New York, NY, 10019</w:t>
      </w:r>
    </w:p>
    <w:p>
      <w:pPr>
        <w:ind w:left="3240"/>
        <w:spacing w:after="0" w:line="230" w:lineRule="auto"/>
        <w:rPr>
          <w:sz w:val="20"/>
          <w:szCs w:val="20"/>
          <w:color w:val="auto"/>
        </w:rPr>
      </w:pPr>
      <w:r>
        <w:rPr>
          <w:rFonts w:ascii="Arial" w:cs="Arial" w:eastAsia="Arial" w:hAnsi="Arial"/>
          <w:sz w:val="22"/>
          <w:szCs w:val="22"/>
          <w:color w:val="auto"/>
        </w:rPr>
        <w:t>Attn: Fanny Charrier</w:t>
      </w:r>
    </w:p>
    <w:p>
      <w:pPr>
        <w:ind w:left="3240"/>
        <w:spacing w:after="0" w:line="218" w:lineRule="auto"/>
        <w:rPr>
          <w:sz w:val="20"/>
          <w:szCs w:val="20"/>
          <w:color w:val="auto"/>
        </w:rPr>
      </w:pPr>
      <w:r>
        <w:rPr>
          <w:rFonts w:ascii="Arial" w:cs="Arial" w:eastAsia="Arial" w:hAnsi="Arial"/>
          <w:sz w:val="22"/>
          <w:szCs w:val="22"/>
          <w:color w:val="auto"/>
        </w:rPr>
        <w:t>Telephone: 212-261-3931</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Email: [Omitted]@ca-cib.com</w:t>
      </w:r>
    </w:p>
    <w:p>
      <w:pPr>
        <w:spacing w:after="0" w:line="19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with copies (which shall not constitute notice) to:</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Simpson Thacher &amp; Bartlett LLP</w:t>
      </w:r>
    </w:p>
    <w:p>
      <w:pPr>
        <w:ind w:left="3240"/>
        <w:spacing w:after="0" w:line="236" w:lineRule="auto"/>
        <w:rPr>
          <w:sz w:val="20"/>
          <w:szCs w:val="20"/>
          <w:color w:val="auto"/>
        </w:rPr>
      </w:pPr>
      <w:r>
        <w:rPr>
          <w:rFonts w:ascii="Arial" w:cs="Arial" w:eastAsia="Arial" w:hAnsi="Arial"/>
          <w:sz w:val="22"/>
          <w:szCs w:val="22"/>
          <w:color w:val="auto"/>
        </w:rPr>
        <w:t>425 Lexington Ave</w:t>
      </w:r>
    </w:p>
    <w:p>
      <w:pPr>
        <w:ind w:left="3240"/>
        <w:spacing w:after="0" w:line="230" w:lineRule="auto"/>
        <w:rPr>
          <w:sz w:val="20"/>
          <w:szCs w:val="20"/>
          <w:color w:val="auto"/>
        </w:rPr>
      </w:pPr>
      <w:r>
        <w:rPr>
          <w:rFonts w:ascii="Arial" w:cs="Arial" w:eastAsia="Arial" w:hAnsi="Arial"/>
          <w:sz w:val="22"/>
          <w:szCs w:val="22"/>
          <w:color w:val="auto"/>
        </w:rPr>
        <w:t>New York, NY 10017</w:t>
      </w:r>
    </w:p>
    <w:p>
      <w:pPr>
        <w:ind w:left="3240"/>
        <w:spacing w:after="0" w:line="231" w:lineRule="auto"/>
        <w:rPr>
          <w:sz w:val="20"/>
          <w:szCs w:val="20"/>
          <w:color w:val="auto"/>
        </w:rPr>
      </w:pPr>
      <w:r>
        <w:rPr>
          <w:rFonts w:ascii="Arial" w:cs="Arial" w:eastAsia="Arial" w:hAnsi="Arial"/>
          <w:sz w:val="22"/>
          <w:szCs w:val="22"/>
          <w:color w:val="auto"/>
        </w:rPr>
        <w:t>Attention: Justin M. Lungstrum</w:t>
      </w:r>
    </w:p>
    <w:p>
      <w:pPr>
        <w:ind w:left="3240"/>
        <w:spacing w:after="0"/>
        <w:rPr>
          <w:sz w:val="20"/>
          <w:szCs w:val="20"/>
          <w:color w:val="auto"/>
        </w:rPr>
      </w:pPr>
      <w:r>
        <w:rPr>
          <w:rFonts w:ascii="Arial" w:cs="Arial" w:eastAsia="Arial" w:hAnsi="Arial"/>
          <w:sz w:val="22"/>
          <w:szCs w:val="22"/>
          <w:color w:val="auto"/>
        </w:rPr>
        <w:t>Telecopier No.: 212-455-2502</w:t>
      </w:r>
    </w:p>
    <w:p>
      <w:pPr>
        <w:spacing w:after="0" w:line="190" w:lineRule="exact"/>
        <w:rPr>
          <w:sz w:val="20"/>
          <w:szCs w:val="20"/>
          <w:color w:val="auto"/>
        </w:rPr>
      </w:pPr>
    </w:p>
    <w:p>
      <w:pPr>
        <w:jc w:val="both"/>
        <w:ind w:firstLine="656"/>
        <w:spacing w:after="0" w:line="243" w:lineRule="auto"/>
        <w:tabs>
          <w:tab w:leader="none" w:pos="1265" w:val="left"/>
        </w:tabs>
        <w:numPr>
          <w:ilvl w:val="0"/>
          <w:numId w:val="247"/>
        </w:numPr>
        <w:rPr>
          <w:rFonts w:ascii="Arial" w:cs="Arial" w:eastAsia="Arial" w:hAnsi="Arial"/>
          <w:sz w:val="21"/>
          <w:szCs w:val="21"/>
          <w:color w:val="auto"/>
        </w:rPr>
      </w:pPr>
      <w:r>
        <w:rPr>
          <w:rFonts w:ascii="Arial" w:cs="Arial" w:eastAsia="Arial" w:hAnsi="Arial"/>
          <w:sz w:val="21"/>
          <w:szCs w:val="21"/>
          <w:color w:val="auto"/>
        </w:rPr>
        <w:t>Notices and other communications to the Lenders and the Sustainability Structuring Agent hereunder may be delivered or furnished by electronic communications (including e-mail and Internet or intranet websites or other information platform) (the “</w:t>
      </w:r>
      <w:r>
        <w:rPr>
          <w:rFonts w:ascii="Arial" w:cs="Arial" w:eastAsia="Arial" w:hAnsi="Arial"/>
          <w:sz w:val="21"/>
          <w:szCs w:val="21"/>
          <w:u w:val="single" w:color="auto"/>
          <w:color w:val="auto"/>
        </w:rPr>
        <w:t>Platform</w:t>
      </w:r>
      <w:r>
        <w:rPr>
          <w:rFonts w:ascii="Arial" w:cs="Arial" w:eastAsia="Arial" w:hAnsi="Arial"/>
          <w:sz w:val="21"/>
          <w:szCs w:val="21"/>
          <w:color w:val="auto"/>
        </w:rPr>
        <w:t xml:space="preserve">”)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w:t>
      </w:r>
      <w:r>
        <w:rPr>
          <w:rFonts w:ascii="Arial" w:cs="Arial" w:eastAsia="Arial" w:hAnsi="Arial"/>
          <w:sz w:val="21"/>
          <w:szCs w:val="21"/>
          <w:u w:val="single" w:color="auto"/>
          <w:color w:val="auto"/>
        </w:rPr>
        <w:t>Sections 2.2</w:t>
      </w:r>
      <w:r>
        <w:rPr>
          <w:rFonts w:ascii="Arial" w:cs="Arial" w:eastAsia="Arial" w:hAnsi="Arial"/>
          <w:sz w:val="21"/>
          <w:szCs w:val="21"/>
          <w:color w:val="auto"/>
        </w:rPr>
        <w:t xml:space="preserve">, </w:t>
      </w:r>
      <w:r>
        <w:rPr>
          <w:rFonts w:ascii="Arial" w:cs="Arial" w:eastAsia="Arial" w:hAnsi="Arial"/>
          <w:sz w:val="21"/>
          <w:szCs w:val="21"/>
          <w:u w:val="single" w:color="auto"/>
          <w:color w:val="auto"/>
        </w:rPr>
        <w:t>2.4</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w:t>
      </w:r>
      <w:r>
        <w:rPr>
          <w:rFonts w:ascii="Arial" w:cs="Arial" w:eastAsia="Arial" w:hAnsi="Arial"/>
          <w:sz w:val="21"/>
          <w:szCs w:val="21"/>
          <w:u w:val="single" w:color="auto"/>
          <w:color w:val="auto"/>
        </w:rPr>
        <w:t>2.7(e)</w:t>
      </w:r>
      <w:r>
        <w:rPr>
          <w:rFonts w:ascii="Arial" w:cs="Arial" w:eastAsia="Arial" w:hAnsi="Arial"/>
          <w:sz w:val="21"/>
          <w:szCs w:val="21"/>
          <w:color w:val="auto"/>
        </w:rPr>
        <w:t xml:space="preserve">, </w:t>
      </w:r>
      <w:r>
        <w:rPr>
          <w:rFonts w:ascii="Arial" w:cs="Arial" w:eastAsia="Arial" w:hAnsi="Arial"/>
          <w:sz w:val="21"/>
          <w:szCs w:val="21"/>
          <w:u w:val="single" w:color="auto"/>
          <w:color w:val="auto"/>
        </w:rPr>
        <w:t>2.10</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2.12</w:t>
      </w:r>
      <w:r>
        <w:rPr>
          <w:rFonts w:ascii="Arial" w:cs="Arial" w:eastAsia="Arial" w:hAnsi="Arial"/>
          <w:sz w:val="21"/>
          <w:szCs w:val="21"/>
          <w:color w:val="auto"/>
        </w:rPr>
        <w:t xml:space="preserve">, </w:t>
      </w:r>
      <w:r>
        <w:rPr>
          <w:rFonts w:ascii="Arial" w:cs="Arial" w:eastAsia="Arial" w:hAnsi="Arial"/>
          <w:sz w:val="21"/>
          <w:szCs w:val="21"/>
          <w:u w:val="single" w:color="auto"/>
          <w:color w:val="auto"/>
        </w:rPr>
        <w:t>2.14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2.17</w:t>
      </w:r>
      <w:r>
        <w:rPr>
          <w:rFonts w:ascii="Arial" w:cs="Arial" w:eastAsia="Arial" w:hAnsi="Arial"/>
          <w:sz w:val="21"/>
          <w:szCs w:val="21"/>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w:t>
      </w:r>
    </w:p>
    <w:p>
      <w:pPr>
        <w:sectPr>
          <w:pgSz w:w="11900" w:h="16838" w:orient="portrait"/>
          <w:cols w:equalWidth="0" w:num="1">
            <w:col w:w="11240"/>
          </w:cols>
          <w:pgMar w:left="320" w:top="1413" w:right="339" w:bottom="1440" w:gutter="0" w:footer="0" w:header="0"/>
        </w:sectPr>
      </w:pPr>
    </w:p>
    <w:bookmarkStart w:id="290" w:name="page291"/>
    <w:bookmarkEnd w:id="290"/>
    <w:p>
      <w:pPr>
        <w:spacing w:after="0" w:line="251" w:lineRule="auto"/>
        <w:rPr>
          <w:sz w:val="20"/>
          <w:szCs w:val="20"/>
          <w:color w:val="auto"/>
        </w:rPr>
      </w:pPr>
      <w:r>
        <w:rPr>
          <w:rFonts w:ascii="Arial" w:cs="Arial" w:eastAsia="Arial" w:hAnsi="Arial"/>
          <w:sz w:val="22"/>
          <w:szCs w:val="22"/>
          <w:color w:val="auto"/>
        </w:rPr>
        <w:t>its e-mail address as described in the foregoing clause (i) of notification that such notice or communication is available and identifying the website address therefor.</w:t>
      </w:r>
    </w:p>
    <w:p>
      <w:pPr>
        <w:spacing w:after="0" w:line="173" w:lineRule="exact"/>
        <w:rPr>
          <w:sz w:val="20"/>
          <w:szCs w:val="20"/>
          <w:color w:val="auto"/>
        </w:rPr>
      </w:pPr>
    </w:p>
    <w:p>
      <w:pPr>
        <w:jc w:val="both"/>
        <w:ind w:firstLine="656"/>
        <w:spacing w:after="0" w:line="234" w:lineRule="auto"/>
        <w:tabs>
          <w:tab w:leader="none" w:pos="114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or Sustainability Structuring Agent, as determined by a final, non-appealable judgment of a court of competent jurisdiction.</w:t>
      </w:r>
    </w:p>
    <w:p>
      <w:pPr>
        <w:spacing w:after="0" w:line="184" w:lineRule="exact"/>
        <w:rPr>
          <w:rFonts w:ascii="Arial" w:cs="Arial" w:eastAsia="Arial" w:hAnsi="Arial"/>
          <w:sz w:val="22"/>
          <w:szCs w:val="22"/>
          <w:color w:val="auto"/>
        </w:rPr>
      </w:pPr>
    </w:p>
    <w:p>
      <w:pPr>
        <w:jc w:val="both"/>
        <w:ind w:firstLine="656"/>
        <w:spacing w:after="0" w:line="243" w:lineRule="auto"/>
        <w:tabs>
          <w:tab w:leader="none" w:pos="1164" w:val="left"/>
        </w:tabs>
        <w:numPr>
          <w:ilvl w:val="0"/>
          <w:numId w:val="248"/>
        </w:numPr>
        <w:rPr>
          <w:rFonts w:ascii="Arial" w:cs="Arial" w:eastAsia="Arial" w:hAnsi="Arial"/>
          <w:sz w:val="21"/>
          <w:szCs w:val="21"/>
          <w:color w:val="auto"/>
        </w:rPr>
      </w:pPr>
      <w:r>
        <w:rPr>
          <w:rFonts w:ascii="Arial" w:cs="Arial" w:eastAsia="Arial" w:hAnsi="Arial"/>
          <w:sz w:val="21"/>
          <w:szCs w:val="21"/>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any of the Agent or the Sustainability Structuring Agent or any of their respective officers, directors, employees, agents, advisors or representatives in connection with the Platform or the Approved Electronic Communications. In no event shall the Agent or the Sustainability Structuring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 or Sustainability Structuring Agent’ bad faith, willful misconduct, gross negligence or material breach as determined in a final, nonappealable judgment by a court of competent jurisdiction.</w:t>
      </w:r>
    </w:p>
    <w:p>
      <w:pPr>
        <w:spacing w:after="0" w:line="181" w:lineRule="exact"/>
        <w:rPr>
          <w:rFonts w:ascii="Arial" w:cs="Arial" w:eastAsia="Arial" w:hAnsi="Arial"/>
          <w:sz w:val="21"/>
          <w:szCs w:val="21"/>
          <w:color w:val="auto"/>
        </w:rPr>
      </w:pPr>
    </w:p>
    <w:p>
      <w:pPr>
        <w:jc w:val="both"/>
        <w:ind w:firstLine="656"/>
        <w:spacing w:after="0" w:line="241" w:lineRule="auto"/>
        <w:tabs>
          <w:tab w:leader="none" w:pos="1193"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Each of the Loan Parties, the Lenders,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83"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All representations and warranties made hereunder, in the other Loan Documents and in any document, certificate or statement delivered pursuant hereto or in connection herewith shall survive</w:t>
      </w:r>
    </w:p>
    <w:p>
      <w:pPr>
        <w:sectPr>
          <w:pgSz w:w="11900" w:h="16838" w:orient="portrait"/>
          <w:cols w:equalWidth="0" w:num="1">
            <w:col w:w="11240"/>
          </w:cols>
          <w:pgMar w:left="320" w:top="1413" w:right="339" w:bottom="1440" w:gutter="0" w:footer="0" w:header="0"/>
        </w:sectPr>
      </w:pPr>
    </w:p>
    <w:bookmarkStart w:id="291" w:name="page292"/>
    <w:bookmarkEnd w:id="291"/>
    <w:p>
      <w:pPr>
        <w:jc w:val="both"/>
        <w:spacing w:after="0" w:line="251" w:lineRule="auto"/>
        <w:rPr>
          <w:sz w:val="20"/>
          <w:szCs w:val="20"/>
          <w:color w:val="auto"/>
        </w:rPr>
      </w:pPr>
      <w:r>
        <w:rPr>
          <w:rFonts w:ascii="Arial" w:cs="Arial" w:eastAsia="Arial" w:hAnsi="Arial"/>
          <w:sz w:val="22"/>
          <w:szCs w:val="22"/>
          <w:color w:val="auto"/>
        </w:rPr>
        <w:t>the execution and delivery of this Agreement and the making of the Term Loans and the other extensions of credit hereunder.</w:t>
      </w:r>
    </w:p>
    <w:p>
      <w:pPr>
        <w:spacing w:after="0" w:line="173"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Payment of Expenses</w:t>
      </w:r>
      <w:r>
        <w:rPr>
          <w:rFonts w:ascii="Arial" w:cs="Arial" w:eastAsia="Arial" w:hAnsi="Arial"/>
          <w:sz w:val="22"/>
          <w:szCs w:val="22"/>
          <w:color w:val="auto"/>
        </w:rPr>
        <w:t>. The Borrower agrees (a) to pay or reimburse each of the Administrative Agent and the Sustainability Structuring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the Sustainability Structuring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the Sustainability Structuring Agent, each Lender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the Sustainability Structuring Agent and the Lenders and each of their respective affiliates, taken as a whole (other than during an Event of Default, in which case, the Administrative Agent shall be entitled to its own counsel separate from the Sustainability Structuring Agent, the Lenders)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Sustainability Structuring Agent, the Administrative Agent and each of their respective Affiliates, directors, officers, employees, representatives, partners, advisors and agents (each, an “Indemnitee”)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Term Loans or any of the foregoing in connection with (i) the violation of, 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 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“indemnified liabilities”), provided that the Borrower shall have no obligation hereunder to any Indemnitee with respect to indemnified liabilities to the extent</w:t>
      </w:r>
    </w:p>
    <w:p>
      <w:pPr>
        <w:sectPr>
          <w:pgSz w:w="11900" w:h="16838" w:orient="portrait"/>
          <w:cols w:equalWidth="0" w:num="1">
            <w:col w:w="11240"/>
          </w:cols>
          <w:pgMar w:left="320" w:top="1413" w:right="339" w:bottom="1440" w:gutter="0" w:footer="0" w:header="0"/>
        </w:sectPr>
      </w:pPr>
    </w:p>
    <w:bookmarkStart w:id="292" w:name="page293"/>
    <w:bookmarkEnd w:id="292"/>
    <w:p>
      <w:pPr>
        <w:jc w:val="both"/>
        <w:spacing w:after="0" w:line="230" w:lineRule="auto"/>
        <w:rPr>
          <w:sz w:val="20"/>
          <w:szCs w:val="20"/>
          <w:color w:val="auto"/>
        </w:rPr>
      </w:pPr>
      <w:r>
        <w:rPr>
          <w:rFonts w:ascii="Arial" w:cs="Arial" w:eastAsia="Arial" w:hAnsi="Arial"/>
          <w:sz w:val="22"/>
          <w:szCs w:val="22"/>
          <w:color w:val="auto"/>
        </w:rPr>
        <w:t>determined by the final non-appealable judgment of a court of competent jurisdiction to have resulted from the bad faith, gross negligence or willful misconduct of such Indemnitee or any of such Indemnitee’s Related Persons; provided, further, that the Borrower shall in no event be responsible for consequential, indirect, special or punitive damages to any Indemnitee pursuant to this Section 9.5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party to this agreement shall assert, and each Loan Party hereby waives, on behalf of itself and its Subsidiaries, any claim against any Indemnitee and its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Term Loan or the use of the proceeds thereof or any act or omission or event occurring in connection therewith, and the each Loan Party hereby waives, releases and agrees, on behalf of itself and each of its respective Subsidiaries, not to sue upon any such claim or any such damages, whether or not accrued and whether or not known or suspected to exist in its favor. No Indemnitee referred to in clause above shall be liable for any damages arising from the use by unintended recipients of any information or other materials distributed by it through telecommunications, electronic or other information transmission systems in connection with the Agreement or the other Loan Documents or the transactions contemplated thereby. All amounts due under this Section 9.5 shall be payable not later than 10 days after written demand therefor. The agreements in this Section shall survive the termination of this Agreement and repayment of the Term Loans and all other amounts payable hereunder. This Section 9.5 shall not apply with respect to Taxes other than any Taxes that represent losses, claims, damages, etc. arising from any non-Tax claim.</w:t>
      </w:r>
    </w:p>
    <w:p>
      <w:pPr>
        <w:spacing w:after="0" w:line="19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21"/>
          <w:szCs w:val="21"/>
          <w:u w:val="single" w:color="auto"/>
          <w:color w:val="auto"/>
        </w:rPr>
        <w:t>Successors and Assigns; Participations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5" w:lineRule="auto"/>
        <w:tabs>
          <w:tab w:leader="none" w:pos="118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hereof,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ectPr>
          <w:pgSz w:w="11900" w:h="16838" w:orient="portrait"/>
          <w:cols w:equalWidth="0" w:num="1">
            <w:col w:w="11240"/>
          </w:cols>
          <w:pgMar w:left="320" w:top="1413" w:right="339" w:bottom="1440" w:gutter="0" w:footer="0" w:header="0"/>
        </w:sectPr>
      </w:pPr>
    </w:p>
    <w:bookmarkStart w:id="293" w:name="page294"/>
    <w:bookmarkEnd w:id="293"/>
    <w:p>
      <w:pPr>
        <w:jc w:val="both"/>
        <w:ind w:left="-656" w:firstLine="656"/>
        <w:spacing w:after="0" w:line="241" w:lineRule="auto"/>
        <w:tabs>
          <w:tab w:leader="none" w:pos="56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any Lender may assign to one or more assignees (each, an “</w:t>
      </w:r>
      <w:r>
        <w:rPr>
          <w:rFonts w:ascii="Arial" w:cs="Arial" w:eastAsia="Arial" w:hAnsi="Arial"/>
          <w:sz w:val="22"/>
          <w:szCs w:val="22"/>
          <w:u w:val="single" w:color="auto"/>
          <w:color w:val="auto"/>
        </w:rPr>
        <w:t>Assignee</w:t>
      </w:r>
      <w:r>
        <w:rPr>
          <w:rFonts w:ascii="Arial" w:cs="Arial" w:eastAsia="Arial" w:hAnsi="Arial"/>
          <w:sz w:val="22"/>
          <w:szCs w:val="22"/>
          <w:color w:val="auto"/>
        </w:rPr>
        <w:t>”) all or a portion of its rights and obligations under this Agreement (including all or a portion of its Term Commitments and the Term Loans at the time owing to it) with the prior written consent of:</w:t>
      </w:r>
    </w:p>
    <w:p>
      <w:pPr>
        <w:spacing w:after="0" w:line="182" w:lineRule="exact"/>
        <w:rPr>
          <w:rFonts w:ascii="Arial" w:cs="Arial" w:eastAsia="Arial" w:hAnsi="Arial"/>
          <w:sz w:val="22"/>
          <w:szCs w:val="22"/>
          <w:color w:val="auto"/>
        </w:rPr>
      </w:pPr>
    </w:p>
    <w:p>
      <w:pPr>
        <w:jc w:val="both"/>
        <w:ind w:left="644" w:firstLine="652"/>
        <w:spacing w:after="0" w:line="234" w:lineRule="auto"/>
        <w:tabs>
          <w:tab w:leader="none" w:pos="1975"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 xml:space="preserve">the Borrower (such consent not to be unreasonably withheld, delayed or conditioned),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 depository institution affiliate of a Lender having access to discount window credit of the Federal Reserve (as defined below) or, if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has occurred and is continuing, any other Person;</w:t>
      </w:r>
    </w:p>
    <w:p>
      <w:pPr>
        <w:spacing w:after="0" w:line="184" w:lineRule="exact"/>
        <w:rPr>
          <w:rFonts w:ascii="Arial" w:cs="Arial" w:eastAsia="Arial" w:hAnsi="Arial"/>
          <w:sz w:val="22"/>
          <w:szCs w:val="22"/>
          <w:color w:val="010000"/>
        </w:rPr>
      </w:pPr>
    </w:p>
    <w:p>
      <w:pPr>
        <w:jc w:val="both"/>
        <w:ind w:left="644" w:firstLine="652"/>
        <w:spacing w:after="0" w:line="241" w:lineRule="auto"/>
        <w:tabs>
          <w:tab w:leader="none" w:pos="2033" w:val="left"/>
        </w:tabs>
        <w:numPr>
          <w:ilvl w:val="1"/>
          <w:numId w:val="250"/>
        </w:numPr>
        <w:rPr>
          <w:rFonts w:ascii="Arial" w:cs="Arial" w:eastAsia="Arial" w:hAnsi="Arial"/>
          <w:sz w:val="22"/>
          <w:szCs w:val="22"/>
          <w:color w:val="010000"/>
        </w:rPr>
      </w:pPr>
      <w:r>
        <w:rPr>
          <w:rFonts w:ascii="Arial" w:cs="Arial" w:eastAsia="Arial" w:hAnsi="Arial"/>
          <w:sz w:val="22"/>
          <w:szCs w:val="22"/>
          <w:color w:val="auto"/>
        </w:rPr>
        <w:t xml:space="preserve">the Administrative Agent (such consent not to be unreasonably withheld, delayed or conditioned),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 Lender, an affiliate of a Lender or an Approved Fund; and</w:t>
      </w:r>
    </w:p>
    <w:p>
      <w:pPr>
        <w:spacing w:after="0" w:line="183" w:lineRule="exact"/>
        <w:rPr>
          <w:sz w:val="20"/>
          <w:szCs w:val="20"/>
          <w:color w:val="auto"/>
        </w:rPr>
      </w:pPr>
    </w:p>
    <w:p>
      <w:pPr>
        <w:ind w:left="1124" w:hanging="476"/>
        <w:spacing w:after="0"/>
        <w:tabs>
          <w:tab w:leader="none" w:pos="1124" w:val="left"/>
        </w:tabs>
        <w:numPr>
          <w:ilvl w:val="0"/>
          <w:numId w:val="251"/>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sz w:val="20"/>
          <w:szCs w:val="20"/>
          <w:color w:val="auto"/>
        </w:rPr>
      </w:pPr>
    </w:p>
    <w:p>
      <w:pPr>
        <w:jc w:val="both"/>
        <w:ind w:left="4" w:firstLine="644"/>
        <w:spacing w:after="0" w:line="232" w:lineRule="auto"/>
        <w:tabs>
          <w:tab w:leader="none" w:pos="1221"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 xml:space="preserve">except in the case of an assignment to a Lender, an affiliate of a Lender or an Approved Fund or an assignment of the entire remaining amount of the assigning Lender’s Term Commitments or Term Loans, the amount of the Term Commitments or Term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(1) no such consent of the Borrower shall be required if an Event of Default under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has occurred and is continuing and (2) such amounts shall be aggregated in respect of each Lender and its affiliates or Approved Funds, if any;</w:t>
      </w:r>
    </w:p>
    <w:p>
      <w:pPr>
        <w:spacing w:after="0" w:line="190" w:lineRule="exact"/>
        <w:rPr>
          <w:rFonts w:ascii="Arial" w:cs="Arial" w:eastAsia="Arial" w:hAnsi="Arial"/>
          <w:sz w:val="22"/>
          <w:szCs w:val="22"/>
          <w:color w:val="010000"/>
        </w:rPr>
      </w:pPr>
    </w:p>
    <w:p>
      <w:pPr>
        <w:jc w:val="both"/>
        <w:ind w:left="4" w:firstLine="644"/>
        <w:spacing w:after="0" w:line="236" w:lineRule="auto"/>
        <w:tabs>
          <w:tab w:leader="none" w:pos="1355"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22"/>
          <w:szCs w:val="22"/>
          <w:u w:val="single" w:color="auto"/>
          <w:color w:val="auto"/>
        </w:rPr>
        <w:t>Section 2.22</w:t>
      </w:r>
      <w:r>
        <w:rPr>
          <w:rFonts w:ascii="Arial" w:cs="Arial" w:eastAsia="Arial" w:hAnsi="Arial"/>
          <w:sz w:val="22"/>
          <w:szCs w:val="22"/>
          <w:color w:val="auto"/>
        </w:rPr>
        <w:t>) and (2) the assigning Lender shall have paid in full any amounts owing by it to the Administrative Agent;</w:t>
      </w:r>
    </w:p>
    <w:p>
      <w:pPr>
        <w:spacing w:after="0" w:line="187" w:lineRule="exact"/>
        <w:rPr>
          <w:rFonts w:ascii="Arial" w:cs="Arial" w:eastAsia="Arial" w:hAnsi="Arial"/>
          <w:sz w:val="22"/>
          <w:szCs w:val="22"/>
          <w:color w:val="010000"/>
        </w:rPr>
      </w:pPr>
    </w:p>
    <w:p>
      <w:pPr>
        <w:jc w:val="both"/>
        <w:ind w:left="4" w:firstLine="644"/>
        <w:spacing w:after="0" w:line="233" w:lineRule="auto"/>
        <w:tabs>
          <w:tab w:leader="none" w:pos="1217"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86" w:lineRule="exact"/>
        <w:rPr>
          <w:rFonts w:ascii="Arial" w:cs="Arial" w:eastAsia="Arial" w:hAnsi="Arial"/>
          <w:sz w:val="22"/>
          <w:szCs w:val="22"/>
          <w:color w:val="010000"/>
        </w:rPr>
      </w:pPr>
    </w:p>
    <w:p>
      <w:pPr>
        <w:ind w:left="4" w:firstLine="644"/>
        <w:spacing w:after="0" w:line="251" w:lineRule="auto"/>
        <w:tabs>
          <w:tab w:leader="none" w:pos="1301" w:val="left"/>
        </w:tabs>
        <w:numPr>
          <w:ilvl w:val="0"/>
          <w:numId w:val="252"/>
        </w:numPr>
        <w:rPr>
          <w:rFonts w:ascii="Arial" w:cs="Arial" w:eastAsia="Arial" w:hAnsi="Arial"/>
          <w:sz w:val="22"/>
          <w:szCs w:val="22"/>
          <w:color w:val="010000"/>
        </w:rPr>
      </w:pPr>
      <w:r>
        <w:rPr>
          <w:rFonts w:ascii="Arial" w:cs="Arial" w:eastAsia="Arial" w:hAnsi="Arial"/>
          <w:sz w:val="22"/>
          <w:szCs w:val="22"/>
          <w:color w:val="auto"/>
        </w:rPr>
        <w:t>none of the Loan Parties, their respective Affiliates, any natural person or a Defaulting Lender shall be an Assignee hereunder.</w:t>
      </w:r>
    </w:p>
    <w:p>
      <w:pPr>
        <w:sectPr>
          <w:pgSz w:w="11900" w:h="16838" w:orient="portrait"/>
          <w:cols w:equalWidth="0" w:num="1">
            <w:col w:w="10584"/>
          </w:cols>
          <w:pgMar w:left="976" w:top="1413" w:right="339" w:bottom="1440" w:gutter="0" w:footer="0" w:header="0"/>
        </w:sectPr>
      </w:pPr>
    </w:p>
    <w:bookmarkStart w:id="294" w:name="page295"/>
    <w:bookmarkEnd w:id="294"/>
    <w:p>
      <w:pPr>
        <w:jc w:val="both"/>
        <w:ind w:firstLine="648"/>
        <w:spacing w:after="0" w:line="238" w:lineRule="auto"/>
        <w:rPr>
          <w:sz w:val="20"/>
          <w:szCs w:val="20"/>
          <w:color w:val="auto"/>
        </w:rPr>
      </w:pPr>
      <w:r>
        <w:rPr>
          <w:rFonts w:ascii="Arial" w:cs="Arial" w:eastAsia="Arial" w:hAnsi="Arial"/>
          <w:sz w:val="22"/>
          <w:szCs w:val="22"/>
          <w:color w:val="auto"/>
        </w:rPr>
        <w:t xml:space="preserve">For the purposes of this </w:t>
      </w:r>
      <w:r>
        <w:rPr>
          <w:rFonts w:ascii="Arial" w:cs="Arial" w:eastAsia="Arial" w:hAnsi="Arial"/>
          <w:sz w:val="22"/>
          <w:szCs w:val="22"/>
          <w:u w:val="single" w:color="auto"/>
          <w:color w:val="auto"/>
        </w:rPr>
        <w:t>Section 9.6</w:t>
      </w:r>
      <w:r>
        <w:rPr>
          <w:rFonts w:ascii="Arial" w:cs="Arial" w:eastAsia="Arial" w:hAnsi="Arial"/>
          <w:sz w:val="22"/>
          <w:szCs w:val="22"/>
          <w:color w:val="auto"/>
        </w:rPr>
        <w:t>, “</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5" w:lineRule="exact"/>
        <w:rPr>
          <w:sz w:val="20"/>
          <w:szCs w:val="20"/>
          <w:color w:val="auto"/>
        </w:rPr>
      </w:pPr>
    </w:p>
    <w:p>
      <w:pPr>
        <w:jc w:val="both"/>
        <w:ind w:left="660" w:firstLine="644"/>
        <w:spacing w:after="0" w:line="232" w:lineRule="auto"/>
        <w:tabs>
          <w:tab w:leader="none" w:pos="1902"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shall be treated for purposes of this Agreement as a sale by such Lender of a participation in such rights and obligations in accordance with paragraph (c) of this Section.</w:t>
      </w:r>
    </w:p>
    <w:p>
      <w:pPr>
        <w:spacing w:after="0" w:line="185" w:lineRule="exact"/>
        <w:rPr>
          <w:rFonts w:ascii="Arial" w:cs="Arial" w:eastAsia="Arial" w:hAnsi="Arial"/>
          <w:sz w:val="22"/>
          <w:szCs w:val="22"/>
          <w:color w:val="auto"/>
        </w:rPr>
      </w:pPr>
    </w:p>
    <w:p>
      <w:pPr>
        <w:jc w:val="both"/>
        <w:ind w:left="660" w:firstLine="644"/>
        <w:spacing w:after="0" w:line="232" w:lineRule="auto"/>
        <w:tabs>
          <w:tab w:leader="none" w:pos="2042"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Term Commitments of, and principal amount (and interest amounts) of the Term Loans owing to, each Lender pursuant to the terms hereof from time to time (the “</w:t>
      </w:r>
      <w:r>
        <w:rPr>
          <w:rFonts w:ascii="Arial" w:cs="Arial" w:eastAsia="Arial" w:hAnsi="Arial"/>
          <w:sz w:val="22"/>
          <w:szCs w:val="22"/>
          <w:u w:val="single" w:color="auto"/>
          <w:color w:val="auto"/>
        </w:rPr>
        <w:t>Register</w:t>
      </w:r>
      <w:r>
        <w:rPr>
          <w:rFonts w:ascii="Arial" w:cs="Arial" w:eastAsia="Arial" w:hAnsi="Arial"/>
          <w:sz w:val="22"/>
          <w:szCs w:val="22"/>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187" w:lineRule="exact"/>
        <w:rPr>
          <w:rFonts w:ascii="Arial" w:cs="Arial" w:eastAsia="Arial" w:hAnsi="Arial"/>
          <w:sz w:val="22"/>
          <w:szCs w:val="22"/>
          <w:color w:val="auto"/>
        </w:rPr>
      </w:pPr>
    </w:p>
    <w:p>
      <w:pPr>
        <w:jc w:val="both"/>
        <w:ind w:left="660" w:firstLine="644"/>
        <w:spacing w:after="0" w:line="244" w:lineRule="auto"/>
        <w:tabs>
          <w:tab w:leader="none" w:pos="1847" w:val="left"/>
        </w:tabs>
        <w:numPr>
          <w:ilvl w:val="0"/>
          <w:numId w:val="253"/>
        </w:numPr>
        <w:rPr>
          <w:rFonts w:ascii="Arial" w:cs="Arial" w:eastAsia="Arial" w:hAnsi="Arial"/>
          <w:sz w:val="21"/>
          <w:szCs w:val="21"/>
          <w:color w:val="auto"/>
        </w:rPr>
      </w:pPr>
      <w:r>
        <w:rPr>
          <w:rFonts w:ascii="Arial" w:cs="Arial" w:eastAsia="Arial" w:hAnsi="Arial"/>
          <w:sz w:val="21"/>
          <w:szCs w:val="21"/>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21"/>
          <w:szCs w:val="21"/>
          <w:u w:val="single" w:color="auto"/>
          <w:color w:val="auto"/>
        </w:rPr>
        <w:t>Section 9.6</w:t>
      </w:r>
      <w:r>
        <w:rPr>
          <w:rFonts w:ascii="Arial" w:cs="Arial" w:eastAsia="Arial" w:hAnsi="Arial"/>
          <w:sz w:val="21"/>
          <w:szCs w:val="21"/>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w:t>
      </w:r>
    </w:p>
    <w:p>
      <w:pPr>
        <w:sectPr>
          <w:pgSz w:w="11900" w:h="16838" w:orient="portrait"/>
          <w:cols w:equalWidth="0" w:num="1">
            <w:col w:w="11240"/>
          </w:cols>
          <w:pgMar w:left="320" w:top="1413" w:right="339" w:bottom="1440" w:gutter="0" w:footer="0" w:header="0"/>
        </w:sectPr>
      </w:pPr>
    </w:p>
    <w:bookmarkStart w:id="295" w:name="page296"/>
    <w:bookmarkEnd w:id="295"/>
    <w:p>
      <w:pPr>
        <w:ind w:left="4"/>
        <w:spacing w:after="0" w:line="251" w:lineRule="auto"/>
        <w:rPr>
          <w:sz w:val="20"/>
          <w:szCs w:val="20"/>
          <w:color w:val="auto"/>
        </w:rPr>
      </w:pPr>
      <w:r>
        <w:rPr>
          <w:rFonts w:ascii="Arial" w:cs="Arial" w:eastAsia="Arial" w:hAnsi="Arial"/>
          <w:sz w:val="22"/>
          <w:szCs w:val="22"/>
          <w:color w:val="auto"/>
        </w:rPr>
        <w:t>the Register and (iii) give notice of such acceptance and recordation to the transferor Lender, the Assignee and the Borrower.</w:t>
      </w:r>
    </w:p>
    <w:p>
      <w:pPr>
        <w:spacing w:after="0" w:line="173" w:lineRule="exact"/>
        <w:rPr>
          <w:sz w:val="20"/>
          <w:szCs w:val="20"/>
          <w:color w:val="auto"/>
        </w:rPr>
      </w:pPr>
    </w:p>
    <w:p>
      <w:pPr>
        <w:jc w:val="both"/>
        <w:ind w:left="-656" w:firstLine="656"/>
        <w:spacing w:after="0" w:line="230" w:lineRule="auto"/>
        <w:tabs>
          <w:tab w:leader="none" w:pos="647" w:val="left"/>
        </w:tabs>
        <w:numPr>
          <w:ilvl w:val="0"/>
          <w:numId w:val="254"/>
        </w:numPr>
        <w:rPr>
          <w:rFonts w:ascii="Arial" w:cs="Arial" w:eastAsia="Arial" w:hAnsi="Arial"/>
          <w:sz w:val="22"/>
          <w:szCs w:val="22"/>
          <w:color w:val="auto"/>
        </w:rPr>
      </w:pPr>
      <w:r>
        <w:rPr>
          <w:rFonts w:ascii="Arial" w:cs="Arial" w:eastAsia="Arial" w:hAnsi="Arial"/>
          <w:sz w:val="22"/>
          <w:szCs w:val="22"/>
          <w:color w:val="auto"/>
        </w:rPr>
        <w:t>Any Lender may, without the consent of or notice to the Borrower or the Administrative Agent, sell participations to one or more banks or other entities (a “</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in all or a portion of such Lender’s rights and obligations under this Agreement (including all or a portion of its Term Loans owing to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22"/>
          <w:szCs w:val="22"/>
          <w:u w:val="single" w:color="auto"/>
          <w:color w:val="auto"/>
        </w:rPr>
        <w:t>Section 9.1(a)</w:t>
      </w:r>
      <w:r>
        <w:rPr>
          <w:rFonts w:ascii="Arial" w:cs="Arial" w:eastAsia="Arial" w:hAnsi="Arial"/>
          <w:sz w:val="22"/>
          <w:szCs w:val="22"/>
          <w:color w:val="auto"/>
        </w:rPr>
        <w:t xml:space="preserve"> and (2) directly affects such Participant. Subject to paragraph (c)(i) of this Section, the Borrower agrees that each Participant shall be entitled to the benefits of </w:t>
      </w:r>
      <w:r>
        <w:rPr>
          <w:rFonts w:ascii="Arial" w:cs="Arial" w:eastAsia="Arial" w:hAnsi="Arial"/>
          <w:sz w:val="22"/>
          <w:szCs w:val="22"/>
          <w:u w:val="single" w:color="auto"/>
          <w:color w:val="auto"/>
        </w:rPr>
        <w:t>Sections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(subject to the requirements and limitations of such sections and </w:t>
      </w:r>
      <w:r>
        <w:rPr>
          <w:rFonts w:ascii="Arial" w:cs="Arial" w:eastAsia="Arial" w:hAnsi="Arial"/>
          <w:sz w:val="22"/>
          <w:szCs w:val="22"/>
          <w:u w:val="single" w:color="auto"/>
          <w:color w:val="auto"/>
        </w:rPr>
        <w:t>Sections 2.18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2.22</w:t>
      </w:r>
      <w:r>
        <w:rPr>
          <w:rFonts w:ascii="Arial" w:cs="Arial" w:eastAsia="Arial" w:hAnsi="Arial"/>
          <w:sz w:val="22"/>
          <w:szCs w:val="22"/>
          <w:color w:val="auto"/>
        </w:rPr>
        <w:t xml:space="preserve"> and it being understood that the documentation required under </w:t>
      </w:r>
      <w:r>
        <w:rPr>
          <w:rFonts w:ascii="Arial" w:cs="Arial" w:eastAsia="Arial" w:hAnsi="Arial"/>
          <w:sz w:val="22"/>
          <w:szCs w:val="22"/>
          <w:u w:val="single" w:color="auto"/>
          <w:color w:val="auto"/>
        </w:rPr>
        <w:t>Section 2.16(e)</w:t>
      </w:r>
      <w:r>
        <w:rPr>
          <w:rFonts w:ascii="Arial" w:cs="Arial" w:eastAsia="Arial" w:hAnsi="Arial"/>
          <w:sz w:val="22"/>
          <w:szCs w:val="22"/>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22"/>
          <w:szCs w:val="22"/>
          <w:u w:val="single" w:color="auto"/>
          <w:color w:val="auto"/>
        </w:rPr>
        <w:t>Section 9.7(b)</w:t>
      </w:r>
      <w:r>
        <w:rPr>
          <w:rFonts w:ascii="Arial" w:cs="Arial" w:eastAsia="Arial" w:hAnsi="Arial"/>
          <w:sz w:val="22"/>
          <w:szCs w:val="22"/>
          <w:color w:val="auto"/>
        </w:rPr>
        <w:t xml:space="preserve"> as though it were a Lender, provided such Participant shall be subject to </w:t>
      </w:r>
      <w:r>
        <w:rPr>
          <w:rFonts w:ascii="Arial" w:cs="Arial" w:eastAsia="Arial" w:hAnsi="Arial"/>
          <w:sz w:val="22"/>
          <w:szCs w:val="22"/>
          <w:u w:val="single" w:color="auto"/>
          <w:color w:val="auto"/>
        </w:rPr>
        <w:t>Section 9.7(a)</w:t>
      </w:r>
      <w:r>
        <w:rPr>
          <w:rFonts w:ascii="Arial" w:cs="Arial" w:eastAsia="Arial" w:hAnsi="Arial"/>
          <w:sz w:val="22"/>
          <w:szCs w:val="22"/>
          <w:color w:val="auto"/>
        </w:rPr>
        <w:t xml:space="preserve"> as though it were a Lender.</w:t>
      </w:r>
    </w:p>
    <w:p>
      <w:pPr>
        <w:spacing w:after="0" w:line="201" w:lineRule="exact"/>
        <w:rPr>
          <w:rFonts w:ascii="Arial" w:cs="Arial" w:eastAsia="Arial" w:hAnsi="Arial"/>
          <w:sz w:val="22"/>
          <w:szCs w:val="22"/>
          <w:color w:val="auto"/>
        </w:rPr>
      </w:pPr>
    </w:p>
    <w:p>
      <w:pPr>
        <w:jc w:val="both"/>
        <w:ind w:left="4" w:firstLine="644"/>
        <w:spacing w:after="0" w:line="238" w:lineRule="auto"/>
        <w:tabs>
          <w:tab w:leader="none" w:pos="1121" w:val="left"/>
        </w:tabs>
        <w:numPr>
          <w:ilvl w:val="1"/>
          <w:numId w:val="254"/>
        </w:numPr>
        <w:rPr>
          <w:rFonts w:ascii="Arial" w:cs="Arial" w:eastAsia="Arial" w:hAnsi="Arial"/>
          <w:sz w:val="22"/>
          <w:szCs w:val="22"/>
          <w:color w:val="auto"/>
        </w:rPr>
      </w:pPr>
      <w:r>
        <w:rPr>
          <w:rFonts w:ascii="Arial" w:cs="Arial" w:eastAsia="Arial" w:hAnsi="Arial"/>
          <w:sz w:val="22"/>
          <w:szCs w:val="22"/>
          <w:color w:val="auto"/>
        </w:rPr>
        <w:t xml:space="preserve">A Participant shall not be entitled to receive any greater payment under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171" w:lineRule="exact"/>
        <w:rPr>
          <w:rFonts w:ascii="Arial" w:cs="Arial" w:eastAsia="Arial" w:hAnsi="Arial"/>
          <w:sz w:val="22"/>
          <w:szCs w:val="22"/>
          <w:color w:val="auto"/>
        </w:rPr>
      </w:pPr>
    </w:p>
    <w:p>
      <w:pPr>
        <w:jc w:val="both"/>
        <w:ind w:left="4" w:firstLine="644"/>
        <w:spacing w:after="0" w:line="234" w:lineRule="auto"/>
        <w:tabs>
          <w:tab w:leader="none" w:pos="1171" w:val="left"/>
        </w:tabs>
        <w:numPr>
          <w:ilvl w:val="1"/>
          <w:numId w:val="254"/>
        </w:numPr>
        <w:rPr>
          <w:rFonts w:ascii="Arial" w:cs="Arial" w:eastAsia="Arial" w:hAnsi="Arial"/>
          <w:sz w:val="22"/>
          <w:szCs w:val="22"/>
          <w:color w:val="auto"/>
        </w:rPr>
      </w:pPr>
      <w:r>
        <w:rPr>
          <w:rFonts w:ascii="Arial" w:cs="Arial" w:eastAsia="Arial" w:hAnsi="Arial"/>
          <w:sz w:val="22"/>
          <w:szCs w:val="22"/>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Term Loans or other obligations under this Agreement (the “</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w:t>
      </w:r>
    </w:p>
    <w:p>
      <w:pPr>
        <w:sectPr>
          <w:pgSz w:w="11900" w:h="16838" w:orient="portrait"/>
          <w:cols w:equalWidth="0" w:num="1">
            <w:col w:w="10584"/>
          </w:cols>
          <w:pgMar w:left="976" w:top="1413" w:right="339" w:bottom="1440" w:gutter="0" w:footer="0" w:header="0"/>
        </w:sectPr>
      </w:pPr>
    </w:p>
    <w:bookmarkStart w:id="296" w:name="page297"/>
    <w:bookmarkEnd w:id="296"/>
    <w:p>
      <w:pPr>
        <w:jc w:val="both"/>
        <w:ind w:left="4"/>
        <w:spacing w:after="0" w:line="241" w:lineRule="auto"/>
        <w:rPr>
          <w:sz w:val="20"/>
          <w:szCs w:val="20"/>
          <w:color w:val="auto"/>
        </w:rPr>
      </w:pPr>
      <w:r>
        <w:rPr>
          <w:rFonts w:ascii="Arial" w:cs="Arial" w:eastAsia="Arial" w:hAnsi="Arial"/>
          <w:sz w:val="22"/>
          <w:szCs w:val="22"/>
          <w:color w:val="auto"/>
        </w:rPr>
        <w:t>Participant or any information relating to a Participant’s interest in any Term Loans) except to the extent that such disclosure is necessary to establish that such Term Loan is in registered form under Section 5f.103(c) of the United States Treasury Regulations or, if different, under Sections 871(h) or 881(c) of the Code.</w:t>
      </w:r>
    </w:p>
    <w:p>
      <w:pPr>
        <w:spacing w:after="0" w:line="183" w:lineRule="exact"/>
        <w:rPr>
          <w:sz w:val="20"/>
          <w:szCs w:val="20"/>
          <w:color w:val="auto"/>
        </w:rPr>
      </w:pPr>
    </w:p>
    <w:p>
      <w:pPr>
        <w:jc w:val="both"/>
        <w:ind w:left="-656" w:firstLine="656"/>
        <w:spacing w:after="0" w:line="234" w:lineRule="auto"/>
        <w:tabs>
          <w:tab w:leader="none" w:pos="561"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4" w:lineRule="exact"/>
        <w:rPr>
          <w:rFonts w:ascii="Arial" w:cs="Arial" w:eastAsia="Arial" w:hAnsi="Arial"/>
          <w:sz w:val="22"/>
          <w:szCs w:val="22"/>
          <w:color w:val="auto"/>
        </w:rPr>
      </w:pPr>
    </w:p>
    <w:p>
      <w:pPr>
        <w:jc w:val="both"/>
        <w:ind w:left="-656" w:firstLine="656"/>
        <w:spacing w:after="0" w:line="234" w:lineRule="auto"/>
        <w:tabs>
          <w:tab w:leader="none" w:pos="608" w:val="left"/>
        </w:tabs>
        <w:numPr>
          <w:ilvl w:val="0"/>
          <w:numId w:val="25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9.15</w:t>
      </w:r>
      <w:r>
        <w:rPr>
          <w:rFonts w:ascii="Arial" w:cs="Arial" w:eastAsia="Arial" w:hAnsi="Arial"/>
          <w:sz w:val="22"/>
          <w:szCs w:val="22"/>
          <w:color w:val="auto"/>
        </w:rPr>
        <w:t xml:space="preserve">, the Borrower authorizes each Lender to disclose to any Transferee and any prospective Transferee (in each case which agrees to comply with the provisions of </w:t>
      </w:r>
      <w:r>
        <w:rPr>
          <w:rFonts w:ascii="Arial" w:cs="Arial" w:eastAsia="Arial" w:hAnsi="Arial"/>
          <w:sz w:val="22"/>
          <w:szCs w:val="22"/>
          <w:u w:val="single" w:color="auto"/>
          <w:color w:val="auto"/>
        </w:rPr>
        <w:t>Section 9.15</w:t>
      </w:r>
      <w:r>
        <w:rPr>
          <w:rFonts w:ascii="Arial" w:cs="Arial" w:eastAsia="Arial" w:hAnsi="Arial"/>
          <w:sz w:val="22"/>
          <w:szCs w:val="22"/>
          <w:color w:val="auto"/>
        </w:rPr>
        <w:t xml:space="preserve"> or confidentiality requirements no less restrictive on such prospective transferee than those set forth in </w:t>
      </w:r>
      <w:r>
        <w:rPr>
          <w:rFonts w:ascii="Arial" w:cs="Arial" w:eastAsia="Arial" w:hAnsi="Arial"/>
          <w:sz w:val="22"/>
          <w:szCs w:val="22"/>
          <w:u w:val="single" w:color="auto"/>
          <w:color w:val="auto"/>
        </w:rPr>
        <w:t>Section 9.15</w:t>
      </w:r>
      <w:r>
        <w:rPr>
          <w:rFonts w:ascii="Arial" w:cs="Arial" w:eastAsia="Arial" w:hAnsi="Arial"/>
          <w:sz w:val="22"/>
          <w:szCs w:val="22"/>
          <w:color w:val="auto"/>
        </w:rPr>
        <w:t>) any and all financial information in such Lender’s possession concerning the Borrower and its Affiliates which has been delivered to such Lender by or on behalf of the Borrower pursuant to this Agreement or any other Loan Document or which has been delivered to such Lender by or on behalf of the Borrower in connection with such Lender’s credit evaluation of the Borrower and its Affiliates prior to becoming a party to this Agreement.</w:t>
      </w:r>
    </w:p>
    <w:p>
      <w:pPr>
        <w:spacing w:after="0" w:line="191" w:lineRule="exact"/>
        <w:rPr>
          <w:sz w:val="20"/>
          <w:szCs w:val="20"/>
          <w:color w:val="auto"/>
        </w:rPr>
      </w:pPr>
    </w:p>
    <w:p>
      <w:pPr>
        <w:ind w:left="4"/>
        <w:spacing w:after="0"/>
        <w:tabs>
          <w:tab w:leader="none" w:pos="584"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1"/>
          <w:szCs w:val="21"/>
          <w:u w:val="single" w:color="auto"/>
          <w:color w:val="auto"/>
        </w:rPr>
        <w:t>Adjustments; Setoff</w:t>
      </w:r>
      <w:r>
        <w:rPr>
          <w:rFonts w:ascii="Arial" w:cs="Arial" w:eastAsia="Arial" w:hAnsi="Arial"/>
          <w:sz w:val="21"/>
          <w:szCs w:val="21"/>
          <w:color w:val="auto"/>
        </w:rPr>
        <w:t>.</w:t>
      </w:r>
    </w:p>
    <w:p>
      <w:pPr>
        <w:spacing w:after="0" w:line="206" w:lineRule="exact"/>
        <w:rPr>
          <w:sz w:val="20"/>
          <w:szCs w:val="20"/>
          <w:color w:val="auto"/>
        </w:rPr>
      </w:pPr>
    </w:p>
    <w:p>
      <w:pPr>
        <w:jc w:val="both"/>
        <w:ind w:left="-656" w:firstLine="656"/>
        <w:spacing w:after="0" w:line="230" w:lineRule="auto"/>
        <w:tabs>
          <w:tab w:leader="none" w:pos="49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Except to the extent that this Agreement, any other Loan Document or a court order expressly provides or permits for payments to be allocated to a particular Lender or to the Lenders, if any Lender (a “</w:t>
      </w:r>
      <w:r>
        <w:rPr>
          <w:rFonts w:ascii="Arial" w:cs="Arial" w:eastAsia="Arial" w:hAnsi="Arial"/>
          <w:sz w:val="22"/>
          <w:szCs w:val="22"/>
          <w:u w:val="single" w:color="auto"/>
          <w:color w:val="auto"/>
        </w:rPr>
        <w:t>Benefited Lender</w:t>
      </w:r>
      <w:r>
        <w:rPr>
          <w:rFonts w:ascii="Arial" w:cs="Arial" w:eastAsia="Arial" w:hAnsi="Arial"/>
          <w:sz w:val="22"/>
          <w:szCs w:val="22"/>
          <w:color w:val="auto"/>
        </w:rPr>
        <w:t xml:space="preserve">”) shall receive any payment of all or part of the Obligations owing to it (other than in connection with an assignment or participation made pursuant to </w:t>
      </w:r>
      <w:r>
        <w:rPr>
          <w:rFonts w:ascii="Arial" w:cs="Arial" w:eastAsia="Arial" w:hAnsi="Arial"/>
          <w:sz w:val="22"/>
          <w:szCs w:val="22"/>
          <w:u w:val="single" w:color="auto"/>
          <w:color w:val="auto"/>
        </w:rPr>
        <w:t>Section 9.6</w:t>
      </w:r>
      <w:r>
        <w:rPr>
          <w:rFonts w:ascii="Arial" w:cs="Arial" w:eastAsia="Arial" w:hAnsi="Arial"/>
          <w:sz w:val="22"/>
          <w:szCs w:val="22"/>
          <w:color w:val="auto"/>
        </w:rPr>
        <w:t xml:space="preserve">), or receive any collateral in respect thereof (whether voluntarily or involuntarily, by setoff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95" w:lineRule="exact"/>
        <w:rPr>
          <w:rFonts w:ascii="Arial" w:cs="Arial" w:eastAsia="Arial" w:hAnsi="Arial"/>
          <w:sz w:val="22"/>
          <w:szCs w:val="22"/>
          <w:color w:val="auto"/>
        </w:rPr>
      </w:pPr>
    </w:p>
    <w:p>
      <w:pPr>
        <w:jc w:val="both"/>
        <w:ind w:left="-656" w:firstLine="656"/>
        <w:spacing w:after="0" w:line="236" w:lineRule="auto"/>
        <w:tabs>
          <w:tab w:leader="none" w:pos="53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In addition to any rights and remedies of the Lenders provided by law, each Lender shall have the right, unless otherwise agreed in writing by such Lender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w:t>
      </w:r>
    </w:p>
    <w:p>
      <w:pPr>
        <w:sectPr>
          <w:pgSz w:w="11900" w:h="16838" w:orient="portrait"/>
          <w:cols w:equalWidth="0" w:num="1">
            <w:col w:w="10584"/>
          </w:cols>
          <w:pgMar w:left="976" w:top="1413" w:right="339" w:bottom="1440" w:gutter="0" w:footer="0" w:header="0"/>
        </w:sectPr>
      </w:pPr>
    </w:p>
    <w:bookmarkStart w:id="297" w:name="page298"/>
    <w:bookmarkEnd w:id="297"/>
    <w:p>
      <w:pPr>
        <w:jc w:val="both"/>
        <w:spacing w:after="0" w:line="235" w:lineRule="auto"/>
        <w:rPr>
          <w:sz w:val="20"/>
          <w:szCs w:val="20"/>
          <w:color w:val="auto"/>
        </w:rPr>
      </w:pPr>
      <w:r>
        <w:rPr>
          <w:rFonts w:ascii="Arial" w:cs="Arial" w:eastAsia="Arial" w:hAnsi="Arial"/>
          <w:sz w:val="22"/>
          <w:szCs w:val="22"/>
          <w:color w:val="auto"/>
        </w:rPr>
        <w:t xml:space="preserve">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to give such notice shall not affect the validity of such application.</w:t>
      </w:r>
    </w:p>
    <w:p>
      <w:pPr>
        <w:spacing w:after="0" w:line="17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 The words “execution”, “signed”, “signature” and words of like import in this Agreement or in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AND THE RIGHTS AND OBLIGATIONS OF THE PARTIES UNDER THIS AGREEMENT SHALL BE GOVERNED BY, AND CONSTRUED AND INTERPRETED IN ACCORDANCE WITH, THE LAW OF THE STATE OF NEW YORK.</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1"/>
          <w:szCs w:val="21"/>
          <w:u w:val="single" w:color="auto"/>
          <w:color w:val="auto"/>
        </w:rPr>
        <w:t>Submission To Jurisdiction; Waivers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6" w:lineRule="auto"/>
        <w:tabs>
          <w:tab w:leader="none" w:pos="1239"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Subject to clause (b)(iii) of this </w:t>
      </w:r>
      <w:r>
        <w:rPr>
          <w:rFonts w:ascii="Arial" w:cs="Arial" w:eastAsia="Arial" w:hAnsi="Arial"/>
          <w:sz w:val="22"/>
          <w:szCs w:val="22"/>
          <w:u w:val="single" w:color="auto"/>
          <w:color w:val="auto"/>
        </w:rPr>
        <w:t>Section 9.12</w:t>
      </w:r>
      <w:r>
        <w:rPr>
          <w:rFonts w:ascii="Arial" w:cs="Arial" w:eastAsia="Arial" w:hAnsi="Arial"/>
          <w:sz w:val="22"/>
          <w:szCs w:val="22"/>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w:t>
      </w:r>
    </w:p>
    <w:p>
      <w:pPr>
        <w:sectPr>
          <w:pgSz w:w="11900" w:h="16838" w:orient="portrait"/>
          <w:cols w:equalWidth="0" w:num="1">
            <w:col w:w="11240"/>
          </w:cols>
          <w:pgMar w:left="320" w:top="1413" w:right="339" w:bottom="1440" w:gutter="0" w:footer="0" w:header="0"/>
        </w:sectPr>
      </w:pPr>
    </w:p>
    <w:bookmarkStart w:id="298" w:name="page299"/>
    <w:bookmarkEnd w:id="298"/>
    <w:p>
      <w:pPr>
        <w:spacing w:after="0"/>
        <w:rPr>
          <w:sz w:val="20"/>
          <w:szCs w:val="20"/>
          <w:color w:val="auto"/>
        </w:rPr>
      </w:pPr>
      <w:r>
        <w:rPr>
          <w:rFonts w:ascii="Arial" w:cs="Arial" w:eastAsia="Arial" w:hAnsi="Arial"/>
          <w:sz w:val="22"/>
          <w:szCs w:val="22"/>
          <w:color w:val="auto"/>
        </w:rPr>
        <w:t>thereof, in each case that are located in the Borough of Manhattan, the City of New York;</w:t>
      </w:r>
    </w:p>
    <w:p>
      <w:pPr>
        <w:spacing w:after="0" w:line="206" w:lineRule="exact"/>
        <w:rPr>
          <w:sz w:val="20"/>
          <w:szCs w:val="20"/>
          <w:color w:val="auto"/>
        </w:rPr>
      </w:pPr>
    </w:p>
    <w:p>
      <w:pPr>
        <w:ind w:left="1160" w:hanging="504"/>
        <w:spacing w:after="0"/>
        <w:tabs>
          <w:tab w:leader="none" w:pos="116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w:t>
      </w:r>
    </w:p>
    <w:p>
      <w:pPr>
        <w:spacing w:after="0" w:line="206" w:lineRule="exact"/>
        <w:rPr>
          <w:rFonts w:ascii="Arial" w:cs="Arial" w:eastAsia="Arial" w:hAnsi="Arial"/>
          <w:sz w:val="22"/>
          <w:szCs w:val="22"/>
          <w:color w:val="auto"/>
        </w:rPr>
      </w:pPr>
    </w:p>
    <w:p>
      <w:pPr>
        <w:jc w:val="both"/>
        <w:ind w:left="660" w:firstLine="644"/>
        <w:spacing w:after="0" w:line="258" w:lineRule="auto"/>
        <w:tabs>
          <w:tab w:leader="none" w:pos="1744" w:val="left"/>
        </w:tabs>
        <w:numPr>
          <w:ilvl w:val="1"/>
          <w:numId w:val="258"/>
        </w:numPr>
        <w:rPr>
          <w:rFonts w:ascii="Arial" w:cs="Arial" w:eastAsia="Arial" w:hAnsi="Arial"/>
          <w:sz w:val="21"/>
          <w:szCs w:val="21"/>
          <w:color w:val="auto"/>
        </w:rPr>
      </w:pPr>
      <w:r>
        <w:rPr>
          <w:rFonts w:ascii="Arial" w:cs="Arial" w:eastAsia="Arial" w:hAnsi="Arial"/>
          <w:sz w:val="21"/>
          <w:szCs w:val="21"/>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6" w:lineRule="exact"/>
        <w:rPr>
          <w:rFonts w:ascii="Arial" w:cs="Arial" w:eastAsia="Arial" w:hAnsi="Arial"/>
          <w:sz w:val="21"/>
          <w:szCs w:val="21"/>
          <w:color w:val="auto"/>
        </w:rPr>
      </w:pPr>
    </w:p>
    <w:p>
      <w:pPr>
        <w:jc w:val="both"/>
        <w:ind w:left="660" w:firstLine="644"/>
        <w:spacing w:after="0" w:line="235" w:lineRule="auto"/>
        <w:tabs>
          <w:tab w:leader="none" w:pos="1804" w:val="left"/>
        </w:tabs>
        <w:numPr>
          <w:ilvl w:val="1"/>
          <w:numId w:val="258"/>
        </w:numPr>
        <w:rPr>
          <w:rFonts w:ascii="Arial" w:cs="Arial" w:eastAsia="Arial" w:hAnsi="Arial"/>
          <w:sz w:val="22"/>
          <w:szCs w:val="22"/>
          <w:color w:val="auto"/>
        </w:rPr>
      </w:pPr>
      <w:r>
        <w:rPr>
          <w:rFonts w:ascii="Arial" w:cs="Arial" w:eastAsia="Arial" w:hAnsi="Arial"/>
          <w:sz w:val="22"/>
          <w:szCs w:val="22"/>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at such other address of which the Administrative Agent shall have been notified pursuant thereto;</w:t>
      </w:r>
    </w:p>
    <w:p>
      <w:pPr>
        <w:spacing w:after="0" w:line="183" w:lineRule="exact"/>
        <w:rPr>
          <w:rFonts w:ascii="Arial" w:cs="Arial" w:eastAsia="Arial" w:hAnsi="Arial"/>
          <w:sz w:val="22"/>
          <w:szCs w:val="22"/>
          <w:color w:val="auto"/>
        </w:rPr>
      </w:pPr>
    </w:p>
    <w:p>
      <w:pPr>
        <w:jc w:val="both"/>
        <w:ind w:left="660" w:firstLine="644"/>
        <w:spacing w:after="0" w:line="241" w:lineRule="auto"/>
        <w:tabs>
          <w:tab w:leader="none" w:pos="1908" w:val="left"/>
        </w:tabs>
        <w:numPr>
          <w:ilvl w:val="1"/>
          <w:numId w:val="258"/>
        </w:numPr>
        <w:rPr>
          <w:rFonts w:ascii="Arial" w:cs="Arial" w:eastAsia="Arial" w:hAnsi="Arial"/>
          <w:sz w:val="22"/>
          <w:szCs w:val="22"/>
          <w:color w:val="auto"/>
        </w:rPr>
      </w:pPr>
      <w:r>
        <w:rPr>
          <w:rFonts w:ascii="Arial" w:cs="Arial" w:eastAsia="Arial" w:hAnsi="Arial"/>
          <w:sz w:val="22"/>
          <w:szCs w:val="22"/>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82" w:lineRule="exact"/>
        <w:rPr>
          <w:rFonts w:ascii="Arial" w:cs="Arial" w:eastAsia="Arial" w:hAnsi="Arial"/>
          <w:sz w:val="22"/>
          <w:szCs w:val="22"/>
          <w:color w:val="auto"/>
        </w:rPr>
      </w:pPr>
    </w:p>
    <w:p>
      <w:pPr>
        <w:jc w:val="both"/>
        <w:ind w:left="660" w:firstLine="644"/>
        <w:spacing w:after="0" w:line="241" w:lineRule="auto"/>
        <w:tabs>
          <w:tab w:leader="none" w:pos="1889" w:val="left"/>
        </w:tabs>
        <w:numPr>
          <w:ilvl w:val="1"/>
          <w:numId w:val="258"/>
        </w:numPr>
        <w:rPr>
          <w:rFonts w:ascii="Arial" w:cs="Arial" w:eastAsia="Arial" w:hAnsi="Arial"/>
          <w:sz w:val="22"/>
          <w:szCs w:val="22"/>
          <w:color w:val="auto"/>
        </w:rPr>
      </w:pPr>
      <w:r>
        <w:rPr>
          <w:rFonts w:ascii="Arial" w:cs="Arial" w:eastAsia="Arial" w:hAnsi="Arial"/>
          <w:sz w:val="22"/>
          <w:szCs w:val="22"/>
          <w:color w:val="auto"/>
        </w:rPr>
        <w:t>waives, to the maximum extent not prohibited by law, any right it may have to claim or recover in any legal action or proceeding referred to in this Section any special, exemplary, punitive or consequential damages.</w:t>
      </w:r>
    </w:p>
    <w:p>
      <w:pPr>
        <w:spacing w:after="0" w:line="18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21"/>
          <w:szCs w:val="21"/>
          <w:u w:val="single" w:color="auto"/>
          <w:color w:val="auto"/>
        </w:rPr>
        <w:t>Acknowledgements</w:t>
      </w:r>
      <w:r>
        <w:rPr>
          <w:rFonts w:ascii="Arial" w:cs="Arial" w:eastAsia="Arial" w:hAnsi="Arial"/>
          <w:sz w:val="21"/>
          <w:szCs w:val="21"/>
          <w:color w:val="auto"/>
        </w:rPr>
        <w:t>. The Borrower hereby acknowledges that:</w:t>
      </w:r>
    </w:p>
    <w:p>
      <w:pPr>
        <w:spacing w:after="0" w:line="206" w:lineRule="exact"/>
        <w:rPr>
          <w:sz w:val="20"/>
          <w:szCs w:val="20"/>
          <w:color w:val="auto"/>
        </w:rPr>
      </w:pPr>
    </w:p>
    <w:p>
      <w:pPr>
        <w:ind w:firstLine="656"/>
        <w:spacing w:after="0" w:line="239" w:lineRule="auto"/>
        <w:tabs>
          <w:tab w:leader="none" w:pos="1167" w:val="left"/>
        </w:tabs>
        <w:numPr>
          <w:ilvl w:val="0"/>
          <w:numId w:val="259"/>
        </w:numPr>
        <w:rPr>
          <w:rFonts w:ascii="Arial" w:cs="Arial" w:eastAsia="Arial" w:hAnsi="Arial"/>
          <w:sz w:val="22"/>
          <w:szCs w:val="22"/>
          <w:color w:val="auto"/>
        </w:rPr>
      </w:pPr>
      <w:r>
        <w:rPr>
          <w:rFonts w:ascii="Arial" w:cs="Arial" w:eastAsia="Arial" w:hAnsi="Arial"/>
          <w:sz w:val="22"/>
          <w:szCs w:val="22"/>
          <w:color w:val="auto"/>
        </w:rPr>
        <w:t>it has been advised by counsel in the negotiation, execution and delivery of this Agreement and the other Loan Documents;</w:t>
      </w:r>
    </w:p>
    <w:p>
      <w:pPr>
        <w:spacing w:after="0" w:line="184" w:lineRule="exact"/>
        <w:rPr>
          <w:rFonts w:ascii="Arial" w:cs="Arial" w:eastAsia="Arial" w:hAnsi="Arial"/>
          <w:sz w:val="22"/>
          <w:szCs w:val="22"/>
          <w:color w:val="auto"/>
        </w:rPr>
      </w:pPr>
    </w:p>
    <w:p>
      <w:pPr>
        <w:jc w:val="both"/>
        <w:ind w:firstLine="656"/>
        <w:spacing w:after="0" w:line="241" w:lineRule="auto"/>
        <w:tabs>
          <w:tab w:leader="none" w:pos="1255"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notwithstanding the provisions of this Agreement or any of the other Loan Documents, the Arrangers, Syndication Agent and Documentation Agents shall have no powers, duties, responsibilities or liabilities with respect to this Agreement and the other Loan Documents;</w:t>
      </w:r>
    </w:p>
    <w:p>
      <w:pPr>
        <w:spacing w:after="0" w:line="182" w:lineRule="exact"/>
        <w:rPr>
          <w:rFonts w:ascii="Arial" w:cs="Arial" w:eastAsia="Arial" w:hAnsi="Arial"/>
          <w:sz w:val="22"/>
          <w:szCs w:val="22"/>
          <w:color w:val="auto"/>
        </w:rPr>
      </w:pPr>
    </w:p>
    <w:p>
      <w:pPr>
        <w:ind w:firstLine="656"/>
        <w:spacing w:after="0" w:line="251" w:lineRule="auto"/>
        <w:tabs>
          <w:tab w:leader="none" w:pos="1313" w:val="left"/>
        </w:tabs>
        <w:numPr>
          <w:ilvl w:val="0"/>
          <w:numId w:val="259"/>
        </w:numPr>
        <w:rPr>
          <w:rFonts w:ascii="Arial" w:cs="Arial" w:eastAsia="Arial" w:hAnsi="Arial"/>
          <w:sz w:val="22"/>
          <w:szCs w:val="22"/>
          <w:color w:val="auto"/>
        </w:rPr>
      </w:pPr>
      <w:r>
        <w:rPr>
          <w:rFonts w:ascii="Arial" w:cs="Arial" w:eastAsia="Arial" w:hAnsi="Arial"/>
          <w:sz w:val="22"/>
          <w:szCs w:val="22"/>
          <w:color w:val="auto"/>
        </w:rPr>
        <w:t>the Agent, the Arrangers, the Syndication Agent, the Documentation Agents, the Lenders and their Affiliates may have economic interests that conflict with those of the Borrower; and</w:t>
      </w:r>
    </w:p>
    <w:p>
      <w:pPr>
        <w:spacing w:after="0" w:line="172" w:lineRule="exact"/>
        <w:rPr>
          <w:rFonts w:ascii="Arial" w:cs="Arial" w:eastAsia="Arial" w:hAnsi="Arial"/>
          <w:sz w:val="22"/>
          <w:szCs w:val="22"/>
          <w:color w:val="auto"/>
        </w:rPr>
      </w:pPr>
    </w:p>
    <w:p>
      <w:pPr>
        <w:ind w:firstLine="656"/>
        <w:spacing w:after="0" w:line="251" w:lineRule="auto"/>
        <w:tabs>
          <w:tab w:leader="none" w:pos="1227"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Lenders or among the Borrower and the Lenders</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2"/>
          <w:szCs w:val="22"/>
          <w:color w:val="auto"/>
        </w:rPr>
        <w:t>9.14.</w:t>
      </w:r>
      <w:r>
        <w:rPr>
          <w:sz w:val="20"/>
          <w:szCs w:val="20"/>
          <w:color w:val="auto"/>
        </w:rPr>
        <w:tab/>
      </w:r>
      <w:r>
        <w:rPr>
          <w:rFonts w:ascii="Arial" w:cs="Arial" w:eastAsia="Arial" w:hAnsi="Arial"/>
          <w:sz w:val="21"/>
          <w:szCs w:val="21"/>
          <w:u w:val="single" w:color="auto"/>
          <w:color w:val="auto"/>
        </w:rPr>
        <w:t>Guarantors; Release of Guarantors</w:t>
      </w:r>
      <w:r>
        <w:rPr>
          <w:rFonts w:ascii="Arial" w:cs="Arial" w:eastAsia="Arial" w:hAnsi="Arial"/>
          <w:sz w:val="21"/>
          <w:szCs w:val="21"/>
          <w:color w:val="auto"/>
        </w:rPr>
        <w:t>.</w:t>
      </w:r>
    </w:p>
    <w:p>
      <w:pPr>
        <w:spacing w:after="0" w:line="206" w:lineRule="exact"/>
        <w:rPr>
          <w:sz w:val="20"/>
          <w:szCs w:val="20"/>
          <w:color w:val="auto"/>
        </w:rPr>
      </w:pPr>
    </w:p>
    <w:p>
      <w:pPr>
        <w:jc w:val="both"/>
        <w:ind w:firstLine="656"/>
        <w:spacing w:after="0" w:line="235" w:lineRule="auto"/>
        <w:tabs>
          <w:tab w:leader="none" w:pos="1265"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ectPr>
          <w:pgSz w:w="11900" w:h="16838" w:orient="portrait"/>
          <w:cols w:equalWidth="0" w:num="1">
            <w:col w:w="11240"/>
          </w:cols>
          <w:pgMar w:left="320" w:top="1413" w:right="339" w:bottom="1440" w:gutter="0" w:footer="0" w:header="0"/>
        </w:sectPr>
      </w:pPr>
    </w:p>
    <w:bookmarkStart w:id="299" w:name="page300"/>
    <w:bookmarkEnd w:id="299"/>
    <w:p>
      <w:pPr>
        <w:jc w:val="both"/>
        <w:ind w:firstLine="656"/>
        <w:spacing w:after="0" w:line="241" w:lineRule="auto"/>
        <w:tabs>
          <w:tab w:leader="none" w:pos="1416" w:val="left"/>
        </w:tabs>
        <w:numPr>
          <w:ilvl w:val="1"/>
          <w:numId w:val="261"/>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or in any other Loan Document, the Administrative Agent is hereby irrevocably authorized by each Lender (and each such Lender hereby expressly consents) (without requirement of notice to or consent of any Lender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 9.1(a), including, in each case and without limitation, any sale, transfer or other disposition of any Guarantor (other than to the Borrower or another Guarantor), and (ii) under the circumstances described in paragraph</w:t>
      </w:r>
    </w:p>
    <w:p>
      <w:pPr>
        <w:spacing w:after="0" w:line="6" w:lineRule="exact"/>
        <w:rPr>
          <w:rFonts w:ascii="Arial" w:cs="Arial" w:eastAsia="Arial" w:hAnsi="Arial"/>
          <w:sz w:val="21"/>
          <w:szCs w:val="21"/>
          <w:color w:val="auto"/>
        </w:rPr>
      </w:pPr>
    </w:p>
    <w:p>
      <w:pPr>
        <w:ind w:firstLine="8"/>
        <w:spacing w:after="0" w:line="238" w:lineRule="auto"/>
        <w:tabs>
          <w:tab w:leader="none" w:pos="313" w:val="left"/>
        </w:tabs>
        <w:numPr>
          <w:ilvl w:val="0"/>
          <w:numId w:val="262"/>
        </w:numPr>
        <w:rPr>
          <w:rFonts w:ascii="Arial" w:cs="Arial" w:eastAsia="Arial" w:hAnsi="Arial"/>
          <w:sz w:val="22"/>
          <w:szCs w:val="22"/>
          <w:color w:val="auto"/>
        </w:rPr>
      </w:pPr>
      <w:r>
        <w:rPr>
          <w:rFonts w:ascii="Arial" w:cs="Arial" w:eastAsia="Arial" w:hAnsi="Arial"/>
          <w:sz w:val="22"/>
          <w:szCs w:val="22"/>
          <w:color w:val="auto"/>
        </w:rPr>
        <w:t>below (and, upon the consummation of any such transaction in preceding clause (i) or (ii), such Guarantor shall be released from its obligations hereunder).</w:t>
      </w:r>
    </w:p>
    <w:p>
      <w:pPr>
        <w:spacing w:after="0" w:line="184" w:lineRule="exact"/>
        <w:rPr>
          <w:rFonts w:ascii="Arial" w:cs="Arial" w:eastAsia="Arial" w:hAnsi="Arial"/>
          <w:sz w:val="22"/>
          <w:szCs w:val="22"/>
          <w:color w:val="auto"/>
        </w:rPr>
      </w:pPr>
    </w:p>
    <w:p>
      <w:pPr>
        <w:jc w:val="both"/>
        <w:ind w:firstLine="656"/>
        <w:spacing w:after="0" w:line="235" w:lineRule="auto"/>
        <w:tabs>
          <w:tab w:leader="none" w:pos="1205" w:val="left"/>
        </w:tabs>
        <w:numPr>
          <w:ilvl w:val="1"/>
          <w:numId w:val="26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or in any other Loan Document, the Lenders hereby agree, and the Administrative Agent is hereby irrevocably authorized by each Lender (without requirement of notice to or consent of any Lender)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87" w:lineRule="exact"/>
        <w:rPr>
          <w:rFonts w:ascii="Arial" w:cs="Arial" w:eastAsia="Arial" w:hAnsi="Arial"/>
          <w:sz w:val="22"/>
          <w:szCs w:val="22"/>
          <w:color w:val="auto"/>
        </w:rPr>
      </w:pPr>
    </w:p>
    <w:p>
      <w:pPr>
        <w:ind w:left="1160" w:hanging="504"/>
        <w:spacing w:after="0"/>
        <w:tabs>
          <w:tab w:leader="none" w:pos="1160" w:val="left"/>
        </w:tabs>
        <w:numPr>
          <w:ilvl w:val="1"/>
          <w:numId w:val="262"/>
        </w:numPr>
        <w:rPr>
          <w:rFonts w:ascii="Arial" w:cs="Arial" w:eastAsia="Arial" w:hAnsi="Arial"/>
          <w:sz w:val="22"/>
          <w:szCs w:val="22"/>
          <w:color w:val="auto"/>
        </w:rPr>
      </w:pPr>
      <w:r>
        <w:rPr>
          <w:rFonts w:ascii="Arial" w:cs="Arial" w:eastAsia="Arial" w:hAnsi="Arial"/>
          <w:sz w:val="22"/>
          <w:szCs w:val="22"/>
          <w:color w:val="auto"/>
        </w:rPr>
        <w:t>The Guarantee of the Obligations by any Guarantor will terminate upon:</w:t>
      </w:r>
    </w:p>
    <w:p>
      <w:pPr>
        <w:spacing w:after="0" w:line="192" w:lineRule="exact"/>
        <w:rPr>
          <w:rFonts w:ascii="Arial" w:cs="Arial" w:eastAsia="Arial" w:hAnsi="Arial"/>
          <w:sz w:val="22"/>
          <w:szCs w:val="22"/>
          <w:color w:val="auto"/>
        </w:rPr>
      </w:pPr>
    </w:p>
    <w:p>
      <w:pPr>
        <w:ind w:left="660" w:firstLine="644"/>
        <w:spacing w:after="0" w:line="251" w:lineRule="auto"/>
        <w:tabs>
          <w:tab w:leader="none" w:pos="1741" w:val="left"/>
        </w:tabs>
        <w:numPr>
          <w:ilvl w:val="2"/>
          <w:numId w:val="262"/>
        </w:numPr>
        <w:rPr>
          <w:rFonts w:ascii="Arial" w:cs="Arial" w:eastAsia="Arial" w:hAnsi="Arial"/>
          <w:sz w:val="22"/>
          <w:szCs w:val="22"/>
          <w:color w:val="auto"/>
        </w:rPr>
      </w:pPr>
      <w:r>
        <w:rPr>
          <w:rFonts w:ascii="Arial" w:cs="Arial" w:eastAsia="Arial" w:hAnsi="Arial"/>
          <w:sz w:val="22"/>
          <w:szCs w:val="22"/>
          <w:color w:val="auto"/>
        </w:rPr>
        <w:t>a sale or other disposition (including by way of consolidation or merger) of the Capital Stock of such Guarantor such that such Guarantor is no longer a Restricted Subsidiary of the Borrower; and</w:t>
      </w:r>
    </w:p>
    <w:p>
      <w:pPr>
        <w:spacing w:after="0" w:line="172" w:lineRule="exact"/>
        <w:rPr>
          <w:rFonts w:ascii="Arial" w:cs="Arial" w:eastAsia="Arial" w:hAnsi="Arial"/>
          <w:sz w:val="22"/>
          <w:szCs w:val="22"/>
          <w:color w:val="auto"/>
        </w:rPr>
      </w:pPr>
    </w:p>
    <w:p>
      <w:pPr>
        <w:jc w:val="both"/>
        <w:ind w:left="660" w:firstLine="644"/>
        <w:spacing w:after="0" w:line="241" w:lineRule="auto"/>
        <w:tabs>
          <w:tab w:leader="none" w:pos="1924" w:val="left"/>
        </w:tabs>
        <w:numPr>
          <w:ilvl w:val="2"/>
          <w:numId w:val="262"/>
        </w:numPr>
        <w:rPr>
          <w:rFonts w:ascii="Arial" w:cs="Arial" w:eastAsia="Arial" w:hAnsi="Arial"/>
          <w:sz w:val="22"/>
          <w:szCs w:val="22"/>
          <w:color w:val="auto"/>
        </w:rPr>
      </w:pPr>
      <w:r>
        <w:rPr>
          <w:rFonts w:ascii="Arial" w:cs="Arial" w:eastAsia="Arial" w:hAnsi="Arial"/>
          <w:sz w:val="22"/>
          <w:szCs w:val="22"/>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183" w:lineRule="exact"/>
        <w:rPr>
          <w:sz w:val="20"/>
          <w:szCs w:val="20"/>
          <w:color w:val="auto"/>
        </w:rPr>
      </w:pPr>
    </w:p>
    <w:p>
      <w:pPr>
        <w:ind w:hanging="44"/>
        <w:spacing w:after="0" w:line="251" w:lineRule="auto"/>
        <w:rPr>
          <w:sz w:val="20"/>
          <w:szCs w:val="20"/>
          <w:color w:val="auto"/>
        </w:rPr>
      </w:pPr>
      <w:r>
        <w:rPr>
          <w:rFonts w:ascii="Arial" w:cs="Arial" w:eastAsia="Arial" w:hAnsi="Arial"/>
          <w:sz w:val="22"/>
          <w:szCs w:val="22"/>
          <w:color w:val="auto"/>
        </w:rPr>
        <w:t>The Administrative Agent will execute any documents reasonably required in order to evidence the release of any Guarantor from its obligations under its Guarantee pursuant to the foregoing.</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9.15. </w:t>
      </w:r>
      <w:r>
        <w:rPr>
          <w:rFonts w:ascii="Arial" w:cs="Arial" w:eastAsia="Arial" w:hAnsi="Arial"/>
          <w:sz w:val="22"/>
          <w:szCs w:val="22"/>
          <w:u w:val="single" w:color="auto"/>
          <w:color w:val="auto"/>
        </w:rPr>
        <w:t>Confidentiality</w:t>
      </w:r>
      <w:r>
        <w:rPr>
          <w:rFonts w:ascii="Arial" w:cs="Arial" w:eastAsia="Arial" w:hAnsi="Arial"/>
          <w:sz w:val="22"/>
          <w:szCs w:val="22"/>
          <w:color w:val="auto"/>
        </w:rPr>
        <w:t>. Each Agent, each Arranger and each Lender agrees to keep confidential all non-public information provided to it by any Loan Party, the Administrative Agent or any Lender pursuant to or in connection with this Agreement; provided that nothing herein shall prevent any Agent, any Arranger, any Lender from disclosing any such information (a) to the Administrative Agent, any other Lender or any affiliate thereof (so long as such affiliate agrees to be bound by the provisions of this Section 9.15), (b) subject to an agreement to comply with provisions no less restrictive than this Section 9.15, or to any actual or prospective Transferee (or any professional advisor to such counterparty), (c) to its employees, directors, officers, agents, attorneys, accountants, partners and other professional advisors (including insurance brokers) or those of any of its affiliates, (d) upon the request or demand, or in accordance with the</w:t>
      </w:r>
    </w:p>
    <w:p>
      <w:pPr>
        <w:sectPr>
          <w:pgSz w:w="11900" w:h="16838" w:orient="portrait"/>
          <w:cols w:equalWidth="0" w:num="1">
            <w:col w:w="11240"/>
          </w:cols>
          <w:pgMar w:left="320" w:top="1413" w:right="339" w:bottom="1440" w:gutter="0" w:footer="0" w:header="0"/>
        </w:sectPr>
      </w:pPr>
    </w:p>
    <w:bookmarkStart w:id="300" w:name="page301"/>
    <w:bookmarkEnd w:id="300"/>
    <w:p>
      <w:pPr>
        <w:jc w:val="both"/>
        <w:spacing w:after="0" w:line="231" w:lineRule="auto"/>
        <w:rPr>
          <w:sz w:val="20"/>
          <w:szCs w:val="20"/>
          <w:color w:val="auto"/>
        </w:rPr>
      </w:pPr>
      <w:r>
        <w:rPr>
          <w:rFonts w:ascii="Arial" w:cs="Arial" w:eastAsia="Arial" w:hAnsi="Arial"/>
          <w:sz w:val="22"/>
          <w:szCs w:val="22"/>
          <w:color w:val="auto"/>
        </w:rPr>
        <w:t>requirements (including reporting requirements), of any Governmental Authority having jurisdiction over such Lender, provided that to the extent permitted by law, such Lender shall promptly notify the applicable Loan Party of such disclosure (except with respect to any audit or examination conducted by bank accountants or any governmental bank authority exercising examination or regulatory authority), in response to any order of any court or other Governmental Authority or as may otherwise be required pursuant to any Requirement of Law or other legal process, provided that to the extent permitted by law, such Lender shall promptly notify the applicable Loan Party of such disclosure (except with respect to any audit or examination conducted by bank accountants or any governmental bank authority exercising examination or regulatory authority), (e) if requested or required to do so in connection with any litigation or similar proceeding; provided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19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and, if documents required to be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w:t>
      </w:r>
    </w:p>
    <w:p>
      <w:pPr>
        <w:sectPr>
          <w:pgSz w:w="11900" w:h="16838" w:orient="portrait"/>
          <w:cols w:equalWidth="0" w:num="1">
            <w:col w:w="11240"/>
          </w:cols>
          <w:pgMar w:left="320" w:top="1413" w:right="339" w:bottom="1440" w:gutter="0" w:footer="0" w:header="0"/>
        </w:sectPr>
      </w:pPr>
    </w:p>
    <w:bookmarkStart w:id="301" w:name="page302"/>
    <w:bookmarkEnd w:id="301"/>
    <w:p>
      <w:pPr>
        <w:jc w:val="both"/>
        <w:spacing w:after="0" w:line="241" w:lineRule="auto"/>
        <w:rPr>
          <w:sz w:val="20"/>
          <w:szCs w:val="20"/>
          <w:color w:val="auto"/>
        </w:rPr>
      </w:pPr>
      <w:r>
        <w:rPr>
          <w:rFonts w:ascii="Arial" w:cs="Arial" w:eastAsia="Arial" w:hAnsi="Arial"/>
          <w:sz w:val="22"/>
          <w:szCs w:val="22"/>
          <w:color w:val="auto"/>
        </w:rPr>
        <w:t>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9.16. </w:t>
      </w:r>
      <w:r>
        <w:rPr>
          <w:rFonts w:ascii="Arial" w:cs="Arial" w:eastAsia="Arial" w:hAnsi="Arial"/>
          <w:sz w:val="22"/>
          <w:szCs w:val="22"/>
          <w:u w:val="single" w:color="auto"/>
          <w:color w:val="auto"/>
        </w:rPr>
        <w:t>WAIVERS OF JURY TRIAL.</w:t>
      </w:r>
      <w:r>
        <w:rPr>
          <w:rFonts w:ascii="Arial" w:cs="Arial" w:eastAsia="Arial" w:hAnsi="Arial"/>
          <w:sz w:val="22"/>
          <w:szCs w:val="22"/>
          <w:color w:val="auto"/>
        </w:rPr>
        <w:t xml:space="preserve"> THE BORROWER, THE ADMINISTRATIVE AGENT, THE SUSTAINABILITY STRUCTURING AGENT AND THE LENDERS HEREBY IRREVOCABLY AND UNCONDITIONALLY WAIVE TRIAL BY JURY IN ANY LEGAL ACTION OR PROCEEDING RELATING TO THIS AGREEMENT OR ANY OTHER LOAN DOCUMENT AND FOR ANY COUNTERCLAIM THEREIN.</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9.17. </w:t>
      </w:r>
      <w:r>
        <w:rPr>
          <w:rFonts w:ascii="Arial" w:cs="Arial" w:eastAsia="Arial" w:hAnsi="Arial"/>
          <w:sz w:val="22"/>
          <w:szCs w:val="22"/>
          <w:u w:val="single" w:color="auto"/>
          <w:color w:val="auto"/>
        </w:rPr>
        <w:t>Patriot Act</w:t>
      </w:r>
      <w:r>
        <w:rPr>
          <w:rFonts w:ascii="Arial" w:cs="Arial" w:eastAsia="Arial" w:hAnsi="Arial"/>
          <w:sz w:val="22"/>
          <w:szCs w:val="22"/>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19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 xml:space="preserve">9.18. </w:t>
      </w:r>
      <w:r>
        <w:rPr>
          <w:rFonts w:ascii="Arial" w:cs="Arial" w:eastAsia="Arial" w:hAnsi="Arial"/>
          <w:sz w:val="22"/>
          <w:szCs w:val="22"/>
          <w:u w:val="single" w:color="auto"/>
          <w:color w:val="auto"/>
        </w:rPr>
        <w:t>No Fiduciary Duty</w:t>
      </w:r>
      <w:r>
        <w:rPr>
          <w:rFonts w:ascii="Arial" w:cs="Arial" w:eastAsia="Arial" w:hAnsi="Arial"/>
          <w:sz w:val="22"/>
          <w:szCs w:val="22"/>
          <w:color w:val="auto"/>
        </w:rPr>
        <w:t>. Each Agent, each Lender, the Arrangers, the Syndication Agent, the Documentation Agents and their respective Affiliates (collectively, solely for purposes of this paragraph, the “Lenders”) may have economic interests that conflict with those of the Borrower, its stockholders and/or its 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Syndication Agent and Documentation Agents identified on the cover page or signature pages of this Agreement shall have any rights, powers, obligations, liabilities, responsibilities or duties under this Agreement or any of the other</w:t>
      </w:r>
    </w:p>
    <w:p>
      <w:pPr>
        <w:sectPr>
          <w:pgSz w:w="11900" w:h="16838" w:orient="portrait"/>
          <w:cols w:equalWidth="0" w:num="1">
            <w:col w:w="11240"/>
          </w:cols>
          <w:pgMar w:left="320" w:top="1413" w:right="339" w:bottom="1440" w:gutter="0" w:footer="0" w:header="0"/>
        </w:sectPr>
      </w:pPr>
    </w:p>
    <w:bookmarkStart w:id="302" w:name="page303"/>
    <w:bookmarkEnd w:id="302"/>
    <w:p>
      <w:pPr>
        <w:jc w:val="both"/>
        <w:spacing w:after="0" w:line="238" w:lineRule="auto"/>
        <w:rPr>
          <w:sz w:val="20"/>
          <w:szCs w:val="20"/>
          <w:color w:val="auto"/>
        </w:rPr>
      </w:pPr>
      <w:r>
        <w:rPr>
          <w:rFonts w:ascii="Arial" w:cs="Arial" w:eastAsia="Arial" w:hAnsi="Arial"/>
          <w:sz w:val="22"/>
          <w:szCs w:val="22"/>
          <w:color w:val="auto"/>
        </w:rPr>
        <w:t>Loan Documents, except in its capacity, as applicable, as a Lender hereunder. Without limiting any other provision of this Article, none of such Arrangers, Syndication Agent and Documentation Agents in their respective capacities as such shall have or be deemed to have any fiduciary relationship with any Lender, the Administrative Agent or any other Person by reason of this Agreement or any other Loan Document.</w:t>
      </w:r>
    </w:p>
    <w:p>
      <w:pPr>
        <w:spacing w:after="0" w:line="18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9.19.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jc w:val="both"/>
        <w:ind w:firstLine="656"/>
        <w:spacing w:after="0" w:line="241" w:lineRule="auto"/>
        <w:tabs>
          <w:tab w:leader="none" w:pos="1194"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2" w:lineRule="exact"/>
        <w:rPr>
          <w:rFonts w:ascii="Arial" w:cs="Arial" w:eastAsia="Arial" w:hAnsi="Arial"/>
          <w:sz w:val="22"/>
          <w:szCs w:val="22"/>
          <w:color w:val="auto"/>
        </w:rPr>
      </w:pPr>
    </w:p>
    <w:p>
      <w:pPr>
        <w:ind w:left="1160" w:hanging="504"/>
        <w:spacing w:after="0"/>
        <w:tabs>
          <w:tab w:leader="none" w:pos="1160"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1800" w:hanging="496"/>
        <w:spacing w:after="0"/>
        <w:tabs>
          <w:tab w:leader="none" w:pos="1800" w:val="left"/>
        </w:tabs>
        <w:numPr>
          <w:ilvl w:val="1"/>
          <w:numId w:val="263"/>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660" w:firstLine="644"/>
        <w:spacing w:after="0" w:line="235" w:lineRule="auto"/>
        <w:tabs>
          <w:tab w:leader="none" w:pos="1877" w:val="left"/>
        </w:tabs>
        <w:numPr>
          <w:ilvl w:val="1"/>
          <w:numId w:val="263"/>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3" w:lineRule="exact"/>
        <w:rPr>
          <w:rFonts w:ascii="Arial" w:cs="Arial" w:eastAsia="Arial" w:hAnsi="Arial"/>
          <w:sz w:val="22"/>
          <w:szCs w:val="22"/>
          <w:color w:val="auto"/>
        </w:rPr>
      </w:pPr>
    </w:p>
    <w:p>
      <w:pPr>
        <w:ind w:left="660" w:firstLine="644"/>
        <w:spacing w:after="0" w:line="251" w:lineRule="auto"/>
        <w:tabs>
          <w:tab w:leader="none" w:pos="1889" w:val="left"/>
        </w:tabs>
        <w:numPr>
          <w:ilvl w:val="1"/>
          <w:numId w:val="263"/>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9.20. </w:t>
      </w:r>
      <w:r>
        <w:rPr>
          <w:rFonts w:ascii="Arial" w:cs="Arial" w:eastAsia="Arial" w:hAnsi="Arial"/>
          <w:sz w:val="22"/>
          <w:szCs w:val="22"/>
          <w:u w:val="single" w:color="auto"/>
          <w:color w:val="auto"/>
        </w:rPr>
        <w:t>Interest Rate Limitations</w:t>
      </w:r>
      <w:r>
        <w:rPr>
          <w:rFonts w:ascii="Arial" w:cs="Arial" w:eastAsia="Arial" w:hAnsi="Arial"/>
          <w:sz w:val="22"/>
          <w:szCs w:val="22"/>
          <w:color w:val="auto"/>
        </w:rPr>
        <w:t xml:space="preserve"> . Notwithstanding anything herein to the contrary, if at any time the interest rate applicable to any Term Loan, together with all Charges, shall exceed the maximum lawful rate (the “Maximum Rate”) which may be contracted for, charged, taken, received or reserved by the Lender holding such Term Loan in accordance with applicable law, the rate of interest payable in respect of such Term Loan, together with all Charges payable in respect thereof, shall be limited to the Maximum Rate and, to the extent lawful, the interest and Charges that would have been payable in respect of such Term Loan but were not payable as a result of the operation of this Section 9.20 shall be cumulated and the interest and Charges payable to such Lender in respect of other Term Loans or periods shall be increased (but not above the Maximum Rate therefor) until such cumulated amount, together with interest thereon at the Federal Funds Effective Rate to the date of repayment, shall have been received by such Lender.</w:t>
      </w:r>
    </w:p>
    <w:p>
      <w:pPr>
        <w:sectPr>
          <w:pgSz w:w="11900" w:h="16838" w:orient="portrait"/>
          <w:cols w:equalWidth="0" w:num="1">
            <w:col w:w="11240"/>
          </w:cols>
          <w:pgMar w:left="320" w:top="1413" w:right="339" w:bottom="1440" w:gutter="0" w:footer="0" w:header="0"/>
        </w:sectPr>
      </w:pPr>
    </w:p>
    <w:bookmarkStart w:id="303" w:name="page304"/>
    <w:bookmarkEnd w:id="303"/>
    <w:p>
      <w:pPr>
        <w:jc w:val="both"/>
        <w:ind w:firstLine="648"/>
        <w:spacing w:after="0" w:line="236" w:lineRule="auto"/>
        <w:rPr>
          <w:sz w:val="20"/>
          <w:szCs w:val="20"/>
          <w:color w:val="auto"/>
        </w:rPr>
      </w:pPr>
      <w:r>
        <w:rPr>
          <w:rFonts w:ascii="Arial" w:cs="Arial" w:eastAsia="Arial" w:hAnsi="Arial"/>
          <w:sz w:val="22"/>
          <w:szCs w:val="22"/>
          <w:color w:val="auto"/>
        </w:rPr>
        <w:t xml:space="preserve">9.21.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In connection with the termination of the Existing Credit Agreement, the Borrower’s repayment of outstanding eurodollar loans under the Existing Credit Agreement is on a day that is not the last day of an Interest Period (as defined in the Existing Credit Agreement). Each Lender that is a party to the Existing Credit Agreement hereby waives its rights to indemnification and payment under clause (c) of the first sentence of Section 2.20 of the Existing Credit Agreement.</w:t>
      </w:r>
    </w:p>
    <w:p>
      <w:pPr>
        <w:sectPr>
          <w:pgSz w:w="11900" w:h="16838" w:orient="portrait"/>
          <w:cols w:equalWidth="0" w:num="1">
            <w:col w:w="11240"/>
          </w:cols>
          <w:pgMar w:left="320" w:top="1413" w:right="339" w:bottom="1440" w:gutter="0" w:footer="0" w:header="0"/>
        </w:sectPr>
      </w:pPr>
    </w:p>
    <w:bookmarkStart w:id="304" w:name="page305"/>
    <w:bookmarkEnd w:id="304"/>
    <w:p>
      <w:pPr>
        <w:spacing w:after="0" w:line="251" w:lineRule="auto"/>
        <w:rPr>
          <w:sz w:val="20"/>
          <w:szCs w:val="20"/>
          <w:color w:val="auto"/>
        </w:rPr>
      </w:pPr>
      <w:r>
        <w:rPr>
          <w:rFonts w:ascii="Arial" w:cs="Arial" w:eastAsia="Arial" w:hAnsi="Arial"/>
          <w:sz w:val="22"/>
          <w:szCs w:val="22"/>
          <w:color w:val="auto"/>
        </w:rPr>
        <w:t>IN WITNESS HEREOF, the parties hereto have caused this Agreement to be duly executed as of the day and the year first written.</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BORROWER: MICRON TECHNOLOGY,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ind w:left="3240"/>
        <w:spacing w:after="0" w:line="236" w:lineRule="auto"/>
        <w:rPr>
          <w:sz w:val="20"/>
          <w:szCs w:val="20"/>
          <w:color w:val="auto"/>
        </w:rPr>
      </w:pPr>
      <w:r>
        <w:rPr>
          <w:rFonts w:ascii="Arial" w:cs="Arial" w:eastAsia="Arial" w:hAnsi="Arial"/>
          <w:sz w:val="22"/>
          <w:szCs w:val="22"/>
          <w:color w:val="auto"/>
        </w:rPr>
        <w:t>Name:</w:t>
      </w: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[Signature Page to Micron Technology, Inc. Credit Agreement]</w:t>
      </w:r>
    </w:p>
    <w:p>
      <w:pPr>
        <w:sectPr>
          <w:pgSz w:w="11900" w:h="16838" w:orient="portrait"/>
          <w:cols w:equalWidth="0" w:num="1">
            <w:col w:w="10800"/>
          </w:cols>
          <w:pgMar w:left="320" w:top="1413" w:right="779" w:bottom="1440" w:gutter="0" w:footer="0" w:header="0"/>
        </w:sectPr>
      </w:pPr>
    </w:p>
    <w:bookmarkStart w:id="305" w:name="page306"/>
    <w:bookmarkEnd w:id="305"/>
    <w:p>
      <w:pPr>
        <w:ind w:left="2120" w:right="1819"/>
        <w:spacing w:after="0" w:line="301" w:lineRule="auto"/>
        <w:rPr>
          <w:sz w:val="20"/>
          <w:szCs w:val="20"/>
          <w:color w:val="auto"/>
        </w:rPr>
      </w:pPr>
      <w:r>
        <w:rPr>
          <w:rFonts w:ascii="Arial" w:cs="Arial" w:eastAsia="Arial" w:hAnsi="Arial"/>
          <w:sz w:val="21"/>
          <w:szCs w:val="21"/>
          <w:b w:val="1"/>
          <w:bCs w:val="1"/>
          <w:color w:val="auto"/>
        </w:rPr>
        <w:t>WELLS FARGO BANK, NATIONAL ASSOCIATION, as Administrative Agent and a Lender</w:t>
      </w:r>
    </w:p>
    <w:p>
      <w:pPr>
        <w:spacing w:after="0" w:line="200" w:lineRule="exact"/>
        <w:rPr>
          <w:sz w:val="20"/>
          <w:szCs w:val="20"/>
          <w:color w:val="auto"/>
        </w:rPr>
      </w:pPr>
    </w:p>
    <w:p>
      <w:pPr>
        <w:spacing w:after="0" w:line="3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ind w:left="2780"/>
        <w:spacing w:after="0" w:line="236" w:lineRule="auto"/>
        <w:rPr>
          <w:sz w:val="20"/>
          <w:szCs w:val="20"/>
          <w:color w:val="auto"/>
        </w:rPr>
      </w:pPr>
      <w:r>
        <w:rPr>
          <w:rFonts w:ascii="Arial" w:cs="Arial" w:eastAsia="Arial" w:hAnsi="Arial"/>
          <w:sz w:val="22"/>
          <w:szCs w:val="22"/>
          <w:color w:val="auto"/>
        </w:rPr>
        <w:t>Name:</w:t>
      </w: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Micron Technology, Inc. Credit Agreement]</w:t>
      </w:r>
    </w:p>
    <w:p>
      <w:pPr>
        <w:sectPr>
          <w:pgSz w:w="11900" w:h="16838" w:orient="portrait"/>
          <w:cols w:equalWidth="0" w:num="1">
            <w:col w:w="9019"/>
          </w:cols>
          <w:pgMar w:left="1440" w:top="1403" w:right="1440" w:bottom="1440" w:gutter="0" w:footer="0" w:header="0"/>
        </w:sectPr>
      </w:pPr>
    </w:p>
    <w:bookmarkStart w:id="306" w:name="page307"/>
    <w:bookmarkEnd w:id="306"/>
    <w:p>
      <w:pPr>
        <w:ind w:left="2120"/>
        <w:spacing w:after="0"/>
        <w:rPr>
          <w:sz w:val="20"/>
          <w:szCs w:val="20"/>
          <w:color w:val="auto"/>
        </w:rPr>
      </w:pPr>
      <w:r>
        <w:rPr>
          <w:rFonts w:ascii="Arial" w:cs="Arial" w:eastAsia="Arial" w:hAnsi="Arial"/>
          <w:sz w:val="22"/>
          <w:szCs w:val="22"/>
          <w:b w:val="1"/>
          <w:bCs w:val="1"/>
          <w:color w:val="auto"/>
        </w:rPr>
        <w:t>[●],</w:t>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w:t>
      </w:r>
    </w:p>
    <w:p>
      <w:pPr>
        <w:ind w:left="2120"/>
        <w:spacing w:after="0" w:line="236" w:lineRule="auto"/>
        <w:rPr>
          <w:sz w:val="20"/>
          <w:szCs w:val="20"/>
          <w:color w:val="auto"/>
        </w:rPr>
      </w:pPr>
      <w:r>
        <w:rPr>
          <w:rFonts w:ascii="Arial" w:cs="Arial" w:eastAsia="Arial" w:hAnsi="Arial"/>
          <w:sz w:val="22"/>
          <w:szCs w:val="22"/>
          <w:color w:val="auto"/>
        </w:rPr>
        <w:t>Name:</w:t>
      </w:r>
    </w:p>
    <w:p>
      <w:pPr>
        <w:ind w:left="2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 Page to Micron Technology, Inc. Credit Agreement]</w:t>
      </w:r>
    </w:p>
    <w:p>
      <w:pPr>
        <w:sectPr>
          <w:pgSz w:w="11900" w:h="16838" w:orient="portrait"/>
          <w:cols w:equalWidth="0" w:num="1">
            <w:col w:w="9019"/>
          </w:cols>
          <w:pgMar w:left="1440" w:top="1403" w:right="1440" w:bottom="1440" w:gutter="0" w:footer="0" w:header="0"/>
        </w:sectPr>
      </w:pPr>
    </w:p>
    <w:bookmarkStart w:id="307" w:name="page308"/>
    <w:bookmarkEnd w:id="307"/>
    <w:p>
      <w:pPr>
        <w:spacing w:after="0"/>
        <w:rPr>
          <w:sz w:val="20"/>
          <w:szCs w:val="20"/>
          <w:color w:val="auto"/>
        </w:rPr>
      </w:pPr>
      <w:r>
        <w:rPr>
          <w:rFonts w:ascii="Arial" w:cs="Arial" w:eastAsia="Arial" w:hAnsi="Arial"/>
          <w:sz w:val="22"/>
          <w:szCs w:val="22"/>
          <w:b w:val="1"/>
          <w:bCs w:val="1"/>
          <w:color w:val="auto"/>
        </w:rPr>
        <w:t>SCHEDULE 1.3- Sustainability Performance Thresholds</w:t>
      </w:r>
    </w:p>
    <w:p>
      <w:pPr>
        <w:spacing w:after="0" w:line="216" w:lineRule="exact"/>
        <w:rPr>
          <w:sz w:val="20"/>
          <w:szCs w:val="20"/>
          <w:color w:val="auto"/>
        </w:rPr>
      </w:pPr>
    </w:p>
    <w:p>
      <w:pPr>
        <w:jc w:val="right"/>
        <w:ind w:right="4079"/>
        <w:spacing w:after="0"/>
        <w:rPr>
          <w:sz w:val="20"/>
          <w:szCs w:val="20"/>
          <w:color w:val="auto"/>
        </w:rPr>
      </w:pPr>
      <w:r>
        <w:rPr>
          <w:rFonts w:ascii="Arial" w:cs="Arial" w:eastAsia="Arial" w:hAnsi="Arial"/>
          <w:sz w:val="22"/>
          <w:szCs w:val="22"/>
          <w:color w:val="auto"/>
        </w:rPr>
        <w:t>[Omitted]</w:t>
      </w:r>
    </w:p>
    <w:p>
      <w:pPr>
        <w:sectPr>
          <w:pgSz w:w="11900" w:h="16838" w:orient="portrait"/>
          <w:cols w:equalWidth="0" w:num="1">
            <w:col w:w="10139"/>
          </w:cols>
          <w:pgMar w:left="320" w:top="1403" w:right="1440"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21"/>
          <w:szCs w:val="21"/>
          <w:color w:val="auto"/>
        </w:rPr>
        <w:t>EXHIBIT B</w:t>
      </w:r>
    </w:p>
    <w:p>
      <w:pPr>
        <w:sectPr>
          <w:pgSz w:w="11900" w:h="16838" w:orient="portrait"/>
          <w:cols w:equalWidth="0" w:num="1">
            <w:col w:w="9019"/>
          </w:cols>
          <w:pgMar w:left="1440" w:top="1413"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[Omitted]</w:t>
      </w:r>
    </w:p>
    <w:p>
      <w:pPr>
        <w:sectPr>
          <w:pgSz w:w="11900" w:h="16838" w:orient="portrait"/>
          <w:cols w:equalWidth="0" w:num="1">
            <w:col w:w="9019"/>
          </w:cols>
          <w:pgMar w:left="1440" w:top="1413" w:right="1440" w:bottom="1440" w:gutter="0" w:footer="0" w:header="0"/>
          <w:type w:val="continuous"/>
        </w:sectPr>
      </w:pPr>
    </w:p>
    <w:bookmarkStart w:id="309" w:name="page310"/>
    <w:bookmarkEnd w:id="309"/>
    <w:p>
      <w:pPr>
        <w:jc w:val="center"/>
        <w:spacing w:after="0"/>
        <w:rPr>
          <w:sz w:val="20"/>
          <w:szCs w:val="20"/>
          <w:color w:val="auto"/>
        </w:rPr>
      </w:pPr>
      <w:r>
        <w:rPr>
          <w:rFonts w:ascii="Arial" w:cs="Arial" w:eastAsia="Arial" w:hAnsi="Arial"/>
          <w:sz w:val="21"/>
          <w:szCs w:val="21"/>
          <w:color w:val="auto"/>
        </w:rPr>
        <w:t>EXHIBIT C</w:t>
      </w:r>
    </w:p>
    <w:p>
      <w:pPr>
        <w:sectPr>
          <w:pgSz w:w="11900" w:h="16838" w:orient="portrait"/>
          <w:cols w:equalWidth="0" w:num="1">
            <w:col w:w="9019"/>
          </w:cols>
          <w:pgMar w:left="1440" w:top="1413"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[Omitted]</w:t>
      </w:r>
    </w:p>
    <w:p>
      <w:pPr>
        <w:sectPr>
          <w:pgSz w:w="11900" w:h="16838" w:orient="portrait"/>
          <w:cols w:equalWidth="0" w:num="1">
            <w:col w:w="9019"/>
          </w:cols>
          <w:pgMar w:left="1440" w:top="1413" w:right="1440" w:bottom="1440" w:gutter="0" w:footer="0" w:header="0"/>
          <w:type w:val="continuous"/>
        </w:sectPr>
      </w:pPr>
    </w:p>
    <w:bookmarkStart w:id="310" w:name="page311"/>
    <w:bookmarkEnd w:id="310"/>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40" w:hanging="332"/>
        <w:spacing w:after="0"/>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120" w:hanging="332"/>
        <w:spacing w:after="0" w:line="306" w:lineRule="auto"/>
        <w:tabs>
          <w:tab w:leader="none" w:pos="3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160" w:hanging="332"/>
        <w:spacing w:after="0" w:line="272" w:lineRule="auto"/>
        <w:tabs>
          <w:tab w:leader="none" w:pos="34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ind w:left="660" w:right="60" w:hanging="328"/>
        <w:spacing w:after="0" w:line="263" w:lineRule="auto"/>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660" w:right="400" w:hanging="328"/>
        <w:spacing w:after="0" w:line="263" w:lineRule="auto"/>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660" w:right="260" w:hanging="328"/>
        <w:spacing w:after="0" w:line="306" w:lineRule="auto"/>
        <w:tabs>
          <w:tab w:leader="none" w:pos="660" w:val="left"/>
        </w:tabs>
        <w:numPr>
          <w:ilvl w:val="1"/>
          <w:numId w:val="26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660" w:right="500" w:hanging="328"/>
        <w:spacing w:after="0" w:line="275" w:lineRule="auto"/>
        <w:tabs>
          <w:tab w:leader="none" w:pos="66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80"/>
        <w:spacing w:after="0"/>
        <w:tabs>
          <w:tab w:leader="none" w:pos="1220" w:val="left"/>
          <w:tab w:leader="none" w:pos="5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29,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13970</wp:posOffset>
            </wp:positionV>
            <wp:extent cx="33178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317875" cy="8890"/>
                    </a:xfrm>
                    <a:prstGeom prst="rect">
                      <a:avLst/>
                    </a:prstGeom>
                    <a:noFill/>
                  </pic:spPr>
                </pic:pic>
              </a:graphicData>
            </a:graphic>
          </wp:anchor>
        </w:drawing>
      </w:r>
    </w:p>
    <w:p>
      <w:pPr>
        <w:spacing w:after="0" w:line="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4"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40" w:hanging="332"/>
        <w:spacing w:after="0"/>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60" w:hanging="332"/>
        <w:spacing w:after="0" w:line="263" w:lineRule="auto"/>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120" w:hanging="332"/>
        <w:spacing w:after="0" w:line="306" w:lineRule="auto"/>
        <w:tabs>
          <w:tab w:leader="none" w:pos="3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340" w:right="160" w:hanging="332"/>
        <w:spacing w:after="0" w:line="272" w:lineRule="auto"/>
        <w:tabs>
          <w:tab w:leader="none" w:pos="34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9" w:lineRule="exact"/>
        <w:rPr>
          <w:rFonts w:ascii="Arial" w:cs="Arial" w:eastAsia="Arial" w:hAnsi="Arial"/>
          <w:sz w:val="17"/>
          <w:szCs w:val="17"/>
          <w:color w:val="auto"/>
        </w:rPr>
      </w:pPr>
    </w:p>
    <w:p>
      <w:pPr>
        <w:ind w:left="660" w:right="60" w:hanging="328"/>
        <w:spacing w:after="0" w:line="263" w:lineRule="auto"/>
        <w:tabs>
          <w:tab w:leader="none" w:pos="6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80" w:hanging="328"/>
        <w:spacing w:after="0" w:line="263" w:lineRule="auto"/>
        <w:tabs>
          <w:tab w:leader="none" w:pos="6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660" w:right="400" w:hanging="328"/>
        <w:spacing w:after="0" w:line="263" w:lineRule="auto"/>
        <w:tabs>
          <w:tab w:leader="none" w:pos="6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40" w:hanging="332"/>
        <w:spacing w:after="0" w:line="263" w:lineRule="auto"/>
        <w:tabs>
          <w:tab w:leader="none" w:pos="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660" w:right="260" w:hanging="328"/>
        <w:spacing w:after="0" w:line="306" w:lineRule="auto"/>
        <w:tabs>
          <w:tab w:leader="none" w:pos="66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660" w:right="500" w:hanging="328"/>
        <w:spacing w:after="0" w:line="275" w:lineRule="auto"/>
        <w:tabs>
          <w:tab w:leader="none" w:pos="66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ind w:left="40"/>
        <w:spacing w:after="0"/>
        <w:tabs>
          <w:tab w:leader="none" w:pos="700" w:val="left"/>
          <w:tab w:leader="none" w:pos="5640" w:val="left"/>
        </w:tabs>
        <w:rPr>
          <w:sz w:val="20"/>
          <w:szCs w:val="20"/>
          <w:color w:val="auto"/>
        </w:rPr>
      </w:pPr>
      <w:r>
        <w:rPr>
          <w:rFonts w:ascii="Arial" w:cs="Arial" w:eastAsia="Arial" w:hAnsi="Arial"/>
          <w:sz w:val="18"/>
          <w:szCs w:val="18"/>
          <w:color w:val="auto"/>
        </w:rPr>
        <w:t>Date:</w:t>
        <w:tab/>
        <w:t>June 29,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13970</wp:posOffset>
            </wp:positionV>
            <wp:extent cx="3549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Mark Murphy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4" w:right="339" w:bottom="1440" w:gutter="0" w:footer="0" w:header="0"/>
        </w:sectPr>
      </w:pPr>
    </w:p>
    <w:bookmarkStart w:id="312" w:name="page313"/>
    <w:bookmarkEnd w:id="312"/>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June 1,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76" w:lineRule="exact"/>
        <w:rPr>
          <w:sz w:val="20"/>
          <w:szCs w:val="20"/>
          <w:color w:val="auto"/>
        </w:rPr>
      </w:pPr>
    </w:p>
    <w:p>
      <w:pPr>
        <w:ind w:left="20"/>
        <w:spacing w:after="0"/>
        <w:tabs>
          <w:tab w:leader="none" w:pos="680" w:val="left"/>
          <w:tab w:leader="none" w:pos="5580" w:val="left"/>
        </w:tabs>
        <w:rPr>
          <w:sz w:val="20"/>
          <w:szCs w:val="20"/>
          <w:color w:val="auto"/>
        </w:rPr>
      </w:pPr>
      <w:r>
        <w:rPr>
          <w:rFonts w:ascii="Arial" w:cs="Arial" w:eastAsia="Arial" w:hAnsi="Arial"/>
          <w:sz w:val="18"/>
          <w:szCs w:val="18"/>
          <w:color w:val="auto"/>
        </w:rPr>
        <w:t>Date:</w:t>
        <w:tab/>
        <w:t>June 29, 2023</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13970</wp:posOffset>
            </wp:positionV>
            <wp:extent cx="35490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4"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June 1, 2023,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76" w:lineRule="exact"/>
        <w:rPr>
          <w:sz w:val="20"/>
          <w:szCs w:val="20"/>
          <w:color w:val="auto"/>
        </w:rPr>
      </w:pPr>
    </w:p>
    <w:p>
      <w:pPr>
        <w:ind w:left="2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June 29, 2023</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490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1)"/>
      <w:numFmt w:val="decimal"/>
      <w:start w:val="1"/>
    </w:lvl>
  </w:abstractNum>
  <w:abstractNum w:abstractNumId="1">
    <w:nsid w:val="2157F6BC"/>
    <w:multiLevelType w:val="hybridMultilevel"/>
    <w:lvl w:ilvl="0">
      <w:lvlJc w:val="left"/>
      <w:lvlText w:val="(%1)"/>
      <w:numFmt w:val="decimal"/>
      <w:start w:val="1"/>
    </w:lvl>
  </w:abstractNum>
  <w:abstractNum w:abstractNumId="2">
    <w:nsid w:val="704E1DD5"/>
    <w:multiLevelType w:val="hybridMultilevel"/>
    <w:lvl w:ilvl="0">
      <w:lvlJc w:val="left"/>
      <w:lvlText w:val="(%1)"/>
      <w:numFmt w:val="decimal"/>
      <w:start w:val="1"/>
    </w:lvl>
  </w:abstractNum>
  <w:abstractNum w:abstractNumId="3">
    <w:nsid w:val="57D2F10E"/>
    <w:multiLevelType w:val="hybridMultilevel"/>
    <w:lvl w:ilvl="0">
      <w:lvlJc w:val="left"/>
      <w:lvlText w:val="(%1)"/>
      <w:numFmt w:val="decimal"/>
      <w:start w:val="1"/>
    </w:lvl>
  </w:abstractNum>
  <w:abstractNum w:abstractNumId="4">
    <w:nsid w:val="BFFAE18"/>
    <w:multiLevelType w:val="hybridMultilevel"/>
    <w:lvl w:ilvl="0">
      <w:lvlJc w:val="left"/>
      <w:lvlText w:val="(%1)"/>
      <w:numFmt w:val="decimal"/>
      <w:start w:val="3"/>
    </w:lvl>
  </w:abstractNum>
  <w:abstractNum w:abstractNumId="5">
    <w:nsid w:val="E3E47A8"/>
    <w:multiLevelType w:val="hybridMultilevel"/>
    <w:lvl w:ilvl="0">
      <w:lvlJc w:val="left"/>
      <w:lvlText w:val="(%1)"/>
      <w:numFmt w:val="decimal"/>
      <w:start w:val="3"/>
    </w:lvl>
  </w:abstractNum>
  <w:abstractNum w:abstractNumId="6">
    <w:nsid w:val="2E48F044"/>
    <w:multiLevelType w:val="hybridMultilevel"/>
    <w:lvl w:ilvl="0">
      <w:lvlJc w:val="left"/>
      <w:lvlText w:val="(%1)"/>
      <w:numFmt w:val="decimal"/>
      <w:start w:val="1"/>
    </w:lvl>
  </w:abstractNum>
  <w:abstractNum w:abstractNumId="7">
    <w:nsid w:val="49D0FEAC"/>
    <w:multiLevelType w:val="hybridMultilevel"/>
    <w:lvl w:ilvl="0">
      <w:lvlJc w:val="left"/>
      <w:lvlText w:val="$"/>
      <w:numFmt w:val="bullet"/>
      <w:start w:val="1"/>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
      <w:numFmt w:val="bullet"/>
      <w:start w:val="1"/>
    </w:lvl>
  </w:abstractNum>
  <w:abstractNum w:abstractNumId="11">
    <w:nsid w:val="634C574C"/>
    <w:multiLevelType w:val="hybridMultilevel"/>
    <w:lvl w:ilvl="0">
      <w:lvlJc w:val="left"/>
      <w:lvlText w:val="•"/>
      <w:numFmt w:val="bullet"/>
      <w:start w:val="1"/>
    </w:lvl>
  </w:abstractNum>
  <w:abstractNum w:abstractNumId="12">
    <w:nsid w:val="24E99DD7"/>
    <w:multiLevelType w:val="hybridMultilevel"/>
    <w:lvl w:ilvl="0">
      <w:lvlJc w:val="left"/>
      <w:lvlText w:val="•"/>
      <w:numFmt w:val="bullet"/>
      <w:start w:val="1"/>
    </w:lvl>
  </w:abstractNum>
  <w:abstractNum w:abstractNumId="13">
    <w:nsid w:val="2A31B62D"/>
    <w:multiLevelType w:val="hybridMultilevel"/>
    <w:lvl w:ilvl="0">
      <w:lvlJc w:val="left"/>
      <w:lvlText w:val="•"/>
      <w:numFmt w:val="bullet"/>
      <w:start w:val="1"/>
    </w:lvl>
  </w:abstractNum>
  <w:abstractNum w:abstractNumId="14">
    <w:nsid w:val="1849C29B"/>
    <w:multiLevelType w:val="hybridMultilevel"/>
    <w:lvl w:ilvl="0">
      <w:lvlJc w:val="left"/>
      <w:lvlText w:val="•"/>
      <w:numFmt w:val="bullet"/>
      <w:start w:val="1"/>
    </w:lvl>
  </w:abstractNum>
  <w:abstractNum w:abstractNumId="15">
    <w:nsid w:val="7DFF9D09"/>
    <w:multiLevelType w:val="hybridMultilevel"/>
    <w:lvl w:ilvl="0">
      <w:lvlJc w:val="left"/>
      <w:lvlText w:val="•"/>
      <w:numFmt w:val="bullet"/>
      <w:start w:val="1"/>
    </w:lvl>
  </w:abstractNum>
  <w:abstractNum w:abstractNumId="16">
    <w:nsid w:val="754342"/>
    <w:multiLevelType w:val="hybridMultilevel"/>
    <w:lvl w:ilvl="0">
      <w:lvlJc w:val="left"/>
      <w:lvlText w:val="•"/>
      <w:numFmt w:val="bullet"/>
      <w:start w:val="1"/>
    </w:lvl>
  </w:abstractNum>
  <w:abstractNum w:abstractNumId="17">
    <w:nsid w:val="69E7F3E5"/>
    <w:multiLevelType w:val="hybridMultilevel"/>
    <w:lvl w:ilvl="0">
      <w:lvlJc w:val="left"/>
      <w:lvlText w:val="\endash "/>
      <w:numFmt w:val="bullet"/>
      <w:start w:val="1"/>
    </w:lvl>
  </w:abstractNum>
  <w:abstractNum w:abstractNumId="18">
    <w:nsid w:val="2A6DE806"/>
    <w:multiLevelType w:val="hybridMultilevel"/>
    <w:lvl w:ilvl="0">
      <w:lvlJc w:val="left"/>
      <w:lvlText w:val="•"/>
      <w:numFmt w:val="bullet"/>
      <w:start w:val="1"/>
    </w:lvl>
  </w:abstractNum>
  <w:abstractNum w:abstractNumId="19">
    <w:nsid w:val="1816F8C4"/>
    <w:multiLevelType w:val="hybridMultilevel"/>
    <w:lvl w:ilvl="0">
      <w:lvlJc w:val="left"/>
      <w:lvlText w:val="•"/>
      <w:numFmt w:val="bullet"/>
      <w:start w:val="1"/>
    </w:lvl>
  </w:abstractNum>
  <w:abstractNum w:abstractNumId="20">
    <w:nsid w:val="37DF2233"/>
    <w:multiLevelType w:val="hybridMultilevel"/>
    <w:lvl w:ilvl="0">
      <w:lvlJc w:val="left"/>
      <w:lvlText w:val="•"/>
      <w:numFmt w:val="bullet"/>
      <w:start w:val="1"/>
    </w:lvl>
  </w:abstractNum>
  <w:abstractNum w:abstractNumId="21">
    <w:nsid w:val="7AB49DAF"/>
    <w:multiLevelType w:val="hybridMultilevel"/>
    <w:lvl w:ilvl="0">
      <w:lvlJc w:val="left"/>
      <w:lvlText w:val="•"/>
      <w:numFmt w:val="bullet"/>
      <w:start w:val="1"/>
    </w:lvl>
  </w:abstractNum>
  <w:abstractNum w:abstractNumId="22">
    <w:nsid w:val="759F82CD"/>
    <w:multiLevelType w:val="hybridMultilevel"/>
    <w:lvl w:ilvl="0">
      <w:lvlJc w:val="left"/>
      <w:lvlText w:val="•"/>
      <w:numFmt w:val="bullet"/>
      <w:start w:val="1"/>
    </w:lvl>
  </w:abstractNum>
  <w:abstractNum w:abstractNumId="23">
    <w:nsid w:val="61E74EA3"/>
    <w:multiLevelType w:val="hybridMultilevel"/>
    <w:lvl w:ilvl="0">
      <w:lvlJc w:val="left"/>
      <w:lvlText w:val="•"/>
      <w:numFmt w:val="bullet"/>
      <w:start w:val="1"/>
    </w:lvl>
  </w:abstractNum>
  <w:abstractNum w:abstractNumId="24">
    <w:nsid w:val="597B4D84"/>
    <w:multiLevelType w:val="hybridMultilevel"/>
    <w:lvl w:ilvl="0">
      <w:lvlJc w:val="left"/>
      <w:lvlText w:val="•"/>
      <w:numFmt w:val="bullet"/>
      <w:start w:val="1"/>
    </w:lvl>
  </w:abstractNum>
  <w:abstractNum w:abstractNumId="25">
    <w:nsid w:val="F819E7F"/>
    <w:multiLevelType w:val="hybridMultilevel"/>
    <w:lvl w:ilvl="0">
      <w:lvlJc w:val="left"/>
      <w:lvlText w:val="•"/>
      <w:numFmt w:val="bullet"/>
      <w:start w:val="1"/>
    </w:lvl>
  </w:abstractNum>
  <w:abstractNum w:abstractNumId="26">
    <w:nsid w:val="57C7D42D"/>
    <w:multiLevelType w:val="hybridMultilevel"/>
    <w:lvl w:ilvl="0">
      <w:lvlJc w:val="left"/>
      <w:lvlText w:val="•"/>
      <w:numFmt w:val="bullet"/>
      <w:start w:val="1"/>
    </w:lvl>
  </w:abstractNum>
  <w:abstractNum w:abstractNumId="27">
    <w:nsid w:val="312167AD"/>
    <w:multiLevelType w:val="hybridMultilevel"/>
    <w:lvl w:ilvl="0">
      <w:lvlJc w:val="left"/>
      <w:lvlText w:val="•"/>
      <w:numFmt w:val="bullet"/>
      <w:start w:val="1"/>
    </w:lvl>
  </w:abstractNum>
  <w:abstractNum w:abstractNumId="28">
    <w:nsid w:val="631B64D4"/>
    <w:multiLevelType w:val="hybridMultilevel"/>
    <w:lvl w:ilvl="0">
      <w:lvlJc w:val="left"/>
      <w:lvlText w:val="•"/>
      <w:numFmt w:val="bullet"/>
      <w:start w:val="1"/>
    </w:lvl>
  </w:abstractNum>
  <w:abstractNum w:abstractNumId="29">
    <w:nsid w:val="78B5E776"/>
    <w:multiLevelType w:val="hybridMultilevel"/>
    <w:lvl w:ilvl="0">
      <w:lvlJc w:val="left"/>
      <w:lvlText w:val="•"/>
      <w:numFmt w:val="bullet"/>
      <w:start w:val="1"/>
    </w:lvl>
  </w:abstractNum>
  <w:abstractNum w:abstractNumId="30">
    <w:nsid w:val="75486E47"/>
    <w:multiLevelType w:val="hybridMultilevel"/>
    <w:lvl w:ilvl="0">
      <w:lvlJc w:val="left"/>
      <w:lvlText w:val="•"/>
      <w:numFmt w:val="bullet"/>
      <w:start w:val="1"/>
    </w:lvl>
  </w:abstractNum>
  <w:abstractNum w:abstractNumId="31">
    <w:nsid w:val="6E534CDE"/>
    <w:multiLevelType w:val="hybridMultilevel"/>
    <w:lvl w:ilvl="0">
      <w:lvlJc w:val="left"/>
      <w:lvlText w:val="•"/>
      <w:numFmt w:val="bullet"/>
      <w:start w:val="1"/>
    </w:lvl>
  </w:abstractNum>
  <w:abstractNum w:abstractNumId="32">
    <w:nsid w:val="1A0DDE32"/>
    <w:multiLevelType w:val="hybridMultilevel"/>
    <w:lvl w:ilvl="0">
      <w:lvlJc w:val="left"/>
      <w:lvlText w:val="•"/>
      <w:numFmt w:val="bullet"/>
      <w:start w:val="1"/>
    </w:lvl>
  </w:abstractNum>
  <w:abstractNum w:abstractNumId="33">
    <w:nsid w:val="65968C1C"/>
    <w:multiLevelType w:val="hybridMultilevel"/>
    <w:lvl w:ilvl="0">
      <w:lvlJc w:val="left"/>
      <w:lvlText w:val="•"/>
      <w:numFmt w:val="bullet"/>
      <w:start w:val="1"/>
    </w:lvl>
  </w:abstractNum>
  <w:abstractNum w:abstractNumId="34">
    <w:nsid w:val="46263DEC"/>
    <w:multiLevelType w:val="hybridMultilevel"/>
    <w:lvl w:ilvl="0">
      <w:lvlJc w:val="left"/>
      <w:lvlText w:val="(%1)"/>
      <w:numFmt w:val="lowerLetter"/>
      <w:start w:val="2"/>
    </w:lvl>
  </w:abstractNum>
  <w:abstractNum w:abstractNumId="35">
    <w:nsid w:val="260D8C4A"/>
    <w:multiLevelType w:val="hybridMultilevel"/>
    <w:lvl w:ilvl="0">
      <w:lvlJc w:val="left"/>
      <w:lvlText w:val="(%1)"/>
      <w:numFmt w:val="decimal"/>
      <w:start w:val="1"/>
    </w:lvl>
  </w:abstractNum>
  <w:abstractNum w:abstractNumId="36">
    <w:nsid w:val="73D4D3C4"/>
    <w:multiLevelType w:val="hybridMultilevel"/>
    <w:lvl w:ilvl="0">
      <w:lvlJc w:val="left"/>
      <w:lvlText w:val="(%1)"/>
      <w:numFmt w:val="lowerLetter"/>
      <w:start w:val="1"/>
    </w:lvl>
  </w:abstractNum>
  <w:abstractNum w:abstractNumId="37">
    <w:nsid w:val="746F2E30"/>
    <w:multiLevelType w:val="hybridMultilevel"/>
    <w:lvl w:ilvl="0">
      <w:lvlJc w:val="left"/>
      <w:lvlText w:val="(%1)"/>
      <w:numFmt w:val="decimal"/>
      <w:start w:val="2"/>
    </w:lvl>
  </w:abstractNum>
  <w:abstractNum w:abstractNumId="38">
    <w:nsid w:val="6FDE8AF6"/>
    <w:multiLevelType w:val="hybridMultilevel"/>
    <w:lvl w:ilvl="0">
      <w:lvlJc w:val="left"/>
      <w:lvlText w:val="(%1)"/>
      <w:numFmt w:val="decimal"/>
      <w:start w:val="1"/>
    </w:lvl>
  </w:abstractNum>
  <w:abstractNum w:abstractNumId="39">
    <w:nsid w:val="3FC32E20"/>
    <w:multiLevelType w:val="hybridMultilevel"/>
    <w:lvl w:ilvl="0">
      <w:lvlJc w:val="left"/>
      <w:lvlText w:val="(%1)"/>
      <w:numFmt w:val="decimal"/>
      <w:start w:val="2"/>
    </w:lvl>
  </w:abstractNum>
  <w:abstractNum w:abstractNumId="40">
    <w:nsid w:val="49C0E823"/>
    <w:multiLevelType w:val="hybridMultilevel"/>
    <w:lvl w:ilvl="0">
      <w:lvlJc w:val="left"/>
      <w:lvlText w:val="(%1)"/>
      <w:numFmt w:val="decimal"/>
      <w:start w:val="1"/>
    </w:lvl>
  </w:abstractNum>
  <w:abstractNum w:abstractNumId="41">
    <w:nsid w:val="14D53685"/>
    <w:multiLevelType w:val="hybridMultilevel"/>
    <w:lvl w:ilvl="0">
      <w:lvlJc w:val="left"/>
      <w:lvlText w:val="(%1)"/>
      <w:numFmt w:val="lowerLetter"/>
      <w:start w:val="3"/>
    </w:lvl>
  </w:abstractNum>
  <w:abstractNum w:abstractNumId="42">
    <w:nsid w:val="230F856C"/>
    <w:multiLevelType w:val="hybridMultilevel"/>
    <w:lvl w:ilvl="0">
      <w:lvlJc w:val="left"/>
      <w:lvlText w:val="(%1)"/>
      <w:numFmt w:val="decimal"/>
      <w:start w:val="1"/>
    </w:lvl>
  </w:abstractNum>
  <w:abstractNum w:abstractNumId="43">
    <w:nsid w:val="6EAA85FB"/>
    <w:multiLevelType w:val="hybridMultilevel"/>
    <w:lvl w:ilvl="0">
      <w:lvlJc w:val="left"/>
      <w:lvlText w:val="(%1)"/>
      <w:numFmt w:val="decimal"/>
      <w:start w:val="1"/>
    </w:lvl>
  </w:abstractNum>
  <w:abstractNum w:abstractNumId="44">
    <w:nsid w:val="3F06ECB2"/>
    <w:multiLevelType w:val="hybridMultilevel"/>
    <w:lvl w:ilvl="0">
      <w:lvlJc w:val="left"/>
      <w:lvlText w:val="(%1)"/>
      <w:numFmt w:val="decimal"/>
      <w:start w:val="2"/>
    </w:lvl>
  </w:abstractNum>
  <w:abstractNum w:abstractNumId="45">
    <w:nsid w:val="3B594807"/>
    <w:multiLevelType w:val="hybridMultilevel"/>
    <w:lvl w:ilvl="0">
      <w:lvlJc w:val="left"/>
      <w:lvlText w:val="%1"/>
      <w:numFmt w:val="lowerLetter"/>
      <w:start w:val="1"/>
    </w:lvl>
    <w:lvl w:ilvl="1">
      <w:lvlJc w:val="left"/>
      <w:lvlText w:val="(%2)"/>
      <w:numFmt w:val="decimal"/>
      <w:start w:val="1"/>
    </w:lvl>
  </w:abstractNum>
  <w:abstractNum w:abstractNumId="46">
    <w:nsid w:val="6CAA2304"/>
    <w:multiLevelType w:val="hybridMultilevel"/>
    <w:lvl w:ilvl="0">
      <w:lvlJc w:val="left"/>
      <w:lvlText w:val="(%1)"/>
      <w:numFmt w:val="lowerLetter"/>
      <w:start w:val="2"/>
    </w:lvl>
    <w:lvl w:ilvl="1">
      <w:lvlJc w:val="left"/>
      <w:lvlText w:val="(%2)"/>
      <w:numFmt w:val="decimal"/>
      <w:start w:val="5"/>
    </w:lvl>
  </w:abstractNum>
  <w:abstractNum w:abstractNumId="47">
    <w:nsid w:val="3F7C2FF4"/>
    <w:multiLevelType w:val="hybridMultilevel"/>
    <w:lvl w:ilvl="0">
      <w:lvlJc w:val="left"/>
      <w:lvlText w:val="(%1)"/>
      <w:numFmt w:val="lowerRoman"/>
      <w:start w:val="1"/>
    </w:lvl>
  </w:abstractNum>
  <w:abstractNum w:abstractNumId="48">
    <w:nsid w:val="25413BEC"/>
    <w:multiLevelType w:val="hybridMultilevel"/>
    <w:lvl w:ilvl="0">
      <w:lvlJc w:val="left"/>
      <w:lvlText w:val="(%1)"/>
      <w:numFmt w:val="decimal"/>
      <w:start w:val="1"/>
    </w:lvl>
  </w:abstractNum>
  <w:abstractNum w:abstractNumId="49">
    <w:nsid w:val="17180B0B"/>
    <w:multiLevelType w:val="hybridMultilevel"/>
    <w:lvl w:ilvl="0">
      <w:lvlJc w:val="left"/>
      <w:lvlText w:val="(%1)"/>
      <w:numFmt w:val="decimal"/>
      <w:start w:val="3"/>
    </w:lvl>
  </w:abstractNum>
  <w:abstractNum w:abstractNumId="50">
    <w:nsid w:val="579328B9"/>
    <w:multiLevelType w:val="hybridMultilevel"/>
    <w:lvl w:ilvl="0">
      <w:lvlJc w:val="left"/>
      <w:lvlText w:val="(%1)"/>
      <w:numFmt w:val="decimal"/>
      <w:start w:val="8"/>
    </w:lvl>
  </w:abstractNum>
  <w:abstractNum w:abstractNumId="51">
    <w:nsid w:val="5D205E20"/>
    <w:multiLevelType w:val="hybridMultilevel"/>
    <w:lvl w:ilvl="0">
      <w:lvlJc w:val="left"/>
      <w:lvlText w:val="(%1)"/>
      <w:numFmt w:val="decimal"/>
      <w:start w:val="16"/>
    </w:lvl>
  </w:abstractNum>
  <w:abstractNum w:abstractNumId="52">
    <w:nsid w:val="11CCA8BA"/>
    <w:multiLevelType w:val="hybridMultilevel"/>
    <w:lvl w:ilvl="0">
      <w:lvlJc w:val="left"/>
      <w:lvlText w:val="(%1)"/>
      <w:numFmt w:val="lowerLetter"/>
      <w:start w:val="1"/>
    </w:lvl>
  </w:abstractNum>
  <w:abstractNum w:abstractNumId="53">
    <w:nsid w:val="4D32AB86"/>
    <w:multiLevelType w:val="hybridMultilevel"/>
    <w:lvl w:ilvl="0">
      <w:lvlJc w:val="left"/>
      <w:lvlText w:val="(%1)"/>
      <w:numFmt w:val="lowerRoman"/>
      <w:start w:val="1"/>
    </w:lvl>
  </w:abstractNum>
  <w:abstractNum w:abstractNumId="54">
    <w:nsid w:val="3F07ACC3"/>
    <w:multiLevelType w:val="hybridMultilevel"/>
    <w:lvl w:ilvl="0">
      <w:lvlJc w:val="left"/>
      <w:lvlText w:val="(%1)"/>
      <w:numFmt w:val="decimal"/>
      <w:start w:val="1"/>
    </w:lvl>
  </w:abstractNum>
  <w:abstractNum w:abstractNumId="55">
    <w:nsid w:val="6B47F63E"/>
    <w:multiLevelType w:val="hybridMultilevel"/>
    <w:lvl w:ilvl="0">
      <w:lvlJc w:val="left"/>
      <w:lvlText w:val="(%1)"/>
      <w:numFmt w:val="lowerLetter"/>
      <w:start w:val="1"/>
    </w:lvl>
  </w:abstractNum>
  <w:abstractNum w:abstractNumId="56">
    <w:nsid w:val="5CB44A05"/>
    <w:multiLevelType w:val="hybridMultilevel"/>
    <w:lvl w:ilvl="0">
      <w:lvlJc w:val="left"/>
      <w:lvlText w:val="%1"/>
      <w:numFmt w:val="decimal"/>
      <w:start w:val="1"/>
    </w:lvl>
    <w:lvl w:ilvl="1">
      <w:lvlJc w:val="left"/>
      <w:lvlText w:val="(%2)"/>
      <w:numFmt w:val="lowerLetter"/>
      <w:start w:val="2"/>
    </w:lvl>
  </w:abstractNum>
  <w:abstractNum w:abstractNumId="57">
    <w:nsid w:val="16CF80F1"/>
    <w:multiLevelType w:val="hybridMultilevel"/>
    <w:lvl w:ilvl="0">
      <w:lvlJc w:val="left"/>
      <w:lvlText w:val="(%1)"/>
      <w:numFmt w:val="decimal"/>
      <w:start w:val="2"/>
    </w:lvl>
    <w:lvl w:ilvl="1">
      <w:lvlJc w:val="left"/>
      <w:lvlText w:val="%2"/>
      <w:numFmt w:val="lowerLetter"/>
      <w:start w:val="1"/>
    </w:lvl>
  </w:abstractNum>
  <w:abstractNum w:abstractNumId="58">
    <w:nsid w:val="1C695DEC"/>
    <w:multiLevelType w:val="hybridMultilevel"/>
    <w:lvl w:ilvl="0">
      <w:lvlJc w:val="left"/>
      <w:lvlText w:val="(%1)"/>
      <w:numFmt w:val="lowerLetter"/>
      <w:start w:val="1"/>
    </w:lvl>
  </w:abstractNum>
  <w:abstractNum w:abstractNumId="59">
    <w:nsid w:val="3FCFAED9"/>
    <w:multiLevelType w:val="hybridMultilevel"/>
    <w:lvl w:ilvl="0">
      <w:lvlJc w:val="left"/>
      <w:lvlText w:val="(%1)"/>
      <w:numFmt w:val="lowerLetter"/>
      <w:start w:val="2"/>
    </w:lvl>
  </w:abstractNum>
  <w:abstractNum w:abstractNumId="60">
    <w:nsid w:val="F856867"/>
    <w:multiLevelType w:val="hybridMultilevel"/>
    <w:lvl w:ilvl="0">
      <w:lvlJc w:val="left"/>
      <w:lvlText w:val="(%1)"/>
      <w:numFmt w:val="lowerLetter"/>
      <w:start w:val="4"/>
    </w:lvl>
  </w:abstractNum>
  <w:abstractNum w:abstractNumId="61">
    <w:nsid w:val="11B1CC33"/>
    <w:multiLevelType w:val="hybridMultilevel"/>
    <w:lvl w:ilvl="0">
      <w:lvlJc w:val="left"/>
      <w:lvlText w:val="(%1)"/>
      <w:numFmt w:val="lowerRoman"/>
      <w:start w:val="1"/>
    </w:lvl>
  </w:abstractNum>
  <w:abstractNum w:abstractNumId="62">
    <w:nsid w:val="2E22FBB7"/>
    <w:multiLevelType w:val="hybridMultilevel"/>
    <w:lvl w:ilvl="0">
      <w:lvlJc w:val="left"/>
      <w:lvlText w:val="%1"/>
      <w:numFmt w:val="lowerLetter"/>
      <w:start w:val="1"/>
    </w:lvl>
    <w:lvl w:ilvl="1">
      <w:lvlJc w:val="left"/>
      <w:lvlText w:val="(%2)"/>
      <w:numFmt w:val="lowerLetter"/>
      <w:start w:val="2"/>
    </w:lvl>
  </w:abstractNum>
  <w:abstractNum w:abstractNumId="63">
    <w:nsid w:val="29934699"/>
    <w:multiLevelType w:val="hybridMultilevel"/>
    <w:lvl w:ilvl="0">
      <w:lvlJc w:val="left"/>
      <w:lvlText w:val="(%1)"/>
      <w:numFmt w:val="lowerLetter"/>
      <w:start w:val="3"/>
    </w:lvl>
    <w:lvl w:ilvl="1">
      <w:lvlJc w:val="left"/>
      <w:lvlText w:val="%2"/>
      <w:numFmt w:val="lowerLetter"/>
      <w:start w:val="1"/>
    </w:lvl>
  </w:abstractNum>
  <w:abstractNum w:abstractNumId="64">
    <w:nsid w:val="77485850"/>
    <w:multiLevelType w:val="hybridMultilevel"/>
    <w:lvl w:ilvl="0">
      <w:lvlJc w:val="left"/>
      <w:lvlText w:val="(%1)"/>
      <w:numFmt w:val="lowerLetter"/>
      <w:start w:val="3"/>
    </w:lvl>
  </w:abstractNum>
  <w:abstractNum w:abstractNumId="65">
    <w:nsid w:val="744939A3"/>
    <w:multiLevelType w:val="hybridMultilevel"/>
    <w:lvl w:ilvl="0">
      <w:lvlJc w:val="left"/>
      <w:lvlText w:val="(%1)"/>
      <w:numFmt w:val="lowerLetter"/>
      <w:start w:val="4"/>
    </w:lvl>
  </w:abstractNum>
  <w:abstractNum w:abstractNumId="66">
    <w:nsid w:val="4FA0D2E3"/>
    <w:multiLevelType w:val="hybridMultilevel"/>
    <w:lvl w:ilvl="0">
      <w:lvlJc w:val="left"/>
      <w:lvlText w:val="%1"/>
      <w:numFmt w:val="lowerLetter"/>
      <w:start w:val="1"/>
    </w:lvl>
    <w:lvl w:ilvl="1">
      <w:lvlJc w:val="left"/>
      <w:lvlText w:val="(%2)"/>
      <w:numFmt w:val="lowerLetter"/>
      <w:start w:val="6"/>
    </w:lvl>
  </w:abstractNum>
  <w:abstractNum w:abstractNumId="67">
    <w:nsid w:val="6B1D2C14"/>
    <w:multiLevelType w:val="hybridMultilevel"/>
    <w:lvl w:ilvl="0">
      <w:lvlJc w:val="left"/>
      <w:lvlText w:val="(%1)"/>
      <w:numFmt w:val="lowerLetter"/>
      <w:start w:val="5"/>
    </w:lvl>
    <w:lvl w:ilvl="1">
      <w:lvlJc w:val="left"/>
      <w:lvlText w:val="(%2)"/>
      <w:numFmt w:val="lowerLetter"/>
      <w:start w:val="7"/>
    </w:lvl>
  </w:abstractNum>
  <w:abstractNum w:abstractNumId="68">
    <w:nsid w:val="68B867D3"/>
    <w:multiLevelType w:val="hybridMultilevel"/>
    <w:lvl w:ilvl="0">
      <w:lvlJc w:val="left"/>
      <w:lvlText w:val="(%1)"/>
      <w:numFmt w:val="lowerLetter"/>
      <w:start w:val="8"/>
    </w:lvl>
  </w:abstractNum>
  <w:abstractNum w:abstractNumId="69">
    <w:nsid w:val="3F7F5DD9"/>
    <w:multiLevelType w:val="hybridMultilevel"/>
    <w:lvl w:ilvl="0">
      <w:lvlJc w:val="left"/>
      <w:lvlText w:val="(%1)"/>
      <w:numFmt w:val="lowerRoman"/>
      <w:start w:val="2"/>
    </w:lvl>
  </w:abstractNum>
  <w:abstractNum w:abstractNumId="70">
    <w:nsid w:val="2AE05A34"/>
    <w:multiLevelType w:val="hybridMultilevel"/>
    <w:lvl w:ilvl="0">
      <w:lvlJc w:val="left"/>
      <w:lvlText w:val="(%1)"/>
      <w:numFmt w:val="lowerLetter"/>
      <w:start w:val="10"/>
    </w:lvl>
  </w:abstractNum>
  <w:abstractNum w:abstractNumId="71">
    <w:nsid w:val="32794FF7"/>
    <w:multiLevelType w:val="hybridMultilevel"/>
    <w:lvl w:ilvl="0">
      <w:lvlJc w:val="left"/>
      <w:lvlText w:val="(%1)"/>
      <w:numFmt w:val="lowerLetter"/>
      <w:start w:val="11"/>
    </w:lvl>
  </w:abstractNum>
  <w:abstractNum w:abstractNumId="72">
    <w:nsid w:val="5454945E"/>
    <w:multiLevelType w:val="hybridMultilevel"/>
    <w:lvl w:ilvl="0">
      <w:lvlJc w:val="left"/>
      <w:lvlText w:val="(%1)"/>
      <w:numFmt w:val="lowerLetter"/>
      <w:start w:val="1"/>
    </w:lvl>
  </w:abstractNum>
  <w:abstractNum w:abstractNumId="73">
    <w:nsid w:val="4DEFDFA0"/>
    <w:multiLevelType w:val="hybridMultilevel"/>
    <w:lvl w:ilvl="0">
      <w:lvlJc w:val="left"/>
      <w:lvlText w:val="(%1)"/>
      <w:numFmt w:val="lowerLetter"/>
      <w:start w:val="2"/>
    </w:lvl>
  </w:abstractNum>
  <w:abstractNum w:abstractNumId="74">
    <w:nsid w:val="2123D5F2"/>
    <w:multiLevelType w:val="hybridMultilevel"/>
    <w:lvl w:ilvl="0">
      <w:lvlJc w:val="left"/>
      <w:lvlText w:val="(%1)"/>
      <w:numFmt w:val="lowerLetter"/>
      <w:start w:val="1"/>
    </w:lvl>
  </w:abstractNum>
  <w:abstractNum w:abstractNumId="75">
    <w:nsid w:val="135B8110"/>
    <w:multiLevelType w:val="hybridMultilevel"/>
    <w:lvl w:ilvl="0">
      <w:lvlJc w:val="left"/>
      <w:lvlText w:val="%1"/>
      <w:numFmt w:val="lowerLetter"/>
      <w:start w:val="1"/>
    </w:lvl>
    <w:lvl w:ilvl="1">
      <w:lvlJc w:val="left"/>
      <w:lvlText w:val="(%2)"/>
      <w:numFmt w:val="lowerLetter"/>
      <w:start w:val="1"/>
    </w:lvl>
  </w:abstractNum>
  <w:abstractNum w:abstractNumId="76">
    <w:nsid w:val="94927A8"/>
    <w:multiLevelType w:val="hybridMultilevel"/>
    <w:lvl w:ilvl="0">
      <w:lvlJc w:val="left"/>
      <w:lvlText w:val="(%1)"/>
      <w:numFmt w:val="lowerLetter"/>
      <w:start w:val="61"/>
    </w:lvl>
    <w:lvl w:ilvl="1">
      <w:lvlJc w:val="left"/>
      <w:lvlText w:val="(%2)"/>
      <w:numFmt w:val="lowerLetter"/>
      <w:start w:val="4"/>
    </w:lvl>
  </w:abstractNum>
  <w:abstractNum w:abstractNumId="77">
    <w:nsid w:val="DCDF8F6"/>
    <w:multiLevelType w:val="hybridMultilevel"/>
    <w:lvl w:ilvl="0">
      <w:lvlJc w:val="left"/>
      <w:lvlText w:val="(%1)"/>
      <w:numFmt w:val="lowerLetter"/>
      <w:start w:val="1"/>
    </w:lvl>
  </w:abstractNum>
  <w:abstractNum w:abstractNumId="78">
    <w:nsid w:val="52D7B105"/>
    <w:multiLevelType w:val="hybridMultilevel"/>
    <w:lvl w:ilvl="0">
      <w:lvlJc w:val="left"/>
      <w:lvlText w:val="(%1)"/>
      <w:numFmt w:val="lowerLetter"/>
      <w:start w:val="4"/>
    </w:lvl>
  </w:abstractNum>
  <w:abstractNum w:abstractNumId="79">
    <w:nsid w:val="2E8A6394"/>
    <w:multiLevelType w:val="hybridMultilevel"/>
    <w:lvl w:ilvl="0">
      <w:lvlJc w:val="left"/>
      <w:lvlText w:val="(%1)"/>
      <w:numFmt w:val="lowerLetter"/>
      <w:start w:val="1"/>
    </w:lvl>
  </w:abstractNum>
  <w:abstractNum w:abstractNumId="80">
    <w:nsid w:val="24E60401"/>
    <w:multiLevelType w:val="hybridMultilevel"/>
    <w:lvl w:ilvl="0">
      <w:lvlJc w:val="left"/>
      <w:lvlText w:val="(%1)"/>
      <w:numFmt w:val="lowerLetter"/>
      <w:start w:val="1"/>
    </w:lvl>
  </w:abstractNum>
  <w:abstractNum w:abstractNumId="81">
    <w:nsid w:val="2A6AD9BE"/>
    <w:multiLevelType w:val="hybridMultilevel"/>
    <w:lvl w:ilvl="0">
      <w:lvlJc w:val="left"/>
      <w:lvlText w:val="(%1)"/>
      <w:numFmt w:val="lowerRoman"/>
      <w:start w:val="1"/>
    </w:lvl>
  </w:abstractNum>
  <w:abstractNum w:abstractNumId="82">
    <w:nsid w:val="BAAC1B4"/>
    <w:multiLevelType w:val="hybridMultilevel"/>
    <w:lvl w:ilvl="0">
      <w:lvlJc w:val="left"/>
      <w:lvlText w:val="(%1)"/>
      <w:numFmt w:val="lowerLetter"/>
      <w:start w:val="2"/>
    </w:lvl>
  </w:abstractNum>
  <w:abstractNum w:abstractNumId="83">
    <w:nsid w:val="36B2ACBC"/>
    <w:multiLevelType w:val="hybridMultilevel"/>
    <w:lvl w:ilvl="0">
      <w:lvlJc w:val="left"/>
      <w:lvlText w:val="%1"/>
      <w:numFmt w:val="lowerLetter"/>
      <w:start w:val="1"/>
    </w:lvl>
    <w:lvl w:ilvl="1">
      <w:lvlJc w:val="left"/>
      <w:lvlText w:val="(%2)"/>
      <w:numFmt w:val="lowerLetter"/>
      <w:start w:val="3"/>
    </w:lvl>
  </w:abstractNum>
  <w:abstractNum w:abstractNumId="84">
    <w:nsid w:val="779D8544"/>
    <w:multiLevelType w:val="hybridMultilevel"/>
    <w:lvl w:ilvl="0">
      <w:lvlJc w:val="left"/>
      <w:lvlText w:val="(%1)"/>
      <w:numFmt w:val="lowerLetter"/>
      <w:start w:val="61"/>
    </w:lvl>
    <w:lvl w:ilvl="1">
      <w:lvlJc w:val="left"/>
      <w:lvlText w:val="(%2)"/>
      <w:numFmt w:val="lowerLetter"/>
      <w:start w:val="5"/>
    </w:lvl>
  </w:abstractNum>
  <w:abstractNum w:abstractNumId="85">
    <w:nsid w:val="4AB26E78"/>
    <w:multiLevelType w:val="hybridMultilevel"/>
    <w:lvl w:ilvl="0">
      <w:lvlJc w:val="left"/>
      <w:lvlText w:val="(%1)"/>
      <w:numFmt w:val="lowerLetter"/>
      <w:start w:val="35"/>
    </w:lvl>
    <w:lvl w:ilvl="1">
      <w:lvlJc w:val="left"/>
      <w:lvlText w:val="(%2)"/>
      <w:numFmt w:val="lowerLetter"/>
      <w:start w:val="6"/>
    </w:lvl>
  </w:abstractNum>
  <w:abstractNum w:abstractNumId="86">
    <w:nsid w:val="21FAA2FA"/>
    <w:multiLevelType w:val="hybridMultilevel"/>
    <w:lvl w:ilvl="0">
      <w:lvlJc w:val="left"/>
      <w:lvlText w:val="(%1)"/>
      <w:numFmt w:val="lowerLetter"/>
      <w:start w:val="1"/>
    </w:lvl>
  </w:abstractNum>
  <w:abstractNum w:abstractNumId="87">
    <w:nsid w:val="5451CF49"/>
    <w:multiLevelType w:val="hybridMultilevel"/>
    <w:lvl w:ilvl="0">
      <w:lvlJc w:val="left"/>
      <w:lvlText w:val="(%1)"/>
      <w:numFmt w:val="lowerLetter"/>
      <w:start w:val="1"/>
    </w:lvl>
  </w:abstractNum>
  <w:abstractNum w:abstractNumId="88">
    <w:nsid w:val="6181EF69"/>
    <w:multiLevelType w:val="hybridMultilevel"/>
    <w:lvl w:ilvl="0">
      <w:lvlJc w:val="left"/>
      <w:lvlText w:val="(%1)"/>
      <w:numFmt w:val="lowerLetter"/>
      <w:start w:val="1"/>
    </w:lvl>
  </w:abstractNum>
  <w:abstractNum w:abstractNumId="89">
    <w:nsid w:val="3E6400E6"/>
    <w:multiLevelType w:val="hybridMultilevel"/>
    <w:lvl w:ilvl="0">
      <w:lvlJc w:val="left"/>
      <w:lvlText w:val="(%1)"/>
      <w:numFmt w:val="lowerLetter"/>
      <w:start w:val="3"/>
    </w:lvl>
  </w:abstractNum>
  <w:abstractNum w:abstractNumId="90">
    <w:nsid w:val="14217E23"/>
    <w:multiLevelType w:val="hybridMultilevel"/>
    <w:lvl w:ilvl="0">
      <w:lvlJc w:val="left"/>
      <w:lvlText w:val="(%1)"/>
      <w:numFmt w:val="lowerLetter"/>
      <w:start w:val="1"/>
    </w:lvl>
  </w:abstractNum>
  <w:abstractNum w:abstractNumId="91">
    <w:nsid w:val="710757D0"/>
    <w:multiLevelType w:val="hybridMultilevel"/>
    <w:lvl w:ilvl="0">
      <w:lvlJc w:val="left"/>
      <w:lvlText w:val="(%1)"/>
      <w:numFmt w:val="lowerRoman"/>
      <w:start w:val="1"/>
    </w:lvl>
  </w:abstractNum>
  <w:abstractNum w:abstractNumId="92">
    <w:nsid w:val="5015CD1A"/>
    <w:multiLevelType w:val="hybridMultilevel"/>
    <w:lvl w:ilvl="0">
      <w:lvlJc w:val="left"/>
      <w:lvlText w:val="(%1)"/>
      <w:numFmt w:val="lowerLetter"/>
      <w:start w:val="2"/>
    </w:lvl>
  </w:abstractNum>
  <w:abstractNum w:abstractNumId="93">
    <w:nsid w:val="424479DA"/>
    <w:multiLevelType w:val="hybridMultilevel"/>
    <w:lvl w:ilvl="0">
      <w:lvlJc w:val="left"/>
      <w:lvlText w:val="(%1)"/>
      <w:numFmt w:val="lowerLetter"/>
      <w:start w:val="3"/>
    </w:lvl>
  </w:abstractNum>
  <w:abstractNum w:abstractNumId="94">
    <w:nsid w:val="1A9A9E69"/>
    <w:multiLevelType w:val="hybridMultilevel"/>
    <w:lvl w:ilvl="0">
      <w:lvlJc w:val="left"/>
      <w:lvlText w:val="(%1)"/>
      <w:numFmt w:val="lowerLetter"/>
      <w:start w:val="1"/>
    </w:lvl>
  </w:abstractNum>
  <w:abstractNum w:abstractNumId="95">
    <w:nsid w:val="475E256A"/>
    <w:multiLevelType w:val="hybridMultilevel"/>
    <w:lvl w:ilvl="0">
      <w:lvlJc w:val="left"/>
      <w:lvlText w:val="(%1)"/>
      <w:numFmt w:val="lowerLetter"/>
      <w:start w:val="2"/>
    </w:lvl>
  </w:abstractNum>
  <w:abstractNum w:abstractNumId="96">
    <w:nsid w:val="368DB37E"/>
    <w:multiLevelType w:val="hybridMultilevel"/>
    <w:lvl w:ilvl="0">
      <w:lvlJc w:val="left"/>
      <w:lvlText w:val="(%1)"/>
      <w:numFmt w:val="lowerLetter"/>
      <w:start w:val="5"/>
    </w:lvl>
  </w:abstractNum>
  <w:abstractNum w:abstractNumId="97">
    <w:nsid w:val="6A3B714C"/>
    <w:multiLevelType w:val="hybridMultilevel"/>
    <w:lvl w:ilvl="0">
      <w:lvlJc w:val="left"/>
      <w:lvlText w:val="(%1)"/>
      <w:numFmt w:val="lowerRoman"/>
      <w:start w:val="1"/>
    </w:lvl>
    <w:lvl w:ilvl="1">
      <w:lvlJc w:val="left"/>
      <w:lvlText w:val="(%2)"/>
      <w:numFmt w:val="upperLetter"/>
      <w:start w:val="1"/>
    </w:lvl>
  </w:abstractNum>
  <w:abstractNum w:abstractNumId="98">
    <w:nsid w:val="327B517E"/>
    <w:multiLevelType w:val="hybridMultilevel"/>
    <w:lvl w:ilvl="0">
      <w:lvlJc w:val="left"/>
      <w:lvlText w:val="%1"/>
      <w:numFmt w:val="upperLetter"/>
      <w:start w:val="1"/>
    </w:lvl>
    <w:lvl w:ilvl="1">
      <w:lvlJc w:val="left"/>
      <w:lvlText w:val="(%2)"/>
      <w:numFmt w:val="upperLetter"/>
      <w:start w:val="3"/>
    </w:lvl>
  </w:abstractNum>
  <w:abstractNum w:abstractNumId="99">
    <w:nsid w:val="1F461B51"/>
    <w:multiLevelType w:val="hybridMultilevel"/>
    <w:lvl w:ilvl="0">
      <w:lvlJc w:val="left"/>
      <w:lvlText w:val="(%1)"/>
      <w:numFmt w:val="upperLetter"/>
      <w:start w:val="2"/>
    </w:lvl>
    <w:lvl w:ilvl="1">
      <w:lvlJc w:val="left"/>
      <w:lvlText w:val="(%2)"/>
      <w:numFmt w:val="upperLetter"/>
      <w:start w:val="4"/>
    </w:lvl>
  </w:abstractNum>
  <w:abstractNum w:abstractNumId="100">
    <w:nsid w:val="29BACF25"/>
    <w:multiLevelType w:val="hybridMultilevel"/>
    <w:lvl w:ilvl="0">
      <w:lvlJc w:val="left"/>
      <w:lvlText w:val="(%1)"/>
      <w:numFmt w:val="lowerRoman"/>
      <w:start w:val="3"/>
    </w:lvl>
  </w:abstractNum>
  <w:abstractNum w:abstractNumId="101">
    <w:nsid w:val="5D5BABB3"/>
    <w:multiLevelType w:val="hybridMultilevel"/>
    <w:lvl w:ilvl="0">
      <w:lvlJc w:val="left"/>
      <w:lvlText w:val="(%1)"/>
      <w:numFmt w:val="lowerLetter"/>
      <w:start w:val="6"/>
    </w:lvl>
  </w:abstractNum>
  <w:abstractNum w:abstractNumId="102">
    <w:nsid w:val="51BF6B48"/>
    <w:multiLevelType w:val="hybridMultilevel"/>
    <w:lvl w:ilvl="0">
      <w:lvlJc w:val="left"/>
      <w:lvlText w:val="(%1)"/>
      <w:numFmt w:val="lowerLetter"/>
      <w:start w:val="1"/>
    </w:lvl>
  </w:abstractNum>
  <w:abstractNum w:abstractNumId="103">
    <w:nsid w:val="7E0F6384"/>
    <w:multiLevelType w:val="hybridMultilevel"/>
    <w:lvl w:ilvl="0">
      <w:lvlJc w:val="left"/>
      <w:lvlText w:val="(%1)"/>
      <w:numFmt w:val="lowerLetter"/>
      <w:start w:val="3"/>
    </w:lvl>
  </w:abstractNum>
  <w:abstractNum w:abstractNumId="104">
    <w:nsid w:val="2B4B8B53"/>
    <w:multiLevelType w:val="hybridMultilevel"/>
    <w:lvl w:ilvl="0">
      <w:lvlJc w:val="left"/>
      <w:lvlText w:val="(%1)"/>
      <w:numFmt w:val="lowerLetter"/>
      <w:start w:val="1"/>
    </w:lvl>
    <w:lvl w:ilvl="1">
      <w:lvlJc w:val="left"/>
      <w:lvlText w:val="(%2)"/>
      <w:numFmt w:val="lowerRoman"/>
      <w:start w:val="1"/>
    </w:lvl>
  </w:abstractNum>
  <w:abstractNum w:abstractNumId="105">
    <w:nsid w:val="72E3413A"/>
    <w:multiLevelType w:val="hybridMultilevel"/>
    <w:lvl w:ilvl="0">
      <w:lvlJc w:val="left"/>
      <w:lvlText w:val="%1"/>
      <w:numFmt w:val="lowerLetter"/>
      <w:start w:val="1"/>
    </w:lvl>
    <w:lvl w:ilvl="1">
      <w:lvlJc w:val="left"/>
      <w:lvlText w:val="(%2)"/>
      <w:numFmt w:val="lowerRoman"/>
      <w:start w:val="3"/>
    </w:lvl>
  </w:abstractNum>
  <w:abstractNum w:abstractNumId="106">
    <w:nsid w:val="116AE494"/>
    <w:multiLevelType w:val="hybridMultilevel"/>
    <w:lvl w:ilvl="0">
      <w:lvlJc w:val="left"/>
      <w:lvlText w:val="(%1)"/>
      <w:numFmt w:val="lowerLetter"/>
      <w:start w:val="2"/>
    </w:lvl>
    <w:lvl w:ilvl="1">
      <w:lvlJc w:val="left"/>
      <w:lvlText w:val="%2"/>
      <w:numFmt w:val="lowerRoman"/>
      <w:start w:val="1"/>
    </w:lvl>
  </w:abstractNum>
  <w:abstractNum w:abstractNumId="107">
    <w:nsid w:val="3494B2FB"/>
    <w:multiLevelType w:val="hybridMultilevel"/>
    <w:lvl w:ilvl="0">
      <w:lvlJc w:val="left"/>
      <w:lvlText w:val="(%1)"/>
      <w:numFmt w:val="lowerLetter"/>
      <w:start w:val="5"/>
    </w:lvl>
  </w:abstractNum>
  <w:abstractNum w:abstractNumId="108">
    <w:nsid w:val="B13A31"/>
    <w:multiLevelType w:val="hybridMultilevel"/>
    <w:lvl w:ilvl="0">
      <w:lvlJc w:val="left"/>
      <w:lvlText w:val="(%1)"/>
      <w:numFmt w:val="lowerLetter"/>
      <w:start w:val="1"/>
    </w:lvl>
  </w:abstractNum>
  <w:abstractNum w:abstractNumId="109">
    <w:nsid w:val="64429599"/>
    <w:multiLevelType w:val="hybridMultilevel"/>
    <w:lvl w:ilvl="0">
      <w:lvlJc w:val="left"/>
      <w:lvlText w:val="(%1)"/>
      <w:numFmt w:val="lowerLetter"/>
      <w:start w:val="4"/>
    </w:lvl>
  </w:abstractNum>
  <w:abstractNum w:abstractNumId="110">
    <w:nsid w:val="631F1690"/>
    <w:multiLevelType w:val="hybridMultilevel"/>
    <w:lvl w:ilvl="0">
      <w:lvlJc w:val="left"/>
      <w:lvlText w:val="(%1)"/>
      <w:numFmt w:val="lowerLetter"/>
      <w:start w:val="1"/>
    </w:lvl>
  </w:abstractNum>
  <w:abstractNum w:abstractNumId="111">
    <w:nsid w:val="25973E32"/>
    <w:multiLevelType w:val="hybridMultilevel"/>
    <w:lvl w:ilvl="0">
      <w:lvlJc w:val="left"/>
      <w:lvlText w:val="(%1)"/>
      <w:numFmt w:val="lowerLetter"/>
      <w:start w:val="3"/>
    </w:lvl>
    <w:lvl w:ilvl="1">
      <w:lvlJc w:val="left"/>
      <w:lvlText w:val="(%2)"/>
      <w:numFmt w:val="lowerRoman"/>
      <w:start w:val="1"/>
    </w:lvl>
  </w:abstractNum>
  <w:abstractNum w:abstractNumId="112">
    <w:nsid w:val="EAD6F57"/>
    <w:multiLevelType w:val="hybridMultilevel"/>
    <w:lvl w:ilvl="0">
      <w:lvlJc w:val="left"/>
      <w:lvlText w:val="(%1)"/>
      <w:numFmt w:val="lowerLetter"/>
      <w:start w:val="35"/>
    </w:lvl>
    <w:lvl w:ilvl="1">
      <w:lvlJc w:val="left"/>
      <w:lvlText w:val="(%2)"/>
      <w:numFmt w:val="lowerRoman"/>
      <w:start w:val="2"/>
    </w:lvl>
  </w:abstractNum>
  <w:abstractNum w:abstractNumId="113">
    <w:nsid w:val="6EC9D844"/>
    <w:multiLevelType w:val="hybridMultilevel"/>
    <w:lvl w:ilvl="0">
      <w:lvlJc w:val="left"/>
      <w:lvlText w:val="%1"/>
      <w:numFmt w:val="lowerLetter"/>
      <w:start w:val="1"/>
    </w:lvl>
    <w:lvl w:ilvl="1">
      <w:lvlJc w:val="left"/>
      <w:lvlText w:val="(%2)"/>
      <w:numFmt w:val="lowerLetter"/>
      <w:start w:val="22"/>
    </w:lvl>
  </w:abstractNum>
  <w:abstractNum w:abstractNumId="114">
    <w:nsid w:val="5C49EAEE"/>
    <w:multiLevelType w:val="hybridMultilevel"/>
    <w:lvl w:ilvl="0">
      <w:lvlJc w:val="left"/>
      <w:lvlText w:val="(%1)"/>
      <w:numFmt w:val="lowerLetter"/>
      <w:start w:val="4"/>
    </w:lvl>
    <w:lvl w:ilvl="1">
      <w:lvlJc w:val="left"/>
      <w:lvlText w:val="%2"/>
      <w:numFmt w:val="lowerLetter"/>
      <w:start w:val="1"/>
    </w:lvl>
  </w:abstractNum>
  <w:abstractNum w:abstractNumId="115">
    <w:nsid w:val="64AF49B"/>
    <w:multiLevelType w:val="hybridMultilevel"/>
    <w:lvl w:ilvl="0">
      <w:lvlJc w:val="left"/>
      <w:lvlText w:val="(%1)"/>
      <w:numFmt w:val="lowerLetter"/>
      <w:start w:val="1"/>
    </w:lvl>
  </w:abstractNum>
  <w:abstractNum w:abstractNumId="116">
    <w:nsid w:val="397C46BC"/>
    <w:multiLevelType w:val="hybridMultilevel"/>
    <w:lvl w:ilvl="0">
      <w:lvlJc w:val="left"/>
      <w:lvlText w:val="(%1)"/>
      <w:numFmt w:val="lowerLetter"/>
      <w:start w:val="2"/>
    </w:lvl>
  </w:abstractNum>
  <w:abstractNum w:abstractNumId="117">
    <w:nsid w:val="7E448DE9"/>
    <w:multiLevelType w:val="hybridMultilevel"/>
    <w:lvl w:ilvl="0">
      <w:lvlJc w:val="left"/>
      <w:lvlText w:val="(%1)"/>
      <w:numFmt w:val="lowerLetter"/>
      <w:start w:val="5"/>
    </w:lvl>
  </w:abstractNum>
  <w:abstractNum w:abstractNumId="118">
    <w:nsid w:val="5A9CC3E5"/>
    <w:multiLevelType w:val="hybridMultilevel"/>
    <w:lvl w:ilvl="0">
      <w:lvlJc w:val="left"/>
      <w:lvlText w:val="(%1)"/>
      <w:numFmt w:val="lowerLetter"/>
      <w:start w:val="1"/>
    </w:lvl>
  </w:abstractNum>
  <w:abstractNum w:abstractNumId="119">
    <w:nsid w:val="1AFE3625"/>
    <w:multiLevelType w:val="hybridMultilevel"/>
    <w:lvl w:ilvl="0">
      <w:lvlJc w:val="left"/>
      <w:lvlText w:val="(%1)"/>
      <w:numFmt w:val="lowerLetter"/>
      <w:start w:val="7"/>
    </w:lvl>
  </w:abstractNum>
  <w:abstractNum w:abstractNumId="120">
    <w:nsid w:val="3CA88ECF"/>
    <w:multiLevelType w:val="hybridMultilevel"/>
    <w:lvl w:ilvl="0">
      <w:lvlJc w:val="left"/>
      <w:lvlText w:val="(%1)"/>
      <w:numFmt w:val="lowerLetter"/>
      <w:start w:val="1"/>
    </w:lvl>
  </w:abstractNum>
  <w:abstractNum w:abstractNumId="121">
    <w:nsid w:val="6EBE4208"/>
    <w:multiLevelType w:val="hybridMultilevel"/>
    <w:lvl w:ilvl="0">
      <w:lvlJc w:val="left"/>
      <w:lvlText w:val="(%1)"/>
      <w:numFmt w:val="lowerLetter"/>
      <w:start w:val="1"/>
    </w:lvl>
  </w:abstractNum>
  <w:abstractNum w:abstractNumId="122">
    <w:nsid w:val="C058DF5"/>
    <w:multiLevelType w:val="hybridMultilevel"/>
    <w:lvl w:ilvl="0">
      <w:lvlJc w:val="left"/>
      <w:lvlText w:val="(%1)"/>
      <w:numFmt w:val="lowerLetter"/>
      <w:start w:val="4"/>
    </w:lvl>
  </w:abstractNum>
  <w:abstractNum w:abstractNumId="123">
    <w:nsid w:val="CBE5BE9"/>
    <w:multiLevelType w:val="hybridMultilevel"/>
    <w:lvl w:ilvl="0">
      <w:lvlJc w:val="left"/>
      <w:lvlText w:val="(%1)"/>
      <w:numFmt w:val="lowerRoman"/>
      <w:start w:val="1"/>
    </w:lvl>
  </w:abstractNum>
  <w:abstractNum w:abstractNumId="124">
    <w:nsid w:val="3102BBE2"/>
    <w:multiLevelType w:val="hybridMultilevel"/>
    <w:lvl w:ilvl="0">
      <w:lvlJc w:val="left"/>
      <w:lvlText w:val="%1"/>
      <w:numFmt w:val="lowerLetter"/>
      <w:start w:val="1"/>
    </w:lvl>
    <w:lvl w:ilvl="1">
      <w:lvlJc w:val="left"/>
      <w:lvlText w:val="(%2)"/>
      <w:numFmt w:val="lowerLetter"/>
      <w:start w:val="1"/>
    </w:lvl>
  </w:abstractNum>
  <w:abstractNum w:abstractNumId="125">
    <w:nsid w:val="26A02C5E"/>
    <w:multiLevelType w:val="hybridMultilevel"/>
    <w:lvl w:ilvl="0">
      <w:lvlJc w:val="left"/>
      <w:lvlText w:val="(%1)"/>
      <w:numFmt w:val="lowerLetter"/>
      <w:start w:val="35"/>
    </w:lvl>
    <w:lvl w:ilvl="1">
      <w:lvlJc w:val="left"/>
      <w:lvlText w:val="%2"/>
      <w:numFmt w:val="lowerLetter"/>
      <w:start w:val="1"/>
    </w:lvl>
  </w:abstractNum>
  <w:abstractNum w:abstractNumId="126">
    <w:nsid w:val="541C8153"/>
    <w:multiLevelType w:val="hybridMultilevel"/>
    <w:lvl w:ilvl="0">
      <w:lvlJc w:val="left"/>
      <w:lvlText w:val="(%1)"/>
      <w:numFmt w:val="lowerLetter"/>
      <w:start w:val="5"/>
    </w:lvl>
  </w:abstractNum>
  <w:abstractNum w:abstractNumId="127">
    <w:nsid w:val="67906F60"/>
    <w:multiLevelType w:val="hybridMultilevel"/>
    <w:lvl w:ilvl="0">
      <w:lvlJc w:val="left"/>
      <w:lvlText w:val="(%1)"/>
      <w:numFmt w:val="lowerLetter"/>
      <w:start w:val="1"/>
    </w:lvl>
  </w:abstractNum>
  <w:abstractNum w:abstractNumId="128">
    <w:nsid w:val="10DB9DAA"/>
    <w:multiLevelType w:val="hybridMultilevel"/>
    <w:lvl w:ilvl="0">
      <w:lvlJc w:val="left"/>
      <w:lvlText w:val="(%1)"/>
      <w:numFmt w:val="lowerLetter"/>
      <w:start w:val="1"/>
    </w:lvl>
    <w:lvl w:ilvl="1">
      <w:lvlJc w:val="left"/>
      <w:lvlText w:val="(%2)"/>
      <w:numFmt w:val="decimal"/>
      <w:start w:val="1"/>
    </w:lvl>
  </w:abstractNum>
  <w:abstractNum w:abstractNumId="129">
    <w:nsid w:val="697D2D2"/>
    <w:multiLevelType w:val="hybridMultilevel"/>
    <w:lvl w:ilvl="0">
      <w:lvlJc w:val="left"/>
      <w:lvlText w:val="(%1)"/>
      <w:numFmt w:val="decimal"/>
      <w:start w:val="3"/>
    </w:lvl>
  </w:abstractNum>
  <w:abstractNum w:abstractNumId="130">
    <w:nsid w:val="6D68AB2"/>
    <w:multiLevelType w:val="hybridMultilevel"/>
    <w:lvl w:ilvl="0">
      <w:lvlJc w:val="left"/>
      <w:lvlText w:val="(%1)"/>
      <w:numFmt w:val="lowerLetter"/>
      <w:start w:val="2"/>
    </w:lvl>
  </w:abstractNum>
  <w:abstractNum w:abstractNumId="131">
    <w:nsid w:val="3A966CD0"/>
    <w:multiLevelType w:val="hybridMultilevel"/>
    <w:lvl w:ilvl="0">
      <w:lvlJc w:val="left"/>
      <w:lvlText w:val="(%1)"/>
      <w:numFmt w:val="lowerLetter"/>
      <w:start w:val="1"/>
    </w:lvl>
    <w:lvl w:ilvl="1">
      <w:lvlJc w:val="left"/>
      <w:lvlText w:val="(%2)"/>
      <w:numFmt w:val="decimal"/>
      <w:start w:val="1"/>
    </w:lvl>
  </w:abstractNum>
  <w:abstractNum w:abstractNumId="132">
    <w:nsid w:val="63F37E85"/>
    <w:multiLevelType w:val="hybridMultilevel"/>
    <w:lvl w:ilvl="0">
      <w:lvlJc w:val="left"/>
      <w:lvlText w:val="(%1)"/>
      <w:numFmt w:val="lowerLetter"/>
      <w:start w:val="2"/>
    </w:lvl>
  </w:abstractNum>
  <w:abstractNum w:abstractNumId="133">
    <w:nsid w:val="5895F5FA"/>
    <w:multiLevelType w:val="hybridMultilevel"/>
    <w:lvl w:ilvl="0">
      <w:lvlJc w:val="left"/>
      <w:lvlText w:val="(%1)"/>
      <w:numFmt w:val="lowerLetter"/>
      <w:start w:val="1"/>
    </w:lvl>
  </w:abstractNum>
  <w:abstractNum w:abstractNumId="134">
    <w:nsid w:val="38A5D054"/>
    <w:multiLevelType w:val="hybridMultilevel"/>
    <w:lvl w:ilvl="0">
      <w:lvlJc w:val="left"/>
      <w:lvlText w:val="(%1)"/>
      <w:numFmt w:val="lowerLetter"/>
      <w:start w:val="4"/>
    </w:lvl>
    <w:lvl w:ilvl="1">
      <w:lvlJc w:val="left"/>
      <w:lvlText w:val="(%2)"/>
      <w:numFmt w:val="decimal"/>
      <w:start w:val="1"/>
    </w:lvl>
  </w:abstractNum>
  <w:abstractNum w:abstractNumId="135">
    <w:nsid w:val="F3F09D8"/>
    <w:multiLevelType w:val="hybridMultilevel"/>
    <w:lvl w:ilvl="0">
      <w:lvlJc w:val="left"/>
      <w:lvlText w:val="(%1)"/>
      <w:numFmt w:val="decimal"/>
      <w:start w:val="3"/>
    </w:lvl>
  </w:abstractNum>
  <w:abstractNum w:abstractNumId="136">
    <w:nsid w:val="4B793735"/>
    <w:multiLevelType w:val="hybridMultilevel"/>
    <w:lvl w:ilvl="0">
      <w:lvlJc w:val="left"/>
      <w:lvlText w:val="(%1)"/>
      <w:numFmt w:val="lowerLetter"/>
      <w:start w:val="8"/>
    </w:lvl>
  </w:abstractNum>
  <w:abstractNum w:abstractNumId="137">
    <w:nsid w:val="4A10B4E8"/>
    <w:multiLevelType w:val="hybridMultilevel"/>
    <w:lvl w:ilvl="0">
      <w:lvlJc w:val="left"/>
      <w:lvlText w:val="(%1)"/>
      <w:numFmt w:val="lowerLetter"/>
      <w:start w:val="1"/>
    </w:lvl>
  </w:abstractNum>
  <w:abstractNum w:abstractNumId="138">
    <w:nsid w:val="43D3BCD4"/>
    <w:multiLevelType w:val="hybridMultilevel"/>
    <w:lvl w:ilvl="0">
      <w:lvlJc w:val="left"/>
      <w:lvlText w:val="(%1)"/>
      <w:numFmt w:val="lowerLetter"/>
      <w:start w:val="2"/>
    </w:lvl>
    <w:lvl w:ilvl="1">
      <w:lvlJc w:val="left"/>
      <w:lvlText w:val="(%2)"/>
      <w:numFmt w:val="lowerRoman"/>
      <w:start w:val="1"/>
    </w:lvl>
  </w:abstractNum>
  <w:abstractNum w:abstractNumId="139">
    <w:nsid w:val="4C2A7166"/>
    <w:multiLevelType w:val="hybridMultilevel"/>
    <w:lvl w:ilvl="0">
      <w:lvlJc w:val="left"/>
      <w:lvlText w:val="(%1)"/>
      <w:numFmt w:val="lowerLetter"/>
      <w:start w:val="35"/>
    </w:lvl>
    <w:lvl w:ilvl="1">
      <w:lvlJc w:val="left"/>
      <w:lvlText w:val="(%2)"/>
      <w:numFmt w:val="lowerLetter"/>
      <w:start w:val="5"/>
    </w:lvl>
  </w:abstractNum>
  <w:abstractNum w:abstractNumId="140">
    <w:nsid w:val="2E534A82"/>
    <w:multiLevelType w:val="hybridMultilevel"/>
    <w:lvl w:ilvl="0">
      <w:lvlJc w:val="left"/>
      <w:lvlText w:val="(%1)"/>
      <w:numFmt w:val="lowerLetter"/>
      <w:start w:val="1"/>
    </w:lvl>
  </w:abstractNum>
  <w:abstractNum w:abstractNumId="141">
    <w:nsid w:val="26F2D364"/>
    <w:multiLevelType w:val="hybridMultilevel"/>
    <w:lvl w:ilvl="0">
      <w:lvlJc w:val="left"/>
      <w:lvlText w:val="%1"/>
      <w:numFmt w:val="lowerLetter"/>
      <w:start w:val="1"/>
    </w:lvl>
    <w:lvl w:ilvl="1">
      <w:lvlJc w:val="left"/>
      <w:lvlText w:val="(%2)"/>
      <w:numFmt w:val="lowerRoman"/>
      <w:start w:val="1"/>
    </w:lvl>
  </w:abstractNum>
  <w:abstractNum w:abstractNumId="142">
    <w:nsid w:val="71C1AF98"/>
    <w:multiLevelType w:val="hybridMultilevel"/>
    <w:lvl w:ilvl="0">
      <w:lvlJc w:val="left"/>
      <w:lvlText w:val="(%1)"/>
      <w:numFmt w:val="lowerLetter"/>
      <w:start w:val="2"/>
    </w:lvl>
    <w:lvl w:ilvl="1">
      <w:lvlJc w:val="left"/>
      <w:lvlText w:val="%2"/>
      <w:numFmt w:val="lowerRoman"/>
      <w:start w:val="1"/>
    </w:lvl>
  </w:abstractNum>
  <w:abstractNum w:abstractNumId="143">
    <w:nsid w:val="3D00B9D9"/>
    <w:multiLevelType w:val="hybridMultilevel"/>
    <w:lvl w:ilvl="0">
      <w:lvlJc w:val="left"/>
      <w:lvlText w:val="(%1)"/>
      <w:numFmt w:val="lowerLetter"/>
      <w:start w:val="1"/>
    </w:lvl>
  </w:abstractNum>
  <w:abstractNum w:abstractNumId="144">
    <w:nsid w:val="15BCABA8"/>
    <w:multiLevelType w:val="hybridMultilevel"/>
    <w:lvl w:ilvl="0">
      <w:lvlJc w:val="left"/>
      <w:lvlText w:val="%1"/>
      <w:numFmt w:val="decimal"/>
      <w:start w:val="1"/>
    </w:lvl>
    <w:lvl w:ilvl="1">
      <w:lvlJc w:val="left"/>
      <w:lvlText w:val="(%2)"/>
      <w:numFmt w:val="lowerLetter"/>
      <w:start w:val="2"/>
    </w:lvl>
  </w:abstractNum>
  <w:abstractNum w:abstractNumId="145">
    <w:nsid w:val="4E0B9A87"/>
    <w:multiLevelType w:val="hybridMultilevel"/>
    <w:lvl w:ilvl="0">
      <w:lvlJc w:val="left"/>
      <w:lvlText w:val="(%1)"/>
      <w:numFmt w:val="decimal"/>
      <w:start w:val="10"/>
    </w:lvl>
    <w:lvl w:ilvl="1">
      <w:lvlJc w:val="left"/>
      <w:lvlText w:val="(%2)"/>
      <w:numFmt w:val="lowerLetter"/>
      <w:start w:val="3"/>
    </w:lvl>
  </w:abstractNum>
  <w:abstractNum w:abstractNumId="146">
    <w:nsid w:val="434BAE75"/>
    <w:multiLevelType w:val="hybridMultilevel"/>
    <w:lvl w:ilvl="0">
      <w:lvlJc w:val="left"/>
      <w:lvlText w:val="(%1)"/>
      <w:numFmt w:val="lowerLetter"/>
      <w:start w:val="1"/>
    </w:lvl>
  </w:abstractNum>
  <w:abstractNum w:abstractNumId="147">
    <w:nsid w:val="4F38F265"/>
    <w:multiLevelType w:val="hybridMultilevel"/>
    <w:lvl w:ilvl="0">
      <w:lvlJc w:val="left"/>
      <w:lvlText w:val="(%1)"/>
      <w:numFmt w:val="lowerLetter"/>
      <w:start w:val="2"/>
    </w:lvl>
  </w:abstractNum>
  <w:abstractNum w:abstractNumId="148">
    <w:nsid w:val="4C502870"/>
    <w:multiLevelType w:val="hybridMultilevel"/>
    <w:lvl w:ilvl="0">
      <w:lvlJc w:val="left"/>
      <w:lvlText w:val="(%1)"/>
      <w:numFmt w:val="lowerLetter"/>
      <w:start w:val="5"/>
    </w:lvl>
  </w:abstractNum>
  <w:abstractNum w:abstractNumId="149">
    <w:nsid w:val="1DE8725A"/>
    <w:multiLevelType w:val="hybridMultilevel"/>
    <w:lvl w:ilvl="0">
      <w:lvlJc w:val="left"/>
      <w:lvlText w:val="(%1)"/>
      <w:numFmt w:val="lowerLetter"/>
      <w:start w:val="1"/>
    </w:lvl>
    <w:lvl w:ilvl="1">
      <w:lvlJc w:val="left"/>
      <w:lvlText w:val="(%2)"/>
      <w:numFmt w:val="upperLetter"/>
      <w:start w:val="1"/>
    </w:lvl>
  </w:abstractNum>
  <w:abstractNum w:abstractNumId="150">
    <w:nsid w:val="6A37288A"/>
    <w:multiLevelType w:val="hybridMultilevel"/>
    <w:lvl w:ilvl="0">
      <w:lvlJc w:val="left"/>
      <w:lvlText w:val="(%1)"/>
      <w:numFmt w:val="lowerRoman"/>
      <w:start w:val="2"/>
    </w:lvl>
    <w:lvl w:ilvl="1">
      <w:lvlJc w:val="left"/>
      <w:lvlText w:val="(%2)"/>
      <w:numFmt w:val="upperLetter"/>
      <w:start w:val="1"/>
    </w:lvl>
  </w:abstractNum>
  <w:abstractNum w:abstractNumId="151">
    <w:nsid w:val="8F8B73F"/>
    <w:multiLevelType w:val="hybridMultilevel"/>
    <w:lvl w:ilvl="0">
      <w:lvlJc w:val="left"/>
      <w:lvlText w:val="(%1)"/>
      <w:numFmt w:val="lowerRoman"/>
      <w:start w:val="3"/>
    </w:lvl>
  </w:abstractNum>
  <w:abstractNum w:abstractNumId="152">
    <w:nsid w:val="CA6B462"/>
    <w:multiLevelType w:val="hybridMultilevel"/>
    <w:lvl w:ilvl="0">
      <w:lvlJc w:val="left"/>
      <w:lvlText w:val="(%1)"/>
      <w:numFmt w:val="lowerLetter"/>
      <w:start w:val="3"/>
    </w:lvl>
    <w:lvl w:ilvl="1">
      <w:lvlJc w:val="left"/>
      <w:lvlText w:val="(%2)"/>
      <w:numFmt w:val="lowerRoman"/>
      <w:start w:val="1"/>
    </w:lvl>
  </w:abstractNum>
  <w:abstractNum w:abstractNumId="153">
    <w:nsid w:val="763CB680"/>
    <w:multiLevelType w:val="hybridMultilevel"/>
    <w:lvl w:ilvl="0">
      <w:lvlJc w:val="left"/>
      <w:lvlText w:val="(%1)"/>
      <w:numFmt w:val="lowerLetter"/>
      <w:start w:val="4"/>
    </w:lvl>
  </w:abstractNum>
  <w:abstractNum w:abstractNumId="154">
    <w:nsid w:val="15B71329"/>
    <w:multiLevelType w:val="hybridMultilevel"/>
    <w:lvl w:ilvl="0">
      <w:lvlJc w:val="left"/>
      <w:lvlText w:val="(%1)"/>
      <w:numFmt w:val="lowerLetter"/>
      <w:start w:val="1"/>
    </w:lvl>
  </w:abstractNum>
  <w:abstractNum w:abstractNumId="155">
    <w:nsid w:val="3DA97044"/>
    <w:multiLevelType w:val="hybridMultilevel"/>
    <w:lvl w:ilvl="0">
      <w:lvlJc w:val="left"/>
      <w:lvlText w:val="(%1)"/>
      <w:numFmt w:val="lowerLetter"/>
      <w:start w:val="1"/>
    </w:lvl>
  </w:abstractNum>
  <w:abstractNum w:abstractNumId="156">
    <w:nsid w:val="1CDCE2DE"/>
    <w:multiLevelType w:val="hybridMultilevel"/>
    <w:lvl w:ilvl="0">
      <w:lvlJc w:val="left"/>
      <w:lvlText w:val="(%1)"/>
      <w:numFmt w:val="lowerLetter"/>
      <w:start w:val="2"/>
    </w:lvl>
    <w:lvl w:ilvl="1">
      <w:lvlJc w:val="left"/>
      <w:lvlText w:val="(%2)"/>
      <w:numFmt w:val="lowerRoman"/>
      <w:start w:val="1"/>
    </w:lvl>
  </w:abstractNum>
  <w:abstractNum w:abstractNumId="157">
    <w:nsid w:val="69D3947C"/>
    <w:multiLevelType w:val="hybridMultilevel"/>
    <w:lvl w:ilvl="0">
      <w:lvlJc w:val="left"/>
      <w:lvlText w:val="(%1)"/>
      <w:numFmt w:val="lowerLetter"/>
      <w:start w:val="1"/>
    </w:lvl>
  </w:abstractNum>
  <w:abstractNum w:abstractNumId="158">
    <w:nsid w:val="2539DFA5"/>
    <w:multiLevelType w:val="hybridMultilevel"/>
    <w:lvl w:ilvl="0">
      <w:lvlJc w:val="left"/>
      <w:lvlText w:val="(%1)"/>
      <w:numFmt w:val="lowerLetter"/>
      <w:start w:val="1"/>
    </w:lvl>
  </w:abstractNum>
  <w:abstractNum w:abstractNumId="159">
    <w:nsid w:val="2DB88089"/>
    <w:multiLevelType w:val="hybridMultilevel"/>
    <w:lvl w:ilvl="0">
      <w:lvlJc w:val="left"/>
      <w:lvlText w:val="(%1)"/>
      <w:numFmt w:val="lowerLetter"/>
      <w:start w:val="2"/>
    </w:lvl>
    <w:lvl w:ilvl="1">
      <w:lvlJc w:val="left"/>
      <w:lvlText w:val="(%2)"/>
      <w:numFmt w:val="lowerRoman"/>
      <w:start w:val="1"/>
    </w:lvl>
  </w:abstractNum>
  <w:abstractNum w:abstractNumId="160">
    <w:nsid w:val="706B674E"/>
    <w:multiLevelType w:val="hybridMultilevel"/>
    <w:lvl w:ilvl="0">
      <w:lvlJc w:val="left"/>
      <w:lvlText w:val="(%1)"/>
      <w:numFmt w:val="lowerLetter"/>
      <w:start w:val="1"/>
    </w:lvl>
    <w:lvl w:ilvl="1">
      <w:lvlJc w:val="left"/>
      <w:lvlText w:val="(%2)"/>
      <w:numFmt w:val="decimal"/>
      <w:start w:val="1"/>
    </w:lvl>
  </w:abstractNum>
  <w:abstractNum w:abstractNumId="161">
    <w:nsid w:val="2C106A57"/>
    <w:multiLevelType w:val="hybridMultilevel"/>
    <w:lvl w:ilvl="0">
      <w:lvlJc w:val="left"/>
      <w:lvlText w:val="(%1)"/>
      <w:numFmt w:val="lowerLetter"/>
      <w:start w:val="2"/>
    </w:lvl>
  </w:abstractNum>
  <w:abstractNum w:abstractNumId="162">
    <w:nsid w:val="684EED59"/>
    <w:multiLevelType w:val="hybridMultilevel"/>
    <w:lvl w:ilvl="0">
      <w:lvlJc w:val="left"/>
      <w:lvlText w:val="(%1)"/>
      <w:numFmt w:val="decimal"/>
      <w:start w:val="1"/>
    </w:lvl>
    <w:lvl w:ilvl="1">
      <w:lvlJc w:val="left"/>
      <w:lvlText w:val="(%2)"/>
      <w:numFmt w:val="lowerLetter"/>
      <w:start w:val="1"/>
    </w:lvl>
  </w:abstractNum>
  <w:abstractNum w:abstractNumId="163">
    <w:nsid w:val="545EE5D3"/>
    <w:multiLevelType w:val="hybridMultilevel"/>
    <w:lvl w:ilvl="0">
      <w:lvlJc w:val="left"/>
      <w:lvlText w:val="(%1)"/>
      <w:numFmt w:val="decimal"/>
      <w:start w:val="2"/>
    </w:lvl>
  </w:abstractNum>
  <w:abstractNum w:abstractNumId="164">
    <w:nsid w:val="4A66051"/>
    <w:multiLevelType w:val="hybridMultilevel"/>
    <w:lvl w:ilvl="0">
      <w:lvlJc w:val="left"/>
      <w:lvlText w:val="(%1)"/>
      <w:numFmt w:val="decimal"/>
      <w:start w:val="1"/>
    </w:lvl>
  </w:abstractNum>
  <w:abstractNum w:abstractNumId="165">
    <w:nsid w:val="20F4BDAD"/>
    <w:multiLevelType w:val="hybridMultilevel"/>
    <w:lvl w:ilvl="0">
      <w:lvlJc w:val="left"/>
      <w:lvlText w:val="(%1)"/>
      <w:numFmt w:val="decimal"/>
      <w:start w:val="2"/>
    </w:lvl>
  </w:abstractNum>
  <w:abstractNum w:abstractNumId="166">
    <w:nsid w:val="639DEFAC"/>
    <w:multiLevelType w:val="hybridMultilevel"/>
    <w:lvl w:ilvl="0">
      <w:lvlJc w:val="left"/>
      <w:lvlText w:val="(%1)"/>
      <w:numFmt w:val="decimal"/>
      <w:start w:val="1"/>
    </w:lvl>
  </w:abstractNum>
  <w:abstractNum w:abstractNumId="167">
    <w:nsid w:val="501F9786"/>
    <w:multiLevelType w:val="hybridMultilevel"/>
    <w:lvl w:ilvl="0">
      <w:lvlJc w:val="left"/>
      <w:lvlText w:val="(%1)"/>
      <w:numFmt w:val="lowerLetter"/>
      <w:start w:val="3"/>
    </w:lvl>
  </w:abstractNum>
  <w:abstractNum w:abstractNumId="168">
    <w:nsid w:val="6B057295"/>
    <w:multiLevelType w:val="hybridMultilevel"/>
    <w:lvl w:ilvl="0">
      <w:lvlJc w:val="left"/>
      <w:lvlText w:val="(%1)"/>
      <w:numFmt w:val="decimal"/>
      <w:start w:val="1"/>
    </w:lvl>
  </w:abstractNum>
  <w:abstractNum w:abstractNumId="169">
    <w:nsid w:val="2771AC80"/>
    <w:multiLevelType w:val="hybridMultilevel"/>
    <w:lvl w:ilvl="0">
      <w:lvlJc w:val="left"/>
      <w:lvlText w:val="(%1)"/>
      <w:numFmt w:val="lowerRoman"/>
      <w:start w:val="3"/>
    </w:lvl>
  </w:abstractNum>
  <w:abstractNum w:abstractNumId="170">
    <w:nsid w:val="1C4A08EC"/>
    <w:multiLevelType w:val="hybridMultilevel"/>
    <w:lvl w:ilvl="0">
      <w:lvlJc w:val="left"/>
      <w:lvlText w:val="(%1)"/>
      <w:numFmt w:val="decimal"/>
      <w:start w:val="1"/>
    </w:lvl>
  </w:abstractNum>
  <w:abstractNum w:abstractNumId="171">
    <w:nsid w:val="1958BD17"/>
    <w:multiLevelType w:val="hybridMultilevel"/>
    <w:lvl w:ilvl="0">
      <w:lvlJc w:val="left"/>
      <w:lvlText w:val="%1"/>
      <w:numFmt w:val="lowerLetter"/>
      <w:start w:val="1"/>
    </w:lvl>
    <w:lvl w:ilvl="1">
      <w:lvlJc w:val="left"/>
      <w:lvlText w:val="(%2)"/>
      <w:numFmt w:val="decimal"/>
      <w:start w:val="1"/>
    </w:lvl>
  </w:abstractNum>
  <w:abstractNum w:abstractNumId="172">
    <w:nsid w:val="4E647FE4"/>
    <w:multiLevelType w:val="hybridMultilevel"/>
    <w:lvl w:ilvl="0">
      <w:lvlJc w:val="left"/>
      <w:lvlText w:val="(%1)"/>
      <w:numFmt w:val="lowerLetter"/>
      <w:start w:val="2"/>
    </w:lvl>
    <w:lvl w:ilvl="1">
      <w:lvlJc w:val="left"/>
      <w:lvlText w:val="(%2)"/>
      <w:numFmt w:val="decimal"/>
      <w:start w:val="5"/>
    </w:lvl>
  </w:abstractNum>
  <w:abstractNum w:abstractNumId="173">
    <w:nsid w:val="E0BB885"/>
    <w:multiLevelType w:val="hybridMultilevel"/>
    <w:lvl w:ilvl="0">
      <w:lvlJc w:val="left"/>
      <w:lvlText w:val="(%1)"/>
      <w:numFmt w:val="lowerRoman"/>
      <w:start w:val="1"/>
    </w:lvl>
  </w:abstractNum>
  <w:abstractNum w:abstractNumId="174">
    <w:nsid w:val="565976F1"/>
    <w:multiLevelType w:val="hybridMultilevel"/>
    <w:lvl w:ilvl="0">
      <w:lvlJc w:val="left"/>
      <w:lvlText w:val="(%1)"/>
      <w:numFmt w:val="decimal"/>
      <w:start w:val="1"/>
    </w:lvl>
  </w:abstractNum>
  <w:abstractNum w:abstractNumId="175">
    <w:nsid w:val="64212B8C"/>
    <w:multiLevelType w:val="hybridMultilevel"/>
    <w:lvl w:ilvl="0">
      <w:lvlJc w:val="left"/>
      <w:lvlText w:val="(%1)"/>
      <w:numFmt w:val="decimal"/>
      <w:start w:val="5"/>
    </w:lvl>
  </w:abstractNum>
  <w:abstractNum w:abstractNumId="176">
    <w:nsid w:val="5C17530C"/>
    <w:multiLevelType w:val="hybridMultilevel"/>
    <w:lvl w:ilvl="0">
      <w:lvlJc w:val="left"/>
      <w:lvlText w:val="(%1)"/>
      <w:numFmt w:val="decimal"/>
      <w:start w:val="12"/>
    </w:lvl>
  </w:abstractNum>
  <w:abstractNum w:abstractNumId="177">
    <w:nsid w:val="19A52566"/>
    <w:multiLevelType w:val="hybridMultilevel"/>
    <w:lvl w:ilvl="0">
      <w:lvlJc w:val="left"/>
      <w:lvlText w:val="(%1)"/>
      <w:numFmt w:val="decimal"/>
      <w:start w:val="1"/>
    </w:lvl>
  </w:abstractNum>
  <w:abstractNum w:abstractNumId="178">
    <w:nsid w:val="335A1DF1"/>
    <w:multiLevelType w:val="hybridMultilevel"/>
    <w:lvl w:ilvl="0">
      <w:lvlJc w:val="left"/>
      <w:lvlText w:val="%1"/>
      <w:numFmt w:val="decimal"/>
      <w:start w:val="1"/>
    </w:lvl>
    <w:lvl w:ilvl="1">
      <w:lvlJc w:val="left"/>
      <w:lvlText w:val="(%2)"/>
      <w:numFmt w:val="lowerLetter"/>
      <w:start w:val="1"/>
    </w:lvl>
  </w:abstractNum>
  <w:abstractNum w:abstractNumId="179">
    <w:nsid w:val="28677B7C"/>
    <w:multiLevelType w:val="hybridMultilevel"/>
    <w:lvl w:ilvl="0">
      <w:lvlJc w:val="left"/>
      <w:lvlText w:val="(%1)"/>
      <w:numFmt w:val="decimal"/>
      <w:start w:val="3"/>
    </w:lvl>
    <w:lvl w:ilvl="1">
      <w:lvlJc w:val="left"/>
      <w:lvlText w:val="(%2)"/>
      <w:numFmt w:val="lowerLetter"/>
      <w:start w:val="2"/>
    </w:lvl>
  </w:abstractNum>
  <w:abstractNum w:abstractNumId="180">
    <w:nsid w:val="378D97C0"/>
    <w:multiLevelType w:val="hybridMultilevel"/>
    <w:lvl w:ilvl="0">
      <w:lvlJc w:val="left"/>
      <w:lvlText w:val="(%1)"/>
      <w:numFmt w:val="lowerLetter"/>
      <w:start w:val="1"/>
    </w:lvl>
  </w:abstractNum>
  <w:abstractNum w:abstractNumId="181">
    <w:nsid w:val="1D91467C"/>
    <w:multiLevelType w:val="hybridMultilevel"/>
    <w:lvl w:ilvl="0">
      <w:lvlJc w:val="left"/>
      <w:lvlText w:val="(%1)"/>
      <w:numFmt w:val="lowerRoman"/>
      <w:start w:val="1"/>
    </w:lvl>
  </w:abstractNum>
  <w:abstractNum w:abstractNumId="182">
    <w:nsid w:val="316032BB"/>
    <w:multiLevelType w:val="hybridMultilevel"/>
    <w:lvl w:ilvl="0">
      <w:lvlJc w:val="left"/>
      <w:lvlText w:val="(%1)"/>
      <w:numFmt w:val="lowerRoman"/>
      <w:start w:val="4"/>
    </w:lvl>
  </w:abstractNum>
  <w:abstractNum w:abstractNumId="183">
    <w:nsid w:val="44344C22"/>
    <w:multiLevelType w:val="hybridMultilevel"/>
    <w:lvl w:ilvl="0">
      <w:lvlJc w:val="left"/>
      <w:lvlText w:val="(%1)"/>
      <w:numFmt w:val="lowerLetter"/>
      <w:start w:val="1"/>
    </w:lvl>
  </w:abstractNum>
  <w:abstractNum w:abstractNumId="184">
    <w:nsid w:val="13CDFCFC"/>
    <w:multiLevelType w:val="hybridMultilevel"/>
    <w:lvl w:ilvl="0">
      <w:lvlJc w:val="left"/>
      <w:lvlText w:val="(%1)"/>
      <w:numFmt w:val="lowerLetter"/>
      <w:start w:val="1"/>
    </w:lvl>
  </w:abstractNum>
  <w:abstractNum w:abstractNumId="185">
    <w:nsid w:val="471745E4"/>
    <w:multiLevelType w:val="hybridMultilevel"/>
    <w:lvl w:ilvl="0">
      <w:lvlJc w:val="left"/>
      <w:lvlText w:val="(%1)"/>
      <w:numFmt w:val="lowerLetter"/>
      <w:start w:val="1"/>
    </w:lvl>
  </w:abstractNum>
  <w:abstractNum w:abstractNumId="186">
    <w:nsid w:val="1DDBC66"/>
    <w:multiLevelType w:val="hybridMultilevel"/>
    <w:lvl w:ilvl="0">
      <w:lvlJc w:val="left"/>
      <w:lvlText w:val="(%1)"/>
      <w:numFmt w:val="lowerLetter"/>
      <w:start w:val="4"/>
    </w:lvl>
  </w:abstractNum>
  <w:abstractNum w:abstractNumId="187">
    <w:nsid w:val="30AADFDA"/>
    <w:multiLevelType w:val="hybridMultilevel"/>
    <w:lvl w:ilvl="0">
      <w:lvlJc w:val="left"/>
      <w:lvlText w:val="(%1)"/>
      <w:numFmt w:val="lowerLetter"/>
      <w:start w:val="1"/>
    </w:lvl>
  </w:abstractNum>
  <w:abstractNum w:abstractNumId="188">
    <w:nsid w:val="30EADA61"/>
    <w:multiLevelType w:val="hybridMultilevel"/>
    <w:lvl w:ilvl="0">
      <w:lvlJc w:val="left"/>
      <w:lvlText w:val="(%1)"/>
      <w:numFmt w:val="lowerLetter"/>
      <w:start w:val="1"/>
    </w:lvl>
    <w:lvl w:ilvl="1">
      <w:lvlJc w:val="left"/>
      <w:lvlText w:val="(%2)"/>
      <w:numFmt w:val="lowerLetter"/>
      <w:start w:val="9"/>
    </w:lvl>
  </w:abstractNum>
  <w:abstractNum w:abstractNumId="189">
    <w:nsid w:val="27179C0B"/>
    <w:multiLevelType w:val="hybridMultilevel"/>
    <w:lvl w:ilvl="0">
      <w:lvlJc w:val="left"/>
      <w:lvlText w:val="(%1)"/>
      <w:numFmt w:val="lowerRoman"/>
      <w:start w:val="2"/>
    </w:lvl>
  </w:abstractNum>
  <w:abstractNum w:abstractNumId="190">
    <w:nsid w:val="5E636063"/>
    <w:multiLevelType w:val="hybridMultilevel"/>
    <w:lvl w:ilvl="0">
      <w:lvlJc w:val="left"/>
      <w:lvlText w:val="(%1)"/>
      <w:numFmt w:val="lowerLetter"/>
      <w:start w:val="2"/>
    </w:lvl>
  </w:abstractNum>
  <w:abstractNum w:abstractNumId="191">
    <w:nsid w:val="215641AF"/>
    <w:multiLevelType w:val="hybridMultilevel"/>
    <w:lvl w:ilvl="0">
      <w:lvlJc w:val="left"/>
      <w:lvlText w:val="%1"/>
      <w:numFmt w:val="lowerLetter"/>
      <w:start w:val="1"/>
    </w:lvl>
    <w:lvl w:ilvl="1">
      <w:lvlJc w:val="left"/>
      <w:lvlText w:val="(%2)"/>
      <w:numFmt w:val="lowerLetter"/>
      <w:start w:val="3"/>
    </w:lvl>
  </w:abstractNum>
  <w:abstractNum w:abstractNumId="192">
    <w:nsid w:val="53280662"/>
    <w:multiLevelType w:val="hybridMultilevel"/>
    <w:lvl w:ilvl="0">
      <w:lvlJc w:val="left"/>
      <w:lvlText w:val="(%1)"/>
      <w:numFmt w:val="lowerLetter"/>
      <w:start w:val="61"/>
    </w:lvl>
    <w:lvl w:ilvl="1">
      <w:lvlJc w:val="left"/>
      <w:lvlText w:val="(%2)"/>
      <w:numFmt w:val="lowerLetter"/>
      <w:start w:val="5"/>
    </w:lvl>
  </w:abstractNum>
  <w:abstractNum w:abstractNumId="193">
    <w:nsid w:val="46B24DBC"/>
    <w:multiLevelType w:val="hybridMultilevel"/>
    <w:lvl w:ilvl="0">
      <w:lvlJc w:val="left"/>
      <w:lvlText w:val="(%1)"/>
      <w:numFmt w:val="lowerLetter"/>
      <w:start w:val="35"/>
    </w:lvl>
    <w:lvl w:ilvl="1">
      <w:lvlJc w:val="left"/>
      <w:lvlText w:val="(%2)"/>
      <w:numFmt w:val="lowerLetter"/>
      <w:start w:val="6"/>
    </w:lvl>
  </w:abstractNum>
  <w:abstractNum w:abstractNumId="194">
    <w:nsid w:val="75B52783"/>
    <w:multiLevelType w:val="hybridMultilevel"/>
    <w:lvl w:ilvl="0">
      <w:lvlJc w:val="left"/>
      <w:lvlText w:val="(%1)"/>
      <w:numFmt w:val="lowerLetter"/>
      <w:start w:val="1"/>
    </w:lvl>
  </w:abstractNum>
  <w:abstractNum w:abstractNumId="195">
    <w:nsid w:val="57CE66B4"/>
    <w:multiLevelType w:val="hybridMultilevel"/>
    <w:lvl w:ilvl="0">
      <w:lvlJc w:val="left"/>
      <w:lvlText w:val="%1"/>
      <w:numFmt w:val="lowerLetter"/>
      <w:start w:val="1"/>
    </w:lvl>
    <w:lvl w:ilvl="1">
      <w:lvlJc w:val="left"/>
      <w:lvlText w:val="(%2)"/>
      <w:numFmt w:val="lowerLetter"/>
      <w:start w:val="1"/>
    </w:lvl>
  </w:abstractNum>
  <w:abstractNum w:abstractNumId="196">
    <w:nsid w:val="67A70B69"/>
    <w:multiLevelType w:val="hybridMultilevel"/>
    <w:lvl w:ilvl="0">
      <w:lvlJc w:val="left"/>
      <w:lvlText w:val="(%1)"/>
      <w:numFmt w:val="lowerLetter"/>
      <w:start w:val="35"/>
    </w:lvl>
    <w:lvl w:ilvl="1">
      <w:lvlJc w:val="left"/>
      <w:lvlText w:val="%2"/>
      <w:numFmt w:val="lowerLetter"/>
      <w:start w:val="1"/>
    </w:lvl>
  </w:abstractNum>
  <w:abstractNum w:abstractNumId="197">
    <w:nsid w:val="5953172F"/>
    <w:multiLevelType w:val="hybridMultilevel"/>
    <w:lvl w:ilvl="0">
      <w:lvlJc w:val="left"/>
      <w:lvlText w:val="(%1)"/>
      <w:numFmt w:val="lowerLetter"/>
      <w:start w:val="1"/>
    </w:lvl>
  </w:abstractNum>
  <w:abstractNum w:abstractNumId="198">
    <w:nsid w:val="27EDFE3A"/>
    <w:multiLevelType w:val="hybridMultilevel"/>
    <w:lvl w:ilvl="0">
      <w:lvlJc w:val="left"/>
      <w:lvlText w:val="(%1)"/>
      <w:numFmt w:val="lowerLetter"/>
      <w:start w:val="1"/>
    </w:lvl>
  </w:abstractNum>
  <w:abstractNum w:abstractNumId="199">
    <w:nsid w:val="52AC7DFF"/>
    <w:multiLevelType w:val="hybridMultilevel"/>
    <w:lvl w:ilvl="0">
      <w:lvlJc w:val="left"/>
      <w:lvlText w:val="(%1)"/>
      <w:numFmt w:val="lowerRoman"/>
      <w:start w:val="1"/>
    </w:lvl>
  </w:abstractNum>
  <w:abstractNum w:abstractNumId="200">
    <w:nsid w:val="C4C3AF"/>
    <w:multiLevelType w:val="hybridMultilevel"/>
    <w:lvl w:ilvl="0">
      <w:lvlJc w:val="left"/>
      <w:lvlText w:val="(%1)"/>
      <w:numFmt w:val="lowerLetter"/>
      <w:start w:val="2"/>
    </w:lvl>
  </w:abstractNum>
  <w:abstractNum w:abstractNumId="201">
    <w:nsid w:val="44380727"/>
    <w:multiLevelType w:val="hybridMultilevel"/>
    <w:lvl w:ilvl="0">
      <w:lvlJc w:val="left"/>
      <w:lvlText w:val="(%1)"/>
      <w:numFmt w:val="lowerLetter"/>
      <w:start w:val="1"/>
    </w:lvl>
  </w:abstractNum>
  <w:abstractNum w:abstractNumId="202">
    <w:nsid w:val="6C053B16"/>
    <w:multiLevelType w:val="hybridMultilevel"/>
    <w:lvl w:ilvl="0">
      <w:lvlJc w:val="left"/>
      <w:lvlText w:val="(%1)"/>
      <w:numFmt w:val="lowerLetter"/>
      <w:start w:val="26"/>
    </w:lvl>
  </w:abstractNum>
  <w:abstractNum w:abstractNumId="203">
    <w:nsid w:val="4F294393"/>
    <w:multiLevelType w:val="hybridMultilevel"/>
    <w:lvl w:ilvl="0">
      <w:lvlJc w:val="left"/>
      <w:lvlText w:val="(%1)"/>
      <w:numFmt w:val="lowerLetter"/>
      <w:start w:val="2"/>
    </w:lvl>
  </w:abstractNum>
  <w:abstractNum w:abstractNumId="204">
    <w:nsid w:val="5243BFAC"/>
    <w:multiLevelType w:val="hybridMultilevel"/>
    <w:lvl w:ilvl="0">
      <w:lvlJc w:val="left"/>
      <w:lvlText w:val="(%1)"/>
      <w:numFmt w:val="lowerRoman"/>
      <w:start w:val="1"/>
    </w:lvl>
    <w:lvl w:ilvl="1">
      <w:lvlJc w:val="left"/>
      <w:lvlText w:val="(%2)"/>
      <w:numFmt w:val="upperLetter"/>
      <w:start w:val="1"/>
    </w:lvl>
  </w:abstractNum>
  <w:abstractNum w:abstractNumId="205">
    <w:nsid w:val="425EB207"/>
    <w:multiLevelType w:val="hybridMultilevel"/>
    <w:lvl w:ilvl="0">
      <w:lvlJc w:val="left"/>
      <w:lvlText w:val="%1"/>
      <w:numFmt w:val="lowerRoman"/>
      <w:start w:val="1"/>
    </w:lvl>
    <w:lvl w:ilvl="1">
      <w:lvlJc w:val="left"/>
      <w:lvlText w:val="(%2)"/>
      <w:numFmt w:val="upperLetter"/>
      <w:start w:val="4"/>
    </w:lvl>
  </w:abstractNum>
  <w:abstractNum w:abstractNumId="206">
    <w:nsid w:val="334A6F1F"/>
    <w:multiLevelType w:val="hybridMultilevel"/>
    <w:lvl w:ilvl="0">
      <w:lvlJc w:val="left"/>
      <w:lvlText w:val="(%1)"/>
      <w:numFmt w:val="lowerRoman"/>
      <w:start w:val="3"/>
    </w:lvl>
    <w:lvl w:ilvl="1">
      <w:lvlJc w:val="left"/>
      <w:lvlText w:val="%2"/>
      <w:numFmt w:val="upperLetter"/>
      <w:start w:val="1"/>
    </w:lvl>
  </w:abstractNum>
  <w:abstractNum w:abstractNumId="207">
    <w:nsid w:val="2E5B12B8"/>
    <w:multiLevelType w:val="hybridMultilevel"/>
    <w:lvl w:ilvl="0">
      <w:lvlJc w:val="left"/>
      <w:lvlText w:val="(%1)"/>
      <w:numFmt w:val="lowerLetter"/>
      <w:start w:val="6"/>
    </w:lvl>
  </w:abstractNum>
  <w:abstractNum w:abstractNumId="208">
    <w:nsid w:val="5C03D76D"/>
    <w:multiLevelType w:val="hybridMultilevel"/>
    <w:lvl w:ilvl="0">
      <w:lvlJc w:val="left"/>
      <w:lvlText w:val="(%1)"/>
      <w:numFmt w:val="lowerRoman"/>
      <w:start w:val="1"/>
    </w:lvl>
  </w:abstractNum>
  <w:abstractNum w:abstractNumId="209">
    <w:nsid w:val="66A48D11"/>
    <w:multiLevelType w:val="hybridMultilevel"/>
    <w:lvl w:ilvl="0">
      <w:lvlJc w:val="left"/>
      <w:lvlText w:val="(%1)"/>
      <w:numFmt w:val="lowerLetter"/>
      <w:start w:val="1"/>
    </w:lvl>
  </w:abstractNum>
  <w:abstractNum w:abstractNumId="210">
    <w:nsid w:val="56C28E34"/>
    <w:multiLevelType w:val="hybridMultilevel"/>
    <w:lvl w:ilvl="0">
      <w:lvlJc w:val="left"/>
      <w:lvlText w:val="(%1)"/>
      <w:numFmt w:val="lowerLetter"/>
      <w:start w:val="3"/>
    </w:lvl>
  </w:abstractNum>
  <w:abstractNum w:abstractNumId="211">
    <w:nsid w:val="13916F2D"/>
    <w:multiLevelType w:val="hybridMultilevel"/>
    <w:lvl w:ilvl="0">
      <w:lvlJc w:val="left"/>
      <w:lvlText w:val="(%1)"/>
      <w:numFmt w:val="lowerLetter"/>
      <w:start w:val="1"/>
    </w:lvl>
  </w:abstractNum>
  <w:abstractNum w:abstractNumId="212">
    <w:nsid w:val="435D38D"/>
    <w:multiLevelType w:val="hybridMultilevel"/>
    <w:lvl w:ilvl="0">
      <w:lvlJc w:val="left"/>
      <w:lvlText w:val="(%1)"/>
      <w:numFmt w:val="lowerLetter"/>
      <w:start w:val="4"/>
    </w:lvl>
  </w:abstractNum>
  <w:abstractNum w:abstractNumId="213">
    <w:nsid w:val="822C0EF"/>
    <w:multiLevelType w:val="hybridMultilevel"/>
    <w:lvl w:ilvl="0">
      <w:lvlJc w:val="left"/>
      <w:lvlText w:val="(%1)"/>
      <w:numFmt w:val="lowerLetter"/>
      <w:start w:val="5"/>
    </w:lvl>
  </w:abstractNum>
  <w:abstractNum w:abstractNumId="214">
    <w:nsid w:val="57C5BB4F"/>
    <w:multiLevelType w:val="hybridMultilevel"/>
    <w:lvl w:ilvl="0">
      <w:lvlJc w:val="left"/>
      <w:lvlText w:val="(%1)"/>
      <w:numFmt w:val="lowerLetter"/>
      <w:start w:val="1"/>
    </w:lvl>
  </w:abstractNum>
  <w:abstractNum w:abstractNumId="215">
    <w:nsid w:val="1803D089"/>
    <w:multiLevelType w:val="hybridMultilevel"/>
    <w:lvl w:ilvl="0">
      <w:lvlJc w:val="left"/>
      <w:lvlText w:val="%1"/>
      <w:numFmt w:val="lowerLetter"/>
      <w:start w:val="1"/>
    </w:lvl>
    <w:lvl w:ilvl="1">
      <w:lvlJc w:val="left"/>
      <w:lvlText w:val="(%2)"/>
      <w:numFmt w:val="lowerLetter"/>
      <w:start w:val="3"/>
    </w:lvl>
  </w:abstractNum>
  <w:abstractNum w:abstractNumId="216">
    <w:nsid w:val="4F3A06D4"/>
    <w:multiLevelType w:val="hybridMultilevel"/>
    <w:lvl w:ilvl="0">
      <w:lvlJc w:val="left"/>
      <w:lvlText w:val="(%1)"/>
      <w:numFmt w:val="lowerLetter"/>
      <w:start w:val="11"/>
    </w:lvl>
    <w:lvl w:ilvl="1">
      <w:lvlJc w:val="left"/>
      <w:lvlText w:val="(%2)"/>
      <w:numFmt w:val="lowerLetter"/>
      <w:start w:val="5"/>
    </w:lvl>
  </w:abstractNum>
  <w:abstractNum w:abstractNumId="217">
    <w:nsid w:val="59A377B6"/>
    <w:multiLevelType w:val="hybridMultilevel"/>
    <w:lvl w:ilvl="0">
      <w:lvlJc w:val="left"/>
      <w:lvlText w:val="(%1)"/>
      <w:numFmt w:val="lowerLetter"/>
      <w:start w:val="12"/>
    </w:lvl>
  </w:abstractNum>
  <w:abstractNum w:abstractNumId="218">
    <w:nsid w:val="48AEB063"/>
    <w:multiLevelType w:val="hybridMultilevel"/>
    <w:lvl w:ilvl="0">
      <w:lvlJc w:val="left"/>
      <w:lvlText w:val="(%1)"/>
      <w:numFmt w:val="lowerLetter"/>
      <w:start w:val="1"/>
    </w:lvl>
  </w:abstractNum>
  <w:abstractNum w:abstractNumId="219">
    <w:nsid w:val="24E135"/>
    <w:multiLevelType w:val="hybridMultilevel"/>
    <w:lvl w:ilvl="0">
      <w:lvlJc w:val="left"/>
      <w:lvlText w:val="(%1)"/>
      <w:numFmt w:val="lowerLetter"/>
      <w:start w:val="4"/>
    </w:lvl>
  </w:abstractNum>
  <w:abstractNum w:abstractNumId="220">
    <w:nsid w:val="BB13C1"/>
    <w:multiLevelType w:val="hybridMultilevel"/>
    <w:lvl w:ilvl="0">
      <w:lvlJc w:val="left"/>
      <w:lvlText w:val="(%1)"/>
      <w:numFmt w:val="lowerRoman"/>
      <w:start w:val="1"/>
    </w:lvl>
  </w:abstractNum>
  <w:abstractNum w:abstractNumId="221">
    <w:nsid w:val="271210C7"/>
    <w:multiLevelType w:val="hybridMultilevel"/>
    <w:lvl w:ilvl="0">
      <w:lvlJc w:val="left"/>
      <w:lvlText w:val="%1"/>
      <w:numFmt w:val="lowerLetter"/>
      <w:start w:val="1"/>
    </w:lvl>
    <w:lvl w:ilvl="1">
      <w:lvlJc w:val="left"/>
      <w:lvlText w:val="(%2)"/>
      <w:numFmt w:val="lowerLetter"/>
      <w:start w:val="1"/>
    </w:lvl>
  </w:abstractNum>
  <w:abstractNum w:abstractNumId="222">
    <w:nsid w:val="217B22E4"/>
    <w:multiLevelType w:val="hybridMultilevel"/>
    <w:lvl w:ilvl="0">
      <w:lvlJc w:val="left"/>
      <w:lvlText w:val="(%1)"/>
      <w:numFmt w:val="lowerLetter"/>
      <w:start w:val="35"/>
    </w:lvl>
    <w:lvl w:ilvl="1">
      <w:lvlJc w:val="left"/>
      <w:lvlText w:val="%2"/>
      <w:numFmt w:val="lowerLetter"/>
      <w:start w:val="1"/>
    </w:lvl>
  </w:abstractNum>
  <w:abstractNum w:abstractNumId="223">
    <w:nsid w:val="53E31A24"/>
    <w:multiLevelType w:val="hybridMultilevel"/>
    <w:lvl w:ilvl="0">
      <w:lvlJc w:val="left"/>
      <w:lvlText w:val="(%1)"/>
      <w:numFmt w:val="lowerLetter"/>
      <w:start w:val="5"/>
    </w:lvl>
  </w:abstractNum>
  <w:abstractNum w:abstractNumId="224">
    <w:nsid w:val="6DC45E83"/>
    <w:multiLevelType w:val="hybridMultilevel"/>
    <w:lvl w:ilvl="0">
      <w:lvlJc w:val="left"/>
      <w:lvlText w:val="(%1)"/>
      <w:numFmt w:val="lowerLetter"/>
      <w:start w:val="1"/>
    </w:lvl>
  </w:abstractNum>
  <w:abstractNum w:abstractNumId="225">
    <w:nsid w:val="17304A67"/>
    <w:multiLevelType w:val="hybridMultilevel"/>
    <w:lvl w:ilvl="0">
      <w:lvlJc w:val="left"/>
      <w:lvlText w:val="(%1)"/>
      <w:numFmt w:val="lowerLetter"/>
      <w:start w:val="1"/>
    </w:lvl>
    <w:lvl w:ilvl="1">
      <w:lvlJc w:val="left"/>
      <w:lvlText w:val="(%2)"/>
      <w:numFmt w:val="decimal"/>
      <w:start w:val="1"/>
    </w:lvl>
  </w:abstractNum>
  <w:abstractNum w:abstractNumId="226">
    <w:nsid w:val="2BB180D8"/>
    <w:multiLevelType w:val="hybridMultilevel"/>
    <w:lvl w:ilvl="0">
      <w:lvlJc w:val="left"/>
      <w:lvlText w:val="(%1)"/>
      <w:numFmt w:val="decimal"/>
      <w:start w:val="3"/>
    </w:lvl>
  </w:abstractNum>
  <w:abstractNum w:abstractNumId="227">
    <w:nsid w:val="556B69ED"/>
    <w:multiLevelType w:val="hybridMultilevel"/>
    <w:lvl w:ilvl="0">
      <w:lvlJc w:val="left"/>
      <w:lvlText w:val="(%1)"/>
      <w:numFmt w:val="lowerLetter"/>
      <w:start w:val="2"/>
    </w:lvl>
  </w:abstractNum>
  <w:abstractNum w:abstractNumId="228">
    <w:nsid w:val="70836196"/>
    <w:multiLevelType w:val="hybridMultilevel"/>
    <w:lvl w:ilvl="0">
      <w:lvlJc w:val="left"/>
      <w:lvlText w:val="(%1)"/>
      <w:numFmt w:val="lowerLetter"/>
      <w:start w:val="1"/>
    </w:lvl>
    <w:lvl w:ilvl="1">
      <w:lvlJc w:val="left"/>
      <w:lvlText w:val="(%2)"/>
      <w:numFmt w:val="decimal"/>
      <w:start w:val="1"/>
    </w:lvl>
  </w:abstractNum>
  <w:abstractNum w:abstractNumId="229">
    <w:nsid w:val="539F7F12"/>
    <w:multiLevelType w:val="hybridMultilevel"/>
    <w:lvl w:ilvl="0">
      <w:lvlJc w:val="left"/>
      <w:lvlText w:val="%1"/>
      <w:numFmt w:val="lowerLetter"/>
      <w:start w:val="1"/>
    </w:lvl>
    <w:lvl w:ilvl="1">
      <w:lvlJc w:val="left"/>
      <w:lvlText w:val="(%2)"/>
      <w:numFmt w:val="decimal"/>
      <w:start w:val="6"/>
    </w:lvl>
  </w:abstractNum>
  <w:abstractNum w:abstractNumId="230">
    <w:nsid w:val="2817E7EC"/>
    <w:multiLevelType w:val="hybridMultilevel"/>
    <w:lvl w:ilvl="0">
      <w:lvlJc w:val="left"/>
      <w:lvlText w:val="(%1)"/>
      <w:numFmt w:val="lowerLetter"/>
      <w:start w:val="2"/>
    </w:lvl>
    <w:lvl w:ilvl="1">
      <w:lvlJc w:val="left"/>
      <w:lvlText w:val="%2"/>
      <w:numFmt w:val="decimal"/>
      <w:start w:val="1"/>
    </w:lvl>
  </w:abstractNum>
  <w:abstractNum w:abstractNumId="231">
    <w:nsid w:val="71482545"/>
    <w:multiLevelType w:val="hybridMultilevel"/>
    <w:lvl w:ilvl="0">
      <w:lvlJc w:val="left"/>
      <w:lvlText w:val="(%1)"/>
      <w:numFmt w:val="lowerLetter"/>
      <w:start w:val="1"/>
    </w:lvl>
  </w:abstractNum>
  <w:abstractNum w:abstractNumId="232">
    <w:nsid w:val="17D78639"/>
    <w:multiLevelType w:val="hybridMultilevel"/>
    <w:lvl w:ilvl="0">
      <w:lvlJc w:val="left"/>
      <w:lvlText w:val="(%1)"/>
      <w:numFmt w:val="lowerLetter"/>
      <w:start w:val="3"/>
    </w:lvl>
    <w:lvl w:ilvl="1">
      <w:lvlJc w:val="left"/>
      <w:lvlText w:val="(%2)"/>
      <w:numFmt w:val="decimal"/>
      <w:start w:val="1"/>
    </w:lvl>
  </w:abstractNum>
  <w:abstractNum w:abstractNumId="233">
    <w:nsid w:val="141D2302"/>
    <w:multiLevelType w:val="hybridMultilevel"/>
    <w:lvl w:ilvl="0">
      <w:lvlJc w:val="left"/>
      <w:lvlText w:val="(%1)"/>
      <w:numFmt w:val="decimal"/>
      <w:start w:val="3"/>
    </w:lvl>
  </w:abstractNum>
  <w:abstractNum w:abstractNumId="234">
    <w:nsid w:val="407168D8"/>
    <w:multiLevelType w:val="hybridMultilevel"/>
    <w:lvl w:ilvl="0">
      <w:lvlJc w:val="left"/>
      <w:lvlText w:val="(%1)"/>
      <w:numFmt w:val="lowerLetter"/>
      <w:start w:val="8"/>
    </w:lvl>
  </w:abstractNum>
  <w:abstractNum w:abstractNumId="235">
    <w:nsid w:val="6A1B45E5"/>
    <w:multiLevelType w:val="hybridMultilevel"/>
    <w:lvl w:ilvl="0">
      <w:lvlJc w:val="left"/>
      <w:lvlText w:val="(%1)"/>
      <w:numFmt w:val="lowerLetter"/>
      <w:start w:val="1"/>
    </w:lvl>
  </w:abstractNum>
  <w:abstractNum w:abstractNumId="236">
    <w:nsid w:val="567BD50A"/>
    <w:multiLevelType w:val="hybridMultilevel"/>
    <w:lvl w:ilvl="0">
      <w:lvlJc w:val="left"/>
      <w:lvlText w:val="(%1)"/>
      <w:numFmt w:val="lowerLetter"/>
      <w:start w:val="2"/>
    </w:lvl>
    <w:lvl w:ilvl="1">
      <w:lvlJc w:val="left"/>
      <w:lvlText w:val="(%2)"/>
      <w:numFmt w:val="lowerRoman"/>
      <w:start w:val="1"/>
    </w:lvl>
  </w:abstractNum>
  <w:abstractNum w:abstractNumId="237">
    <w:nsid w:val="73BBD7F8"/>
    <w:multiLevelType w:val="hybridMultilevel"/>
    <w:lvl w:ilvl="0">
      <w:lvlJc w:val="left"/>
      <w:lvlText w:val="(%1)"/>
      <w:numFmt w:val="lowerLetter"/>
      <w:start w:val="5"/>
    </w:lvl>
  </w:abstractNum>
  <w:abstractNum w:abstractNumId="238">
    <w:nsid w:val="1876589D"/>
    <w:multiLevelType w:val="hybridMultilevel"/>
    <w:lvl w:ilvl="0">
      <w:lvlJc w:val="left"/>
      <w:lvlText w:val="(%1)"/>
      <w:numFmt w:val="lowerLetter"/>
      <w:start w:val="1"/>
    </w:lvl>
  </w:abstractNum>
  <w:abstractNum w:abstractNumId="239">
    <w:nsid w:val="327FAC77"/>
    <w:multiLevelType w:val="hybridMultilevel"/>
    <w:lvl w:ilvl="0">
      <w:lvlJc w:val="left"/>
      <w:lvlText w:val="(%1)"/>
      <w:numFmt w:val="lowerRoman"/>
      <w:start w:val="1"/>
    </w:lvl>
  </w:abstractNum>
  <w:abstractNum w:abstractNumId="240">
    <w:nsid w:val="5A606509"/>
    <w:multiLevelType w:val="hybridMultilevel"/>
    <w:lvl w:ilvl="0">
      <w:lvlJc w:val="left"/>
      <w:lvlText w:val="%1"/>
      <w:numFmt w:val="lowerLetter"/>
      <w:start w:val="1"/>
    </w:lvl>
    <w:lvl w:ilvl="1">
      <w:lvlJc w:val="left"/>
      <w:lvlText w:val="(%2)"/>
      <w:numFmt w:val="lowerRoman"/>
      <w:start w:val="3"/>
    </w:lvl>
  </w:abstractNum>
  <w:abstractNum w:abstractNumId="241">
    <w:nsid w:val="6F38E6D1"/>
    <w:multiLevelType w:val="hybridMultilevel"/>
    <w:lvl w:ilvl="0">
      <w:lvlJc w:val="left"/>
      <w:lvlText w:val="(%1)"/>
      <w:numFmt w:val="lowerLetter"/>
      <w:start w:val="2"/>
    </w:lvl>
    <w:lvl w:ilvl="1">
      <w:lvlJc w:val="left"/>
      <w:lvlText w:val="%2"/>
      <w:numFmt w:val="lowerRoman"/>
      <w:start w:val="1"/>
    </w:lvl>
  </w:abstractNum>
  <w:abstractNum w:abstractNumId="242">
    <w:nsid w:val="46111BA5"/>
    <w:multiLevelType w:val="hybridMultilevel"/>
    <w:lvl w:ilvl="0">
      <w:lvlJc w:val="left"/>
      <w:lvlText w:val="(%1)"/>
      <w:numFmt w:val="lowerLetter"/>
      <w:start w:val="1"/>
    </w:lvl>
  </w:abstractNum>
  <w:abstractNum w:abstractNumId="243">
    <w:nsid w:val="5E963896"/>
    <w:multiLevelType w:val="hybridMultilevel"/>
    <w:lvl w:ilvl="0">
      <w:lvlJc w:val="left"/>
      <w:lvlText w:val="(%1)"/>
      <w:numFmt w:val="lowerLetter"/>
      <w:start w:val="35"/>
    </w:lvl>
    <w:lvl w:ilvl="1">
      <w:lvlJc w:val="left"/>
      <w:lvlText w:val="(%2)"/>
      <w:numFmt w:val="lowerLetter"/>
      <w:start w:val="2"/>
    </w:lvl>
  </w:abstractNum>
  <w:abstractNum w:abstractNumId="244">
    <w:nsid w:val="775BA7C1"/>
    <w:multiLevelType w:val="hybridMultilevel"/>
    <w:lvl w:ilvl="0">
      <w:lvlJc w:val="left"/>
      <w:lvlText w:val="(%1)"/>
      <w:numFmt w:val="lowerLetter"/>
      <w:start w:val="3"/>
    </w:lvl>
  </w:abstractNum>
  <w:abstractNum w:abstractNumId="245">
    <w:nsid w:val="1DD6D6F4"/>
    <w:multiLevelType w:val="hybridMultilevel"/>
    <w:lvl w:ilvl="0">
      <w:lvlJc w:val="left"/>
      <w:lvlText w:val="(%1)"/>
      <w:numFmt w:val="lowerLetter"/>
      <w:start w:val="1"/>
    </w:lvl>
  </w:abstractNum>
  <w:abstractNum w:abstractNumId="246">
    <w:nsid w:val="769A091F"/>
    <w:multiLevelType w:val="hybridMultilevel"/>
    <w:lvl w:ilvl="0">
      <w:lvlJc w:val="left"/>
      <w:lvlText w:val="(%1)"/>
      <w:numFmt w:val="lowerLetter"/>
      <w:start w:val="2"/>
    </w:lvl>
  </w:abstractNum>
  <w:abstractNum w:abstractNumId="247">
    <w:nsid w:val="4695AE95"/>
    <w:multiLevelType w:val="hybridMultilevel"/>
    <w:lvl w:ilvl="0">
      <w:lvlJc w:val="left"/>
      <w:lvlText w:val="(%1)"/>
      <w:numFmt w:val="lowerLetter"/>
      <w:start w:val="3"/>
    </w:lvl>
  </w:abstractNum>
  <w:abstractNum w:abstractNumId="248">
    <w:nsid w:val="777A4EAA"/>
    <w:multiLevelType w:val="hybridMultilevel"/>
    <w:lvl w:ilvl="0">
      <w:lvlJc w:val="left"/>
      <w:lvlText w:val="(%1)"/>
      <w:numFmt w:val="lowerLetter"/>
      <w:start w:val="1"/>
    </w:lvl>
  </w:abstractNum>
  <w:abstractNum w:abstractNumId="249">
    <w:nsid w:val="3F48B982"/>
    <w:multiLevelType w:val="hybridMultilevel"/>
    <w:lvl w:ilvl="0">
      <w:lvlJc w:val="left"/>
      <w:lvlText w:val="(%1)"/>
      <w:numFmt w:val="lowerLetter"/>
      <w:start w:val="2"/>
    </w:lvl>
    <w:lvl w:ilvl="1">
      <w:lvlJc w:val="left"/>
      <w:lvlText w:val="(%2)"/>
      <w:numFmt w:val="upperLetter"/>
      <w:start w:val="1"/>
    </w:lvl>
  </w:abstractNum>
  <w:abstractNum w:abstractNumId="250">
    <w:nsid w:val="46BA8FCA"/>
    <w:multiLevelType w:val="hybridMultilevel"/>
    <w:lvl w:ilvl="0">
      <w:lvlJc w:val="left"/>
      <w:lvlText w:val="(%1)"/>
      <w:numFmt w:val="lowerRoman"/>
      <w:start w:val="2"/>
    </w:lvl>
  </w:abstractNum>
  <w:abstractNum w:abstractNumId="251">
    <w:nsid w:val="7835626C"/>
    <w:multiLevelType w:val="hybridMultilevel"/>
    <w:lvl w:ilvl="0">
      <w:lvlJc w:val="left"/>
      <w:lvlText w:val="(%1)"/>
      <w:numFmt w:val="upperLetter"/>
      <w:start w:val="1"/>
    </w:lvl>
  </w:abstractNum>
  <w:abstractNum w:abstractNumId="252">
    <w:nsid w:val="665ACA49"/>
    <w:multiLevelType w:val="hybridMultilevel"/>
    <w:lvl w:ilvl="0">
      <w:lvlJc w:val="left"/>
      <w:lvlText w:val="(%1)"/>
      <w:numFmt w:val="lowerRoman"/>
      <w:start w:val="3"/>
    </w:lvl>
  </w:abstractNum>
  <w:abstractNum w:abstractNumId="253">
    <w:nsid w:val="6835B2AE"/>
    <w:multiLevelType w:val="hybridMultilevel"/>
    <w:lvl w:ilvl="0">
      <w:lvlJc w:val="left"/>
      <w:lvlText w:val="(%1)"/>
      <w:numFmt w:val="lowerLetter"/>
      <w:start w:val="3"/>
    </w:lvl>
    <w:lvl w:ilvl="1">
      <w:lvlJc w:val="left"/>
      <w:lvlText w:val="(%2)"/>
      <w:numFmt w:val="lowerRoman"/>
      <w:start w:val="1"/>
    </w:lvl>
  </w:abstractNum>
  <w:abstractNum w:abstractNumId="254">
    <w:nsid w:val="4C187C90"/>
    <w:multiLevelType w:val="hybridMultilevel"/>
    <w:lvl w:ilvl="0">
      <w:lvlJc w:val="left"/>
      <w:lvlText w:val="(%1)"/>
      <w:numFmt w:val="lowerLetter"/>
      <w:start w:val="4"/>
    </w:lvl>
  </w:abstractNum>
  <w:abstractNum w:abstractNumId="255">
    <w:nsid w:val="541F28CD"/>
    <w:multiLevelType w:val="hybridMultilevel"/>
    <w:lvl w:ilvl="0">
      <w:lvlJc w:val="left"/>
      <w:lvlText w:val="(%1)"/>
      <w:numFmt w:val="lowerLetter"/>
      <w:start w:val="1"/>
    </w:lvl>
  </w:abstractNum>
  <w:abstractNum w:abstractNumId="256">
    <w:nsid w:val="7F65FD16"/>
    <w:multiLevelType w:val="hybridMultilevel"/>
    <w:lvl w:ilvl="0">
      <w:lvlJc w:val="left"/>
      <w:lvlText w:val="(%1)"/>
      <w:numFmt w:val="lowerLetter"/>
      <w:start w:val="1"/>
    </w:lvl>
  </w:abstractNum>
  <w:abstractNum w:abstractNumId="257">
    <w:nsid w:val="77C9FD68"/>
    <w:multiLevelType w:val="hybridMultilevel"/>
    <w:lvl w:ilvl="0">
      <w:lvlJc w:val="left"/>
      <w:lvlText w:val="(%1)"/>
      <w:numFmt w:val="lowerLetter"/>
      <w:start w:val="2"/>
    </w:lvl>
    <w:lvl w:ilvl="1">
      <w:lvlJc w:val="left"/>
      <w:lvlText w:val="(%2)"/>
      <w:numFmt w:val="lowerRoman"/>
      <w:start w:val="1"/>
    </w:lvl>
  </w:abstractNum>
  <w:abstractNum w:abstractNumId="258">
    <w:nsid w:val="298A92BA"/>
    <w:multiLevelType w:val="hybridMultilevel"/>
    <w:lvl w:ilvl="0">
      <w:lvlJc w:val="left"/>
      <w:lvlText w:val="(%1)"/>
      <w:numFmt w:val="lowerLetter"/>
      <w:start w:val="1"/>
    </w:lvl>
  </w:abstractNum>
  <w:abstractNum w:abstractNumId="259">
    <w:nsid w:val="6FE95EAC"/>
    <w:multiLevelType w:val="hybridMultilevel"/>
    <w:lvl w:ilvl="0">
      <w:lvlJc w:val="left"/>
      <w:lvlText w:val="(%1)"/>
      <w:numFmt w:val="lowerLetter"/>
      <w:start w:val="1"/>
    </w:lvl>
  </w:abstractNum>
  <w:abstractNum w:abstractNumId="260">
    <w:nsid w:val="4B697C7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61">
    <w:nsid w:val="51A27AA6"/>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262">
    <w:nsid w:val="613183F2"/>
    <w:multiLevelType w:val="hybridMultilevel"/>
    <w:lvl w:ilvl="0">
      <w:lvlJc w:val="left"/>
      <w:lvlText w:val="(%1)"/>
      <w:numFmt w:val="lowerLetter"/>
      <w:start w:val="1"/>
    </w:lvl>
    <w:lvl w:ilvl="1">
      <w:lvlJc w:val="left"/>
      <w:lvlText w:val="(%2)"/>
      <w:numFmt w:val="decimal"/>
      <w:start w:val="1"/>
    </w:lvl>
  </w:abstractNum>
  <w:abstractNum w:abstractNumId="263">
    <w:nsid w:val="634102B4"/>
    <w:multiLevelType w:val="hybridMultilevel"/>
    <w:lvl w:ilvl="0">
      <w:lvlJc w:val="left"/>
      <w:lvlText w:val="%1."/>
      <w:numFmt w:val="decimal"/>
      <w:start w:val="1"/>
    </w:lvl>
    <w:lvl w:ilvl="1">
      <w:lvlJc w:val="left"/>
      <w:lvlText w:val="%2."/>
      <w:numFmt w:val="lowerLetter"/>
      <w:start w:val="1"/>
    </w:lvl>
  </w:abstractNum>
  <w:abstractNum w:abstractNumId="264">
    <w:nsid w:val="65BF9D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jpe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13" Type="http://schemas.openxmlformats.org/officeDocument/2006/relationships/hyperlink" Target="https://www.sec.gov/Archives/edgar/data/723125/000110465919006069/a18-36862_4ex4d1.htm" TargetMode="External"/><Relationship Id="rId114" Type="http://schemas.openxmlformats.org/officeDocument/2006/relationships/hyperlink" Target="https://www.sec.gov/Archives/edgar/data/723125/000072312523000026/a2023q3ex42-supplemental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2023-06-29T14:49:29Z</dcterms:created>
  <dcterms:modified xsi:type="dcterms:W3CDTF">2023-06-29T14:49:29Z</dcterms:modified>
</cp:coreProperties>
</file>