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1020" w:right="4540" w:hanging="649"/>
        <w:spacing w:after="0" w:line="249" w:lineRule="auto"/>
        <w:tabs>
          <w:tab w:leader="none" w:pos="889"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August 31, 2006</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0" w:lineRule="exact"/>
        <w:rPr>
          <w:sz w:val="24"/>
          <w:szCs w:val="24"/>
          <w:color w:val="auto"/>
        </w:rPr>
      </w:pPr>
    </w:p>
    <w:p>
      <w:pPr>
        <w:ind w:left="1020" w:right="4100" w:hanging="649"/>
        <w:spacing w:after="0" w:line="265" w:lineRule="auto"/>
        <w:tabs>
          <w:tab w:leader="none" w:pos="93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88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1-10658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55" w:lineRule="exact"/>
        <w:rPr>
          <w:sz w:val="24"/>
          <w:szCs w:val="24"/>
          <w:color w:val="auto"/>
        </w:rPr>
      </w:pPr>
    </w:p>
    <w:tbl>
      <w:tblPr>
        <w:tblLayout w:type="fixed"/>
        <w:tblInd w:w="1820" w:type="dxa"/>
        <w:tblCellMar>
          <w:top w:w="0" w:type="dxa"/>
          <w:left w:w="0" w:type="dxa"/>
          <w:bottom w:w="0" w:type="dxa"/>
          <w:right w:w="0" w:type="dxa"/>
        </w:tblCellMar>
      </w:tblPr>
      <w:tr>
        <w:trPr>
          <w:trHeight w:val="207"/>
        </w:trPr>
        <w:tc>
          <w:tcPr>
            <w:tcW w:w="4440" w:type="dxa"/>
            <w:vAlign w:val="bottom"/>
          </w:tcPr>
          <w:p>
            <w:pPr>
              <w:jc w:val="center"/>
              <w:ind w:right="1019"/>
              <w:spacing w:after="0"/>
              <w:rPr>
                <w:sz w:val="20"/>
                <w:szCs w:val="20"/>
                <w:color w:val="auto"/>
              </w:rPr>
            </w:pPr>
            <w:r>
              <w:rPr>
                <w:rFonts w:ascii="Arial" w:cs="Arial" w:eastAsia="Arial" w:hAnsi="Arial"/>
                <w:sz w:val="16"/>
                <w:szCs w:val="16"/>
                <w:b w:val="1"/>
                <w:bCs w:val="1"/>
                <w:color w:val="auto"/>
                <w:w w:val="93"/>
              </w:rPr>
              <w:t>Delaware</w:t>
            </w:r>
          </w:p>
        </w:tc>
        <w:tc>
          <w:tcPr>
            <w:tcW w:w="2320" w:type="dxa"/>
            <w:vAlign w:val="bottom"/>
          </w:tcPr>
          <w:p>
            <w:pPr>
              <w:jc w:val="center"/>
              <w:ind w:left="1059"/>
              <w:spacing w:after="0"/>
              <w:rPr>
                <w:sz w:val="20"/>
                <w:szCs w:val="20"/>
                <w:color w:val="auto"/>
              </w:rPr>
            </w:pPr>
            <w:r>
              <w:rPr>
                <w:rFonts w:ascii="Arial" w:cs="Arial" w:eastAsia="Arial" w:hAnsi="Arial"/>
                <w:sz w:val="16"/>
                <w:szCs w:val="16"/>
                <w:b w:val="1"/>
                <w:bCs w:val="1"/>
                <w:color w:val="auto"/>
                <w:w w:val="91"/>
              </w:rPr>
              <w:t>75-1618004</w:t>
            </w:r>
          </w:p>
        </w:tc>
      </w:tr>
      <w:tr>
        <w:trPr>
          <w:trHeight w:val="203"/>
        </w:trPr>
        <w:tc>
          <w:tcPr>
            <w:tcW w:w="4440" w:type="dxa"/>
            <w:vAlign w:val="bottom"/>
          </w:tcPr>
          <w:p>
            <w:pPr>
              <w:jc w:val="center"/>
              <w:ind w:right="1039"/>
              <w:spacing w:after="0"/>
              <w:rPr>
                <w:sz w:val="20"/>
                <w:szCs w:val="20"/>
                <w:color w:val="auto"/>
              </w:rPr>
            </w:pPr>
            <w:r>
              <w:rPr>
                <w:rFonts w:ascii="Arial" w:cs="Arial" w:eastAsia="Arial" w:hAnsi="Arial"/>
                <w:sz w:val="16"/>
                <w:szCs w:val="16"/>
                <w:color w:val="auto"/>
                <w:w w:val="93"/>
              </w:rPr>
              <w:t>(State or other jurisdiction of</w:t>
            </w:r>
          </w:p>
        </w:tc>
        <w:tc>
          <w:tcPr>
            <w:tcW w:w="2320" w:type="dxa"/>
            <w:vAlign w:val="bottom"/>
          </w:tcPr>
          <w:p>
            <w:pPr>
              <w:jc w:val="center"/>
              <w:ind w:left="1059"/>
              <w:spacing w:after="0"/>
              <w:rPr>
                <w:sz w:val="20"/>
                <w:szCs w:val="20"/>
                <w:color w:val="auto"/>
              </w:rPr>
            </w:pPr>
            <w:r>
              <w:rPr>
                <w:rFonts w:ascii="Arial" w:cs="Arial" w:eastAsia="Arial" w:hAnsi="Arial"/>
                <w:sz w:val="16"/>
                <w:szCs w:val="16"/>
                <w:color w:val="auto"/>
                <w:w w:val="94"/>
              </w:rPr>
              <w:t>(IRS Employer</w:t>
            </w:r>
          </w:p>
        </w:tc>
      </w:tr>
      <w:tr>
        <w:trPr>
          <w:trHeight w:val="206"/>
        </w:trPr>
        <w:tc>
          <w:tcPr>
            <w:tcW w:w="4440" w:type="dxa"/>
            <w:vAlign w:val="bottom"/>
          </w:tcPr>
          <w:p>
            <w:pPr>
              <w:jc w:val="center"/>
              <w:ind w:right="1019"/>
              <w:spacing w:after="0"/>
              <w:rPr>
                <w:sz w:val="20"/>
                <w:szCs w:val="20"/>
                <w:color w:val="auto"/>
              </w:rPr>
            </w:pPr>
            <w:r>
              <w:rPr>
                <w:rFonts w:ascii="Arial" w:cs="Arial" w:eastAsia="Arial" w:hAnsi="Arial"/>
                <w:sz w:val="16"/>
                <w:szCs w:val="16"/>
                <w:color w:val="auto"/>
                <w:w w:val="93"/>
              </w:rPr>
              <w:t>incorporation or organization)</w:t>
            </w:r>
          </w:p>
        </w:tc>
        <w:tc>
          <w:tcPr>
            <w:tcW w:w="2320" w:type="dxa"/>
            <w:vAlign w:val="bottom"/>
          </w:tcPr>
          <w:p>
            <w:pPr>
              <w:jc w:val="center"/>
              <w:ind w:left="1039"/>
              <w:spacing w:after="0"/>
              <w:rPr>
                <w:sz w:val="20"/>
                <w:szCs w:val="20"/>
                <w:color w:val="auto"/>
              </w:rPr>
            </w:pPr>
            <w:r>
              <w:rPr>
                <w:rFonts w:ascii="Arial" w:cs="Arial" w:eastAsia="Arial" w:hAnsi="Arial"/>
                <w:sz w:val="16"/>
                <w:szCs w:val="16"/>
                <w:color w:val="auto"/>
                <w:w w:val="96"/>
              </w:rPr>
              <w:t>Identification No.)</w:t>
            </w:r>
          </w:p>
        </w:tc>
      </w:tr>
      <w:tr>
        <w:trPr>
          <w:trHeight w:val="253"/>
        </w:trPr>
        <w:tc>
          <w:tcPr>
            <w:tcW w:w="4440" w:type="dxa"/>
            <w:vAlign w:val="bottom"/>
          </w:tcPr>
          <w:p>
            <w:pPr>
              <w:jc w:val="center"/>
              <w:ind w:right="1019"/>
              <w:spacing w:after="0"/>
              <w:rPr>
                <w:sz w:val="20"/>
                <w:szCs w:val="20"/>
                <w:color w:val="auto"/>
              </w:rPr>
            </w:pPr>
            <w:r>
              <w:rPr>
                <w:rFonts w:ascii="Arial" w:cs="Arial" w:eastAsia="Arial" w:hAnsi="Arial"/>
                <w:sz w:val="16"/>
                <w:szCs w:val="16"/>
                <w:b w:val="1"/>
                <w:bCs w:val="1"/>
                <w:color w:val="auto"/>
                <w:w w:val="90"/>
              </w:rPr>
              <w:t>8000 S. Federal Way, Boise, Idaho</w:t>
            </w:r>
          </w:p>
        </w:tc>
        <w:tc>
          <w:tcPr>
            <w:tcW w:w="2320" w:type="dxa"/>
            <w:vAlign w:val="bottom"/>
          </w:tcPr>
          <w:p>
            <w:pPr>
              <w:jc w:val="center"/>
              <w:ind w:left="1059"/>
              <w:spacing w:after="0"/>
              <w:rPr>
                <w:sz w:val="20"/>
                <w:szCs w:val="20"/>
                <w:color w:val="auto"/>
              </w:rPr>
            </w:pPr>
            <w:r>
              <w:rPr>
                <w:rFonts w:ascii="Arial" w:cs="Arial" w:eastAsia="Arial" w:hAnsi="Arial"/>
                <w:sz w:val="16"/>
                <w:szCs w:val="16"/>
                <w:b w:val="1"/>
                <w:bCs w:val="1"/>
                <w:color w:val="auto"/>
                <w:w w:val="91"/>
              </w:rPr>
              <w:t>83716-9632</w:t>
            </w:r>
          </w:p>
        </w:tc>
      </w:tr>
      <w:tr>
        <w:trPr>
          <w:trHeight w:val="206"/>
        </w:trPr>
        <w:tc>
          <w:tcPr>
            <w:tcW w:w="4440" w:type="dxa"/>
            <w:vAlign w:val="bottom"/>
          </w:tcPr>
          <w:p>
            <w:pPr>
              <w:jc w:val="center"/>
              <w:ind w:right="1019"/>
              <w:spacing w:after="0"/>
              <w:rPr>
                <w:sz w:val="20"/>
                <w:szCs w:val="20"/>
                <w:color w:val="auto"/>
              </w:rPr>
            </w:pPr>
            <w:r>
              <w:rPr>
                <w:rFonts w:ascii="Arial" w:cs="Arial" w:eastAsia="Arial" w:hAnsi="Arial"/>
                <w:sz w:val="16"/>
                <w:szCs w:val="16"/>
                <w:color w:val="auto"/>
                <w:w w:val="94"/>
              </w:rPr>
              <w:t>(Address of principal executive offices)</w:t>
            </w:r>
          </w:p>
        </w:tc>
        <w:tc>
          <w:tcPr>
            <w:tcW w:w="2320" w:type="dxa"/>
            <w:vAlign w:val="bottom"/>
          </w:tcPr>
          <w:p>
            <w:pPr>
              <w:jc w:val="center"/>
              <w:ind w:left="1039"/>
              <w:spacing w:after="0"/>
              <w:rPr>
                <w:sz w:val="20"/>
                <w:szCs w:val="20"/>
                <w:color w:val="auto"/>
              </w:rPr>
            </w:pPr>
            <w:r>
              <w:rPr>
                <w:rFonts w:ascii="Arial" w:cs="Arial" w:eastAsia="Arial" w:hAnsi="Arial"/>
                <w:sz w:val="16"/>
                <w:szCs w:val="16"/>
                <w:color w:val="auto"/>
                <w:w w:val="95"/>
              </w:rPr>
              <w:t>(Zip Code)</w:t>
            </w:r>
          </w:p>
        </w:tc>
      </w:tr>
      <w:tr>
        <w:trPr>
          <w:trHeight w:val="243"/>
        </w:trPr>
        <w:tc>
          <w:tcPr>
            <w:tcW w:w="4440" w:type="dxa"/>
            <w:vAlign w:val="bottom"/>
          </w:tcPr>
          <w:p>
            <w:pPr>
              <w:jc w:val="center"/>
              <w:ind w:right="1039"/>
              <w:spacing w:after="0"/>
              <w:rPr>
                <w:sz w:val="20"/>
                <w:szCs w:val="20"/>
                <w:color w:val="auto"/>
              </w:rPr>
            </w:pPr>
            <w:r>
              <w:rPr>
                <w:rFonts w:ascii="Arial" w:cs="Arial" w:eastAsia="Arial" w:hAnsi="Arial"/>
                <w:sz w:val="16"/>
                <w:szCs w:val="16"/>
                <w:color w:val="auto"/>
                <w:w w:val="90"/>
              </w:rPr>
              <w:t>Registrant’s telephone number, including area code</w:t>
            </w:r>
          </w:p>
        </w:tc>
        <w:tc>
          <w:tcPr>
            <w:tcW w:w="2320" w:type="dxa"/>
            <w:vAlign w:val="bottom"/>
          </w:tcPr>
          <w:p>
            <w:pPr>
              <w:jc w:val="center"/>
              <w:ind w:left="1039"/>
              <w:spacing w:after="0"/>
              <w:rPr>
                <w:sz w:val="20"/>
                <w:szCs w:val="20"/>
                <w:color w:val="auto"/>
              </w:rPr>
            </w:pPr>
            <w:r>
              <w:rPr>
                <w:rFonts w:ascii="Arial" w:cs="Arial" w:eastAsia="Arial" w:hAnsi="Arial"/>
                <w:sz w:val="16"/>
                <w:szCs w:val="16"/>
                <w:b w:val="1"/>
                <w:bCs w:val="1"/>
                <w:color w:val="auto"/>
                <w:w w:val="91"/>
              </w:rPr>
              <w:t>(208) 368-4000</w:t>
            </w:r>
          </w:p>
        </w:tc>
      </w:tr>
    </w:tbl>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Title of each class</w:t>
            </w: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6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$.10 per share</w:t>
            </w:r>
          </w:p>
        </w:tc>
        <w:tc>
          <w:tcPr>
            <w:tcW w:w="380" w:type="dxa"/>
            <w:vAlign w:val="bottom"/>
          </w:tcPr>
          <w:p>
            <w:pPr>
              <w:spacing w:after="0"/>
              <w:rPr>
                <w:sz w:val="17"/>
                <w:szCs w:val="17"/>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Class)</w:t>
      </w:r>
    </w:p>
    <w:p>
      <w:pPr>
        <w:spacing w:after="0" w:line="69" w:lineRule="exact"/>
        <w:rPr>
          <w:sz w:val="24"/>
          <w:szCs w:val="24"/>
          <w:color w:val="auto"/>
        </w:rPr>
      </w:pPr>
    </w:p>
    <w:p>
      <w:pPr>
        <w:ind w:left="360" w:right="2680"/>
        <w:spacing w:after="0" w:line="382"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15(d) of the Act. Yes o No x</w:t>
      </w:r>
    </w:p>
    <w:p>
      <w:pPr>
        <w:spacing w:after="0" w:line="1" w:lineRule="exact"/>
        <w:rPr>
          <w:sz w:val="24"/>
          <w:szCs w:val="24"/>
          <w:color w:val="auto"/>
        </w:rPr>
      </w:pPr>
    </w:p>
    <w:p>
      <w:pPr>
        <w:ind w:right="180" w:firstLine="360"/>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2" w:lineRule="exact"/>
        <w:rPr>
          <w:sz w:val="24"/>
          <w:szCs w:val="24"/>
          <w:color w:val="auto"/>
        </w:rPr>
      </w:pPr>
    </w:p>
    <w:p>
      <w:pPr>
        <w:ind w:right="80" w:firstLine="360"/>
        <w:spacing w:after="0" w:line="278" w:lineRule="auto"/>
        <w:rPr>
          <w:sz w:val="20"/>
          <w:szCs w:val="20"/>
          <w:color w:val="auto"/>
        </w:rPr>
      </w:pPr>
      <w:r>
        <w:rPr>
          <w:rFonts w:ascii="Arial" w:cs="Arial" w:eastAsia="Arial" w:hAnsi="Arial"/>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2" w:lineRule="exact"/>
        <w:rPr>
          <w:sz w:val="24"/>
          <w:szCs w:val="24"/>
          <w:color w:val="auto"/>
        </w:rPr>
      </w:pPr>
    </w:p>
    <w:p>
      <w:pPr>
        <w:ind w:right="440" w:firstLine="36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3" w:lineRule="exact"/>
        <w:rPr>
          <w:sz w:val="24"/>
          <w:szCs w:val="24"/>
          <w:color w:val="auto"/>
        </w:rPr>
      </w:pPr>
    </w:p>
    <w:p>
      <w:pPr>
        <w:ind w:left="1800"/>
        <w:spacing w:after="0"/>
        <w:tabs>
          <w:tab w:leader="none" w:pos="5240" w:val="left"/>
          <w:tab w:leader="none" w:pos="808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4"/>
          <w:szCs w:val="14"/>
          <w:color w:val="auto"/>
        </w:rPr>
        <w:t>Non-Accelerated Filer o</w:t>
      </w:r>
    </w:p>
    <w:p>
      <w:pPr>
        <w:spacing w:after="0" w:line="12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59" w:lineRule="exact"/>
        <w:rPr>
          <w:sz w:val="24"/>
          <w:szCs w:val="24"/>
          <w:color w:val="auto"/>
        </w:rPr>
      </w:pPr>
    </w:p>
    <w:p>
      <w:pPr>
        <w:ind w:right="100" w:firstLine="360"/>
        <w:spacing w:after="0" w:line="273" w:lineRule="auto"/>
        <w:rPr>
          <w:sz w:val="20"/>
          <w:szCs w:val="20"/>
          <w:color w:val="auto"/>
        </w:rPr>
      </w:pPr>
      <w:r>
        <w:rPr>
          <w:rFonts w:ascii="Arial" w:cs="Arial" w:eastAsia="Arial" w:hAnsi="Arial"/>
          <w:sz w:val="16"/>
          <w:szCs w:val="16"/>
          <w:color w:val="auto"/>
        </w:rPr>
        <w:t>The aggregate market value of the voting stock held by non-affiliates of the registrant, based upon the closing price of such stock on March 2, 2006, as reported by the New York Stock Exchange, was approximately $6.5 billion. 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27" w:lineRule="exact"/>
        <w:rPr>
          <w:sz w:val="24"/>
          <w:szCs w:val="24"/>
          <w:color w:val="auto"/>
        </w:rPr>
      </w:pPr>
    </w:p>
    <w:p>
      <w:pPr>
        <w:jc w:val="right"/>
        <w:ind w:left="360" w:right="3840"/>
        <w:spacing w:after="0" w:line="352" w:lineRule="auto"/>
        <w:rPr>
          <w:sz w:val="20"/>
          <w:szCs w:val="20"/>
          <w:color w:val="auto"/>
        </w:rPr>
      </w:pPr>
      <w:r>
        <w:rPr>
          <w:rFonts w:ascii="Arial" w:cs="Arial" w:eastAsia="Arial" w:hAnsi="Arial"/>
          <w:sz w:val="16"/>
          <w:szCs w:val="16"/>
          <w:color w:val="auto"/>
        </w:rPr>
        <w:t xml:space="preserve">The number of outstanding shares of the registrant’s common stock as of November 1, 2006, was 754,409,424. </w:t>
      </w:r>
      <w:r>
        <w:rPr>
          <w:rFonts w:ascii="Arial" w:cs="Arial" w:eastAsia="Arial" w:hAnsi="Arial"/>
          <w:sz w:val="16"/>
          <w:szCs w:val="16"/>
          <w:b w:val="1"/>
          <w:bCs w:val="1"/>
          <w:color w:val="auto"/>
        </w:rPr>
        <w:t>DOCUMENTS INCORPORATED BY REFERENCE</w:t>
      </w:r>
    </w:p>
    <w:p>
      <w:pPr>
        <w:spacing w:after="0" w:line="1" w:lineRule="exact"/>
        <w:rPr>
          <w:sz w:val="24"/>
          <w:szCs w:val="24"/>
          <w:color w:val="auto"/>
        </w:rPr>
      </w:pPr>
    </w:p>
    <w:p>
      <w:pPr>
        <w:ind w:right="120" w:firstLine="360"/>
        <w:spacing w:after="0" w:line="293" w:lineRule="auto"/>
        <w:rPr>
          <w:sz w:val="20"/>
          <w:szCs w:val="20"/>
          <w:color w:val="auto"/>
        </w:rPr>
      </w:pPr>
      <w:r>
        <w:rPr>
          <w:rFonts w:ascii="Arial" w:cs="Arial" w:eastAsia="Arial" w:hAnsi="Arial"/>
          <w:sz w:val="16"/>
          <w:szCs w:val="16"/>
          <w:color w:val="auto"/>
        </w:rPr>
        <w:t>Portions of the Proxy Statement for registrant’s 2006 Annual Meeting of Shareholders to be held on December 5, 2006,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4"/>
          <w:szCs w:val="24"/>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“Products” regarding the Company’s expectation regarding sales of DDR and DDR2 products in 2007, continued growth in the NAND Flash and CMOS image sensor markets, significant growth in the sales for NAND Flash memory and CMOS image sensors in future periods and the introduction of new products in 2007; and in “Manufacturing” regarding the Company’s expectation to transition smaller line-width process technologies in 2007. The Company’s actual results could differ materially from the Company’s historical results and those discussed in the forward-looking statements. Factors that could cause actual results to differ materially include, but are not limited to, those identified in “Item 1A. Risk Factors.” All period references are to the Company’s fiscal periods unless otherwise indicated.</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ectPr>
          <w:pgSz w:w="11900" w:h="16838" w:orient="portrait"/>
          <w:cols w:equalWidth="0" w:num="1">
            <w:col w:w="11420"/>
          </w:cols>
          <w:pgMar w:left="240" w:top="530" w:right="239" w:bottom="0" w:gutter="0" w:footer="0" w:header="0"/>
        </w:sectPr>
      </w:pPr>
    </w:p>
    <w:bookmarkStart w:id="1" w:name="page2"/>
    <w:bookmarkEnd w:id="1"/>
    <w:p>
      <w:pPr>
        <w:spacing w:after="0" w:line="48"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Micron Technology, Inc., and its subsidiaries (hereinafter referred to collectively as the “Company”), a Delaware corporation, was incorporated in 1978. The Company’s executive offices are located at 8000 South Federal Way, Boise, Idaho 83716-9632 and its telephone number is (208) 368-4000. Information about the Company is available on the internet at www.micron.com. Copies of the Company’s Annual Report on Form 10-K, Quarterly Reports on Form 10-Q and Current Reports on Form 8-K, as well as any amendments to these reports, are available through the Company’s website as soon as reasonably practicable after they are electronically filed with or furnished to the Securities and Exchange Commission. Also available on the Company’s website are its: Corporate Governance Guidelines, Governance Committee Charter, Compensation Committee Charter, Audit Committee Charter and Code of Business Conduct and Ethics. Any amendments or waivers of the Company’s Code of Business Conduct and Ethics will also be posted on the Company’s website at www.micron.com within four business days of the amendment or waiver. Copies of these documents are available to shareholders upon request. Information contained or referenced on the Company’s website is not incorporated by reference and does not form a part of this Annual Report on Form 10-</w:t>
      </w:r>
    </w:p>
    <w:p>
      <w:pPr>
        <w:spacing w:after="0" w:line="7" w:lineRule="exact"/>
        <w:rPr>
          <w:sz w:val="20"/>
          <w:szCs w:val="20"/>
          <w:color w:val="auto"/>
        </w:rPr>
      </w:pPr>
    </w:p>
    <w:p>
      <w:pPr>
        <w:ind w:right="560" w:firstLine="8"/>
        <w:spacing w:after="0" w:line="261"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February 2006, the Company’s Chief Executive Officer certified to the New York Stock Exchange that he was not aware of any violation by the Company of the NYSE’s Corporate Governance Listing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is an industry leading, global manufacturer and marketer of semiconductor devices, principally DRAM and NAND Flash memory and CMOS image sensors. The Company’s products are offered in a wide variety of package and configuration options, architectures and performance characteristics tailored to meet application and customer needs. Individual devices take advantage of the Company’s advanced silicon processing technology and manufacturing expertise. The Company aims to continually introduce new generations of products that offer lower costs per unit and improved performance characteristics. The Company operates in two segments, Memory and Imaging.</w:t>
      </w:r>
    </w:p>
    <w:p>
      <w:pPr>
        <w:spacing w:after="0" w:line="18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b w:val="1"/>
          <w:bCs w:val="1"/>
          <w:i w:val="1"/>
          <w:iCs w:val="1"/>
          <w:color w:val="auto"/>
        </w:rPr>
        <w:t xml:space="preserve">Memory: </w:t>
      </w:r>
      <w:r>
        <w:rPr>
          <w:rFonts w:ascii="Arial" w:cs="Arial" w:eastAsia="Arial" w:hAnsi="Arial"/>
          <w:sz w:val="16"/>
          <w:szCs w:val="16"/>
          <w:color w:val="auto"/>
        </w:rPr>
        <w:t>The Memory segment’s primary products are DRAM and NAND Flash, which are key components used in a broad array of electronic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including personal computers, workstations, network servers, mobile phones, flash memory cards, USB storage devices, MP3 players and other consumer electronics products. The Company sells primarily to original equipment manufacturers, distributors and retailers located around the world.</w:t>
      </w:r>
    </w:p>
    <w:p>
      <w:pPr>
        <w:spacing w:after="0" w:line="14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2006, the Company took several steps towards establishing a significant presence in the NAND Flash market. In January 2006, the Company partnered with Intel Corporation (“Intel”) to form a NAND Flash manufacturing joint venture, IM Flash Technologies, LLC (“IMFT”), which is a consolidated subsidiary of the Company. IMFT initiated an accelerated build-out and production ramp at two 300mm wafer fabrication facilities that are expected to greatly increase the Company’s production of NAND Flash in 2007. Furthering its efforts to increase its share of the NAND market, in June 2006, the Company acquired Lexar Media, Inc. (“Lexar”), a designer, developer, manufacturer and marketer of Flash memory products, in a stock-for-stock merger. The acquisition of Lexar broadened the Company’s NAND product offering, enhanced the Company’s retail presence and strengthened its portfolio of intellectual property.</w:t>
      </w:r>
    </w:p>
    <w:p>
      <w:pPr>
        <w:spacing w:after="0" w:line="200" w:lineRule="exact"/>
        <w:rPr>
          <w:sz w:val="20"/>
          <w:szCs w:val="20"/>
          <w:color w:val="auto"/>
        </w:rPr>
      </w:pP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The Imaging segment’s primary products are CMOS image sensors, which are key components used in a broad array of electronic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including mobile phones, digital still cameras, webcams and other consumer, security and automotive applications. The Company’s primary customers are camera module integrators located around the world. During 2006, the Company introduced several new leading-edge Imaging products and significantly increased its Imaging production, enabling it to become a market leader for CMOS image sensors.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The Company’s Memory segment has two primary product types: DRAM and NAND Flash. Sales of Memory products were 86%, 94%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98% of the Company’s total net sales in 2006, 2005 and 2004, respectively.</w:t>
      </w:r>
    </w:p>
    <w:p>
      <w:pPr>
        <w:spacing w:after="0" w:line="166"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b w:val="1"/>
          <w:bCs w:val="1"/>
          <w:u w:val="single" w:color="auto"/>
          <w:color w:val="auto"/>
        </w:rPr>
        <w:t>Dynamic Random Access Memory (“DRAM”):</w:t>
      </w:r>
      <w:r>
        <w:rPr>
          <w:rFonts w:ascii="Arial" w:cs="Arial" w:eastAsia="Arial" w:hAnsi="Arial"/>
          <w:sz w:val="17"/>
          <w:szCs w:val="17"/>
          <w:b w:val="1"/>
          <w:bCs w:val="1"/>
          <w:color w:val="auto"/>
        </w:rPr>
        <w:t xml:space="preserve"> </w:t>
      </w:r>
      <w:r>
        <w:rPr>
          <w:rFonts w:ascii="Arial" w:cs="Arial" w:eastAsia="Arial" w:hAnsi="Arial"/>
          <w:sz w:val="17"/>
          <w:szCs w:val="17"/>
          <w:color w:val="auto"/>
        </w:rPr>
        <w:t>DRAM products are high-density, low-cost-per-bit, random access memory devices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high-speed data storage and retrieval. DRAM products were 76%, 87% and 92% of the Company’s total net sales in 2006, 2005 and 2004, respectively. The Company offers DRAM products with a variety of performance, pricing and other characteristics. In recent years, the Company has significantly increased its production and sales of specialty memory products such as pseudo-static RAM, Mobile DRAM and Reduced Latency DRAM. Specialty memory products are generally targeted for networking, server and mobile applications that require specific performance characteristics such as low power and low latency. The transition to specialty memory products has reduced the Company’s concentration on standardized, high-volume products sold for use as main memory in computers such as Double Data Rate Synchronous DRAM (“DDR”) and DDR2.</w:t>
      </w:r>
    </w:p>
    <w:p>
      <w:pPr>
        <w:spacing w:after="0" w:line="172" w:lineRule="exact"/>
        <w:rPr>
          <w:sz w:val="20"/>
          <w:szCs w:val="20"/>
          <w:color w:val="auto"/>
        </w:rPr>
      </w:pPr>
    </w:p>
    <w:p>
      <w:pPr>
        <w:ind w:left="660" w:right="160" w:firstLine="1297"/>
        <w:spacing w:after="0" w:line="256" w:lineRule="auto"/>
        <w:rPr>
          <w:sz w:val="20"/>
          <w:szCs w:val="20"/>
          <w:color w:val="auto"/>
        </w:rPr>
      </w:pPr>
      <w:r>
        <w:rPr>
          <w:rFonts w:ascii="Arial" w:cs="Arial" w:eastAsia="Arial" w:hAnsi="Arial"/>
          <w:sz w:val="18"/>
          <w:szCs w:val="18"/>
          <w:b w:val="1"/>
          <w:bCs w:val="1"/>
          <w:color w:val="auto"/>
        </w:rPr>
        <w:t xml:space="preserve">DDR and DDR2: </w:t>
      </w:r>
      <w:r>
        <w:rPr>
          <w:rFonts w:ascii="Arial" w:cs="Arial" w:eastAsia="Arial" w:hAnsi="Arial"/>
          <w:sz w:val="18"/>
          <w:szCs w:val="18"/>
          <w:color w:val="auto"/>
        </w:rPr>
        <w:t>DDR and DDR2 are standardized, high-density, high-volume, DRAM products that are sold primarily for use</w:t>
      </w:r>
      <w:r>
        <w:rPr>
          <w:rFonts w:ascii="Arial" w:cs="Arial" w:eastAsia="Arial" w:hAnsi="Arial"/>
          <w:sz w:val="18"/>
          <w:szCs w:val="18"/>
          <w:b w:val="1"/>
          <w:bCs w:val="1"/>
          <w:color w:val="auto"/>
        </w:rPr>
        <w:t xml:space="preserve"> </w:t>
      </w:r>
      <w:r>
        <w:rPr>
          <w:rFonts w:ascii="Arial" w:cs="Arial" w:eastAsia="Arial" w:hAnsi="Arial"/>
          <w:sz w:val="18"/>
          <w:szCs w:val="18"/>
          <w:color w:val="auto"/>
        </w:rPr>
        <w:t>as main system memory in computers. DDR and DDR2 products offer high speed and high bandwidth at a relatively low cost compared to other semiconductor memory products. DDR products were 26%, 44% and 57% of the Company’s total net sales in 2006, 2005 and 2004, respectively. DDR2 products were 25% and 14% the Company’s total net sales in 2006 and 2005, respectively. The Company expects that DDR and DDR2 products will continue to decrease as a percentage of the Company’s total net sales in 2007 due to significant increases in sales of the Company’s other products.</w:t>
      </w:r>
    </w:p>
    <w:p>
      <w:pPr>
        <w:spacing w:after="0" w:line="192" w:lineRule="exact"/>
        <w:rPr>
          <w:sz w:val="20"/>
          <w:szCs w:val="20"/>
          <w:color w:val="auto"/>
        </w:rPr>
      </w:pPr>
    </w:p>
    <w:p>
      <w:pPr>
        <w:ind w:left="660" w:right="20" w:firstLine="1297"/>
        <w:spacing w:after="0" w:line="257" w:lineRule="auto"/>
        <w:rPr>
          <w:sz w:val="20"/>
          <w:szCs w:val="20"/>
          <w:color w:val="auto"/>
        </w:rPr>
      </w:pPr>
      <w:r>
        <w:rPr>
          <w:rFonts w:ascii="Arial" w:cs="Arial" w:eastAsia="Arial" w:hAnsi="Arial"/>
          <w:sz w:val="18"/>
          <w:szCs w:val="18"/>
          <w:color w:val="auto"/>
        </w:rPr>
        <w:t>In response to changes in the DRAM market, the Company has broadened its DDR and DDR2 product offerings in recent years. The Company offers DDR products in 128 megabit (“Mb”), 256 Mb, 512 Mb and 1 gigabit (“Gb”) densities. The Company also offers 256 Mb, 512 Mb, 1 Gb and 2 Gb DDR2 products. The Company expects that these densities will be necessary to meet future customer demands for a broad array of products. The Company also offers its DDR and DDR2 products in multiple configurations, speeds and package types. In September 2006, the Company began sampling a 1 Gb DDR3 device.</w:t>
      </w:r>
    </w:p>
    <w:p>
      <w:pPr>
        <w:spacing w:after="0" w:line="184" w:lineRule="exact"/>
        <w:rPr>
          <w:sz w:val="20"/>
          <w:szCs w:val="20"/>
          <w:color w:val="auto"/>
        </w:rPr>
      </w:pPr>
    </w:p>
    <w:p>
      <w:pPr>
        <w:ind w:left="660" w:right="40" w:firstLine="1297"/>
        <w:spacing w:after="0" w:line="277" w:lineRule="auto"/>
        <w:rPr>
          <w:sz w:val="20"/>
          <w:szCs w:val="20"/>
          <w:color w:val="auto"/>
        </w:rPr>
      </w:pPr>
      <w:r>
        <w:rPr>
          <w:rFonts w:ascii="Arial" w:cs="Arial" w:eastAsia="Arial" w:hAnsi="Arial"/>
          <w:sz w:val="17"/>
          <w:szCs w:val="17"/>
          <w:b w:val="1"/>
          <w:bCs w:val="1"/>
          <w:color w:val="auto"/>
        </w:rPr>
        <w:t xml:space="preserve">Synchronous DRAM (“SDRAM”): </w:t>
      </w:r>
      <w:r>
        <w:rPr>
          <w:rFonts w:ascii="Arial" w:cs="Arial" w:eastAsia="Arial" w:hAnsi="Arial"/>
          <w:sz w:val="17"/>
          <w:szCs w:val="17"/>
          <w:color w:val="auto"/>
        </w:rPr>
        <w:t>In 2006 and 2005, SDRAM was primarily used in networking devices, servers, consumer</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electronics, communications equipment and computer peripherals as well as memory upgrades to legacy computers. Sales of SDRAM products were 16%, 20% and 31% of the Company’s total net sales in 2006, 2005 and 2004, respectively. SDRAM sales have declined as personal computer manufacturers have transitioned to DDR and DDR2 products. The decline has been partially offset by increased usage of SDRAM products in other applications. The Company offers 64 Mb, 128 Mb, 256 Mb and 512 Mb SDRAM products.</w:t>
      </w:r>
    </w:p>
    <w:p>
      <w:pPr>
        <w:sectPr>
          <w:pgSz w:w="11900" w:h="16886" w:orient="portrait"/>
          <w:cols w:equalWidth="0" w:num="1">
            <w:col w:w="11400"/>
          </w:cols>
          <w:pgMar w:left="240" w:top="125" w:right="259" w:bottom="0" w:gutter="0" w:footer="0" w:header="0"/>
        </w:sectPr>
      </w:pPr>
    </w:p>
    <w:bookmarkStart w:id="2" w:name="page3"/>
    <w:bookmarkEnd w:id="2"/>
    <w:p>
      <w:pPr>
        <w:ind w:left="660" w:right="100" w:firstLine="1297"/>
        <w:spacing w:after="0" w:line="277" w:lineRule="auto"/>
        <w:rPr>
          <w:sz w:val="20"/>
          <w:szCs w:val="20"/>
          <w:color w:val="auto"/>
        </w:rPr>
      </w:pPr>
      <w:r>
        <w:rPr>
          <w:rFonts w:ascii="Arial" w:cs="Arial" w:eastAsia="Arial" w:hAnsi="Arial"/>
          <w:sz w:val="17"/>
          <w:szCs w:val="17"/>
          <w:b w:val="1"/>
          <w:bCs w:val="1"/>
          <w:color w:val="auto"/>
        </w:rPr>
        <w:t xml:space="preserve">Pseudo-static RAM (“PSRAM”): </w:t>
      </w:r>
      <w:r>
        <w:rPr>
          <w:rFonts w:ascii="Arial" w:cs="Arial" w:eastAsia="Arial" w:hAnsi="Arial"/>
          <w:sz w:val="17"/>
          <w:szCs w:val="17"/>
          <w:color w:val="auto"/>
        </w:rPr>
        <w:t>PSRAM products, marketed by the Company under the proprietary brand name</w:t>
      </w:r>
      <w:r>
        <w:rPr>
          <w:rFonts w:ascii="Arial" w:cs="Arial" w:eastAsia="Arial" w:hAnsi="Arial"/>
          <w:sz w:val="17"/>
          <w:szCs w:val="17"/>
          <w:b w:val="1"/>
          <w:bCs w:val="1"/>
          <w:color w:val="auto"/>
        </w:rPr>
        <w:t xml:space="preserve"> </w:t>
      </w:r>
      <w:r>
        <w:rPr>
          <w:rFonts w:ascii="Arial" w:cs="Arial" w:eastAsia="Arial" w:hAnsi="Arial"/>
          <w:sz w:val="17"/>
          <w:szCs w:val="17"/>
          <w:color w:val="auto"/>
        </w:rPr>
        <w:t>CellularRAM™, are DRAM products with an SRAM-like interface. PSRAM combines the minimal power consumption of SRAM with a much lower cost-per-bit to provide an economical alternative to SRAM. PSRAM products are used primarily in cellular phone applications. The Company offers PSRAM products in 16 Mb, 32 Mb, 64 Mb and 128 Mb densities. The Company is the market leader in sales of PSRAM products. Sales of PSRAM products were 8% and 7% of the Company’s total net sales in 2006 and 2005, respectively.</w:t>
      </w:r>
    </w:p>
    <w:p>
      <w:pPr>
        <w:spacing w:after="0" w:line="168" w:lineRule="exact"/>
        <w:rPr>
          <w:sz w:val="20"/>
          <w:szCs w:val="20"/>
          <w:color w:val="auto"/>
        </w:rPr>
      </w:pPr>
    </w:p>
    <w:p>
      <w:pPr>
        <w:ind w:left="660" w:right="60" w:firstLine="1297"/>
        <w:spacing w:after="0" w:line="258" w:lineRule="auto"/>
        <w:rPr>
          <w:sz w:val="20"/>
          <w:szCs w:val="20"/>
          <w:color w:val="auto"/>
        </w:rPr>
      </w:pPr>
      <w:r>
        <w:rPr>
          <w:rFonts w:ascii="Arial" w:cs="Arial" w:eastAsia="Arial" w:hAnsi="Arial"/>
          <w:sz w:val="18"/>
          <w:szCs w:val="18"/>
          <w:b w:val="1"/>
          <w:bCs w:val="1"/>
          <w:color w:val="auto"/>
        </w:rPr>
        <w:t xml:space="preserve">Mobile DRAM: </w:t>
      </w:r>
      <w:r>
        <w:rPr>
          <w:rFonts w:ascii="Arial" w:cs="Arial" w:eastAsia="Arial" w:hAnsi="Arial"/>
          <w:sz w:val="18"/>
          <w:szCs w:val="18"/>
          <w:color w:val="auto"/>
        </w:rPr>
        <w:t>Mobile DRAM products are specialty DRAM memory devices designed for applications that demand minimal</w:t>
      </w:r>
      <w:r>
        <w:rPr>
          <w:rFonts w:ascii="Arial" w:cs="Arial" w:eastAsia="Arial" w:hAnsi="Arial"/>
          <w:sz w:val="18"/>
          <w:szCs w:val="18"/>
          <w:b w:val="1"/>
          <w:bCs w:val="1"/>
          <w:color w:val="auto"/>
        </w:rPr>
        <w:t xml:space="preserve"> </w:t>
      </w:r>
      <w:r>
        <w:rPr>
          <w:rFonts w:ascii="Arial" w:cs="Arial" w:eastAsia="Arial" w:hAnsi="Arial"/>
          <w:sz w:val="18"/>
          <w:szCs w:val="18"/>
          <w:color w:val="auto"/>
        </w:rPr>
        <w:t>power consumption, such as personal digital assistants (PDAs), smart phones, GPS devices, digital still cameras and other handheld electronic devices. The Company sells SDRAM and DDR mobile memory products in 64 Mb, 128 Mb, 256 Mb and 512 Mb densities. The Company’s mobile DRAM products feature its proprietary Endur-IC™ technology, which the Company believes provides distinct advantages to its customers in terms of low power, high quality and high reliability.</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660" w:right="180" w:firstLine="1297"/>
        <w:spacing w:after="0" w:line="266" w:lineRule="auto"/>
        <w:rPr>
          <w:sz w:val="20"/>
          <w:szCs w:val="20"/>
          <w:color w:val="auto"/>
        </w:rPr>
      </w:pPr>
      <w:r>
        <w:rPr>
          <w:rFonts w:ascii="Arial" w:cs="Arial" w:eastAsia="Arial" w:hAnsi="Arial"/>
          <w:sz w:val="18"/>
          <w:szCs w:val="18"/>
          <w:b w:val="1"/>
          <w:bCs w:val="1"/>
          <w:color w:val="auto"/>
        </w:rPr>
        <w:t xml:space="preserve">Reduced Latency DRAM (“RLDRAM”): </w:t>
      </w:r>
      <w:r>
        <w:rPr>
          <w:rFonts w:ascii="Arial" w:cs="Arial" w:eastAsia="Arial" w:hAnsi="Arial"/>
          <w:sz w:val="18"/>
          <w:szCs w:val="18"/>
          <w:color w:val="auto"/>
        </w:rPr>
        <w:t>RLDRAM products are low-latency DRAM memory devices with high clock rates</w:t>
      </w:r>
      <w:r>
        <w:rPr>
          <w:rFonts w:ascii="Arial" w:cs="Arial" w:eastAsia="Arial" w:hAnsi="Arial"/>
          <w:sz w:val="18"/>
          <w:szCs w:val="18"/>
          <w:b w:val="1"/>
          <w:bCs w:val="1"/>
          <w:color w:val="auto"/>
        </w:rPr>
        <w:t xml:space="preserve"> </w:t>
      </w:r>
      <w:r>
        <w:rPr>
          <w:rFonts w:ascii="Arial" w:cs="Arial" w:eastAsia="Arial" w:hAnsi="Arial"/>
          <w:sz w:val="18"/>
          <w:szCs w:val="18"/>
          <w:color w:val="auto"/>
        </w:rPr>
        <w:t>targeted at network applications. The Company offers RLDRAM in 256 Mb and 288 Mb densities and expects to begin shipping 576 Mb densities in 2007.</w:t>
      </w:r>
    </w:p>
    <w:p>
      <w:pPr>
        <w:spacing w:after="0" w:line="176"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b w:val="1"/>
          <w:bCs w:val="1"/>
          <w:u w:val="single" w:color="auto"/>
          <w:color w:val="auto"/>
        </w:rPr>
        <w:t>NAND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Flash memory products are electrically re-writeable, non-volatile semiconductor devices that retain memory</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when power is turned off. The Company’s Flash efforts are concentrated on NAND Flash (“NAND”) devices which use semiconductor technology similar to DRAM. NAND is ideal for mass-storage devices due to its faster erase and write times, higher density, and lower cost per bit than NOR Flash, which is the primary competing Flash architecture. The market for NAND products has grown rapidly and the Company expects it to continue to grow due to demand for removable and embedded storage devices. Removable storage devices such as USB and Flash memory cards are used with applications such as personal computers, digital still cameras, MP3 players and mobile phones. Embedded NAND-based storage devices are also utilized in mobile phones and other personal and consumer applications.</w:t>
      </w:r>
    </w:p>
    <w:p>
      <w:pPr>
        <w:spacing w:after="0" w:line="193"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NAND and DRAM share common manufacturing processes, enabling the Company to leverage its product and process technologies and manufacturing infrastructure. The Company’s NAND designs feature a small cell structure that allows for higher densities for demanding applications. In 2006, the Company offered NAND products in 1 Gb, 2 Gb, 4 Gb and 8 Gb densities and plans to introduce 16 Gb densities in 2007. In 2006, the Company’s products were manufactured primarily using 72nm and 90nm line-width process technology and began sampling products manufactured using 50nm line-width process technology. In addition, in 2006, the Company began sampling Multi-Level Cell (“MLC”) NAND products, which double the bit density compared to single level cell products. NAND sales were 6% of the Company’s total net sales in 2006. The Company expects sales of NAND to increase significantly in 2007 and 2008 as it ramps production from two 300mm facilities dedicated to NAND production and recognizes sales by its Lexar subsidiary.</w:t>
      </w:r>
    </w:p>
    <w:p>
      <w:pPr>
        <w:spacing w:after="0" w:line="16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As a result of its acquisition of Lexar, the Company began selling in the fourth quarter of 2006 high-performance digital media products and other flash-based storage products through retail and original equipment manufacturing (OEM) channels. The Company’s digital media products include a variety of Flash memory cards with a range of speeds, capacities and value-added features. The Company’s digital media products also include its JumpDrive™ products, which are high-speed, portable USB flash drives for consumer applications that serve a variety of uses, including floppy disk replacement, digital media accessories and a variety of connectivity products that link media products to PCs and other electronic host devices. The Company also licenses its patented controller technology to other companies.</w:t>
      </w:r>
    </w:p>
    <w:p>
      <w:pPr>
        <w:spacing w:after="0" w:line="193" w:lineRule="exact"/>
        <w:rPr>
          <w:sz w:val="20"/>
          <w:szCs w:val="20"/>
          <w:color w:val="auto"/>
        </w:rPr>
      </w:pPr>
    </w:p>
    <w:p>
      <w:pPr>
        <w:ind w:right="80" w:firstLine="1297"/>
        <w:spacing w:after="0" w:line="271" w:lineRule="auto"/>
        <w:rPr>
          <w:sz w:val="20"/>
          <w:szCs w:val="20"/>
          <w:color w:val="auto"/>
        </w:rPr>
      </w:pPr>
      <w:r>
        <w:rPr>
          <w:rFonts w:ascii="Arial" w:cs="Arial" w:eastAsia="Arial" w:hAnsi="Arial"/>
          <w:sz w:val="17"/>
          <w:szCs w:val="17"/>
          <w:color w:val="auto"/>
        </w:rPr>
        <w:t>The Company offers Flash memory cards in all major media formats currently used by digital cameras and other electronic host devices, including: CompactFlash, Memory Stick, Secure Digital Card and the xD Picture Card. Many of CompactFlash, Memory Stick and Memory Stick PRO products sold by the Company incorporate its patented controller technology. Other products, including Secure Digital Card Flash memory cards and some JumpDrive products, incorporate third party controllers. The Company also resells Flash memory products that are purchased from suppliers. The Company offers Flash memory cards in a variety of speeds and capacities. The Company also offers more advanced features in some Flash media card products that provide additional performance advantages, such as Write Acceleration, or WA technology, the ActiveMemory™ System and LockTight™ CompactFlash. The Company sells products under its Lexar™ brand and also manufactures products that are sold under other brand names. The Company has a multi-year agreement with Eastman Kodak to sell digital media products under the Kodak brand name.</w:t>
      </w:r>
    </w:p>
    <w:p>
      <w:pPr>
        <w:spacing w:after="0" w:line="1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Complementary Metal-Oxide Semiconductor (“CMOS”) image sensors are the primary product of the Company’s Imaging segment.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CMOS image sensors are semiconductor devices that capture and process images into pictures or video for a variety of consumer and industrial applications. The Company’s CMOS image sensors are used in products such as cellular phone cameras, digital still cameras, pill cameras for medical use, and in automotive and other emerging applications. The Company offers image sensors in a range of pixel resolutions from its VGA (video graphics array) products to its higher resolution 3.1-megapixel products. The Company has begun sampling a 5-megapixel sensor designed for use in digital still cameras and camera phones that it expects to begin shipping in commercial volumes in 2007. In 2006, the Company introduced an 8-megapixel sensor featuring a leading-edge pixel size of 1.75 square microns. Image sensors are sold either as individual components or combined with integrated circuitry to create complete camera system-on-a-chip (“SOC”) solutions.</w:t>
      </w:r>
    </w:p>
    <w:p>
      <w:pPr>
        <w:spacing w:after="0" w:line="19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Company’s CMOS image sensors incorporating its DigitalClarity™ technology offered many advantages over other CMOS image sensors and charge-coupled device (“CCD”) sensors in 2006, which enabled the Company to become the leader in CMOS image sensor market share. The Company’s DigitalClarity™ technology features “active pixels” enabling better sensor performance that produces higher-quality images at faster frame rates. The Company’s low-leakage DRAM processes are particularly well-suited for the manufacture of CMOS image sensors. The Company’s CMOS image sensors consume substantially less power than CCD devices, a critical advantage in battery-dependent portable device applications where most</w:t>
      </w:r>
    </w:p>
    <w:p>
      <w:pPr>
        <w:sectPr>
          <w:pgSz w:w="11900" w:h="16838" w:orient="portrait"/>
          <w:cols w:equalWidth="0" w:num="1">
            <w:col w:w="11420"/>
          </w:cols>
          <w:pgMar w:left="240" w:top="121" w:right="239" w:bottom="300" w:gutter="0" w:footer="0" w:header="0"/>
        </w:sectPr>
      </w:pPr>
    </w:p>
    <w:p>
      <w:pPr>
        <w:spacing w:after="0" w:line="374"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00" w:gutter="0" w:footer="0" w:header="0"/>
          <w:type w:val="continuous"/>
        </w:sectPr>
      </w:pPr>
    </w:p>
    <w:bookmarkStart w:id="3" w:name="page4"/>
    <w:bookmarkEnd w:id="3"/>
    <w:p>
      <w:pPr>
        <w:spacing w:after="0" w:line="1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image sensors are used. By combining all camera functions on a single chip, from the capture of photons to the output of digital bits, CMOS image sensors reduce the part-count of a digital camera system, which in turn increases reliability, eases miniaturization, and enables on-chip programming of frame size, windowing, exposure and other camera parameters. The Company’s CMOS image sensors are also capable of producing high-quality images in low-light conditions. In 2006, the Company’s CMOS image sensors’ active-pixel design architecture enabled the Company to achieve CMOS imager performance that was comparable to high-end CCD sensors and better than that of its competitor’s CMOS image sensors.</w:t>
      </w:r>
    </w:p>
    <w:p>
      <w:pPr>
        <w:spacing w:after="0" w:line="17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Sales of Imaging products were 14%, 6% and 2% of the Company’s total net sales in 2006, 2005 and 2004, respectively. The Company expects its sales of CMOS image sensors to continue to grow in 2007 due to strong demand and increases in the allocation of manufacturing capacity. The overall market for image sensors is expected to increase significantly over the next several years due to the growth forecasted for applications such as phone cameras and digital still cameras. Additionally, CMOS image sensors are expected to capture an increasing percentage of the overall image sensor market.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The Company’s manufacturing facilities are located in the United States, Italy, Japan, Puerto Rico and Singapore. The Company’s manufacturing facilities generally operate 24 hours per day, 7 days per week. Semiconductor manufacturing is extremely capital intensive, requiring large investments in sophisticated facilities and equipment. Most semiconductor equipment must be replaced every three to five years with increasingly advanced equipment.</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Company’s process for manufacturing semiconductor products is complex, involving a number of precise steps, including wafer fabrication, assembly and test. Efficient production of semiconductor products requires utilization of advanced semiconductor manufacturing techniques and effective deployment of these techniques across multiple facilities. The primary determinants of manufacturing cost are die size, number of mask layers, number of fabrication steps and number of good die produced on each wafer. Other factors that contribute to manufacturing costs are wafer size, cost and sophistication of manufacturing equipment, equipment utilization, process complexity, cost of raw materials, labor productivity, package type and cleanliness of the manufacturing environment. The Company is continuously enhancing production processes, reducing die sizes and transitioning to higher density products. In 2006, t</w:t>
      </w:r>
      <w:r>
        <w:rPr>
          <w:rFonts w:ascii="Arial" w:cs="Arial" w:eastAsia="Arial" w:hAnsi="Arial"/>
          <w:sz w:val="16"/>
          <w:szCs w:val="16"/>
          <w:color w:val="auto"/>
        </w:rPr>
        <w:t>he Company manufactured most of its DRAM products using its 95 nanometer (“nm”) and 110nm line-width process technology and began transferring</w:t>
      </w:r>
      <w:r>
        <w:rPr>
          <w:rFonts w:ascii="Arial" w:cs="Arial" w:eastAsia="Arial" w:hAnsi="Arial"/>
          <w:sz w:val="17"/>
          <w:szCs w:val="17"/>
          <w:color w:val="auto"/>
        </w:rPr>
        <w:t xml:space="preserve"> </w:t>
      </w:r>
      <w:r>
        <w:rPr>
          <w:rFonts w:ascii="Arial" w:cs="Arial" w:eastAsia="Arial" w:hAnsi="Arial"/>
          <w:sz w:val="16"/>
          <w:szCs w:val="16"/>
          <w:color w:val="auto"/>
        </w:rPr>
        <w:t>production to 78nm line-width process technology. The Company expects to continue to transfer more of its DRAM production to 78nm and lower line-width process technology in 2007. In 2006, the Company manufactured most of its NAND Flash memory products using its 72nm and 90nm line-width process technology. The Company expects to begin transferring its NAND production to 50nm line-width process technology in 2007.</w:t>
      </w:r>
    </w:p>
    <w:p>
      <w:pPr>
        <w:spacing w:after="0" w:line="18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Wafer fabrication occurs in a highly controlled, clean environment to minimize dust and other yield- and quality-limiting contaminants. Despite stringent manufacturing controls, dust particles, equipment errors, minute impurities in materials, defects in photomasks and circuit design marginalities or defects can lead to wafers being scrapped and individual circuits being nonfunctional. Success of the Company’s manufacturing operations depends largely on minimizing defects and thereby maximizing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93"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After fabrication, silicon wafers are separated into individual die. The Company sells semiconductor products in both packaged and unpackaged (i.e. “bare die”) forms. For packaged products, functional die are sorted, connected to external leads and encapsulated in plastic packages. The Company assembles products in a variety of packages, including TSOP (thin small outline package), TQFP (thin quad flat package) and FBGA (f</w:t>
      </w:r>
      <w:r>
        <w:rPr>
          <w:rFonts w:ascii="Arial" w:cs="Arial" w:eastAsia="Arial" w:hAnsi="Arial"/>
          <w:sz w:val="15"/>
          <w:szCs w:val="15"/>
          <w:color w:val="auto"/>
        </w:rPr>
        <w:t>ine pitch ball grid</w:t>
      </w:r>
      <w:r>
        <w:rPr>
          <w:rFonts w:ascii="Arial" w:cs="Arial" w:eastAsia="Arial" w:hAnsi="Arial"/>
          <w:sz w:val="16"/>
          <w:szCs w:val="16"/>
          <w:color w:val="auto"/>
        </w:rPr>
        <w:t xml:space="preserve"> </w:t>
      </w:r>
      <w:r>
        <w:rPr>
          <w:rFonts w:ascii="Arial" w:cs="Arial" w:eastAsia="Arial" w:hAnsi="Arial"/>
          <w:sz w:val="15"/>
          <w:szCs w:val="15"/>
          <w:color w:val="auto"/>
        </w:rPr>
        <w:t>array). Bare die products address customer requirements for smaller form factors and higher memory densities and provide superior flexibility. Bare die products are used in packaging technologies such as systems-in-a-package (SIPs) and multi-chip packages (MCPs), which reduce the board area required.</w:t>
      </w:r>
    </w:p>
    <w:p>
      <w:pPr>
        <w:spacing w:after="0" w:line="16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DRAM die during the burn-in process, capturing quality and reliability data and reducing testing time and cost.</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Company assembles a significant portion of its memory products into memory modules. Memory modules consist of an array of memory components attached to printed circuit boards (“PCBs”) that insert directly into computer systems or other electronic devices. The Company’s Lexar subsidiary contracts with an independent foundry and assembly and testing organizations to manufacture flash media products such as memory cards and USB devices.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2006, the Company significantly increased its 300mm wafer production. In 2007, the Company plans to continue increasing its 300mm wafer manufacturing capacity as its IMFT subsidiary ramps NAND Flash production at two 300mm facilities and the Company’s consolidated TECH joint venture converts its DRAM production to 300mm wafers.</w:t>
      </w:r>
    </w:p>
    <w:p>
      <w:pPr>
        <w:spacing w:after="0" w:line="18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recent years the Company has produced an increasingly broad portfolio of products, which enhances the Company’s ability to allocate resources to its most profitable products but increases the complexity of the manufacturing process. Although new product lines such as NAND Flash, CMOS image sensors and specialty memory can be manufactured using processes that are very similar to the processes for the Company’s predominant DRAM products, frequent conversions to new products and the allocation of manufacturing capacity to more complex, smaller-volume parts can affect the Company’s cost efficiency. The Company’s ability to competitively manufacture many of these products on existing 200mm lines extends the useful life of this equipment.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IM Flash Technologies, LLC (“IMFT”): </w:t>
      </w:r>
      <w:r>
        <w:rPr>
          <w:rFonts w:ascii="Arial" w:cs="Arial" w:eastAsia="Arial" w:hAnsi="Arial"/>
          <w:sz w:val="17"/>
          <w:szCs w:val="17"/>
          <w:color w:val="auto"/>
        </w:rPr>
        <w:t>IMFT, which began operations on January 6, 2006, is a joint venture between the Company and Intel.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IMFT manufactures NAND Flash memory products pursuant to NAND Flash designs developed by the Company and Intel and licensed to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parties share the output of IMFT generally in proportion to their investment in IMFT. The Company owned a 51% interest in IMFT at August 31, 2006.</w:t>
      </w:r>
    </w:p>
    <w:p>
      <w:pPr>
        <w:sectPr>
          <w:pgSz w:w="11900" w:h="16852" w:orient="portrait"/>
          <w:cols w:equalWidth="0" w:num="1">
            <w:col w:w="11420"/>
          </w:cols>
          <w:pgMar w:left="240" w:top="1017" w:right="239" w:bottom="0" w:gutter="0" w:footer="0" w:header="0"/>
        </w:sectPr>
      </w:pPr>
    </w:p>
    <w:bookmarkStart w:id="4" w:name="page5"/>
    <w:bookmarkEnd w:id="4"/>
    <w:p>
      <w:pPr>
        <w:ind w:right="160"/>
        <w:spacing w:after="0" w:line="277" w:lineRule="auto"/>
        <w:rPr>
          <w:sz w:val="20"/>
          <w:szCs w:val="20"/>
          <w:color w:val="auto"/>
        </w:rPr>
      </w:pPr>
      <w:r>
        <w:rPr>
          <w:rFonts w:ascii="Arial" w:cs="Arial" w:eastAsia="Arial" w:hAnsi="Arial"/>
          <w:sz w:val="18"/>
          <w:szCs w:val="18"/>
          <w:color w:val="auto"/>
        </w:rPr>
        <w:t>IMFT’s financial results are included in the consolidated financial statements of the Company. (See “Item 8. Financial Statements and Supplementary Data — Notes to Consolidated Financial Statements — Joint Ventures — IM Flash Technologies, LLC.”)</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b w:val="1"/>
          <w:bCs w:val="1"/>
          <w:i w:val="1"/>
          <w:iCs w:val="1"/>
          <w:color w:val="auto"/>
        </w:rPr>
        <w:t xml:space="preserve">TECH Semiconductor Singapore Pte. Ltd. (“TECH”): </w:t>
      </w:r>
      <w:r>
        <w:rPr>
          <w:rFonts w:ascii="Arial" w:cs="Arial" w:eastAsia="Arial" w:hAnsi="Arial"/>
          <w:sz w:val="17"/>
          <w:szCs w:val="17"/>
          <w:color w:val="auto"/>
        </w:rPr>
        <w:t>TECH is a memory manufacturing joint venture in Singapore among Micron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the Singapore Economic Development Board, Canon Inc. and Hewlett-Packard Company. The Company owned an approximate 43% interest in TECH at August 31, 2006. TECH’s semiconductor manufacturing facilities use the Company’s product and process technology. Subject to specific terms and conditions, the Company has agreed to purchase all of the products manufactured by TECH. TECH supplied approximately 25%, 25% and 30% of the total megabits of memory produced by the Company in 2006, 2005 and 2004, respectively. TECH’s financial results were included in the consolidated financial statements of the Company beginning in the third quarter of 2006. (See “Item 8. Financial Statements and Supplementary Data — Notes to Consolidated Financial Statements — Joint Ventures — TECH Semiconductor Singapore Pte. Ltd.”)</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MP Mask Technology Center, LLC (“MP Mask”): </w:t>
      </w:r>
      <w:r>
        <w:rPr>
          <w:rFonts w:ascii="Arial" w:cs="Arial" w:eastAsia="Arial" w:hAnsi="Arial"/>
          <w:sz w:val="18"/>
          <w:szCs w:val="18"/>
          <w:color w:val="auto"/>
        </w:rPr>
        <w:t>In the third quarter of 2006, the Company formed a joint venture, MP Mask, with Photronics,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(“Photronics”) to produce photomasks for leading-edge and advanced next generation semiconductors. The Company contributed its then existing reticle manufacturing operation to the venture and sold a 49.99% interest in MP Mask to Photronics. The Company and Photronics also entered into supply arrangements wherein the Company is expected to purchase a substantial majority of the reticles produced by MP Mask. The financial results of MP Mask are included in the consolidated financial results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Company’s production processes require raw materials that meet exacting standards, including several that are customized for, or unique to, the Company. The Company generally has multiple sources of supply; however, only a limited number of suppliers are capable of delivering certain raw materials that meet the Company’s standards. Various factors could reduce the availability of raw materials such as silicon wafers, photomasks, chemicals, gases, lead frames, molding compound and other materials. In addition, any transportation problems could delay the Company’s receipt of raw 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39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Company’s products are sold into computing and consumer, networking and telecommunications, and imaging markets. Approximately 70% of the Company’s net sales for 2006 were to the computing market, including desktop PCs, notebooks, servers and workstations. Sales to Hewlett-Packard Company exceeded 10% of the Company’s net sales in 2006. Sales to both Hewlett-Packard Company and Dell Computer Corporation exceeded 10% of the Company’s net sales in 2005 and 2004, and aggregated 23% and 27% of the Company’s net sales in 2005 and 2004, respectively.</w:t>
      </w:r>
    </w:p>
    <w:p>
      <w:pPr>
        <w:spacing w:after="0" w:line="15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markets its semiconductor products primarily through its own direct sales force. The Company maintains inventory at locations in close proximity to certain key customers to facilitate rapid delivery of product shipments. The Company’s products are also offered through independent sales representatives and distributors. Lexar sells NAND Flash memory through retail and OEM channels and Crucial Technology offers its products through the Company’s web-based customer direct sales division. The Company’s products are offered under the Micron, Lexar, SpecTek and Crucial brand names, and under other private labels. The Company maintains sales offices in all of its primary markets around the world. Independent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w:t>
      </w:r>
    </w:p>
    <w:p>
      <w:pPr>
        <w:spacing w:after="0" w:line="19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Company offers products designed to meet the diverse needs of computing, server, automotive, networking, security, commercial/industrial, consumer electronics, medical and mobile applications. Many of the Company’s customers require a thorough review or qualification of semiconductor products, which may take several months. As the Company further diversifies its product lines and reduces the die sizes of existing products, more products become subject to qualification which may delay volume introduction of specific devices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Volatile industry conditions make customers reluctant to enter into long-term, fixed-price contracts. Accordingly, new order volumes for the Company’s semiconductor products fluctuate significantly. Orders are typically accepted with acknowledgment that the terms may be adjusted to reflect market conditions at the date of shipment. Customers can change delivery schedules or cancel orders without significant penalty. For these reasons, the Company does not believe that its order backlog as of any particular date is a reliable indicator of actual sales for any succeeding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Because the design and manufacturing process for semiconductor products is highly complex, it is possible that the Company may produce products that do not comply with customer specifications, contain defects or are otherwise incompatible with end uses. In accordance with industry practice, the Company generally provides a limited warranty that its products are in compliance with Company specifications existing at 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more extensive liability than that provided under the Company’s general terms and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ectPr>
          <w:pgSz w:w="11900" w:h="16838" w:orient="portrait"/>
          <w:cols w:equalWidth="0" w:num="1">
            <w:col w:w="11380"/>
          </w:cols>
          <w:pgMar w:left="240" w:top="125" w:right="279" w:bottom="77" w:gutter="0" w:footer="0" w:header="0"/>
        </w:sectPr>
      </w:pPr>
    </w:p>
    <w:bookmarkStart w:id="5" w:name="page6"/>
    <w:bookmarkEnd w:id="5"/>
    <w:p>
      <w:pPr>
        <w:ind w:right="40" w:firstLine="648"/>
        <w:spacing w:after="0" w:line="255" w:lineRule="auto"/>
        <w:rPr>
          <w:sz w:val="20"/>
          <w:szCs w:val="20"/>
          <w:color w:val="auto"/>
        </w:rPr>
      </w:pPr>
      <w:r>
        <w:rPr>
          <w:rFonts w:ascii="Arial" w:cs="Arial" w:eastAsia="Arial" w:hAnsi="Arial"/>
          <w:sz w:val="18"/>
          <w:szCs w:val="18"/>
          <w:color w:val="auto"/>
        </w:rPr>
        <w:t>The Company faces intense competition in the semiconductor memory markets from a number of companies, including Elpida Memory, Inc.; Hynix Semiconductor Inc.; Qimonda AG ADS; Samsung Electronics Co., Ltd; SanDisk Corporation; Toshiba Corporation and emerging companies in Taiwan and China. Some of the Company’s competitors are large corporations or conglomerates that may have greater resources to withstand downturns in the semiconductor markets in which the Company competes, invest in technology and capitalize on growth opportunities. The Company’s competitors seek to increase silicon capacity, improve yields, reduce die size and minimize mask levels in their product designs. These factors have significantly increased worldwide supply and put downward pressure on prices.</w:t>
      </w:r>
    </w:p>
    <w:p>
      <w:pPr>
        <w:spacing w:after="0" w:line="200" w:lineRule="exact"/>
        <w:rPr>
          <w:sz w:val="20"/>
          <w:szCs w:val="20"/>
          <w:color w:val="auto"/>
        </w:rPr>
      </w:pPr>
    </w:p>
    <w:p>
      <w:pPr>
        <w:spacing w:after="0" w:line="20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faces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may have greater presence in key markets, better access to certain customer bases, greater name recognition and more established strategic and financial relationships than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To compete in the semiconductor memory industry, the Company must continue to develop technologically advanced products and processes. The Company believes that expansion of its semiconductor product offerings is necessary to meet expected market demand for specific memory and imaging solutions. The Company has several product design centers around the world, the largest located at its corporate headquarters in Boise, Idaho. In addition, the Company develops leading edge photolithography mask technology at its MP Mask joint venture facility in Boise.</w:t>
      </w:r>
    </w:p>
    <w:p>
      <w:pPr>
        <w:spacing w:after="0" w:line="17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The Company and Intel share R&amp;D process and design costs for NAND Flash equally. Product development costs are recorded as R&amp;D expense.</w:t>
      </w:r>
    </w:p>
    <w:p>
      <w:pPr>
        <w:spacing w:after="0" w:line="193" w:lineRule="exact"/>
        <w:rPr>
          <w:sz w:val="20"/>
          <w:szCs w:val="20"/>
          <w:color w:val="auto"/>
        </w:rPr>
      </w:pPr>
    </w:p>
    <w:p>
      <w:pPr>
        <w:jc w:val="both"/>
        <w:ind w:right="360" w:firstLine="648"/>
        <w:spacing w:after="0" w:line="288" w:lineRule="auto"/>
        <w:rPr>
          <w:sz w:val="20"/>
          <w:szCs w:val="20"/>
          <w:color w:val="auto"/>
        </w:rPr>
      </w:pPr>
      <w:r>
        <w:rPr>
          <w:rFonts w:ascii="Arial" w:cs="Arial" w:eastAsia="Arial" w:hAnsi="Arial"/>
          <w:sz w:val="16"/>
          <w:szCs w:val="16"/>
          <w:color w:val="auto"/>
        </w:rPr>
        <w:t>The Company’s process technology R&amp;D efforts are focused primarily on development of successively smaller line-width process technologies which are designed to facilitate the Company’s transition to next generation memory products and CMOS image sensors. Additional process technology R&amp;D efforts focus on specialty memory products (including PSRAM, mobile SDRAM and reduced latency DRAM) and new manufacturing materials.</w:t>
      </w:r>
    </w:p>
    <w:p>
      <w:pPr>
        <w:ind w:right="20"/>
        <w:spacing w:after="0" w:line="255" w:lineRule="auto"/>
        <w:rPr>
          <w:sz w:val="20"/>
          <w:szCs w:val="20"/>
          <w:color w:val="auto"/>
        </w:rPr>
      </w:pPr>
      <w:r>
        <w:rPr>
          <w:rFonts w:ascii="Arial" w:cs="Arial" w:eastAsia="Arial" w:hAnsi="Arial"/>
          <w:sz w:val="18"/>
          <w:szCs w:val="18"/>
          <w:color w:val="auto"/>
        </w:rPr>
        <w:t>Product design and development efforts are concentrated on the Company’s 1 Gb and 2 Gb DDR, DDR2 and DDR3 products as well as high density and mobile NAND Flash memory (including multi-level cell technology), CMOS image sensors and specialty memory products. The Company’s R&amp;D expenses were $656 million, $604 million and $755 million in 2006, 2005 and 2004,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Sales to customers outside the United States totaled $3.6 billion for 2006 and included $1.0 billion in sales to China, $719 million in sales to Europe, $494 million in sales to Japan and $1.1 billion in sales to the rest of the Asia Pacific region, excluding China and Japan. International sales totaled $3.2 billion for 2005 and $2.6 billion for 2004. As of August 31, 2006, the Company had net property, plant and equipment of $4.4 billion in the United States, $867 million in Singapore, $269 million in Japan, $318 million in Italy and $12 million in other countries.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recent years, the Company has been recognized as a leader in volume and quality of patents issued. As of August 31, 2006, the Company owned approximately 14,500 U.S. patents and 1,500 foreign patents. In addition, the Company has numerous U.S. and foreign patent applications pending. The Company’s patents have terms expiring through 2025.</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As of August 31, 2006, the Company had approximately 23,500 employees, including approximately 14,100 in the United States, 5,500 in Singapore, 2,000 in Italy, 1,400 in Japan and 300 in the United Kingdom. The Company’s employees include 2,400 employees in its TECH joint venture that are located in Singapore and 800 employees in its IMFT joint venture that are located in the United States. The Company added approximately 300</w:t>
      </w:r>
    </w:p>
    <w:p>
      <w:pPr>
        <w:sectPr>
          <w:pgSz w:w="11900" w:h="16838" w:orient="portrait"/>
          <w:cols w:equalWidth="0" w:num="1">
            <w:col w:w="11380"/>
          </w:cols>
          <w:pgMar w:left="240" w:top="125" w:right="279" w:bottom="0" w:gutter="0" w:footer="0" w:header="0"/>
        </w:sectPr>
      </w:pPr>
    </w:p>
    <w:bookmarkStart w:id="6" w:name="page7"/>
    <w:bookmarkEnd w:id="6"/>
    <w:p>
      <w:pPr>
        <w:spacing w:after="0" w:line="1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employees from its acquisition of Lexar Media, Inc. in the fourth quarter of 2006. The Company’s employees in Italy are represented by labor organizations that have entered into national and local labor contracts with the Company. The Company’s employment levels can vary depending on market conditions and the level of the Company’s production, research and product and process development. Many of the Company’s employees are highly skilled, and the Company’s continued success depends in part upon its ability to attract and retain such employees. The loss of key Company personnel could have a material adverse effect on the Company’s business,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Government regulations impose various environmental controls on raw materials and discharges, emissions and solid wastes from the Company’s manufacturing processes. In 2006, the Company’s wafer fabrication facilities continued to conform to the requirements of ISO 14001 certification. To continue certification, the Company met annual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regulations, changes in the regulations could necessitate additional capital expenditures, modification of operations or other compliance 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Registrant</w:t>
      </w:r>
    </w:p>
    <w:p>
      <w:pPr>
        <w:spacing w:after="0" w:line="22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August 31, 2006, the following executive officers and directors of the Company were subject to the reporting requirements of Section 16(a) of the Securities Exchange Act of 1934, as amended.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7220" w:type="dxa"/>
            <w:vAlign w:val="bottom"/>
            <w:gridSpan w:val="2"/>
          </w:tcPr>
          <w:p>
            <w:pPr>
              <w:ind w:left="280"/>
              <w:spacing w:after="0"/>
              <w:rPr>
                <w:sz w:val="20"/>
                <w:szCs w:val="20"/>
                <w:color w:val="auto"/>
              </w:rPr>
            </w:pPr>
            <w:r>
              <w:rPr>
                <w:rFonts w:ascii="Arial" w:cs="Arial" w:eastAsia="Arial" w:hAnsi="Arial"/>
                <w:sz w:val="14"/>
                <w:szCs w:val="14"/>
                <w:b w:val="1"/>
                <w:bCs w:val="1"/>
                <w:color w:val="auto"/>
              </w:rPr>
              <w:t>Position</w:t>
            </w:r>
          </w:p>
        </w:tc>
        <w:tc>
          <w:tcPr>
            <w:tcW w:w="40" w:type="dxa"/>
            <w:vAlign w:val="bottom"/>
          </w:tcPr>
          <w:p>
            <w:pPr>
              <w:spacing w:after="0"/>
              <w:rPr>
                <w:sz w:val="14"/>
                <w:szCs w:val="14"/>
                <w:color w:val="auto"/>
              </w:rPr>
            </w:pPr>
          </w:p>
        </w:tc>
      </w:tr>
      <w:tr>
        <w:trPr>
          <w:trHeight w:val="210"/>
        </w:trPr>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W. Adams</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280" w:type="dxa"/>
            <w:vAlign w:val="bottom"/>
            <w:tcBorders>
              <w:top w:val="single" w:sz="8" w:color="CCEEFF"/>
            </w:tcBorders>
            <w:shd w:val="clear" w:color="auto" w:fill="CCEEFF"/>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Vice President of Digital Media Products</w:t>
            </w: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Steven R. Appleton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rPr>
              <w:t>Chairman, Chief Executive Officer and President</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Kipp A. Bedard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7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Vice President of Investor Relations</w:t>
            </w: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Jan du Preez</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rPr>
              <w:t>Vice President of Memory Marketing</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Durcan</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7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Chief Operating Officer</w:t>
            </w: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Robert J. Gove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rPr>
              <w:t>Vice President of Imaging Group</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L. Hawkins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7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Vice President of Operations</w:t>
            </w: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Roderic W. Lewis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rPr>
              <w:t>Vice President of Legal Affairs, General Counsel and Corporate Secretary</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 Sadler</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7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Vice President of Worldwide Sales</w:t>
            </w: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Brian J. Shields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rPr>
              <w:t>Vice President of Worldwide Wafer Fabrication</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7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Vice President Memory</w:t>
            </w: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Wilbur G. Stover, Jr.</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rPr>
              <w:t>Vice President of Finance and Chief Financial Officer</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Teruaki Aoki</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7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7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Robert A. Lothrop</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7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Gordon C. Smith</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7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William P. Weber</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688"/>
        </w:trPr>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20" w:type="dxa"/>
            <w:vAlign w:val="bottom"/>
            <w:gridSpan w:val="2"/>
          </w:tcPr>
          <w:p>
            <w:pPr>
              <w:ind w:left="13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r>
      <w:tr>
        <w:trPr>
          <w:trHeight w:val="375"/>
        </w:trPr>
        <w:tc>
          <w:tcPr>
            <w:tcW w:w="30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6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Mark W. Adams </w:t>
      </w:r>
      <w:r>
        <w:rPr>
          <w:rFonts w:ascii="Arial" w:cs="Arial" w:eastAsia="Arial" w:hAnsi="Arial"/>
          <w:sz w:val="18"/>
          <w:szCs w:val="18"/>
          <w:color w:val="auto"/>
        </w:rPr>
        <w:t>joined the Company in June 2006. From January 2006 until he joined the Company, Mr. Adams was the Chief Operating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Lexar Media, Inc. Mr. Adams served as the Vice President of Sales and Marketing for Creative Labs, Inc. from December 2002 to January 2006. From March 2000 to September 2002, Mr. Adams was the Chief Executive Officer of Coresma, Inc. Mr. Adams holds a BA in Economics from Boston College and an MBA from Harvard Business School.</w:t>
      </w:r>
    </w:p>
    <w:p>
      <w:pPr>
        <w:spacing w:after="0" w:line="18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Steven R. Appleton </w:t>
      </w:r>
      <w:r>
        <w:rPr>
          <w:rFonts w:ascii="Arial" w:cs="Arial" w:eastAsia="Arial" w:hAnsi="Arial"/>
          <w:sz w:val="17"/>
          <w:szCs w:val="17"/>
          <w:color w:val="auto"/>
        </w:rPr>
        <w:t>joined the Company in February 1983 and has served in various capacities with the Company and its subsidiaries. Mr. Appleton</w:t>
      </w:r>
      <w:r>
        <w:rPr>
          <w:rFonts w:ascii="Arial" w:cs="Arial" w:eastAsia="Arial" w:hAnsi="Arial"/>
          <w:sz w:val="17"/>
          <w:szCs w:val="17"/>
          <w:i w:val="1"/>
          <w:iCs w:val="1"/>
          <w:color w:val="auto"/>
        </w:rPr>
        <w:t xml:space="preserve"> </w:t>
      </w:r>
      <w:r>
        <w:rPr>
          <w:rFonts w:ascii="Arial" w:cs="Arial" w:eastAsia="Arial" w:hAnsi="Arial"/>
          <w:sz w:val="17"/>
          <w:szCs w:val="17"/>
          <w:color w:val="auto"/>
        </w:rPr>
        <w:t>first became an officer of the Company in August 1989 and has served in various officer positions with the Company since that time. From April 1991 until July 1992 and since May 1994, Mr. Appleton has served on the Company’s Board of Directors. Since September 1994, Mr. Appleton has served as the Chief Executive Officer, President and Chairman of the Board of Directors of the Company. Mr. Appleton is a member of the Board of Directors of National Semiconductor Corporation. Mr. Appleton holds a BA in Business Management from Boise State University.</w:t>
      </w:r>
    </w:p>
    <w:p>
      <w:pPr>
        <w:spacing w:after="0" w:line="17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Kipp A. Bedard </w:t>
      </w:r>
      <w:r>
        <w:rPr>
          <w:rFonts w:ascii="Arial" w:cs="Arial" w:eastAsia="Arial" w:hAnsi="Arial"/>
          <w:sz w:val="17"/>
          <w:szCs w:val="17"/>
          <w:color w:val="auto"/>
        </w:rPr>
        <w:t>joined the Company in November 1983 and has served in various capacities with the Company and its subsidiaries. Mr. Bedard first</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officer of the Company in April 1990 and has served in various officer positions since that time. Since January 1994, Mr. Bedard has served as Vice President of Investor Relations for the Company. Mr. Bedard holds a BBA in Accounting from Boise State University.</w:t>
      </w:r>
    </w:p>
    <w:p>
      <w:pPr>
        <w:spacing w:after="0" w:line="166"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i w:val="1"/>
          <w:iCs w:val="1"/>
          <w:color w:val="auto"/>
        </w:rPr>
        <w:t xml:space="preserve">Jan du Preez </w:t>
      </w:r>
      <w:r>
        <w:rPr>
          <w:rFonts w:ascii="Arial" w:cs="Arial" w:eastAsia="Arial" w:hAnsi="Arial"/>
          <w:sz w:val="18"/>
          <w:szCs w:val="18"/>
          <w:color w:val="auto"/>
        </w:rPr>
        <w:t>joined the Company in June 2002 as an officer and has served in various officer positions since that time. Mr. du Preez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Infineon Technologies North America Corporation from August 2000 until he joined the Company in June 2002. From October 1996 through July 2000, Mr. du Preez served as the Vice President of Memory Products Group for Infineon Technologies North America Corporation (formerly Siemens Semiconductors). Mr. du Preez holds Bachelors Degrees in Public Administration and Business Economics from the University of Pretoria and a Masters Degree in Commerce from Rand University.</w:t>
      </w:r>
    </w:p>
    <w:p>
      <w:pPr>
        <w:sectPr>
          <w:pgSz w:w="11900" w:h="16857" w:orient="portrait"/>
          <w:cols w:equalWidth="0" w:num="1">
            <w:col w:w="11460"/>
          </w:cols>
          <w:pgMar w:left="240" w:top="125" w:right="199" w:bottom="0" w:gutter="0" w:footer="0" w:header="0"/>
        </w:sectPr>
      </w:pPr>
    </w:p>
    <w:bookmarkStart w:id="7" w:name="page8"/>
    <w:bookmarkEnd w:id="7"/>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D. Mark Durcan </w:t>
      </w:r>
      <w:r>
        <w:rPr>
          <w:rFonts w:ascii="Arial" w:cs="Arial" w:eastAsia="Arial" w:hAnsi="Arial"/>
          <w:sz w:val="18"/>
          <w:szCs w:val="18"/>
          <w:color w:val="auto"/>
        </w:rPr>
        <w:t>joined the Company in June 1984 and has served in various technical positions with the Company and its subsidiaries since that</w:t>
      </w:r>
      <w:r>
        <w:rPr>
          <w:rFonts w:ascii="Arial" w:cs="Arial" w:eastAsia="Arial" w:hAnsi="Arial"/>
          <w:sz w:val="18"/>
          <w:szCs w:val="18"/>
          <w:i w:val="1"/>
          <w:iCs w:val="1"/>
          <w:color w:val="auto"/>
        </w:rPr>
        <w:t xml:space="preserve"> </w:t>
      </w:r>
      <w:r>
        <w:rPr>
          <w:rFonts w:ascii="Arial" w:cs="Arial" w:eastAsia="Arial" w:hAnsi="Arial"/>
          <w:sz w:val="18"/>
          <w:szCs w:val="18"/>
          <w:color w:val="auto"/>
        </w:rPr>
        <w:t>time. Mr. Durcan was appointed Chief Operating Officer in February 2006. Mr. Durcan has been an officer of the Company since 1996. Mr. Durcan holds a BS and MChE in Chemical Engineering from Rice University.</w:t>
      </w:r>
    </w:p>
    <w:p>
      <w:pPr>
        <w:spacing w:after="0" w:line="181"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Robert J. Gove </w:t>
      </w:r>
      <w:r>
        <w:rPr>
          <w:rFonts w:ascii="Arial" w:cs="Arial" w:eastAsia="Arial" w:hAnsi="Arial"/>
          <w:sz w:val="18"/>
          <w:szCs w:val="18"/>
          <w:color w:val="auto"/>
        </w:rPr>
        <w:t>joined the Company in March 1999 as Senior Director of Engineering and has served in various positions with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2002, he was appointed Vice President of Imaging. Prior to joining the Company, Dr. Gove served as Vice President, Engineering, of Equator Technologies, Inc. Dr. Gove holds a BS in Electrical Engineering from the University of Washington and an MS in Electrical Engineering and Ph.D. in Electrical Engineering from Southern Methodist University.</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 xml:space="preserve">Jay L. Hawkins </w:t>
      </w:r>
      <w:r>
        <w:rPr>
          <w:rFonts w:ascii="Arial" w:cs="Arial" w:eastAsia="Arial" w:hAnsi="Arial"/>
          <w:sz w:val="18"/>
          <w:szCs w:val="18"/>
          <w:color w:val="auto"/>
        </w:rPr>
        <w:t>joined the Company in March 1984 and has served in various manufacturing positions for the Company and its subsidiaries. Mr.</w:t>
      </w:r>
      <w:r>
        <w:rPr>
          <w:rFonts w:ascii="Arial" w:cs="Arial" w:eastAsia="Arial" w:hAnsi="Arial"/>
          <w:sz w:val="18"/>
          <w:szCs w:val="18"/>
          <w:i w:val="1"/>
          <w:iCs w:val="1"/>
          <w:color w:val="auto"/>
        </w:rPr>
        <w:t xml:space="preserve"> </w:t>
      </w:r>
      <w:r>
        <w:rPr>
          <w:rFonts w:ascii="Arial" w:cs="Arial" w:eastAsia="Arial" w:hAnsi="Arial"/>
          <w:sz w:val="18"/>
          <w:szCs w:val="18"/>
          <w:color w:val="auto"/>
        </w:rPr>
        <w:t>Hawkins served as Vice President, Manufacturing Administration from February 1996 through June 1997, at which time he became Vice President of Operations. Mr. Hawkins holds a BBA in Marketing from Boise State University.</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Roderic W. Lewis </w:t>
      </w:r>
      <w:r>
        <w:rPr>
          <w:rFonts w:ascii="Arial" w:cs="Arial" w:eastAsia="Arial" w:hAnsi="Arial"/>
          <w:sz w:val="18"/>
          <w:szCs w:val="18"/>
          <w:color w:val="auto"/>
        </w:rPr>
        <w:t>joined the Company in August 1991 and has served in various capacities with the Company and its subsidiaries. Mr. Lewis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of Legal Affairs, General Counsel and Corporate Secretary since July 1996. Mr. Lewis holds a BA in Economics and Asian Studies from Brigham Young University and a JD from Columbia University School of Law.</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Michael W. Sadler </w:t>
      </w:r>
      <w:r>
        <w:rPr>
          <w:rFonts w:ascii="Arial" w:cs="Arial" w:eastAsia="Arial" w:hAnsi="Arial"/>
          <w:sz w:val="18"/>
          <w:szCs w:val="18"/>
          <w:color w:val="auto"/>
        </w:rPr>
        <w:t>joined the Company in September 1992 as a Regional Sales Manager and has held various sales and marketing positions since</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Mr. Sadler became an officer of the Company in July 1997 and has served as Vice President of Worldwide Sales since November 2001. Mr. Sadler holds a BS in Information Systems and an MBA from the University of Santa Clara.</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Brian J. Shields </w:t>
      </w:r>
      <w:r>
        <w:rPr>
          <w:rFonts w:ascii="Arial" w:cs="Arial" w:eastAsia="Arial" w:hAnsi="Arial"/>
          <w:sz w:val="18"/>
          <w:szCs w:val="18"/>
          <w:color w:val="auto"/>
        </w:rPr>
        <w:t>joined the Company in November 1996 and has served in various operational positions with the Company. Mr. Shields first became</w:t>
      </w:r>
      <w:r>
        <w:rPr>
          <w:rFonts w:ascii="Arial" w:cs="Arial" w:eastAsia="Arial" w:hAnsi="Arial"/>
          <w:sz w:val="18"/>
          <w:szCs w:val="18"/>
          <w:i w:val="1"/>
          <w:iCs w:val="1"/>
          <w:color w:val="auto"/>
        </w:rPr>
        <w:t xml:space="preserve"> </w:t>
      </w:r>
      <w:r>
        <w:rPr>
          <w:rFonts w:ascii="Arial" w:cs="Arial" w:eastAsia="Arial" w:hAnsi="Arial"/>
          <w:sz w:val="18"/>
          <w:szCs w:val="18"/>
          <w:color w:val="auto"/>
        </w:rPr>
        <w:t>an officer of the Company in March 2003.</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Brian M. Shirley </w:t>
      </w:r>
      <w:r>
        <w:rPr>
          <w:rFonts w:ascii="Arial" w:cs="Arial" w:eastAsia="Arial" w:hAnsi="Arial"/>
          <w:sz w:val="18"/>
          <w:szCs w:val="18"/>
          <w:color w:val="auto"/>
        </w:rPr>
        <w:t>joined the Company in August 1992 and has served in various technical positions with the Company. Mr. Shirley became an</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the Company in February 2006. Mr. Shirley holds a BS in Electrical Engineering from Stanford University.</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Wilbur G. Stover, Jr. </w:t>
      </w:r>
      <w:r>
        <w:rPr>
          <w:rFonts w:ascii="Arial" w:cs="Arial" w:eastAsia="Arial" w:hAnsi="Arial"/>
          <w:sz w:val="18"/>
          <w:szCs w:val="18"/>
          <w:color w:val="auto"/>
        </w:rPr>
        <w:t>joined the Company in June 1989 and has served in various financial positions with the Company and its subsidiaries.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1994, Mr. Stover has served as the Company’s Vice President of Finance and Chief Financial Officer. Mr. Stover holds a BA in Business Administration from Washington State University.</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Teruaki Aoki </w:t>
      </w:r>
      <w:r>
        <w:rPr>
          <w:rFonts w:ascii="Arial" w:cs="Arial" w:eastAsia="Arial" w:hAnsi="Arial"/>
          <w:sz w:val="18"/>
          <w:szCs w:val="18"/>
          <w:color w:val="auto"/>
        </w:rPr>
        <w:t>is President of Sony University and Managing Director of Sony Foundation for Education. Dr. Aoki has been associated with Sony</w:t>
      </w:r>
      <w:r>
        <w:rPr>
          <w:rFonts w:ascii="Arial" w:cs="Arial" w:eastAsia="Arial" w:hAnsi="Arial"/>
          <w:sz w:val="18"/>
          <w:szCs w:val="18"/>
          <w:i w:val="1"/>
          <w:iCs w:val="1"/>
          <w:color w:val="auto"/>
        </w:rPr>
        <w:t xml:space="preserve"> </w:t>
      </w:r>
      <w:r>
        <w:rPr>
          <w:rFonts w:ascii="Arial" w:cs="Arial" w:eastAsia="Arial" w:hAnsi="Arial"/>
          <w:sz w:val="18"/>
          <w:szCs w:val="18"/>
          <w:color w:val="auto"/>
        </w:rPr>
        <w:t>since 1970 and has held various executive 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Advisory Board Member of Kellogg School of Management of Northwestern University.</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 xml:space="preserve">James W. Bagley </w:t>
      </w:r>
      <w:r>
        <w:rPr>
          <w:rFonts w:ascii="Arial" w:cs="Arial" w:eastAsia="Arial" w:hAnsi="Arial"/>
          <w:sz w:val="16"/>
          <w:szCs w:val="16"/>
          <w:color w:val="auto"/>
        </w:rPr>
        <w:t>became the Executive Chairman of Lam Research Corporation (“Lam”), a supplier of semiconductor manufacturing equipment,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2005. From August 1997 through June 2005, Mr. Bagley served as the Chairman and Chief Executive Officer of Lam. Mr. Bagley is a member of the Board of Directors of Teradyne, Inc. He has served on the Company’s Board of Directors since June 1996. Mr. Bagley holds a MS and BS in Electrical Engineering from Mississippi State University. Mr. Bagley serves as the presiding director of executive sessions of the Company’s Board of Directors.</w:t>
      </w:r>
    </w:p>
    <w:p>
      <w:pPr>
        <w:spacing w:after="0" w:line="15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has served as the Senior Vice President and Chief Financial Officer of Avago Technologies Limited, a semiconductor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since December 2005. Prior to that, she served as the Senior Vice President, Finance, of Lam from June 2004 to January 2005 and as Lam’s Chief Financial Officer from May 1997 to May 2004. Before joining Lam, Ms. Johnson spent 10 years with Applied Materials, Inc., where she served in various senior financial management positions, including vice president and worldwide operations controller. Ms. Johnson holds a degree in accounting from the University of Buenos Aires and currently serves on the Board of Directors for Intersil Corporation. Ms. Johnson is the Chairman of the Board’s Audit Committee.</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Robert A. Lothrop </w:t>
      </w:r>
      <w:r>
        <w:rPr>
          <w:rFonts w:ascii="Arial" w:cs="Arial" w:eastAsia="Arial" w:hAnsi="Arial"/>
          <w:sz w:val="18"/>
          <w:szCs w:val="18"/>
          <w:color w:val="auto"/>
        </w:rPr>
        <w:t>served as Senior Vice President of J.R. Simplot Company, an agribusiness company, from January 1986 until his retirement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1991. From August 1986 until July 1992 and since May 1994, Mr. Lothrop has served on the Board of Directors of the Company. Mr. Lothrop holds a BS in Engineering from the University of Idaho.</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served as the Chief Executive Officer of CompUSA Inc. from November 2003 to May 2006. Mr. Mondry joined CompUSA in</w:t>
      </w:r>
      <w:r>
        <w:rPr>
          <w:rFonts w:ascii="Arial" w:cs="Arial" w:eastAsia="Arial" w:hAnsi="Arial"/>
          <w:sz w:val="18"/>
          <w:szCs w:val="18"/>
          <w:i w:val="1"/>
          <w:iCs w:val="1"/>
          <w:color w:val="auto"/>
        </w:rPr>
        <w:t xml:space="preserve"> </w:t>
      </w:r>
      <w:r>
        <w:rPr>
          <w:rFonts w:ascii="Arial" w:cs="Arial" w:eastAsia="Arial" w:hAnsi="Arial"/>
          <w:sz w:val="18"/>
          <w:szCs w:val="18"/>
          <w:color w:val="auto"/>
        </w:rPr>
        <w:t>1990 as Senior Vice President and General Merchandise Manager. He was promoted to Executive Vice President-Merchandising in 1993, and President and Chief Operating Officer of CompUSA Stores in 2000. Mr. Mondry currently serves on the Board of Directors for Golfsmith, Inc. Mr. Mondry is the Chairman of the Board’s Compensation Committee.</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Gordon C. Smith </w:t>
      </w:r>
      <w:r>
        <w:rPr>
          <w:rFonts w:ascii="Arial" w:cs="Arial" w:eastAsia="Arial" w:hAnsi="Arial"/>
          <w:sz w:val="18"/>
          <w:szCs w:val="18"/>
          <w:color w:val="auto"/>
        </w:rPr>
        <w:t>has served as the Chairman and Chief Executive Officer of SFG LLC, a holding company for agriculture operations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since January 2005. Mr. Smith has also served as Chairman and Chief Executive Officer of G.C. Smith LLC since May 2000. From July 1980 to March 1994, Mr. Smith served in various management positions with J.R. Simplot Company, including four years as President and Chief Executive Officer, and seven years as Chief Financial Officer. From February 1982 until February 1984 and since September 1990, he has served on the Company’s Board of Directors. Mr. Smith holds a BS in Accounting from Idaho State University.</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Robert E. Switz </w:t>
      </w:r>
      <w:r>
        <w:rPr>
          <w:rFonts w:ascii="Arial" w:cs="Arial" w:eastAsia="Arial" w:hAnsi="Arial"/>
          <w:sz w:val="17"/>
          <w:szCs w:val="17"/>
          <w:color w:val="auto"/>
        </w:rPr>
        <w:t>is currently President and CEO of ADC Telecommunications, Inc., a supplier of network infrastructure products and services. Mr.</w:t>
      </w:r>
      <w:r>
        <w:rPr>
          <w:rFonts w:ascii="Arial" w:cs="Arial" w:eastAsia="Arial" w:hAnsi="Arial"/>
          <w:sz w:val="17"/>
          <w:szCs w:val="17"/>
          <w:i w:val="1"/>
          <w:iCs w:val="1"/>
          <w:color w:val="auto"/>
        </w:rPr>
        <w:t xml:space="preserve"> </w:t>
      </w:r>
      <w:r>
        <w:rPr>
          <w:rFonts w:ascii="Arial" w:cs="Arial" w:eastAsia="Arial" w:hAnsi="Arial"/>
          <w:sz w:val="17"/>
          <w:szCs w:val="17"/>
          <w:color w:val="auto"/>
        </w:rPr>
        <w:t>Switz has been with ADC since 1994 and prior to his current position, served ADC as Executive Vice President and Chief Financial Officer. Mr. Switz holds an MBA from the University of Bridgeport as well as a degree in marketing/economics from Quinnipiac University. Mr. Switz also serves as a director on the board of Broadcom Corporation. Mr. Switz is the Chairman of the Board’s Governance Committee.</w:t>
      </w:r>
    </w:p>
    <w:p>
      <w:pPr>
        <w:sectPr>
          <w:pgSz w:w="11900" w:h="16838" w:orient="portrait"/>
          <w:cols w:equalWidth="0" w:num="1">
            <w:col w:w="11420"/>
          </w:cols>
          <w:pgMar w:left="240" w:top="125" w:right="239" w:bottom="0" w:gutter="0" w:footer="0" w:header="0"/>
        </w:sectPr>
      </w:pPr>
    </w:p>
    <w:bookmarkStart w:id="8" w:name="page9"/>
    <w:bookmarkEnd w:id="8"/>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William P. Weber </w:t>
      </w:r>
      <w:r>
        <w:rPr>
          <w:rFonts w:ascii="Arial" w:cs="Arial" w:eastAsia="Arial" w:hAnsi="Arial"/>
          <w:sz w:val="18"/>
          <w:szCs w:val="18"/>
          <w:color w:val="auto"/>
        </w:rPr>
        <w:t>served in various capacities with Texas Instruments Incorporated, a semiconductor manufacturing company, and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1962 until April 1998. From December 1986 until December 1993, he served as the President of Texas Instruments’ worldwide semiconductor operations and from December 1993 until his retirement in April 1998, he served as Vice Chairman of Texas Instruments Incorporated. He has served on the Company’s Board of Directors since July 1998. Mr. Weber holds a BS in Engineering from Lamar University and a MS in Engineering from Southern Methodist University.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10-K, the following are important factors which could cause actual results or events to differ materially from those contained in any forward- looking statements made by or on behalf of the Company.</w:t>
      </w:r>
    </w:p>
    <w:p>
      <w:pPr>
        <w:spacing w:after="0" w:line="166"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We have experienced dramatic declines in average selling prices for our semiconductor memory products which have adversely affected our business.</w:t>
      </w:r>
    </w:p>
    <w:p>
      <w:pPr>
        <w:spacing w:after="0" w:line="166"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Per megabit average selling prices for our semiconductor memory products decreased 34% in 2006 as compared to 2005. In recent years, we have also experienced annual decreases in per megabit average selling prices for our memory products including: 24% in 2005, 17% in 2003, 53% in 2002 and 60% in 2001. At times, average selling prices for our memory products have been below our costs. If average selling prices for our memory products decrease faster than we can decrease per megabit costs, our business, results of operations or financial condition could be materially adversely affected.</w:t>
      </w:r>
    </w:p>
    <w:p>
      <w:pPr>
        <w:spacing w:after="0" w:line="15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Increased worldwide semiconductor memory production or lack of demand for semiconductor memory could lead to further declines in average selling prices.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announced plans to increase production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Historically, our gross margin has benefited from decreases in per unit manufacturing costs achieved through improvements in our manufacturing processes, including reducing the die size of our existing products. In future periods, we may be unable to reduce our per unit manufacturing costs or reduce these costs at historical rates due to strategic product diversification decisions affecting product mix, the ever increasing complexity of manufacturing processes, changes in process technologies or products which inherently may require relatively larger die sizes. Per unit manufacturing costs may also be affected by the relatively smaller production quantities and shorter product lifecycles of Imaging and certain specialty memory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formation of IMFT and the resulting plans to significantly increase our NAND Flash memory production has numerous risks.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January 6, 2006, we initiated operations of the IMFT joint venture with Intel and as a result we plan to significantly increase our NAND Flash production in future periods. The IMFT agreement and our NAND Flash strategy in general require substantial investment in capital expenditures for equipment and new facilities. It also requires significant investments in research and development as well as investments to grow and develop new operations at multiple sites. These investments involve numerous risks. We are required to devote a significant portion of our existing semiconductor manufacturing capacity to the production of NAND Flash instead of the Company’s other products. In conjunction with the IMFT agreement, we entered into a contract with Apple Corporation to provide NAND Flash products for an extended period of time at contractually determined prices. We currently have a relatively small share of the world-wide market for NAND Flash.</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NAND Flash investments and commitments involve numerous risks, and may include the following:</w:t>
      </w:r>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NAND Flash;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debt to finance future investments;</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937" w:gutter="0" w:footer="0" w:header="0"/>
        </w:sectPr>
      </w:pPr>
    </w:p>
    <w:bookmarkStart w:id="9" w:name="page10"/>
    <w:bookmarkEnd w:id="9"/>
    <w:p>
      <w:pPr>
        <w:spacing w:after="0" w:line="66"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diverting management’s attention from DRAM and CMOS Image sensor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NAND Flash strategy may not be successful and could materially adversely affect our business, results of operations or financial condition.</w:t>
      </w:r>
    </w:p>
    <w:p>
      <w:pPr>
        <w:spacing w:after="0" w:line="23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future success of our Imaging business will be dependent on continued market acceptance of our products and the development, introduction and marketing of new Imaging products.</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Imaging business has grown rapidly in the recent periods. Sales of Imaging products increased substantially and represented 14% of our net sales in 2006. Our imaging products have higher gross margins than the recent overall gross margins from our memory products. As we continue to expand our imaging business, there can be no assurance that we will be able to maintain these growth rates or gross margins. The continued success of our Imaging products will depend on a number of factors, including:</w:t>
      </w:r>
    </w:p>
    <w:p>
      <w:pPr>
        <w:spacing w:after="0" w:line="187"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cash flows from operations depend primarily on the volume of semiconductor memory and CMOS image sensors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Cash and investments of IMFT and TECH are generally not available to finance our other operations.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industry is highly competitive.</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face intense competition in the semiconductor memory market from a number of companies, including Elpida Memory, Inc.; Hynix Semiconductor Inc.; Qimonda AG ADS; Samsung Electronics Co., Ltd.; SanDisk Corporation; Toshiba Corporation and from emerging companies in Taiwan and China, who have announced plans to significantly expand the scale of their operations.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39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integrating the operations of Lexar.</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we are unable to successfully combine and integrate the Lexar operations, we may not be able to realize many of the anticipated benefits of the merger, which could harm our results of operations. In order to realize the benefits of the merger, we will need to timely integrate the technology, operations, and personnel of Lexar. Integrating the two companies will be a complex, time-consuming and expensive process that, even with proper planning and implementation, could significantly disrupt the businesses of Micron and Lexar. The challenges involved in this integration include, combining product and service offerings, optimizing inventory management over a broader distribution chain, and preserving customer, supplier and other important relationships of both Micron and Lexar. If we are not able to successfully integrate our operations with those of Lexar, our results of operations could be materially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could be adversely affected by material weaknesses in Lexar’s internal controls.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Lexar’s Annual Report on Form 10-K for the period ended December 31, 2005, and its Quarterly Report on Form 10-Q for the period ended March 31, 2006, Lexar reported material weaknesses with respect to its revenue recognition controls and inventory accounting controls. These control deficiencies resulted in audit adjustments to revenues, accounts receivable, cost of product revenues, deferred revenue, sales related accruals and inventory in Lexar’s 2005 consolidated financial statements. As a result of these material weaknesses, Lexar concluded in its Annual Report and Quarterly Report that its</w:t>
      </w:r>
    </w:p>
    <w:p>
      <w:pPr>
        <w:sectPr>
          <w:pgSz w:w="11900" w:h="16904" w:orient="portrait"/>
          <w:cols w:equalWidth="0" w:num="1">
            <w:col w:w="11420"/>
          </w:cols>
          <w:pgMar w:left="240" w:top="125" w:right="239" w:bottom="0" w:gutter="0" w:footer="0" w:header="0"/>
        </w:sectPr>
      </w:pPr>
    </w:p>
    <w:bookmarkStart w:id="10" w:name="page11"/>
    <w:bookmarkEnd w:id="10"/>
    <w:p>
      <w:pPr>
        <w:spacing w:after="0" w:line="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control over financial reporting was not effective as of the end of the periods covered by the reports. While prior to the close of the merger Lexar continued to take steps to remediate these material weaknesses, there can be no assurance that we will be able to completely remediate these material weaknesses such that we will be able to conclude that our internal control over financial reporting is effective. We began consolidating the financial results of Lexar on June 22, 2006; however, due to the recency of the acquisition, the internal control over financial reporting relating to Lexar was exempt from testing and evaluation as of August 31, 2006. To the extent we do not remediate the material weaknesses, the effectiveness of our internal control over financial reporting may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operating loss carryforwards may be limited as a result of the merger.</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Micron and Lexar had net operating loss carryforwards for federal income tax purposes prior to the merger and both entities had provided significant valuation allowances against the tax benefit of such losses as well as certain tax credit carryforwards. Utilization of these net operating losses and credit carryforwards are dependent upon us achieving profitable results following the Lexar merger. As a consequence of the merger, as well as earlier issuances of common stock consummated by both companies and business combinations by the Company, utilization of the tax benefits of these carryforwards are subject to limitations imposed by Section 382 of the Internal Revenue Code. The determination of the limitations is complex and requires significant judgment and analysis of past transactions. Accordingly, some portion or all of these carryforwards may not be available to offset any future taxable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resellers receive price protections which may have an adverse affect on our gross margins.</w:t>
      </w:r>
    </w:p>
    <w:p>
      <w:pPr>
        <w:spacing w:after="0" w:line="229" w:lineRule="exact"/>
        <w:rPr>
          <w:sz w:val="20"/>
          <w:szCs w:val="20"/>
          <w:color w:val="auto"/>
        </w:rPr>
      </w:pPr>
    </w:p>
    <w:p>
      <w:pPr>
        <w:ind w:right="60" w:firstLine="630"/>
        <w:spacing w:after="0" w:line="257" w:lineRule="auto"/>
        <w:rPr>
          <w:sz w:val="20"/>
          <w:szCs w:val="20"/>
          <w:color w:val="auto"/>
        </w:rPr>
      </w:pPr>
      <w:r>
        <w:rPr>
          <w:rFonts w:ascii="Arial" w:cs="Arial" w:eastAsia="Arial" w:hAnsi="Arial"/>
          <w:sz w:val="18"/>
          <w:szCs w:val="18"/>
          <w:color w:val="auto"/>
        </w:rPr>
        <w:t>Nearly all of our Lexar sales are made through resellers which traditionally have been provided price protection. In an environment of slower demand and abundant supply of products, price declines and channel promotions expenses are more likely to occur. Further, in this environment, high channel inventory may result in substantial price protection charges. These price protection charges have the effect of reducing gross sales and gross margin. We expect to continue to incur price protection charges for the foreseeable future due to competitive pricing pressures and, as a result, our revenues and gross margins could be adversely affected.</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yen and euro. The Company estimates that, based on its assets and liabilities denominated in currencies other than U.S. dollar as of August 31, 2006, a 1% change in the exchange rate versus the U.S. dollar would result in foreign currency gains or losses of approximately $1 million for the yen and $1 million for the euro. In the event that the U.S. dollar weakens significantly compared to the yen or euro, our results of operations or financial condition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declared Rambus’ 525 068 and 1 004 956 European patents invalid and revoked the patents. On January 13, 2006, Rambus filed a lawsuit against us in the U.S. District Court for the Northern District of California alleging infringement of eighteen Rambus patents. We also are engaged in litigation with Tadahiro Ohmi (“Ohmi”). On June 2, 2005, Ohmi filed suit against us in the U.S. District Court for the Eastern District of Texas (amended on August 31, 2005) alleging infringement of a single Ohmi patent. We are also engaged in litigation with Mosaid Technologies, Inc. (“Mosaid”). On July 24, 2006, we filed a declaratory judgment action against Mosaid in the U.S. District Court for the Northern District of California seeking, among other things, a court determination that fourteen Mosaid patents are invalid, not enforceable, and/or not infringed. On July 26, 2006, Mosaid filed a lawsuit against us and others in the U.S. District Court for the Eastern District of Texas</w:t>
      </w:r>
    </w:p>
    <w:p>
      <w:pPr>
        <w:sectPr>
          <w:pgSz w:w="11900" w:h="16882" w:orient="portrait"/>
          <w:cols w:equalWidth="0" w:num="1">
            <w:col w:w="11420"/>
          </w:cols>
          <w:pgMar w:left="240" w:top="125" w:right="239" w:bottom="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t>alleging infringement of nine Mosaid patents. On August 31, 2006, Mosaid filed an amended complaint adding two additional Mosaid patents. On October 23, 2006, the California Court dismissed our declaratory judgment suit based on lack of jurisdiction.</w:t>
      </w:r>
    </w:p>
    <w:p>
      <w:pPr>
        <w:spacing w:after="0" w:line="38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Among other things, the above lawsuits pertain to certain of our SDRAM, DDR SDRAM, DDR2 SDRAM, RLDRAM, and image sensor products, which account for a significant portion of our net sales.</w:t>
      </w:r>
    </w:p>
    <w:p>
      <w:pPr>
        <w:spacing w:after="0" w:line="170" w:lineRule="exact"/>
        <w:rPr>
          <w:sz w:val="20"/>
          <w:szCs w:val="20"/>
          <w:color w:val="auto"/>
        </w:rPr>
      </w:pPr>
    </w:p>
    <w:p>
      <w:pPr>
        <w:ind w:right="260" w:firstLine="738"/>
        <w:spacing w:after="0" w:line="312" w:lineRule="auto"/>
        <w:rPr>
          <w:sz w:val="20"/>
          <w:szCs w:val="20"/>
          <w:color w:val="auto"/>
        </w:rPr>
      </w:pPr>
      <w:r>
        <w:rPr>
          <w:rFonts w:ascii="Arial" w:cs="Arial" w:eastAsia="Arial" w:hAnsi="Arial"/>
          <w:sz w:val="16"/>
          <w:szCs w:val="16"/>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7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us and other DRAM suppliers. Eighteen cases have been filed in various federal district courts (two of which have been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On June 5, 2006, the Court granted plaintiffs’ motion to certify the proposed class of direct purchasers.</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w:t>
      </w:r>
    </w:p>
    <w:p>
      <w:pPr>
        <w:spacing w:after="0" w:line="181"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In addition, various states, through their Attorneys General, have filed suit against us and other DRAM manufacturers. On July 14, 2006,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the Commonwealth of the Northern Mariana Islands, Ohio, Oklahoma, Oregon, Pennsylvania, Rhode Island, South Carolina, Tennessee, Texas, Utah, Vermont, Virginia, Washington, West Virginia, and Wisconsin. The amended complaint, filed September 8, 2006, alleges, among other things, violations of the Sherman Act, Cartwright Act, and certain other states’ consumer protection and antitrust laws and seeks damages, and injunctive and other relief. Additionally, on July 13, 2006, the</w:t>
      </w:r>
    </w:p>
    <w:p>
      <w:pPr>
        <w:spacing w:after="0" w:line="39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State of New York filed a similar suit in the U.S. District Court for the Southern District of New York. That case was subsequently transferred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District Court for the Northern District of California for pre-trial purposes.</w:t>
      </w:r>
    </w:p>
    <w:p>
      <w:pPr>
        <w:sectPr>
          <w:pgSz w:w="11900" w:h="16838" w:orient="portrait"/>
          <w:cols w:equalWidth="0" w:num="1">
            <w:col w:w="11400"/>
          </w:cols>
          <w:pgMar w:left="240" w:top="125" w:right="259" w:bottom="180" w:gutter="0" w:footer="0" w:header="0"/>
          <w:type w:val="continuous"/>
        </w:sectPr>
      </w:pPr>
    </w:p>
    <w:bookmarkStart w:id="12" w:name="page13"/>
    <w:bookmarkEnd w:id="12"/>
    <w:p>
      <w:pPr>
        <w:ind w:right="80" w:firstLine="648"/>
        <w:spacing w:after="0" w:line="286" w:lineRule="auto"/>
        <w:rPr>
          <w:sz w:val="20"/>
          <w:szCs w:val="20"/>
          <w:color w:val="auto"/>
        </w:rPr>
      </w:pPr>
      <w:r>
        <w:rPr>
          <w:rFonts w:ascii="Arial" w:cs="Arial" w:eastAsia="Arial" w:hAnsi="Arial"/>
          <w:sz w:val="17"/>
          <w:szCs w:val="17"/>
          <w:color w:val="auto"/>
        </w:rPr>
        <w:t>On October 11, 2006, we received a grand jury subpoena from the U.S. District Court for the Northern District of California seeking information regarding an investigation by the DOJ into possible antitrust violations in the “Static Random Access Memory” or “SRAM” industry. We believe that we are not a target of the investigation and we are cooperating fully and actively with the DOJ in its investigation of the SRAM industry.</w:t>
      </w:r>
    </w:p>
    <w:p>
      <w:pPr>
        <w:spacing w:after="0" w:line="16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Subsequent to the issuance of subpoenas to the SRAM industry, a number of purported class action lawsuits have been filed against us and other SRAM suppliers. Two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eight cases have been filed in the U.S. District Court for the Northern District of California and one in the U.S. District Court for the Eastern District of Tennessee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18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violations of securities laws.</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on March 23, 2006 a shareholder derivative action was filed in the Fourth District Court for the State of Idaho (Ada County), allegedly on behalf of and for our benefit, against certain of our current and former officers and directors. We were also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us. However, we may be required, throughout the pendency of the action, to advance payment of legal fees and costs incurred by the defendants.</w:t>
      </w:r>
    </w:p>
    <w:p>
      <w:pPr>
        <w:spacing w:after="0" w:line="18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March 2006, following our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us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us.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w:t>
      </w:r>
    </w:p>
    <w:p>
      <w:pPr>
        <w:spacing w:after="0" w:line="38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unable to predict the outcome of these cases. A court determination in any of the class actions against us could result in significant liability and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Global economic conditions may also affect consumer demand for devices that incorporate our products such as mobile phones, personal computers, flash memory cards and USB devices. As a result, our business, results of operations or financial condition could be materially adversely affected.</w:t>
      </w:r>
    </w:p>
    <w:p>
      <w:pPr>
        <w:spacing w:after="0" w:line="18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Sales to customers outside the United States approximated 67% of our consolidated net sales for 2006. In addition, we have manufacturing operations in Italy, Japan, Puerto Rico and Singapore. Our international sales and operations are subject to a variety of risks, including:</w:t>
      </w:r>
    </w:p>
    <w:p>
      <w:pPr>
        <w:spacing w:after="0" w:line="124"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ectPr>
          <w:pgSz w:w="11900" w:h="16838" w:orient="portrait"/>
          <w:cols w:equalWidth="0" w:num="1">
            <w:col w:w="11420"/>
          </w:cols>
          <w:pgMar w:left="240" w:top="125" w:right="239" w:bottom="0" w:gutter="0" w:footer="0" w:header="0"/>
        </w:sectPr>
      </w:pPr>
    </w:p>
    <w:bookmarkStart w:id="13" w:name="page14"/>
    <w:bookmarkEnd w:id="13"/>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Additionally, our control over operations at our IMFT, TECH and MP Mask joint ventures may be limited by our agreements with our partners.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6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187"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expect to make future acquisitions where we believe it is advisable to enhance shareholder value. Acquisitions involve numerous risks, including:</w:t>
      </w:r>
    </w:p>
    <w:p>
      <w:pPr>
        <w:spacing w:after="0" w:line="170"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505" w:gutter="0" w:footer="0" w:header="0"/>
        </w:sectPr>
      </w:pPr>
    </w:p>
    <w:bookmarkStart w:id="14" w:name="page15"/>
    <w:bookmarkEnd w:id="14"/>
    <w:p>
      <w:pPr>
        <w:jc w:val="center"/>
        <w:ind w:right="3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corporate headquarters are located in Boise, Idaho. The following is a summary of the Company’s principal facilities: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8240" w:type="dxa"/>
            <w:vAlign w:val="bottom"/>
            <w:gridSpan w:val="2"/>
          </w:tcPr>
          <w:p>
            <w:pPr>
              <w:ind w:left="340"/>
              <w:spacing w:after="0"/>
              <w:rPr>
                <w:sz w:val="20"/>
                <w:szCs w:val="20"/>
                <w:color w:val="auto"/>
              </w:rPr>
            </w:pPr>
            <w:r>
              <w:rPr>
                <w:rFonts w:ascii="Arial" w:cs="Arial" w:eastAsia="Arial" w:hAnsi="Arial"/>
                <w:sz w:val="14"/>
                <w:szCs w:val="14"/>
                <w:b w:val="1"/>
                <w:bCs w:val="1"/>
                <w:color w:val="auto"/>
              </w:rPr>
              <w:t>Principal Operations</w:t>
            </w:r>
          </w:p>
        </w:tc>
      </w:tr>
      <w:tr>
        <w:trPr>
          <w:trHeight w:val="210"/>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Boise, Idaho</w:t>
            </w:r>
          </w:p>
        </w:tc>
        <w:tc>
          <w:tcPr>
            <w:tcW w:w="340" w:type="dxa"/>
            <w:vAlign w:val="bottom"/>
            <w:tcBorders>
              <w:top w:val="single" w:sz="8" w:color="CCEEFF"/>
            </w:tcBorders>
            <w:shd w:val="clear" w:color="auto" w:fill="CCEEFF"/>
          </w:tcPr>
          <w:p>
            <w:pPr>
              <w:spacing w:after="0"/>
              <w:rPr>
                <w:sz w:val="18"/>
                <w:szCs w:val="18"/>
                <w:color w:val="auto"/>
              </w:rPr>
            </w:pPr>
          </w:p>
        </w:tc>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Wafer fabrication, test and assembly, research and development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Lehi, Utah</w:t>
            </w: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Wafer fabrication</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Manassas, Virginia</w:t>
            </w: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Wafer fabrication, research and development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Singapore</w:t>
            </w: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Wafer fabrication facility and a test, assembly and module assembly facility</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Nishiwaki City, Japan</w:t>
            </w: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Wafer fabrication</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Avezzano, Italy</w:t>
            </w: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Wafer fabrication</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Nampa, Idaho</w:t>
            </w: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Test</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Aguadilla, Puerto Rico</w:t>
            </w: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Module assembly, test</w:t>
            </w:r>
          </w:p>
        </w:tc>
      </w:tr>
    </w:tbl>
    <w:p>
      <w:pPr>
        <w:spacing w:after="0" w:line="241" w:lineRule="exact"/>
        <w:rPr>
          <w:sz w:val="20"/>
          <w:szCs w:val="20"/>
          <w:color w:val="auto"/>
        </w:rPr>
      </w:pPr>
    </w:p>
    <w:p>
      <w:pPr>
        <w:ind w:right="40" w:firstLine="630"/>
        <w:spacing w:after="0" w:line="277" w:lineRule="auto"/>
        <w:rPr>
          <w:sz w:val="20"/>
          <w:szCs w:val="20"/>
          <w:color w:val="auto"/>
        </w:rPr>
      </w:pPr>
      <w:r>
        <w:rPr>
          <w:rFonts w:ascii="Arial" w:cs="Arial" w:eastAsia="Arial" w:hAnsi="Arial"/>
          <w:sz w:val="18"/>
          <w:szCs w:val="18"/>
          <w:color w:val="auto"/>
        </w:rPr>
        <w:t>The Company also owns and leases a number of other facilities in locations throughout the world that are used for design, research and development, and sales and marketing activities.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 xml:space="preserve">The Company’s facility in Lehi is owned and operated by its IMFT joint venture </w:t>
      </w:r>
      <w:r>
        <w:rPr>
          <w:rFonts w:ascii="Arial" w:cs="Arial" w:eastAsia="Arial" w:hAnsi="Arial"/>
          <w:sz w:val="17"/>
          <w:szCs w:val="17"/>
          <w:color w:val="auto"/>
        </w:rPr>
        <w:t>(See “Item 8. Financial Statements and Supplementary Data — Notes</w:t>
      </w:r>
      <w:r>
        <w:rPr>
          <w:rFonts w:ascii="Arial" w:cs="Arial" w:eastAsia="Arial" w:hAnsi="Arial"/>
          <w:sz w:val="18"/>
          <w:szCs w:val="18"/>
          <w:color w:val="auto"/>
        </w:rPr>
        <w:t xml:space="preserve"> </w:t>
      </w:r>
      <w:r>
        <w:rPr>
          <w:rFonts w:ascii="Arial" w:cs="Arial" w:eastAsia="Arial" w:hAnsi="Arial"/>
          <w:sz w:val="17"/>
          <w:szCs w:val="17"/>
          <w:color w:val="auto"/>
        </w:rPr>
        <w:t>to Consolidated Financial Statements — Joint Ventures — IM Flash Technologies, LLC”). The Company’s wafer fabrication facility in Singapore is owned by its TECH joint venture (See “Item 8. Financial Statements and Supplementary Data — Notes to Consolidated Financial Statements — Joint Ventures — TECH Semiconductor Singapore Pte. Ltd.”).</w:t>
      </w:r>
    </w:p>
    <w:p>
      <w:pPr>
        <w:spacing w:after="0" w:line="18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 xml:space="preserve">The Company believes that its existing facilities are suitable and adequate for its present purposes and that the productive capacity in such facilities is substantially being utilized or the Company has plans to utilize it. </w:t>
      </w:r>
      <w:r>
        <w:rPr>
          <w:rFonts w:ascii="Arial" w:cs="Arial" w:eastAsia="Arial" w:hAnsi="Arial"/>
          <w:sz w:val="17"/>
          <w:szCs w:val="17"/>
          <w:color w:val="auto"/>
        </w:rPr>
        <w:t>The Company does not identify or allocate assets by operating segment. For additional</w:t>
      </w:r>
      <w:r>
        <w:rPr>
          <w:rFonts w:ascii="Arial" w:cs="Arial" w:eastAsia="Arial" w:hAnsi="Arial"/>
          <w:sz w:val="18"/>
          <w:szCs w:val="18"/>
          <w:color w:val="auto"/>
        </w:rPr>
        <w:t xml:space="preserve"> </w:t>
      </w:r>
      <w:r>
        <w:rPr>
          <w:rFonts w:ascii="Arial" w:cs="Arial" w:eastAsia="Arial" w:hAnsi="Arial"/>
          <w:sz w:val="17"/>
          <w:szCs w:val="17"/>
          <w:color w:val="auto"/>
        </w:rPr>
        <w:t>information on net property, plant and equipment by country, see “Item 8. Financial Statements and Supplementary Data — Notes to Consolidated Financial Statements — Geographic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declared Rambus’ 525 068 and 1 004 956 European patents invalid and revoked the patents. On January 13, 2006, Rambus filed a lawsuit against the Company in the U.S. District Court for the Northern District of California alleging infringement of eighteen Rambus patents.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June 2, 2005, Tadahiro Ohmi (“Ohmi”) filed suit against the Company in the U.S. District Court for the Eastern District of Texas (amended on August 31, 2005) alleging infringement of a single Ohmi patent.</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26, 2006, Mosaid filed a lawsuit against the Company and others in the U.S. District Court for the Eastern District of Texas alleging infringement of nine Mosaid patents. On August 31, 2006, Mosaid filed an amended complaint adding two additional Mosaid patents. On October 23, 2006, the California Court dismissed the Company’s declaratory judgment suit based on lack of jurisdiction.</w:t>
      </w:r>
    </w:p>
    <w:p>
      <w:pPr>
        <w:spacing w:after="0" w:line="1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DDR2 SDRAM, RLDRAM, and image sensor products, which account for a significant portion of the Company’s net sales.</w:t>
      </w:r>
    </w:p>
    <w:p>
      <w:pPr>
        <w:sectPr>
          <w:pgSz w:w="11900" w:h="16838" w:orient="portrait"/>
          <w:cols w:equalWidth="0" w:num="1">
            <w:col w:w="11420"/>
          </w:cols>
          <w:pgMar w:left="240" w:top="125" w:right="239" w:bottom="0" w:gutter="0" w:footer="0" w:header="0"/>
        </w:sectPr>
      </w:pPr>
    </w:p>
    <w:bookmarkStart w:id="15" w:name="page16"/>
    <w:bookmarkEnd w:id="15"/>
    <w:p>
      <w:pPr>
        <w:ind w:right="120" w:firstLine="648"/>
        <w:spacing w:after="0" w:line="259"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the Company and other DRAM suppliers. Eighteen cases have been filed in various federal district courts (two of which have been dismissed) asserting claims on behalf of a purported class of individuals and entities that purchased DRAM directly from the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On June 5, 2006, the Court granted plaintiffs’ motion to certify the proposed class of direct purchasers.</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1999 through the filing date of the various complaints.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the Commonwealth of the Northern Mariana Islands, Ohio, Oklahoma, Oregon, Pennsylvania, Rhode Island, South Carolina, Tennessee, Texas, Utah, Vermont, Virginia, Washington, West Virginia, and</w:t>
      </w:r>
    </w:p>
    <w:p>
      <w:pPr>
        <w:spacing w:after="0" w:line="38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Wisconsin. The amended complaint, filed September 8, 2006,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w:t>
      </w:r>
    </w:p>
    <w:p>
      <w:pPr>
        <w:spacing w:after="0" w:line="187"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fully and actively with the DOJ in its investigation of the SRAM industry.</w:t>
      </w:r>
    </w:p>
    <w:p>
      <w:pPr>
        <w:spacing w:after="0" w:line="14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Subsequent to the issuance of subpoenas to the SRAM industry, a number of purported class action lawsuits have been filed against the Company and other SRAM suppliers. Two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eight cases have been filed in the U.S. District Court for the Northern District of California and one in the U.S. District Court for the Eastern District of Tennessee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9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ectPr>
          <w:pgSz w:w="11900" w:h="16838" w:orient="portrait"/>
          <w:cols w:equalWidth="0" w:num="1">
            <w:col w:w="11400"/>
          </w:cols>
          <w:pgMar w:left="240" w:top="125" w:right="259" w:bottom="0" w:gutter="0" w:footer="0" w:header="0"/>
        </w:sectPr>
      </w:pPr>
    </w:p>
    <w:bookmarkStart w:id="16" w:name="page17"/>
    <w:bookmarkEnd w:id="16"/>
    <w:p>
      <w:pPr>
        <w:ind w:right="20" w:firstLine="648"/>
        <w:spacing w:after="0" w:line="272" w:lineRule="auto"/>
        <w:rPr>
          <w:sz w:val="20"/>
          <w:szCs w:val="20"/>
          <w:color w:val="auto"/>
        </w:rPr>
      </w:pPr>
      <w:r>
        <w:rPr>
          <w:rFonts w:ascii="Arial" w:cs="Arial" w:eastAsia="Arial" w:hAnsi="Arial"/>
          <w:sz w:val="17"/>
          <w:szCs w:val="17"/>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w:t>
      </w:r>
    </w:p>
    <w:p>
      <w:pPr>
        <w:spacing w:after="0" w:line="17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The Company is unable to predict the outcome of these suits. A court determination against the Company could result in significant liability and could have a material adverse effect on the Company’s business, results of operations or financial condition. (See “Item 8. Financial Statements and Supplementary Data — Notes to Consolidated Financial Statements — Lexar Media, Inc.”)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matters submitted to a vote of security holders during the fourth quarter of 2006.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Common Stock</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Company’s common stock is listed on the New York Stock Exchange and is traded under the symbol “MU.” The following table represents the high and low closing sales prices for the Company’s common stock for each quarter of 2006 and 2005, as reported by Bloomberg L.P.</w:t>
      </w:r>
    </w:p>
    <w:p>
      <w:pPr>
        <w:spacing w:after="0" w:line="125"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2006:</w:t>
            </w:r>
          </w:p>
        </w:tc>
        <w:tc>
          <w:tcPr>
            <w:tcW w:w="18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4th quarter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$ 17.52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$ 14.15</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3rd quarter</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2nd quarter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16.99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13.13</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1st quarter</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4th quarter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$ 12.22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$ 10.17</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3rd quarter</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2nd quarter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12.35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1st quarter</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November 1, 2006, there were 3,578 shareholders of record of the Company’s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not declared or paid cash dividends since 1996 and does not intend to pay cash dividends on its common stock for the foreseeable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ectPr>
          <w:pgSz w:w="11900" w:h="16838" w:orient="portrait"/>
          <w:cols w:equalWidth="0" w:num="1">
            <w:col w:w="11420"/>
          </w:cols>
          <w:pgMar w:left="240" w:top="125"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is incorporated by reference to the information set forth in Item 12 of this Annual Report on Form 10-K.</w:t>
      </w:r>
    </w:p>
    <w:p>
      <w:pPr>
        <w:spacing w:after="0" w:line="200" w:lineRule="exact"/>
        <w:rPr>
          <w:sz w:val="20"/>
          <w:szCs w:val="20"/>
          <w:color w:val="auto"/>
        </w:rPr>
      </w:pPr>
    </w:p>
    <w:p>
      <w:pPr>
        <w:spacing w:after="0" w:line="25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9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2006</w:t>
            </w: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960" w:type="dxa"/>
            <w:vAlign w:val="bottom"/>
          </w:tcPr>
          <w:p>
            <w:pPr>
              <w:jc w:val="right"/>
              <w:ind w:right="251"/>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311"/>
              <w:spacing w:after="0"/>
              <w:rPr>
                <w:sz w:val="20"/>
                <w:szCs w:val="20"/>
                <w:color w:val="auto"/>
              </w:rPr>
            </w:pPr>
            <w:r>
              <w:rPr>
                <w:rFonts w:ascii="Arial" w:cs="Arial" w:eastAsia="Arial" w:hAnsi="Arial"/>
                <w:sz w:val="14"/>
                <w:szCs w:val="14"/>
                <w:b w:val="1"/>
                <w:bCs w:val="1"/>
                <w:color w:val="auto"/>
              </w:rPr>
              <w:t>2003</w:t>
            </w:r>
          </w:p>
        </w:tc>
        <w:tc>
          <w:tcPr>
            <w:tcW w:w="760" w:type="dxa"/>
            <w:vAlign w:val="bottom"/>
          </w:tcPr>
          <w:p>
            <w:pPr>
              <w:jc w:val="right"/>
              <w:ind w:right="111"/>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93"/>
              </w:rPr>
              <w:t>(amounts in millions except per share amounts)</w:t>
            </w: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5,272</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4,880</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  4,404</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  3,091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Gross margin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1,146</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1,314</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217</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(1,186)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188</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157</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(1,273)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0.29</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0.24</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1,290</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1,231</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current assets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5,101</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2,926</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2,639</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2,037</w:t>
            </w:r>
          </w:p>
        </w:tc>
        <w:tc>
          <w:tcPr>
            <w:tcW w:w="760" w:type="dxa"/>
            <w:vAlign w:val="bottom"/>
          </w:tcPr>
          <w:p>
            <w:pPr>
              <w:jc w:val="right"/>
              <w:spacing w:after="0"/>
              <w:rPr>
                <w:sz w:val="20"/>
                <w:szCs w:val="20"/>
                <w:color w:val="auto"/>
              </w:rPr>
            </w:pPr>
            <w:r>
              <w:rPr>
                <w:rFonts w:ascii="Arial" w:cs="Arial" w:eastAsia="Arial" w:hAnsi="Arial"/>
                <w:sz w:val="18"/>
                <w:szCs w:val="18"/>
                <w:color w:val="auto"/>
              </w:rPr>
              <w:t>2,119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4,684</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4,713</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assets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12,221</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8,006</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7,760</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7,158</w:t>
            </w:r>
          </w:p>
        </w:tc>
        <w:tc>
          <w:tcPr>
            <w:tcW w:w="760" w:type="dxa"/>
            <w:vAlign w:val="bottom"/>
          </w:tcPr>
          <w:p>
            <w:pPr>
              <w:jc w:val="right"/>
              <w:spacing w:after="0"/>
              <w:rPr>
                <w:sz w:val="20"/>
                <w:szCs w:val="20"/>
                <w:color w:val="auto"/>
              </w:rPr>
            </w:pPr>
            <w:r>
              <w:rPr>
                <w:rFonts w:ascii="Arial" w:cs="Arial" w:eastAsia="Arial" w:hAnsi="Arial"/>
                <w:sz w:val="18"/>
                <w:szCs w:val="18"/>
                <w:color w:val="auto"/>
              </w:rPr>
              <w:t>7,555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979</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972</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Long-term debt</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1,020</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1,028</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997</w:t>
            </w:r>
          </w:p>
        </w:tc>
        <w:tc>
          <w:tcPr>
            <w:tcW w:w="76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w:t>
            </w:r>
          </w:p>
        </w:tc>
        <w:tc>
          <w:tcPr>
            <w:tcW w:w="2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8,114</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5,847</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5,615</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4,971</w:t>
            </w:r>
          </w:p>
        </w:tc>
        <w:tc>
          <w:tcPr>
            <w:tcW w:w="760" w:type="dxa"/>
            <w:vAlign w:val="bottom"/>
          </w:tcPr>
          <w:p>
            <w:pPr>
              <w:jc w:val="right"/>
              <w:spacing w:after="0"/>
              <w:rPr>
                <w:sz w:val="20"/>
                <w:szCs w:val="20"/>
                <w:color w:val="auto"/>
              </w:rPr>
            </w:pPr>
            <w:r>
              <w:rPr>
                <w:rFonts w:ascii="Arial" w:cs="Arial" w:eastAsia="Arial" w:hAnsi="Arial"/>
                <w:sz w:val="18"/>
                <w:szCs w:val="18"/>
                <w:color w:val="auto"/>
              </w:rPr>
              <w:t>6,306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entered into an agreement, effective in the third quarter of 2006, with the Singapore Economic Development Board (“EDB”) a partner in its TECH Semiconductor joint venture. Under the agreement, the Company granted EDB an option to sell to the Company, EDB’s shares of TECH common stock (approximately 30% as August 31, 2006). As a result, the Company consolidated its approximate 43% interest in TECH under the provisions of FIN 46(R) “Consolidation of Variable Interest Entities.” (See “Item 8. Financial Statements and Supplementary Data — Notes to Consolidated Financial Statements — Joint Ventures — TECH Semiconductor Singapore Pte. Ltd.” note.)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fourth quarter of 2006, the Company acquired Lexar Media, Inc. (“Lexar”), a designer, developer, manufacturer and marketer of flash memory products, in a stock-for-stock merger. (See “Item 8. Financial Statements and Supplementary Data — Notes to Consolidated Financial Statements — Lexar Media, Inc.” note.)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“Item 1A. Risk Factors” and “Item 8. Financial Statements and Supplementary Data —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CMOS image sensor and NAND Flash markets and allocations of wafer starts to these products; in “Net Sales” regarding NAND Flash production in future periods and increases in revenue from sales of NAND Flash and Imaging products; in “Selling, General and Administrative” regarding SG&amp;A expenses for the first quarter of 2007; in “Research and Development” regarding R&amp;D costs for the first quarter of 2007; in “Stock-Based Compensation” regarding increases in future stock-based compensation costs; in “Income Taxes” regarding future provisions for income taxes and a reduction in the valuation allowance; and in “Liquidity and Capital Resources” regarding capital spending in 2007; and future capital contributions to IMFT and TECH.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for the year ended August 31, 2006. All period references are to the Company’s fiscal periods unless otherwise indicated. All tabular dollar amounts are in millions. All production data reflects production of the Company and its TECH joint venture.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a global manufacturer of semiconductor devices, principally DRAM and NAND Flash memory products, and CMOS image sensors. The Company operates in two primary segments: Memory and Imaging. Its products are used in a broad range of electronic applications including personal computers, workstations, network servers, mobile phones and other consumer applications including flash memory cards, USB storage devices, digital still cameras, MP3 players and in automotive applications. The Company’s customers are principally original equipment manufacturers located around the world. The Company’s success is largely dependent on the market acceptance of a diversified semiconductor product portfolio, efficient utilization of the Company’s manufacturing infrastructure, successful ongoing development of advanced process technologies and generation of sufficient return on research and development investments.</w:t>
      </w:r>
    </w:p>
    <w:p>
      <w:pPr>
        <w:sectPr>
          <w:pgSz w:w="11900" w:h="16838" w:orient="portrait"/>
          <w:cols w:equalWidth="0" w:num="1">
            <w:col w:w="11420"/>
          </w:cols>
          <w:pgMar w:left="240" w:top="125" w:right="239" w:bottom="0" w:gutter="0" w:footer="0" w:header="0"/>
        </w:sectPr>
      </w:pPr>
    </w:p>
    <w:bookmarkStart w:id="18" w:name="page19"/>
    <w:bookmarkEnd w:id="18"/>
    <w:p>
      <w:pPr>
        <w:ind w:right="160" w:firstLine="648"/>
        <w:spacing w:after="0" w:line="291" w:lineRule="auto"/>
        <w:rPr>
          <w:sz w:val="20"/>
          <w:szCs w:val="20"/>
          <w:color w:val="auto"/>
        </w:rPr>
      </w:pPr>
      <w:r>
        <w:rPr>
          <w:rFonts w:ascii="Arial" w:cs="Arial" w:eastAsia="Arial" w:hAnsi="Arial"/>
          <w:sz w:val="16"/>
          <w:szCs w:val="16"/>
          <w:color w:val="auto"/>
        </w:rPr>
        <w:t>The Company has strategically diversified its business by expanding into semiconductor products such as specialty memory products (including SDRAM, PSRAM, mobile SDRAM and reduced latency DRAM), NAND Flash memory products and CMOS image sensors. These products are used in a wider range of applications than the computing applications that use the Company’s highest volume products, DDR and DDR2. The Company leverages its expertise in semiconductor memory manufacturing and product and process technology to provide these products that are differentiated from competitors’ products based on performance characteristics. In 2006, approximately half of the Company’s sales were other than PC DRAM products. The Company expects that the markets for these products will grow in the near term more rapidly than the overall semiconductor market. The Company believes the strategic diversification of its product portfolio will strengthen its ability to allocate manufacturing resources to achieve the highest rate of return.</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part of its diversification strategy the Company took several steps towards establishing a significant presence in the NAND Flash market in 2006. In January 2006, the Company partnered with Intel to form a NAND Flash manufacturing joint venture, IM Flash Technologies, LLC. IMFT initiated an accelerated build out and production ramp at two 300mm wafer fabrication facilities that are expected to greatly increase the Company’s production of NAND Flash in 2007. In June 2006, the Company acquired Lexar Media, Inc., a designer, developer, manufacturer and marketer of Flash memory products, in a stock-for-stock merger. (See “Recent Developments.”)</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Company’s Imaging segment experienced strong growth in 2006 as net sales increased 147% from 2005 and represented 14% of the Company’s net sales for 2006. The Company ramped production of Imaging products at a second wafer fabrication facility in 2006 and expects to continue to allocate an increasing portion of its manufacturing capacity to CMOS image sensors in 2007.</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makes significant ongoing investments to implement its proprietary product and process technology in its facilities in the United States, Europe and Asia to manufacture semiconductor products with increasing functionality and performance at lower costs. The Company continues to introduce new generations of products that offer improved performance characteristics, such as higher data transfer rates, reduced package size, lower power consumption and increased megapixel count. The Company generally reduces the manufacturing cost of each generation of product through advancements in product and process technology such as its leading-edge line width process technology and innovative array architecture.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order to maximize returns from investments in research and development (“R&amp;D”), the Company develops process technology that effectively reduces production costs and leverages the Company’s capital expenditures. To be successfully incorporated in customers’ end products, the Company must offer qualified semiconductor solutions at a time when customers are developing their design specifications for their end products. This is especially true for specialty memory products and CMOS image sensors, which are required to demonstrate advanced functionality and performance well ahead of a planned ramp of production to commercial volumes. In addition, DRAM and NAND Flash products necessarily incorporate highly advanced design and process technologies. The Company must make significant investments in R&amp;D to expand its product offering and develop its leading-edge product and process technologies.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IM Flash Technologies, LLC (“IMFT”): </w:t>
      </w:r>
      <w:r>
        <w:rPr>
          <w:rFonts w:ascii="Arial" w:cs="Arial" w:eastAsia="Arial" w:hAnsi="Arial"/>
          <w:sz w:val="16"/>
          <w:szCs w:val="16"/>
          <w:color w:val="auto"/>
        </w:rPr>
        <w:t>IMFT, which began operations on January 6, 2006, is a joint venture between the Company and Intel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(“Intel”). IMFT manufactures NAND Flash memory products pursuant to NAND Flash designs developed by the Company and Intel and licensed to the Company. The parties share the output of IMFT generally in proportion to their investment in IMFT. IMFT’s financial results are included in the consolidated financial statements of the Company. As a result of their contributions to IMFT, the Company owns 51% and Intel owns 49% of IMFT. (See “Item 8. Financial Statements and Supplementary Data – Notes to Consolidated Financial Statements – Joint Ventures – IM Flash Technologies, LLC”)</w:t>
      </w:r>
    </w:p>
    <w:p>
      <w:pPr>
        <w:spacing w:after="0" w:line="158"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On March 3, 2006, certain shareholders of TECH, including the Company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Singapore Economic Development Board (“EDB”), contributed approximately $260 million in cash as additional capital to TECH, of which the Company’s contribution was approximately $130 million. Following the contribution, the Company owned an approximate 43% interest in TECH. Effective March 3, 2006, the Company entered into an agreement with EDB whereby EDB granted the Company an option to purchase from EDB, and the Company granted EDB an option to sell to the Company, EDB’s shares of TECH common stock (approximately 30% as of August 31, 2006). As a result of the put option agreement noted above, the Company concluded it is the primary beneficiary of TECH and therefore began consolidating TECH’s financial results as of the beginning of the Company’s third quarter of 2006. (See “Item 8. Financial Statements and Supplementary Data – Notes to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Joint Ventures – TECH Semiconductor Singapore Pte. Ltd.”)</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i w:val="1"/>
          <w:iCs w:val="1"/>
          <w:color w:val="auto"/>
        </w:rPr>
        <w:t xml:space="preserve">MP Mask Technology Center, LLC (“MP Mask”): </w:t>
      </w:r>
      <w:r>
        <w:rPr>
          <w:rFonts w:ascii="Arial" w:cs="Arial" w:eastAsia="Arial" w:hAnsi="Arial"/>
          <w:sz w:val="17"/>
          <w:szCs w:val="17"/>
          <w:color w:val="auto"/>
        </w:rPr>
        <w:t>In the third quarter of 2006, the Company formed a joint venture, MP Mask, with Photronics,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(“Photronics”) to produce photomasks for leading-edge and advanced next generation semiconductors. The Company contributed its then existing reticle manufacturing operation to the venture. In exchange for a 49.99% interest in MP Mask, Photronics paid cash and issued notes to the Company aggregating $63 million. In connection with the joint venture, the Company received $72 million in exchange for entering into a license agreement with Photronics, which will be recognized over the term of the 10-year agreement. The Company and Photronics also entered into supply arrangements wherein the Company is expected to purchase a substantial majority of the reticles produced by MP Mask. The financial results of MP Mask are included in the consolidated financial results of the Company. (See “Item 8. Financial Statements and Supplementary Data – Notes to Consolidated Financial Statements – Joint Ventures – MP Mask Technology Center, LLC.”)</w:t>
      </w:r>
    </w:p>
    <w:p>
      <w:pPr>
        <w:spacing w:after="0" w:line="17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b w:val="1"/>
          <w:bCs w:val="1"/>
          <w:i w:val="1"/>
          <w:iCs w:val="1"/>
          <w:color w:val="auto"/>
        </w:rPr>
        <w:t xml:space="preserve">Lexar Media, Inc. (“Lexar”): </w:t>
      </w:r>
      <w:r>
        <w:rPr>
          <w:rFonts w:ascii="Arial" w:cs="Arial" w:eastAsia="Arial" w:hAnsi="Arial"/>
          <w:sz w:val="18"/>
          <w:szCs w:val="18"/>
          <w:color w:val="auto"/>
        </w:rPr>
        <w:t>On June 21, 2006, the Company acquired Lexar, a designer, developer, manufacturer and marketer of Flash memory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in a stock-for-stock merger. Pursuant to the terms of a merger agreement, each issued and outstanding share of common stock of Lexar was converted into 0.5925 shares of Micron’s common stock (the “Exchange Ratio”), and each issued, outstanding and unexercised Lexar employee stock option with an exercise price per share of $9.54 or less was converted into a Micron employee stock option using the Exchange Ratio. In connection with the merger, the Company issued approximately 50.7 million shares of common stock, issued approximately 6.6 million stock options and incurred other acquisition costs resulting in an aggregate purchase price of $886 million. (See “Item 8. Financial Statements and Supplementary Data – Notes to Consolidated Financial Statements – Lexar Media, Inc.”)</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12"/>
          </w:tcPr>
          <w:p>
            <w:pPr>
              <w:jc w:val="center"/>
              <w:ind w:right="30"/>
              <w:spacing w:after="0" w:line="129" w:lineRule="exact"/>
              <w:rPr>
                <w:sz w:val="20"/>
                <w:szCs w:val="20"/>
                <w:color w:val="auto"/>
              </w:rPr>
            </w:pPr>
            <w:r>
              <w:rPr>
                <w:rFonts w:ascii="Arial" w:cs="Arial" w:eastAsia="Arial" w:hAnsi="Arial"/>
                <w:sz w:val="14"/>
                <w:szCs w:val="14"/>
                <w:b w:val="1"/>
                <w:bCs w:val="1"/>
                <w:color w:val="auto"/>
                <w:w w:val="90"/>
              </w:rPr>
              <w:t>(amounts in millions and as a percent of net sales)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Memory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4,577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4,305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5,272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4,880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4,404</w:t>
            </w:r>
          </w:p>
        </w:tc>
        <w:tc>
          <w:tcPr>
            <w:tcW w:w="260" w:type="dxa"/>
            <w:vAlign w:val="bottom"/>
            <w:vMerge w:val="continue"/>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Imaging</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1,314</w:t>
            </w:r>
          </w:p>
        </w:tc>
        <w:tc>
          <w:tcPr>
            <w:tcW w:w="11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2006 and 2005 contained 52 weeks. The Company’s fiscal 2004 contained 53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Total net sales for 2006 increased 8% as compared to 2005 primarily reflecting a 147% increase in Imaging sales as Memory sales declined 1%. Imaging sales increased in 2006 primarily due to significant increases in sales volume facilitated by a greater allocation of manufacturing capacity to Imaging devices. Memory sales for 2006 reflect a 34% decline in per megabit average selling prices from 2005 partially offset by a 50% increase in megabits sold. Memory sales were 86% of total net sales in 2006 compared to 94% in 2005 and 98% in 2004. Imaging sales have grown rapidly in recent periods and have represented an increasing portion of the Company’s total net sales. Total net sales for 2005 increased 11% as compared to 2004 due to a 6% increase in Memory sales and 206% increase in Imaging sales.</w:t>
      </w:r>
    </w:p>
    <w:p>
      <w:pPr>
        <w:spacing w:after="0" w:line="193"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b w:val="1"/>
          <w:bCs w:val="1"/>
          <w:i w:val="1"/>
          <w:iCs w:val="1"/>
          <w:color w:val="auto"/>
        </w:rPr>
        <w:t xml:space="preserve">Memory: </w:t>
      </w:r>
      <w:r>
        <w:rPr>
          <w:rFonts w:ascii="Arial" w:cs="Arial" w:eastAsia="Arial" w:hAnsi="Arial"/>
          <w:sz w:val="16"/>
          <w:szCs w:val="16"/>
          <w:color w:val="auto"/>
        </w:rPr>
        <w:t>Memory sales for 2006 declined 1% from 2005 as a 287% increase in NAND Flash sales was offset by a 5% decrease in DRAM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decrease in DRAM sales for 2006 was the result of a 22% decrease in average selling prices mitigated by a 22% increase in megabits sold. DRAM megabit production increased 14% for 2006 as compared to 2005, primarily due to production efficiencies including improvements in product and process technologies partially offset by a reduction in wafer starts. DRAM wafer starts decreased in 2006 as the Company allocated an increasing portion of its manufacturing resources to Imaging and NAND Flash memory products. Sales of DDR and DDR2 products decreased to 51% of the Company’s total net sales in 2006 as compared to 59% for 2005 and 58% for 2004, reflecting the Company’s progress in diversifying away from PC DRAM.</w:t>
      </w:r>
    </w:p>
    <w:p>
      <w:pPr>
        <w:spacing w:after="0" w:line="16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NAND Flash sales increased to 6% of the Company’s total net sales for 2006 from 2% for 2005 primarily due to a significant increase in megabits sold of NAND partially offset by an approximate 35% decrease in average selling prices. NAND Flash megabit production increased significantly for 2006 as compared to 2005, primarily due to significant increases in manufacturing resources allocated to the production of NAND Flash. Sales of NAND Flash include sales from the Company’s consolidated joint venture, IMFT, to Intel at long-term negotiated prices approximating cost. NAND Flash revenue in 2006 was not significantly affected by the acquisition of Lexar on June 21, 2006, as the Company did not recognize revenue from Lexar’s products that were in the distribution channel at the acquisition date. The Company expects that NAND Flash revenue will increase significantly in future periods as the Company ramps additional production capacity through its IMFT joint venture and recognizes Lexar sales for a full period.</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Memory sales for 2005 increased by 6% as compared to 2004 primarily due to a 40% increase in megabits sold, partially offset by a 24% decrease in the overall average selling price per megabit for the Company’s Memory products. The Company’s overall megabit production in 2005 increased by 48% as compared to 2004, principally due to a steep ramp in 300mm wafer production and gains in manufacturing efficiencies realized from improvements in product and process technologies. The Company’s megabit production exceeded megabit sales in 2005, which resulted in an approximate 170% increase in megabit finished goods inventories, primarily consisting of DDR and DDR2 products. Most of the increase in Memory sales in 2005 as compared to 2004 resulted from sales of the Company’s emerging specialty memory products, such as pseudo-static RAM (“PSRAM”) and mobile DRAM products and NAND Flash memory. The Company’s combined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revenue from these products was $509 million in 2005 and nearly quintupled from 2004 due to large increases in production and strong demand for the Company’s offerings in these product groups.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i w:val="1"/>
          <w:iCs w:val="1"/>
          <w:color w:val="auto"/>
        </w:rPr>
        <w:t xml:space="preserve">Imaging: </w:t>
      </w:r>
      <w:r>
        <w:rPr>
          <w:rFonts w:ascii="Arial" w:cs="Arial" w:eastAsia="Arial" w:hAnsi="Arial"/>
          <w:sz w:val="16"/>
          <w:szCs w:val="16"/>
          <w:color w:val="auto"/>
        </w:rPr>
        <w:t>Imaging sales for 2006 increased by 147% from 2005 as unit sales tripled, which was partially offset by a 19% decrease in average selling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 per unit. The decrease in average selling price per unit was due primarily to a significant increase of lower priced VGA products sold in 2006 as compared to 2005. The growth in Imaging unit sales for 2006 reflects strong demand for the Company’s products and increased production. Production increased due to the allocation of more wafers to the manufacture of Imaging products as well as improvements in manufacturing efficiency. Imaging sales were 14% of the Company’s total net sales in 2006 as compared to 6% for 2005 and 2% for 2004. Imaging sales for 2005 increased by 206% as compared to 2004 primarily due to increases in unit sales as average selling price per unit were essentially unchanged. The growth in Imaging unit sales for 2005 reflects increased production. Due to strong demand for the Company’s products and the planned introduction of new products, the Company expects that revenue from Imaging products will continue to increase in 2007 as additional manufacturing capacity is allocated to the production of these products.</w:t>
      </w:r>
    </w:p>
    <w:p>
      <w:pPr>
        <w:sectPr>
          <w:pgSz w:w="11900" w:h="16838" w:orient="portrait"/>
          <w:cols w:equalWidth="0" w:num="1">
            <w:col w:w="11420"/>
          </w:cols>
          <w:pgMar w:left="240" w:top="945"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Company’s overall gross margin percentage of 23% for 2006 was unchanged from 2005 as a decrease in the gross margin percentage for Memory in 2006 to 19% from 22% for 2005 was offset by a slight increase in the gross margin percentage for Imaging products and a shift in product mix to higher margin Imaging products. The Company’s overall gross margin percentage for 2005 declined to 23% as compared to 30% for 2004 primarily due to a decline in gross margin for Memory products, as a result of decreases in average selling prices per megabit. Partially offsetting the effect of the decline in average selling prices in 2005 from 2004 was a reduction in cost of goods sold per megabit and the increase in sales of CMOS image sensors, specialty memory and NAND Flash products, which had significantly higher margins than DDR and DDR2 products in 2005.</w:t>
      </w:r>
    </w:p>
    <w:p>
      <w:pPr>
        <w:spacing w:after="0" w:line="17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b w:val="1"/>
          <w:bCs w:val="1"/>
          <w:i w:val="1"/>
          <w:iCs w:val="1"/>
          <w:color w:val="auto"/>
        </w:rPr>
        <w:t xml:space="preserve">Memory: </w:t>
      </w:r>
      <w:r>
        <w:rPr>
          <w:rFonts w:ascii="Arial" w:cs="Arial" w:eastAsia="Arial" w:hAnsi="Arial"/>
          <w:sz w:val="16"/>
          <w:szCs w:val="16"/>
          <w:color w:val="auto"/>
        </w:rPr>
        <w:t>The Company’s gross margin percentage for Memory products for 2006 of 19% decreased from 22% for 2005 primarily due to declining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margins for NAND Flash products as a result of the 33% decrease in the average selling price per megabit and costs associated with ramp in production at two facilities. The gross margin percentage for DRAM products in 2006 of 23% was approximately the same as for 2005 as a 22% decrease in the average selling price per megabit was offset by cost reductions. The Company achieved cost reductions for DRAM products in 2006 through improved product yields and an increase in production utilizing the Company’s 110nm and 95nm process technologies. The cost per megabit for products manufactured on 300mm wafers decreased significantly in 2006 compared to 2005 as the Company continued to increase 300mm wafer production.</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Company’s gross margin percentage for Memory products for 2005 declined to 22% as compared to 30% for 2004. This decline in gross margin was primarily due to the 24% decrease in the Company’s overall average selling price per megabit of memory and, to a lesser extent, a shift in product mix from DDR to DDR2 products which had lower margins in 2005. Partially offsetting this decline in gross margin from 2005 to 2004 were reductions in product costs and the increase in sales of specialty memory and NAND Flash products, which had significantly higher margins than DDR and DDR2 products. The Company reduced DRAM product costs through manufacturing efficiencies achieved from improved product yields and increases in production utilizing the Company’s 110nm and 95nm process technology. The cost per megabit for products manufactured on 300mm wafers decreased significantly in 2005 compared to 2004 as the Company increased 300mm wafer production.</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Company’s TECH Semiconductor Singapore Pte. Ltd. (“TECH”) joint venture supplied approximately 25% of the total megabits of memory produced by the Company in recent periods. TECH primarily produced DDR and DDR2 products in 2006 and 2005. Through the second quarter of 2006, the Company purchased memory products from TECH at prices generally based on a discount from average selling prices realized by the Company for the preceding quarter. In the first six months of 2006, the Company realized higher gross margin percentages on sales of TECH products than on sales of similar products manufactured by the Company’s wholly-owned operations. As of the beginning of the third quarter of 2006, TECH’s results are included in the Company’s consolidated results. TECH utilizes the Company’s product designs and process technology and, as a result, the gross margin percentage on sales of TECH products for the last six months of 2006 approximated those on sales of similar products manufactured by the Company’s wholly-owned operations. (See “Recent Developments – TECH Semiconductor Singapore Pte. Ltd.”)</w:t>
      </w:r>
    </w:p>
    <w:p>
      <w:pPr>
        <w:spacing w:after="0" w:line="17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The Company’s gross margin percentage for Imaging products for 2006 increased to 43% from 42% for 2005, primarily due to reductions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costs partially offset by decreases in average selling prices. The Company’s gross margin percentage for Imaging products increased to 42% for 2005 from 25% for 2004 primarily due to cost reductions as the overall average selling price per unit was essentially unchanged.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Selling, general and administrative (“SG&amp;A”) expenses for 2006 increased 32% from 2005 primarily due to higher compensation costs and increased costs associated with outstanding legal matters. Payroll costs in 2006 increased from 2005 primarily due to increased headcount resulting in part from the acquisition of Lexar, the ramp of IMFT and the consolidation of TECH. SG&amp;A expenses for 2005 increased 5% from 2004 primarily due to higher compensation costs, partially offset by a decrease in costs associated with legal matters. The Company expects SG&amp;A expenses to approximate $140 million for the first quarter of 2007. In 2006, SG&amp;A expense for Memory was approximately 8% of Memory sales and SG&amp;A expense for Imaging was approximately 12% of Imaging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R&amp;D expenses for 2006 increased 9% from 2005, principally due to increases in development wafers processed, higher compensation costs and increases in R&amp;D equipment depreciation. The Company and Intel share R&amp;D process and design costs for NAND Flash equally. In 2006, the Company charged $86 million to Intel under this NAND Flash R&amp;D cost sharing arrangement. R&amp;D expenses for 2005 decreased 20% from 2004 principally because products were qualified on the 300mm wafer fabrication process in the first quarter of 2005. The Company expects that its R&amp;D costs will approximate $175 million for the first quarter of 2007. In 2006, R&amp;D expense for Memory was approximately 13% of Memory sales and R&amp;D expense for Imaging was approximately 11% of Imaging sales.</w:t>
      </w:r>
    </w:p>
    <w:p>
      <w:pPr>
        <w:spacing w:after="0" w:line="193" w:lineRule="exact"/>
        <w:rPr>
          <w:sz w:val="20"/>
          <w:szCs w:val="20"/>
          <w:color w:val="auto"/>
        </w:rPr>
      </w:pPr>
    </w:p>
    <w:p>
      <w:pPr>
        <w:jc w:val="both"/>
        <w:ind w:right="400" w:firstLine="648"/>
        <w:spacing w:after="0" w:line="288" w:lineRule="auto"/>
        <w:rPr>
          <w:sz w:val="20"/>
          <w:szCs w:val="20"/>
          <w:color w:val="auto"/>
        </w:rPr>
      </w:pPr>
      <w:r>
        <w:rPr>
          <w:rFonts w:ascii="Arial" w:cs="Arial" w:eastAsia="Arial" w:hAnsi="Arial"/>
          <w:sz w:val="16"/>
          <w:szCs w:val="16"/>
          <w:color w:val="auto"/>
        </w:rPr>
        <w:t>The Company’s process technology R&amp;D efforts are focused primarily on development of successively smaller line-width process technologies which are designed to facilitate the Company’s transition to next generation memory products and CMOS image sensors. Additional process technology R&amp;D efforts focus on specialty memory products (including PSRAM, mobile SDRAM and reduced latency DRAM) and new manufacturing materials.</w:t>
      </w:r>
    </w:p>
    <w:p>
      <w:pPr>
        <w:jc w:val="both"/>
        <w:ind w:right="400"/>
        <w:spacing w:after="0" w:line="290" w:lineRule="auto"/>
        <w:rPr>
          <w:sz w:val="20"/>
          <w:szCs w:val="20"/>
          <w:color w:val="auto"/>
        </w:rPr>
      </w:pPr>
      <w:r>
        <w:rPr>
          <w:rFonts w:ascii="Arial" w:cs="Arial" w:eastAsia="Arial" w:hAnsi="Arial"/>
          <w:sz w:val="17"/>
          <w:szCs w:val="17"/>
          <w:color w:val="auto"/>
        </w:rPr>
        <w:t>Product design and development efforts are concentrated on the Company’s 1 Gb and 2 Gb DDR, DDR2 and DDR3 products as well as high density and mobile NAND Flash memory (including multi-level cell technology), CMOS image sensors and specialty memory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ectPr>
          <w:pgSz w:w="11900" w:h="16838" w:orient="portrait"/>
          <w:cols w:equalWidth="0" w:num="1">
            <w:col w:w="11420"/>
          </w:cols>
          <w:pgMar w:left="240" w:top="121" w:right="239" w:bottom="0" w:gutter="0" w:footer="0" w:header="0"/>
        </w:sectPr>
      </w:pPr>
    </w:p>
    <w:bookmarkStart w:id="21" w:name="page22"/>
    <w:bookmarkEnd w:id="21"/>
    <w:p>
      <w:pPr>
        <w:spacing w:after="0" w:line="39" w:lineRule="exact"/>
        <w:rPr>
          <w:sz w:val="20"/>
          <w:szCs w:val="20"/>
          <w:color w:val="auto"/>
        </w:rPr>
      </w:pPr>
    </w:p>
    <w:p>
      <w:pPr>
        <w:ind w:right="20" w:firstLine="108"/>
        <w:spacing w:after="0" w:line="271" w:lineRule="auto"/>
        <w:rPr>
          <w:sz w:val="20"/>
          <w:szCs w:val="20"/>
          <w:color w:val="auto"/>
        </w:rPr>
      </w:pPr>
      <w:r>
        <w:rPr>
          <w:sz w:val="1"/>
          <w:szCs w:val="1"/>
          <w:color w:val="auto"/>
        </w:rPr>
        <w:drawing>
          <wp:inline distT="0" distB="0" distL="0" distR="0">
            <wp:extent cx="85725" cy="857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7"/>
          <w:szCs w:val="17"/>
          <w:color w:val="auto"/>
        </w:rPr>
        <w:t xml:space="preserve"> Other operating income for 2006 includes $230 million of net proceeds for the sale of the Company’s existing NAND flash memory designs and certain related technology to Intel net of amounts paid by the Company for a perpetual, paid-up license to use and modify such designs. Other operating income for 2006 also includes $23 million in additional amounts expected to be reimbursed resulting from the extension of an economic development agreement, which allows the Company to recover amounts relating to certain investments in the IMFT Lehi facility. Other operating income for 2005 includes gains net of losses on disposals of semiconductor equipment of $13 million and $12 million in receipts from the U.S. Government in connection with anti-dumping tariffs. Other operating expense for 2004 includes losses of $17 million from changes in currency exchange rates. Other operating income for 2004 includes $7 million from the Commonwealth of Virginia for meeting investment commitments at the Virginia wafer fabrication facility and net gains of $4 million on write-downs and disposals of semiconductor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3" w:lineRule="exact"/>
        <w:rPr>
          <w:sz w:val="20"/>
          <w:szCs w:val="20"/>
          <w:color w:val="auto"/>
        </w:rPr>
      </w:pPr>
    </w:p>
    <w:p>
      <w:pPr>
        <w:ind w:firstLine="108"/>
        <w:spacing w:after="0" w:line="295" w:lineRule="auto"/>
        <w:rPr>
          <w:sz w:val="20"/>
          <w:szCs w:val="20"/>
          <w:color w:val="auto"/>
        </w:rPr>
      </w:pPr>
      <w:r>
        <w:rPr>
          <w:sz w:val="1"/>
          <w:szCs w:val="1"/>
          <w:color w:val="auto"/>
        </w:rPr>
        <w:drawing>
          <wp:inline distT="0" distB="0" distL="0" distR="0">
            <wp:extent cx="85725" cy="857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Income taxes for 2006 and 2005 primarily reflect taxes on the Company’s non-U.S. operations and U.S. alternative minimum tax. The Company has a valuation allowance for its net deferred tax asset associated with its U.S. operations. The provision for taxes on U.S. operations in 2006 and 2005 was substantially offset by reductions in the valuation allowance. As of August 31, 2006, the Company had aggregate U.S. tax net operating loss carryforwards of $1.7 billion and unused U.S. tax credit carryforwards of $164 million. The Company also has unused state tax net operating loss carryforwards of $1.4 billion and unused state tax credits of $163 million. Substantially all of the net operating loss carryforwards expire in 2022 to 2025 and substantially all of the tax credit carryforwards expire in 2013 to 2026. During 2006, the Company utilized approximately $1.1 billion of its U.S. tax net operating loss carryforwards as a result of IMFT, MP Mask and related transactions. (See “Item 8. Financial Statements and Supplementary Data – Notes to Consolidated Financial Statements – Joint Ventures – IM Flash Technologies, LLC” and “Joint Ventures – MP Mask Technology Center, LLC” notes.)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Through 2005, the Company accounted for its stock plans using the intrinsic value method. Effective the beginning of 2006, the Company adopted Statement of Financial Accounting Standards (“SFAS”) No. 123(R), “Share-Based Payment,” and elected to adopt the modified prospective application method. SFAS No. 123(R) requires the Company to use a fair-value based method to account for stock-based compensation. Accordingly, stock-based compensation cost is measured as of the grant date, based on the fair value of the award, and is recognized as expense over the employees’ requisite service period. Total compensation cost for the Company’s equity plans in 2006 was $26 million, of which $1 million was capitalized and remained in inventory at August 31, 2006. As of August 31, 2006, there was $77 million of total unrecognized compensation cost related to equity plans, which is expected to be recognized over a weighted-average period of 1.5 years. In 2005, the Company accelerated the vesting of substantially all of its unvested stock options then outstanding under the Company’s stock plans to reduce compensation costs recognized subsequent to the adoption of SFAS 123(R). Because the Company’s near-term, stock-based compensation costs were reduced by the acceleration of vesting in 2005, stock-based compensation costs will grow significantly in future periods if the Company continues to grant amounts of new stock-based compensation awards similar to recent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Company’s liquidity is highly dependent on average selling prices for its products and the timing of capital expenditures, both of which can vary significantly from period to period. As of August 31, 2006, the Company had cash and marketable investment securities totaling $3.1 billion compared to $1.3 billion as of September 1, 2005. The Company’s cash and marketable investment securities as of August 31, 2006, included $875 million held at, and anticipated to be used in the near term by, IMFT and TECH.</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For 2006, net cash provided by operating activities was $2,019 million, which principally reflects the Company’s $408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income adjusted by $1,281 million for non-cash depreciation and amortization expense. Cash provided by operations also included $250 million received from Apple Computer Inc. as prepayment for future NAND Flash sales, an increase of $130 million in accounts payable and accrued expenses and $72 million received from Photronics in exchange for entering into a license agreement.</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For 2006, net cash used by investing activities was $1,756 million, which included cash expenditures for property, plant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of $1,365 million and net purchases of investment securities of $858 million. For 2006, cash provided by investing activities included $319 million that resulted from the consolidation of TECH and $97 million from the acquisition of Lexar. The Company believes that to develop new product and process technologies, support future growth, achieve operating efficiencies and maintain product quality, it must continue to invest in manufacturing technologies, facilities and capital equipment, research and development, and product and process technologies. The Company projects 2007 capital spending of approximately $4 billion, a significant portion of which is for the capital spending of IMFT and TECH. As of August 31, 2006, the Company had commitments extending into 2007 of approximately $1.7 billion for the acquisition of property, plant and equipment.</w:t>
      </w:r>
    </w:p>
    <w:p>
      <w:pPr>
        <w:spacing w:after="0" w:line="17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2006, net cash provided by financing activities was $644 million, which includes $936 million received from Intel for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 IMFT, $171 million from the settlement of call spread options, $113 million of proceeds from the issuance of common stock, $48 million received from Photronics for its interest in MP Mask, net of $624 million of payments on debt and equipment purchase contracts. (See “Item 8. Financial Statements and Supplementary Data – Notes to Consolidated Financial Statements – Joint Ventures.)</w:t>
      </w:r>
    </w:p>
    <w:p>
      <w:pPr>
        <w:spacing w:after="0" w:line="187"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In the third quarter of 2006, the Company’s TECH joint venture repaid $246 million of its outstanding notes that had been included in the debt recorded by the Company in the initial consolidation of TECH. TECH also entered into a credit facility that will enable it to borrow up to $400 million. TECH expects to draw on this facility in future periods to fund its capital expenditures.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the second quarter of 2006, the Company’s $633 million 2.5% Convertible Subordinated Notes (“Notes”) were converted into 53.7 million shares of the Company’s common stock. In addition, the Company’s related interest rate swap terminated by its terms on February 6, 2006 and, as a result, $35 million pledged as collateral for the swap became unrestricted.</w:t>
      </w:r>
    </w:p>
    <w:p>
      <w:pPr>
        <w:spacing w:after="0" w:line="181"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On February 14, 2006, the Company terminated its outstanding call spread options covering a total of approximately 53.7 million shares of its common stock (“Call Spread Options”) and received $171 million for the settlement. The Company originally entered into the Call Spread Options in connection with its issuance of the Notes.</w:t>
      </w:r>
    </w:p>
    <w:p>
      <w:pPr>
        <w:sectPr>
          <w:pgSz w:w="11900" w:h="16877" w:orient="portrait"/>
          <w:cols w:equalWidth="0" w:num="1">
            <w:col w:w="11420"/>
          </w:cols>
          <w:pgMar w:left="240" w:top="125" w:right="239" w:bottom="0" w:gutter="0" w:footer="0" w:header="0"/>
        </w:sectPr>
      </w:pPr>
    </w:p>
    <w:bookmarkStart w:id="22" w:name="page23"/>
    <w:bookmarkEnd w:id="22"/>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Joint Ventures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August 31, 2006, IMFT had $654 million of cash and marketable investment securities and $261 million due under notes receivable from Intel. IMFT’s cash and marketable investment securities are not anticipated to be made available to finance the Company’s other operations. Subject to certain conditions, the Company is required to make additional contributions to IMFT of approximately $650 million over the next two years and expects to make additional investments as appropriate to support the growth of IMFT’s operations.</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On November 6, 2006, the Company announced plans to form a new joint venture with Intel to construct a facility in Singapore for the manufacture of NAND Flash memory. The Company expects to contribute approximately $1.5 billion in cash to the new joint venture over the next three years.</w:t>
      </w:r>
    </w:p>
    <w:p>
      <w:pPr>
        <w:spacing w:after="0" w:line="124"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As of August 31, 2006, TECH had $222 million of cash and marketable investment securities. TECH’s cash and marketable investment securities are not anticipated to be made available to finance the Company’s other operations. On March 3, 2006, certain shareholders of TECH, including the Company and the Singapore Economic Development Board (“EDB”), contributed approximately $260 million in cash as additional capital to TECH, of which the Company’s contribution was approximately $130 million. The Company’s option to purchase EDB’s shares in TECH is exercisable at any time until October 1, 2009. EDB’s option to put its shares in TECH to the Company is exercisable from March 3, 2008 until October 1, 2010. Exercise of either option would require the Company to pay approximately $250 million to EDB. (See “Item 8. Financial Statements and Supplementary Data – Notes to Consolidated Financial Statements – Joint Ventures – TECH Semiconductor Singapore Pte. Ltd.”)</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Contractual Obligations: The following table summarizes the Company’s significant contractual obligations at August 31, 2006, and the effect such obligations are expected to have on the Company’s liquidity and cash flows in future periods.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Less than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w w:val="93"/>
              </w:rPr>
              <w:t>(amounts in millions)</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(including interest)</w:t>
            </w:r>
          </w:p>
        </w:tc>
        <w:tc>
          <w:tcPr>
            <w:tcW w:w="20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 obligations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obligations disclosed above do not include contractual obligations recorded on the Company’s balance sheet as current liabilities except for the current portion of long-term debt. The expected timing of payment amounts of the obligations discussed above is estimated based on current information. Timing and actual amounts paid may differ depending on the timing of receipt of goods or services, market prices or changes to agreed-upon amounts for some obligations.</w:t>
      </w:r>
    </w:p>
    <w:p>
      <w:pPr>
        <w:spacing w:after="0" w:line="1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Purchase obligations include all commitments to purchase goods or services of either a fixed or minimum quantity that meet any of the following criteria: (1) they are noncancelable, (2) the Company would incur a penalty if the agreement was cancelled, or (3) the Company must make specified minimum payments even if it does not take delivery of the contracted products or services (“take-or-pay”). If the obligation to purchase goods or services is noncancelable, the entire value of the contract was included in the above table. If the obligation is cancelable, but the Company would incur a penalty if cancelled, the dollar amount of the penalty was included as a purchase obligation. Contracted minimum amounts specified in take-or-pay contracts are also included in the above table as they represent the portion of each contract that is a firm commitment.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of August 31, 2006, the Company had stock warrants outstanding that may be considered off-balance sheet arrangements. In 2001, the Company received $480 million from the issuance of warrants to purchase 29.1 million shares of the Company’s common stock. The warrants entitle the holders to exercise their warrants and purchase shares of the Company’s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August 31, 2006, there had been no exercises of warrants and all warrants issued remained outstanding.</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has an agreement to construct a facility to produce photomasks and sell such facility to its MP Mask joint venture partner, Photronics, Inc., for a negotiated amount. The Company does not expect to incur a loss on such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September 2006, the SEC staff issued Staff Accounting Bulletin (“SAB”) No. 108, “Considering the Effects of Prior Year Misstatements when Quantifying Misstatements in Current Year Financial Statements.” In SAB No. 108, the SEC staff established an approach that requires quantification of</w:t>
      </w:r>
    </w:p>
    <w:p>
      <w:pPr>
        <w:sectPr>
          <w:pgSz w:w="11900" w:h="16908" w:orient="portrait"/>
          <w:cols w:equalWidth="0" w:num="1">
            <w:col w:w="11420"/>
          </w:cols>
          <w:pgMar w:left="240" w:top="125" w:right="239" w:bottom="0" w:gutter="0" w:footer="0" w:header="0"/>
        </w:sectPr>
      </w:pPr>
    </w:p>
    <w:bookmarkStart w:id="23" w:name="page24"/>
    <w:bookmarkEnd w:id="23"/>
    <w:p>
      <w:pPr>
        <w:ind w:right="120"/>
        <w:spacing w:after="0" w:line="257" w:lineRule="auto"/>
        <w:rPr>
          <w:sz w:val="20"/>
          <w:szCs w:val="20"/>
          <w:color w:val="auto"/>
        </w:rPr>
      </w:pPr>
      <w:r>
        <w:rPr>
          <w:rFonts w:ascii="Arial" w:cs="Arial" w:eastAsia="Arial" w:hAnsi="Arial"/>
          <w:sz w:val="18"/>
          <w:szCs w:val="18"/>
          <w:color w:val="auto"/>
        </w:rPr>
        <w:t>financial statement misstatements based on the effects of the misstatements on each of the company’s financial statements and the related financial statement disclosures. SAB No. 108 permits existing public companies to initially apply its provisions either by (i) restating prior financial statements or (ii) recording the cumulative effect as adjustments to the carrying values of assets and liabilities with an offsetting adjustment recorded to the opening balance of retained earnings. The Company is required to adopt SAB No. 108 by the end of 2007 and does not expect adoption to have a significant impact on the Company’s results of operations or financial condition.</w:t>
      </w:r>
    </w:p>
    <w:p>
      <w:pPr>
        <w:spacing w:after="0" w:line="18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September 2006, the Financial Accounting Standards Board (“FASB”) issued SFAS No. 158, “Employers’ Accounting for Defined Benefit Pension and Other Postretirement Plans—an amendment of FASB Statements No. 87, 88, 106, and 132(R).” SFAS No. 158 requires an employer to recognize the overfunded or underfunded status of a defined benefit postretirement plan (other than a multiemployer plan) as an asset or liability in its statement of financial position and to recognize changes in that funded status in the year in which the changes occur through comprehensive income. SFAS No. 158 also requires an employer to measure the funded status of a plan as of the date of its year-end statement of financial position, with limited exceptions. Under FAS No. 158, the Company is required to initially recognize the funded status of a defined benefit postretirement plan and to provide the required disclosures as of the end of 2007. The Company is evaluating the impact this statement will have on its consolidated financial statements.</w:t>
      </w:r>
    </w:p>
    <w:p>
      <w:pPr>
        <w:spacing w:after="0" w:line="167" w:lineRule="exact"/>
        <w:rPr>
          <w:sz w:val="20"/>
          <w:szCs w:val="20"/>
          <w:color w:val="auto"/>
        </w:rPr>
      </w:pPr>
    </w:p>
    <w:p>
      <w:pPr>
        <w:jc w:val="both"/>
        <w:ind w:right="400" w:firstLine="648"/>
        <w:spacing w:after="0" w:line="302"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generally accepted accounting principles (GAAP), and expands disclosures about fair value measurements. FAS No. 157 applies under other accounting pronouncements that require or permit fair value measurements. The Company is required to adopt FAS No. 157 effective at the beginning of 2009. The Company is evaluating the impact this statement will have on its consolidated financial statements.</w:t>
      </w:r>
    </w:p>
    <w:p>
      <w:pPr>
        <w:spacing w:after="0" w:line="15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June 2006, the FASB issued FASB Interpretation Number 48 (“FIN 48”), “Accounting for Uncertainty in Income Taxes—an interpretation of FASB Statement No. 109.” The interpretation contains a two 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is required to adopt FIN 48 effective at the beginning of 2008. The Company is evaluating the impact this statement will have on its consolidated financial statements.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As of August 31, 2006, the Company did not have any hybrid financial instruments subject to the fair value election under SFAS No. 155. The Company is required to adopt SFAS No. 155 effective at the beginning of 2008.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May 2005, the FASB issued SFAS No. 154, “Accounting Changes and Error Corrections.” SFAS No. 154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March 2005, the FASB issued Interpretation No. 47 (“FIN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adopted FIN 47 in the third quarter of 2006. The adoption of FIN 47 did not have a significant impact on the Company’s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 xml:space="preserve">Acquisitions and consolidations: </w:t>
      </w:r>
      <w:r>
        <w:rPr>
          <w:rFonts w:ascii="Arial" w:cs="Arial" w:eastAsia="Arial" w:hAnsi="Arial"/>
          <w:sz w:val="18"/>
          <w:szCs w:val="18"/>
          <w:color w:val="auto"/>
        </w:rPr>
        <w:t>Determination and the allocation thereof of the purchase price of acquired operations significantly influences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which costs are recognized. Accounting for acquisitions and consolidations requires the Company to estimate the fair value of the individual assets and liabilities acquired as well as various forms of consideration given. The Company typically obtains independent third party valuation studies to assist in determining fair values, which may include assistance in determining future cash flows, appropriate discount rates and comparable market values. The estimation of the fair values of consideration given and assets and liabilities acquired involves a number of judgments, assumptions and estimates that could materially affect the amount and timing of costs recognized.</w:t>
      </w:r>
    </w:p>
    <w:p>
      <w:pPr>
        <w:spacing w:after="0" w:line="188"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0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ectPr>
          <w:pgSz w:w="11900" w:h="16838" w:orient="portrait"/>
          <w:cols w:equalWidth="0" w:num="1">
            <w:col w:w="11420"/>
          </w:cols>
          <w:pgMar w:left="240" w:top="125" w:right="239" w:bottom="0" w:gutter="0" w:footer="0" w:header="0"/>
        </w:sectPr>
      </w:pPr>
    </w:p>
    <w:bookmarkStart w:id="24" w:name="page25"/>
    <w:bookmarkEnd w:id="24"/>
    <w:p>
      <w:pPr>
        <w:ind w:firstLine="648"/>
        <w:spacing w:after="0" w:line="290"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43"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2"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In 2006, the Company adopted SFAS No. 123(R) using the modified prospective application method and began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for its stock-based compensation using a fair-valued based recognition method. Under the provisions of SFAS No. 123(R),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Estimated option life and forfeiture rate assumptions are derived from historical data. For stock based compensation awards with graded vesting that were granted after 2005, the Company recognizes compensation expense using the straight-line amortization method.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As of August 31, 2006, $469 million of the Company’s $571 million in total debt was at fixed interest rates. As a result, the fair value of the debt fluctuates based on changes in market interest rates. The estimated fair market value of the Company’s debt was $627 million as of August 31, 2006.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information in this section should be read in conjunction with the information related to changes in the exchange rates of foreign currency in “Item 1A. Risk Factors.” Changes in foreign currency exchange rates could materially adversely affect the Company’s results of operations or financial condition.</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functional currency for substantially all of the Company’s operations is the U.S. dollar. The Company held aggregate cash and other assets in foreign currencies valued at U.S. $425 million as of August 31, 2006, and U.S. $344 million as of September 1, 2005 (including cash and equivalents denominated in yen valued at U.S. $222 million as of August 31, 2006, and U.S. $215 million as of September 1, 2005; cash and equivalents denominated in Singapore dollars valued at U.S. $42 million; and deferred income tax assets denominated in yen valued at U.S. $64 million as of August 31, 2006, and U.S.</w:t>
      </w:r>
    </w:p>
    <w:p>
      <w:pPr>
        <w:sectPr>
          <w:pgSz w:w="11900" w:h="16838" w:orient="portrait"/>
          <w:cols w:equalWidth="0" w:num="1">
            <w:col w:w="11400"/>
          </w:cols>
          <w:pgMar w:left="240" w:top="121" w:right="259" w:bottom="0" w:gutter="0" w:footer="0" w:header="0"/>
        </w:sectPr>
      </w:pPr>
    </w:p>
    <w:bookmarkStart w:id="25" w:name="page26"/>
    <w:bookmarkEnd w:id="25"/>
    <w:p>
      <w:pPr>
        <w:spacing w:after="0" w:line="6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$51 million as of September 1, 2005). The Company also held aggregate foreign currency liabilities valued at U.S. $615 million as of August 31, 2006, and U.S. $575 million as of September 1, 2005 (including debt denominated in yen valued at U.S. $228 million as of August 31, 2006, and U.S. $299 million as of September 1, 2005). Foreign currency receivables and payables as of August 31, 2006, were comprised primarily of yen, euros, Singapore dollars and British pounds. The Company estimates that, based on its assets and liabilities denominated in currencies other than U.S. dollar as of August 31, 2006, a 1% change in the exchange rate versus the U.S. dollar would result in foreign currency gains or losses of approximately $1 million for the yen and $1 million for the euro. </w:t>
      </w:r>
      <w:r>
        <w:rPr>
          <w:sz w:val="1"/>
          <w:szCs w:val="1"/>
          <w:color w:val="auto"/>
        </w:rPr>
        <w:drawing>
          <wp:inline distT="0" distB="0" distL="0" distR="0">
            <wp:extent cx="85725" cy="857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p>
      <w:pPr>
        <w:ind w:left="1096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6874510</wp:posOffset>
            </wp:positionH>
            <wp:positionV relativeFrom="paragraph">
              <wp:posOffset>6350</wp:posOffset>
            </wp:positionV>
            <wp:extent cx="3771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6" w:lineRule="exact"/>
        <w:rPr>
          <w:sz w:val="20"/>
          <w:szCs w:val="20"/>
          <w:color w:val="auto"/>
        </w:rPr>
      </w:pPr>
    </w:p>
    <w:p>
      <w:pPr>
        <w:ind w:right="1080"/>
        <w:spacing w:after="0" w:line="277"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Consolidated Financial Statements as of August 31, 2006, and September 1, 2005, and for the fiscal years ended August 31, 2006, September 1,</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2005, and September 2, 2004:</w:t>
        </w:r>
      </w:hyperlink>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840" w:type="dxa"/>
            <w:vAlign w:val="bottom"/>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Consolidated Statements of Operations</w:t>
              </w:r>
            </w:hyperlink>
          </w:p>
        </w:tc>
        <w:tc>
          <w:tcPr>
            <w:tcW w:w="6440" w:type="dxa"/>
            <w:vAlign w:val="bottom"/>
          </w:tcPr>
          <w:p>
            <w:pPr>
              <w:jc w:val="right"/>
              <w:ind w:right="170"/>
              <w:spacing w:after="0"/>
              <w:rPr>
                <w:sz w:val="20"/>
                <w:szCs w:val="20"/>
                <w:color w:val="auto"/>
              </w:rPr>
            </w:pPr>
            <w:r>
              <w:rPr>
                <w:rFonts w:ascii="Arial" w:cs="Arial" w:eastAsia="Arial" w:hAnsi="Arial"/>
                <w:sz w:val="18"/>
                <w:szCs w:val="18"/>
                <w:color w:val="auto"/>
              </w:rPr>
              <w:t>36</w:t>
            </w:r>
          </w:p>
        </w:tc>
      </w:tr>
      <w:tr>
        <w:trPr>
          <w:trHeight w:val="412"/>
        </w:trPr>
        <w:tc>
          <w:tcPr>
            <w:tcW w:w="18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Consolidated Balance Sheets</w:t>
              </w:r>
            </w:hyperlink>
          </w:p>
        </w:tc>
        <w:tc>
          <w:tcPr>
            <w:tcW w:w="720" w:type="dxa"/>
            <w:vAlign w:val="bottom"/>
            <w:tcBorders>
              <w:top w:val="single" w:sz="8" w:color="0000EE"/>
            </w:tcBorders>
          </w:tcPr>
          <w:p>
            <w:pPr>
              <w:spacing w:after="0"/>
              <w:rPr>
                <w:sz w:val="24"/>
                <w:szCs w:val="24"/>
                <w:color w:val="auto"/>
              </w:rPr>
            </w:pPr>
          </w:p>
        </w:tc>
        <w:tc>
          <w:tcPr>
            <w:tcW w:w="2020" w:type="dxa"/>
            <w:vAlign w:val="bottom"/>
            <w:gridSpan w:val="6"/>
          </w:tcPr>
          <w:p>
            <w:pPr>
              <w:spacing w:after="0"/>
              <w:rPr>
                <w:sz w:val="24"/>
                <w:szCs w:val="24"/>
                <w:color w:val="auto"/>
              </w:rPr>
            </w:pPr>
          </w:p>
        </w:tc>
        <w:tc>
          <w:tcPr>
            <w:tcW w:w="6440" w:type="dxa"/>
            <w:vAlign w:val="bottom"/>
          </w:tcPr>
          <w:p>
            <w:pPr>
              <w:jc w:val="right"/>
              <w:ind w:right="170"/>
              <w:spacing w:after="0"/>
              <w:rPr>
                <w:sz w:val="20"/>
                <w:szCs w:val="20"/>
                <w:color w:val="auto"/>
              </w:rPr>
            </w:pPr>
            <w:r>
              <w:rPr>
                <w:rFonts w:ascii="Arial" w:cs="Arial" w:eastAsia="Arial" w:hAnsi="Arial"/>
                <w:sz w:val="18"/>
                <w:szCs w:val="18"/>
                <w:color w:val="auto"/>
              </w:rPr>
              <w:t>37</w:t>
            </w:r>
          </w:p>
        </w:tc>
      </w:tr>
      <w:tr>
        <w:trPr>
          <w:trHeight w:val="412"/>
        </w:trPr>
        <w:tc>
          <w:tcPr>
            <w:tcW w:w="180" w:type="dxa"/>
            <w:vAlign w:val="bottom"/>
          </w:tcPr>
          <w:p>
            <w:pPr>
              <w:spacing w:after="0"/>
              <w:rPr>
                <w:sz w:val="24"/>
                <w:szCs w:val="24"/>
                <w:color w:val="auto"/>
              </w:rPr>
            </w:pPr>
          </w:p>
        </w:tc>
        <w:tc>
          <w:tcPr>
            <w:tcW w:w="35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Consolidated Statements of Shareholders’ Equity</w:t>
              </w:r>
            </w:hyperlink>
          </w:p>
        </w:tc>
        <w:tc>
          <w:tcPr>
            <w:tcW w:w="1280" w:type="dxa"/>
            <w:vAlign w:val="bottom"/>
            <w:gridSpan w:val="3"/>
          </w:tcPr>
          <w:p>
            <w:pPr>
              <w:spacing w:after="0"/>
              <w:rPr>
                <w:sz w:val="24"/>
                <w:szCs w:val="24"/>
                <w:color w:val="auto"/>
              </w:rPr>
            </w:pPr>
          </w:p>
        </w:tc>
        <w:tc>
          <w:tcPr>
            <w:tcW w:w="6440" w:type="dxa"/>
            <w:vAlign w:val="bottom"/>
          </w:tcPr>
          <w:p>
            <w:pPr>
              <w:jc w:val="right"/>
              <w:ind w:right="170"/>
              <w:spacing w:after="0"/>
              <w:rPr>
                <w:sz w:val="20"/>
                <w:szCs w:val="20"/>
                <w:color w:val="auto"/>
              </w:rPr>
            </w:pPr>
            <w:r>
              <w:rPr>
                <w:rFonts w:ascii="Arial" w:cs="Arial" w:eastAsia="Arial" w:hAnsi="Arial"/>
                <w:sz w:val="18"/>
                <w:szCs w:val="18"/>
                <w:color w:val="auto"/>
              </w:rPr>
              <w:t>38</w:t>
            </w:r>
          </w:p>
        </w:tc>
      </w:tr>
      <w:tr>
        <w:trPr>
          <w:trHeight w:val="412"/>
        </w:trPr>
        <w:tc>
          <w:tcPr>
            <w:tcW w:w="180" w:type="dxa"/>
            <w:vAlign w:val="bottom"/>
          </w:tcPr>
          <w:p>
            <w:pPr>
              <w:spacing w:after="0"/>
              <w:rPr>
                <w:sz w:val="24"/>
                <w:szCs w:val="24"/>
                <w:color w:val="auto"/>
              </w:rPr>
            </w:pPr>
          </w:p>
        </w:tc>
        <w:tc>
          <w:tcPr>
            <w:tcW w:w="28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Consolidated Statements of Cash Flows</w:t>
              </w:r>
            </w:hyperlink>
          </w:p>
        </w:tc>
        <w:tc>
          <w:tcPr>
            <w:tcW w:w="1960" w:type="dxa"/>
            <w:vAlign w:val="bottom"/>
            <w:gridSpan w:val="5"/>
          </w:tcPr>
          <w:p>
            <w:pPr>
              <w:spacing w:after="0"/>
              <w:rPr>
                <w:sz w:val="24"/>
                <w:szCs w:val="24"/>
                <w:color w:val="auto"/>
              </w:rPr>
            </w:pPr>
          </w:p>
        </w:tc>
        <w:tc>
          <w:tcPr>
            <w:tcW w:w="6440" w:type="dxa"/>
            <w:vAlign w:val="bottom"/>
          </w:tcPr>
          <w:p>
            <w:pPr>
              <w:jc w:val="right"/>
              <w:ind w:right="170"/>
              <w:spacing w:after="0"/>
              <w:rPr>
                <w:sz w:val="20"/>
                <w:szCs w:val="20"/>
                <w:color w:val="auto"/>
              </w:rPr>
            </w:pPr>
            <w:r>
              <w:rPr>
                <w:rFonts w:ascii="Arial" w:cs="Arial" w:eastAsia="Arial" w:hAnsi="Arial"/>
                <w:sz w:val="18"/>
                <w:szCs w:val="18"/>
                <w:color w:val="auto"/>
              </w:rPr>
              <w:t>39</w:t>
            </w:r>
          </w:p>
        </w:tc>
      </w:tr>
      <w:tr>
        <w:trPr>
          <w:trHeight w:val="412"/>
        </w:trPr>
        <w:tc>
          <w:tcPr>
            <w:tcW w:w="180" w:type="dxa"/>
            <w:vAlign w:val="bottom"/>
          </w:tcPr>
          <w:p>
            <w:pPr>
              <w:spacing w:after="0"/>
              <w:rPr>
                <w:sz w:val="24"/>
                <w:szCs w:val="24"/>
                <w:color w:val="auto"/>
              </w:rPr>
            </w:pPr>
          </w:p>
        </w:tc>
        <w:tc>
          <w:tcPr>
            <w:tcW w:w="3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Notes to Consolidated Financial Statements</w:t>
              </w:r>
            </w:hyperlink>
          </w:p>
        </w:tc>
        <w:tc>
          <w:tcPr>
            <w:tcW w:w="1680" w:type="dxa"/>
            <w:vAlign w:val="bottom"/>
            <w:gridSpan w:val="4"/>
          </w:tcPr>
          <w:p>
            <w:pPr>
              <w:spacing w:after="0"/>
              <w:rPr>
                <w:sz w:val="24"/>
                <w:szCs w:val="24"/>
                <w:color w:val="auto"/>
              </w:rPr>
            </w:pPr>
          </w:p>
        </w:tc>
        <w:tc>
          <w:tcPr>
            <w:tcW w:w="6440" w:type="dxa"/>
            <w:vAlign w:val="bottom"/>
          </w:tcPr>
          <w:p>
            <w:pPr>
              <w:jc w:val="right"/>
              <w:ind w:right="170"/>
              <w:spacing w:after="0"/>
              <w:rPr>
                <w:sz w:val="20"/>
                <w:szCs w:val="20"/>
                <w:color w:val="auto"/>
              </w:rPr>
            </w:pPr>
            <w:r>
              <w:rPr>
                <w:rFonts w:ascii="Arial" w:cs="Arial" w:eastAsia="Arial" w:hAnsi="Arial"/>
                <w:sz w:val="18"/>
                <w:szCs w:val="18"/>
                <w:color w:val="auto"/>
              </w:rPr>
              <w:t>40</w:t>
            </w:r>
          </w:p>
        </w:tc>
      </w:tr>
      <w:tr>
        <w:trPr>
          <w:trHeight w:val="412"/>
        </w:trPr>
        <w:tc>
          <w:tcPr>
            <w:tcW w:w="180" w:type="dxa"/>
            <w:vAlign w:val="bottom"/>
          </w:tcPr>
          <w:p>
            <w:pPr>
              <w:spacing w:after="0"/>
              <w:rPr>
                <w:sz w:val="24"/>
                <w:szCs w:val="24"/>
                <w:color w:val="auto"/>
              </w:rPr>
            </w:pPr>
          </w:p>
        </w:tc>
        <w:tc>
          <w:tcPr>
            <w:tcW w:w="484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6440" w:type="dxa"/>
            <w:vAlign w:val="bottom"/>
          </w:tcPr>
          <w:p>
            <w:pPr>
              <w:jc w:val="right"/>
              <w:ind w:right="170"/>
              <w:spacing w:after="0"/>
              <w:rPr>
                <w:sz w:val="20"/>
                <w:szCs w:val="20"/>
                <w:color w:val="auto"/>
              </w:rPr>
            </w:pPr>
            <w:r>
              <w:rPr>
                <w:rFonts w:ascii="Arial" w:cs="Arial" w:eastAsia="Arial" w:hAnsi="Arial"/>
                <w:sz w:val="18"/>
                <w:szCs w:val="18"/>
                <w:color w:val="auto"/>
              </w:rPr>
              <w:t>61</w:t>
            </w:r>
          </w:p>
        </w:tc>
      </w:tr>
      <w:tr>
        <w:trPr>
          <w:trHeight w:val="20"/>
        </w:trPr>
        <w:tc>
          <w:tcPr>
            <w:tcW w:w="18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2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Financial Statement Schedule:</w:t>
              </w:r>
            </w:hyperlink>
          </w:p>
        </w:tc>
        <w:tc>
          <w:tcPr>
            <w:tcW w:w="2820" w:type="dxa"/>
            <w:vAlign w:val="bottom"/>
            <w:gridSpan w:val="8"/>
          </w:tcPr>
          <w:p>
            <w:pPr>
              <w:spacing w:after="0"/>
              <w:rPr>
                <w:sz w:val="24"/>
                <w:szCs w:val="24"/>
                <w:color w:val="auto"/>
              </w:rPr>
            </w:pPr>
          </w:p>
        </w:tc>
        <w:tc>
          <w:tcPr>
            <w:tcW w:w="644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4840" w:type="dxa"/>
            <w:vAlign w:val="bottom"/>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Schedule II — Valuation and Qualifying Accounts</w:t>
              </w:r>
            </w:hyperlink>
          </w:p>
        </w:tc>
        <w:tc>
          <w:tcPr>
            <w:tcW w:w="6440" w:type="dxa"/>
            <w:vAlign w:val="bottom"/>
          </w:tcPr>
          <w:p>
            <w:pPr>
              <w:jc w:val="right"/>
              <w:ind w:right="170"/>
              <w:spacing w:after="0"/>
              <w:rPr>
                <w:sz w:val="20"/>
                <w:szCs w:val="20"/>
                <w:color w:val="auto"/>
              </w:rPr>
            </w:pPr>
            <w:r>
              <w:rPr>
                <w:rFonts w:ascii="Arial" w:cs="Arial" w:eastAsia="Arial" w:hAnsi="Arial"/>
                <w:sz w:val="18"/>
                <w:szCs w:val="18"/>
                <w:color w:val="auto"/>
              </w:rPr>
              <w:t>68</w:t>
            </w:r>
          </w:p>
        </w:tc>
      </w:tr>
      <w:tr>
        <w:trPr>
          <w:trHeight w:val="723"/>
        </w:trPr>
        <w:tc>
          <w:tcPr>
            <w:tcW w:w="180" w:type="dxa"/>
            <w:vAlign w:val="bottom"/>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40" w:type="dxa"/>
            <w:vAlign w:val="bottom"/>
          </w:tcPr>
          <w:p>
            <w:pPr>
              <w:jc w:val="right"/>
              <w:ind w:right="5570"/>
              <w:spacing w:after="0"/>
              <w:rPr>
                <w:sz w:val="20"/>
                <w:szCs w:val="20"/>
                <w:color w:val="auto"/>
              </w:rPr>
            </w:pPr>
            <w:r>
              <w:rPr>
                <w:rFonts w:ascii="Arial" w:cs="Arial" w:eastAsia="Arial" w:hAnsi="Arial"/>
                <w:sz w:val="18"/>
                <w:szCs w:val="18"/>
                <w:color w:val="auto"/>
              </w:rPr>
              <w:t>35</w:t>
            </w:r>
          </w:p>
        </w:tc>
      </w:tr>
      <w:tr>
        <w:trPr>
          <w:trHeight w:val="375"/>
        </w:trPr>
        <w:tc>
          <w:tcPr>
            <w:tcW w:w="180" w:type="dxa"/>
            <w:vAlign w:val="bottom"/>
            <w:tcBorders>
              <w:bottom w:val="single" w:sz="8" w:color="010101"/>
            </w:tcBorders>
          </w:tcPr>
          <w:p>
            <w:pPr>
              <w:spacing w:after="0"/>
              <w:rPr>
                <w:sz w:val="24"/>
                <w:szCs w:val="24"/>
                <w:color w:val="auto"/>
              </w:rPr>
            </w:pPr>
          </w:p>
        </w:tc>
        <w:tc>
          <w:tcPr>
            <w:tcW w:w="20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64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1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August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September 1,</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2,</w:t>
            </w:r>
          </w:p>
        </w:tc>
        <w:tc>
          <w:tcPr>
            <w:tcW w:w="0" w:type="dxa"/>
            <w:vAlign w:val="bottom"/>
          </w:tcPr>
          <w:p>
            <w:pPr>
              <w:spacing w:after="0"/>
              <w:rPr>
                <w:sz w:val="1"/>
                <w:szCs w:val="1"/>
                <w:color w:val="auto"/>
              </w:rPr>
            </w:pPr>
          </w:p>
        </w:tc>
      </w:tr>
      <w:tr>
        <w:trPr>
          <w:trHeight w:val="162"/>
        </w:trPr>
        <w:tc>
          <w:tcPr>
            <w:tcW w:w="77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Income before taxes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net income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98" w:orient="portrait"/>
          <w:cols w:equalWidth="0" w:num="1">
            <w:col w:w="11460"/>
          </w:cols>
          <w:pgMar w:left="240" w:top="125" w:right="19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692</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648</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60" w:type="dxa"/>
            <w:vAlign w:val="bottom"/>
          </w:tcPr>
          <w:p>
            <w:pPr>
              <w:jc w:val="right"/>
              <w:ind w:right="410"/>
              <w:spacing w:after="0"/>
              <w:rPr>
                <w:sz w:val="20"/>
                <w:szCs w:val="20"/>
                <w:color w:val="auto"/>
              </w:rPr>
            </w:pPr>
            <w:r>
              <w:rPr>
                <w:rFonts w:ascii="Arial" w:cs="Arial" w:eastAsia="Arial" w:hAnsi="Arial"/>
                <w:sz w:val="18"/>
                <w:szCs w:val="18"/>
                <w:color w:val="auto"/>
              </w:rPr>
              <w:t>725</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702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646</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par value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August 31,</w:t>
            </w: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1,</w:t>
            </w:r>
          </w:p>
        </w:tc>
        <w:tc>
          <w:tcPr>
            <w:tcW w:w="0" w:type="dxa"/>
            <w:vAlign w:val="bottom"/>
          </w:tcPr>
          <w:p>
            <w:pPr>
              <w:spacing w:after="0"/>
              <w:rPr>
                <w:sz w:val="1"/>
                <w:szCs w:val="1"/>
                <w:color w:val="auto"/>
              </w:rPr>
            </w:pPr>
          </w:p>
        </w:tc>
      </w:tr>
      <w:tr>
        <w:trPr>
          <w:trHeight w:val="162"/>
        </w:trPr>
        <w:tc>
          <w:tcPr>
            <w:tcW w:w="9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1"/>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$0.10 par value, authorized 3 billion shares, issued and outstanding 749.4 million and 616.2 million</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12,221</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1420"/>
          </w:cols>
          <w:pgMar w:left="240" w:top="140"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4"/>
            <w:vMerge w:val="restart"/>
          </w:tcPr>
          <w:p>
            <w:pPr>
              <w:jc w:val="right"/>
              <w:ind w:right="568"/>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08"/>
              <w:spacing w:after="0" w:line="13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vMerge w:val="restart"/>
          </w:tcPr>
          <w:p>
            <w:pPr>
              <w:jc w:val="right"/>
              <w:ind w:right="460"/>
              <w:spacing w:after="0" w:line="145"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restart"/>
          </w:tcPr>
          <w:p>
            <w:pPr>
              <w:jc w:val="right"/>
              <w:ind w:right="500"/>
              <w:spacing w:after="0" w:line="145"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vMerge w:val="restart"/>
          </w:tcPr>
          <w:p>
            <w:pPr>
              <w:jc w:val="center"/>
              <w:ind w:right="308"/>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80" w:type="dxa"/>
            <w:vAlign w:val="bottom"/>
          </w:tcPr>
          <w:p>
            <w:pPr>
              <w:jc w:val="center"/>
              <w:ind w:left="256"/>
              <w:spacing w:after="0" w:line="102" w:lineRule="exact"/>
              <w:rPr>
                <w:sz w:val="20"/>
                <w:szCs w:val="20"/>
                <w:color w:val="auto"/>
              </w:rPr>
            </w:pPr>
            <w:r>
              <w:rPr>
                <w:rFonts w:ascii="Arial" w:cs="Arial" w:eastAsia="Arial" w:hAnsi="Arial"/>
                <w:sz w:val="11"/>
                <w:szCs w:val="11"/>
                <w:b w:val="1"/>
                <w:bCs w:val="1"/>
                <w:color w:val="auto"/>
              </w:rPr>
              <w:t>Number</w:t>
            </w: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80" w:type="dxa"/>
            <w:vAlign w:val="bottom"/>
          </w:tcPr>
          <w:p>
            <w:pPr>
              <w:jc w:val="center"/>
              <w:ind w:left="256"/>
              <w:spacing w:after="0"/>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August 28, 2003</w:t>
            </w:r>
          </w:p>
        </w:tc>
        <w:tc>
          <w:tcPr>
            <w:tcW w:w="8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609.9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828"/>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4,176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4,971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Net income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issued under stock plans</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Issuance of stock rights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Redemption of common stock</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Redeemable common stock accretion</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2, 2004</w:t>
            </w:r>
          </w:p>
        </w:tc>
        <w:tc>
          <w:tcPr>
            <w:tcW w:w="8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611.5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828"/>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4,664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Comprehensive income:</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Net income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issued under stock plans</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September 1, 2005</w:t>
            </w:r>
          </w:p>
        </w:tc>
        <w:tc>
          <w:tcPr>
            <w:tcW w:w="8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616.2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828"/>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w:t>
            </w:r>
          </w:p>
        </w:tc>
        <w:tc>
          <w:tcPr>
            <w:tcW w:w="2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4,707</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1,078</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5,847</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income: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Net change in unrealized gain</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(loss) on investments, net of tax</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Borders>
              <w:bottom w:val="single" w:sz="8" w:color="CCEEFF"/>
            </w:tcBorders>
            <w:gridSpan w:val="2"/>
          </w:tcPr>
          <w:p>
            <w:pPr>
              <w:ind w:left="140"/>
              <w:spacing w:after="0" w:line="142" w:lineRule="exact"/>
              <w:rPr>
                <w:sz w:val="20"/>
                <w:szCs w:val="20"/>
                <w:color w:val="auto"/>
              </w:rPr>
            </w:pPr>
            <w:r>
              <w:rPr>
                <w:rFonts w:ascii="Arial" w:cs="Arial" w:eastAsia="Arial" w:hAnsi="Arial"/>
                <w:sz w:val="14"/>
                <w:szCs w:val="14"/>
                <w:color w:val="auto"/>
              </w:rPr>
              <w:t>Total comprehensive income</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20" w:type="dxa"/>
            <w:vAlign w:val="bottom"/>
            <w:gridSpan w:val="2"/>
          </w:tcPr>
          <w:p>
            <w:pPr>
              <w:spacing w:after="0" w:line="130" w:lineRule="exact"/>
              <w:rPr>
                <w:sz w:val="20"/>
                <w:szCs w:val="20"/>
                <w:color w:val="auto"/>
              </w:rPr>
            </w:pPr>
            <w:r>
              <w:rPr>
                <w:rFonts w:ascii="Arial" w:cs="Arial" w:eastAsia="Arial" w:hAnsi="Arial"/>
                <w:sz w:val="14"/>
                <w:szCs w:val="14"/>
                <w:color w:val="auto"/>
              </w:rPr>
              <w:t>Stock and stock options issued in</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connection with the acquisition of</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tcPr>
          <w:p>
            <w:pPr>
              <w:ind w:left="160"/>
              <w:spacing w:after="0"/>
              <w:rPr>
                <w:sz w:val="20"/>
                <w:szCs w:val="20"/>
                <w:color w:val="auto"/>
              </w:rPr>
            </w:pPr>
            <w:r>
              <w:rPr>
                <w:rFonts w:ascii="Arial" w:cs="Arial" w:eastAsia="Arial" w:hAnsi="Arial"/>
                <w:sz w:val="14"/>
                <w:szCs w:val="14"/>
                <w:color w:val="auto"/>
              </w:rPr>
              <w:t>Lexar</w:t>
            </w:r>
          </w:p>
        </w:tc>
        <w:tc>
          <w:tcPr>
            <w:tcW w:w="340" w:type="dxa"/>
            <w:vAlign w:val="bottom"/>
          </w:tcPr>
          <w:p>
            <w:pPr>
              <w:jc w:val="right"/>
              <w:spacing w:after="0"/>
              <w:rPr>
                <w:sz w:val="20"/>
                <w:szCs w:val="20"/>
                <w:color w:val="auto"/>
              </w:rPr>
            </w:pPr>
            <w:r>
              <w:rPr>
                <w:rFonts w:ascii="Arial" w:cs="Arial" w:eastAsia="Arial" w:hAnsi="Arial"/>
                <w:sz w:val="14"/>
                <w:szCs w:val="14"/>
                <w:color w:val="auto"/>
              </w:rPr>
              <w:t>50.7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Conversion of notes to stock, net of</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unamortized issuance costs</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Settlement of call spread options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issued under stock plans</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gridSpan w:val="2"/>
          </w:tcPr>
          <w:p>
            <w:pPr>
              <w:spacing w:after="0" w:line="130" w:lineRule="exact"/>
              <w:rPr>
                <w:sz w:val="20"/>
                <w:szCs w:val="20"/>
                <w:color w:val="auto"/>
              </w:rPr>
            </w:pPr>
            <w:r>
              <w:rPr>
                <w:rFonts w:ascii="Arial" w:cs="Arial" w:eastAsia="Arial" w:hAnsi="Arial"/>
                <w:sz w:val="14"/>
                <w:szCs w:val="14"/>
                <w:color w:val="auto"/>
              </w:rPr>
              <w:t>Premium recognized on convertible debt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tcPr>
          <w:p>
            <w:pPr>
              <w:ind w:left="160"/>
              <w:spacing w:after="0"/>
              <w:rPr>
                <w:sz w:val="20"/>
                <w:szCs w:val="20"/>
                <w:color w:val="auto"/>
              </w:rPr>
            </w:pPr>
            <w:r>
              <w:rPr>
                <w:rFonts w:ascii="Arial" w:cs="Arial" w:eastAsia="Arial" w:hAnsi="Arial"/>
                <w:sz w:val="14"/>
                <w:szCs w:val="14"/>
                <w:color w:val="auto"/>
              </w:rPr>
              <w:t>assumed in Lexar acquisition</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gridSpan w:val="2"/>
          </w:tcPr>
          <w:p>
            <w:pPr>
              <w:spacing w:after="0" w:line="130" w:lineRule="exact"/>
              <w:rPr>
                <w:sz w:val="20"/>
                <w:szCs w:val="20"/>
                <w:color w:val="auto"/>
              </w:rPr>
            </w:pPr>
            <w:r>
              <w:rPr>
                <w:rFonts w:ascii="Arial" w:cs="Arial" w:eastAsia="Arial" w:hAnsi="Arial"/>
                <w:sz w:val="14"/>
                <w:szCs w:val="14"/>
                <w:color w:val="auto"/>
              </w:rPr>
              <w:t>Stock issued in connection with Intel</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tcPr>
          <w:p>
            <w:pPr>
              <w:ind w:left="160"/>
              <w:spacing w:after="0"/>
              <w:rPr>
                <w:sz w:val="20"/>
                <w:szCs w:val="20"/>
                <w:color w:val="auto"/>
              </w:rPr>
            </w:pPr>
            <w:r>
              <w:rPr>
                <w:rFonts w:ascii="Arial" w:cs="Arial" w:eastAsia="Arial" w:hAnsi="Arial"/>
                <w:sz w:val="14"/>
                <w:szCs w:val="14"/>
                <w:color w:val="auto"/>
              </w:rPr>
              <w:t>stock rights</w:t>
            </w:r>
          </w:p>
        </w:tc>
        <w:tc>
          <w:tcPr>
            <w:tcW w:w="340" w:type="dxa"/>
            <w:vAlign w:val="bottom"/>
          </w:tcPr>
          <w:p>
            <w:pPr>
              <w:jc w:val="right"/>
              <w:spacing w:after="0"/>
              <w:rPr>
                <w:sz w:val="20"/>
                <w:szCs w:val="20"/>
                <w:color w:val="auto"/>
              </w:rPr>
            </w:pPr>
            <w:r>
              <w:rPr>
                <w:rFonts w:ascii="Arial" w:cs="Arial" w:eastAsia="Arial" w:hAnsi="Arial"/>
                <w:sz w:val="14"/>
                <w:szCs w:val="14"/>
                <w:color w:val="auto"/>
              </w:rPr>
              <w:t>16.9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August 31, 2006</w:t>
            </w: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749.4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6,555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1,486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280" w:type="dxa"/>
            <w:vAlign w:val="bottom"/>
            <w:tcBorders>
              <w:top w:val="single" w:sz="8" w:color="CCEEFF"/>
              <w:bottom w:val="single" w:sz="8" w:color="CCEEFF"/>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8,114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12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August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September 1,</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September 2,</w:t>
            </w:r>
          </w:p>
        </w:tc>
        <w:tc>
          <w:tcPr>
            <w:tcW w:w="0" w:type="dxa"/>
            <w:vAlign w:val="bottom"/>
          </w:tcPr>
          <w:p>
            <w:pPr>
              <w:spacing w:after="0"/>
              <w:rPr>
                <w:sz w:val="1"/>
                <w:szCs w:val="1"/>
                <w:color w:val="auto"/>
              </w:rPr>
            </w:pPr>
          </w:p>
        </w:tc>
      </w:tr>
      <w:tr>
        <w:trPr>
          <w:trHeight w:val="162"/>
        </w:trPr>
        <w:tc>
          <w:tcPr>
            <w:tcW w:w="7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in receivables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Increase in inventories</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in accounts payable and accrued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Increase (decrease) in customer prepayments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Purchases of available-for-sale securities</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of TECH</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Cash acquired from acquisition of Lexar</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Proceeds from sales of available-for-sale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11420"/>
          </w:cols>
          <w:pgMar w:left="240" w:top="121" w:right="2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noncontrolling interest in IMFT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Proceeds from settlement of call spread options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Proceeds from sale of noncontrolling interest in MP Mask</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Proceeds from equipment sale-leaseback transactions</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stock rights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Repayments of debt</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Redemption of common stock</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year</w:t>
            </w: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equivalents at end of year</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(paid), net</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Stock and stock options issued in acquisition of Lexar</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notes to stock, net of unamortized issuance cost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Equipment acquisitions on contracts payable and capital leases</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(All tabular dollar amounts in millions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and its subsidiaries (hereinafter referred to collectively as the “Company”) manufacture and market</w:t>
      </w:r>
      <w:r>
        <w:rPr>
          <w:rFonts w:ascii="Arial" w:cs="Arial" w:eastAsia="Arial" w:hAnsi="Arial"/>
          <w:sz w:val="16"/>
          <w:szCs w:val="16"/>
          <w:b w:val="1"/>
          <w:bCs w:val="1"/>
          <w:color w:val="auto"/>
        </w:rPr>
        <w:t xml:space="preserve"> </w:t>
      </w:r>
      <w:r>
        <w:rPr>
          <w:rFonts w:ascii="Arial" w:cs="Arial" w:eastAsia="Arial" w:hAnsi="Arial"/>
          <w:sz w:val="16"/>
          <w:szCs w:val="16"/>
          <w:color w:val="auto"/>
        </w:rPr>
        <w:t>DRAM, NAND Flash memory, CMOS image sensors and other semiconductor components. The Company has two reportable segments,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U.S. and include the accounts of the Company and its consolidated subsidiaries. All significant intercompany transactions and balances have been eliminated.</w:t>
      </w:r>
    </w:p>
    <w:p>
      <w:pPr>
        <w:spacing w:after="0" w:line="15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fiscal 2006 and 2005 contained 52 weeks. The Company’s fiscal 2004 contained 53 weeks. All period references are to the Company’s fiscal periods unless otherwise indicated.</w:t>
      </w:r>
    </w:p>
    <w:p>
      <w:pPr>
        <w:spacing w:after="0" w:line="120"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none of which affected results of operations, to present the financial statements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basis.</w:t>
      </w:r>
    </w:p>
    <w:p>
      <w:pPr>
        <w:spacing w:after="0" w:line="162"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financial statements and related disclosures in conformity with accounting principles generally accepted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U.S.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differ under different assumptions or conditions. The Company evaluates its estimates and judgments on an ongoing basis. Actual results could differ from estimates.</w:t>
      </w:r>
    </w:p>
    <w:p>
      <w:pPr>
        <w:spacing w:after="0" w:line="168"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Certain concentrations: </w:t>
      </w:r>
      <w:r>
        <w:rPr>
          <w:rFonts w:ascii="Arial" w:cs="Arial" w:eastAsia="Arial" w:hAnsi="Arial"/>
          <w:sz w:val="16"/>
          <w:szCs w:val="16"/>
          <w:color w:val="auto"/>
        </w:rPr>
        <w:t>Approximately 70% of the Company’s net sales for 2006 were to the computing market, including desktop PCs,</w:t>
      </w:r>
      <w:r>
        <w:rPr>
          <w:rFonts w:ascii="Arial" w:cs="Arial" w:eastAsia="Arial" w:hAnsi="Arial"/>
          <w:sz w:val="16"/>
          <w:szCs w:val="16"/>
          <w:b w:val="1"/>
          <w:bCs w:val="1"/>
          <w:color w:val="auto"/>
        </w:rPr>
        <w:t xml:space="preserve"> </w:t>
      </w:r>
      <w:r>
        <w:rPr>
          <w:rFonts w:ascii="Arial" w:cs="Arial" w:eastAsia="Arial" w:hAnsi="Arial"/>
          <w:sz w:val="16"/>
          <w:szCs w:val="16"/>
          <w:color w:val="auto"/>
        </w:rPr>
        <w:t>notebooks, servers and workstations. Sales to one customer were 11%, 11% and 13% of the Company’s net sales in 2006, 2005 and 2004, respectively. Sales to another customer were 12% and 14% of the Company’s net sales in 2005 and 2004, respectively. Sales of DRAM and imaging products constituted 76% and 14%, respectively, of the Company’s net sales for 2006 and no other product group individually constituted greater than 10% of the Company’s net sales. Certain components used by the Company in manufacturing semiconductor products are available from a limited number of suppliers.</w:t>
      </w:r>
    </w:p>
    <w:p>
      <w:pPr>
        <w:spacing w:after="0" w:line="15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investment securities and trade receivables. The Company invests through high-credit-quality financial institutions and, by policy, limits the concentration of credit exposure by restricting investments with any single obligor. A concentration of credit risk may exist with respect to trade receivables as a substantial portion of the Company’s customers are affiliated with the computing industry. The Company performs ongoing credit evaluations of customers worldwide and generally does not require collateral from its customers. Historically, the Company has not experienced significant losses on receivables.</w:t>
      </w:r>
    </w:p>
    <w:p>
      <w:pPr>
        <w:sectPr>
          <w:pgSz w:w="11900" w:h="16838" w:orient="portrait"/>
          <w:cols w:equalWidth="0" w:num="1">
            <w:col w:w="11420"/>
          </w:cols>
          <w:pgMar w:left="240" w:top="140" w:right="239" w:bottom="0" w:gutter="0" w:footer="0" w:header="0"/>
        </w:sectPr>
      </w:pPr>
    </w:p>
    <w:bookmarkStart w:id="29" w:name="page30"/>
    <w:bookmarkEnd w:id="29"/>
    <w:p>
      <w:pPr>
        <w:ind w:firstLine="648"/>
        <w:spacing w:after="0" w:line="298"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The Company generally provides a limited warranty that its products are in compliance with Company specifications existing at</w:t>
      </w:r>
      <w:r>
        <w:rPr>
          <w:rFonts w:ascii="Arial" w:cs="Arial" w:eastAsia="Arial" w:hAnsi="Arial"/>
          <w:sz w:val="16"/>
          <w:szCs w:val="16"/>
          <w:b w:val="1"/>
          <w:bCs w:val="1"/>
          <w:color w:val="auto"/>
        </w:rPr>
        <w:t xml:space="preserve"> </w:t>
      </w:r>
      <w:r>
        <w:rPr>
          <w:rFonts w:ascii="Arial" w:cs="Arial" w:eastAsia="Arial" w:hAnsi="Arial"/>
          <w:sz w:val="16"/>
          <w:szCs w:val="16"/>
          <w:color w:val="auto"/>
        </w:rPr>
        <w:t>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upon the Company more extensive liability than that provided under the Company’s general terms and conditions. The Company’s warranty obligations are not material.</w:t>
      </w:r>
    </w:p>
    <w:p>
      <w:pPr>
        <w:spacing w:after="0" w:line="154"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recognizes product or license revenue when persuasive evidence of a sales arrangement exists, delivery has</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the price is fixed or determinable and collectibility is reasonably assured. Because of frequent changes in market prices for the Company’s products, sales made under agreements allowing pricing protection or rights of return (other than for product warranty) are deferred until customers have sold the product.</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Costs related to the conceptual formulation and design of products and processes are expensed as research and</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as 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 Product design and other research and development costs for NAND Flash are shared equally among the Company and Intel. Costs charged to Intel are reflected as a reduction of research and development expense. (See “Joint Ventures — IM Flash Technologies, LLC” note.)</w:t>
      </w:r>
    </w:p>
    <w:p>
      <w:pPr>
        <w:spacing w:after="0" w:line="154"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Effective the beginning of 2006, the Company adopted SFAS No. 123(R), “Share-Based Payment,” and elected to</w:t>
      </w:r>
      <w:r>
        <w:rPr>
          <w:rFonts w:ascii="Arial" w:cs="Arial" w:eastAsia="Arial" w:hAnsi="Arial"/>
          <w:sz w:val="16"/>
          <w:szCs w:val="16"/>
          <w:b w:val="1"/>
          <w:bCs w:val="1"/>
          <w:color w:val="auto"/>
        </w:rPr>
        <w:t xml:space="preserve"> </w:t>
      </w:r>
      <w:r>
        <w:rPr>
          <w:rFonts w:ascii="Arial" w:cs="Arial" w:eastAsia="Arial" w:hAnsi="Arial"/>
          <w:sz w:val="16"/>
          <w:szCs w:val="16"/>
          <w:color w:val="auto"/>
        </w:rPr>
        <w:t>adopt the modified prospective application method. Accordingly, stock-based compensation cost is measured at the grant date, based on the fair value of the award, and is recognized as expense over the requisite service period. For stock awards granted in 2006, expenses are amortized under the straight-line attribution method. For stock awards granted prior to 2006, expenses are amortized under the multiple option method prescribed by FASB Interpretation No.</w:t>
      </w:r>
    </w:p>
    <w:p>
      <w:pPr>
        <w:spacing w:after="0" w:line="3" w:lineRule="exact"/>
        <w:rPr>
          <w:sz w:val="20"/>
          <w:szCs w:val="20"/>
          <w:color w:val="auto"/>
        </w:rPr>
      </w:pPr>
    </w:p>
    <w:p>
      <w:pPr>
        <w:ind w:right="540" w:firstLine="8"/>
        <w:spacing w:after="0" w:line="26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reported amounts have not been restated. The Company adopted the alternative transition method provided in FASB Staff Position No. 123(R)-3 for calculating the tax effects of share-based compensation.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The U.S. dollar is the Company’s functional currency for substantially all of its operations.</w:t>
      </w:r>
    </w:p>
    <w:p>
      <w:pPr>
        <w:spacing w:after="0" w:line="225"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Basic earnings per share is computed based on the weighted-average number of common shares and stock rights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Diluted earnings per share is computed based on the weighted-average number of common shares and stock rights outstanding plus the dilutive effects of stock options, warrants and convertible notes. Potential common shares that would increase earnings per share amounts or decrease loss per share amounts are antidilutive and are, therefore, excluded from diluted earnings per share calculations.</w:t>
      </w:r>
    </w:p>
    <w:p>
      <w:pPr>
        <w:spacing w:after="0" w:line="165" w:lineRule="exact"/>
        <w:rPr>
          <w:sz w:val="20"/>
          <w:szCs w:val="20"/>
          <w:color w:val="auto"/>
        </w:rPr>
      </w:pPr>
    </w:p>
    <w:p>
      <w:pPr>
        <w:ind w:right="420" w:firstLine="648"/>
        <w:spacing w:after="0" w:line="258"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Cash equivalents include highly liquid short-term investments with original maturities of three months or less, readily</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to known amounts of cash. Investments with original maturities greater than three months and remaining maturities less than one year are classified as short-term investments. Investments with remaining maturities greater than one year are classified as other noncurrent assets. Securities classified as available-for-sale are stated at market value. The carrying value of investment securities sold is determined using the specific identification method.</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amounts reported as cash and equivalents, short-term investments, receivables, other assets, accounts payable and accrued expenses and equipment purchase contracts approximate their fair values. The estimated fair value of the Company’s debt was $627 million and $1,213 million as of August 31, 2006 and September 1, 2005,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approximate fair values do not take into consideration expenses that could be incurred in an actual settlement.</w:t>
      </w:r>
    </w:p>
    <w:p>
      <w:pPr>
        <w:spacing w:after="0" w:line="189"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and process technology costs. Determining market value of inventories involves numerous judgments, including projecting average selling prices and sales volumes for future periods and costs to complete products in work in process inventories. As a result of these analyses, when market values are below the Company’s costs, the Company records a charge to cost of goods sold in advance of when the inventory is actually sold. The Company’s inventories have been categorized as Memory products or Imaging products for purposes of determining average cost and market value. The major characteristics the Company considers in determining categories are product type and markets.</w:t>
      </w:r>
    </w:p>
    <w:p>
      <w:pPr>
        <w:spacing w:after="0" w:line="174"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Product and process technology: </w:t>
      </w:r>
      <w:r>
        <w:rPr>
          <w:rFonts w:ascii="Arial" w:cs="Arial" w:eastAsia="Arial" w:hAnsi="Arial"/>
          <w:sz w:val="18"/>
          <w:szCs w:val="18"/>
          <w:color w:val="auto"/>
        </w:rPr>
        <w:t>Costs incurred to acquire product and process technology or to patent technology developed by the Company are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 Fully-amortized costs are removed from product and process technology and accumulated amortization.</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stated at cost and depreciated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5 to 30 years for buildings, 2 to 20 years for equipment and 2 to 5 years for software. Assets held for sale are carried at the lower of cost or</w:t>
      </w:r>
    </w:p>
    <w:p>
      <w:pPr>
        <w:sectPr>
          <w:pgSz w:w="11900" w:h="16838" w:orient="portrait"/>
          <w:cols w:equalWidth="0" w:num="1">
            <w:col w:w="11420"/>
          </w:cols>
          <w:pgMar w:left="240" w:top="121" w:right="239" w:bottom="0" w:gutter="0" w:footer="0" w:header="0"/>
          <w:type w:val="continuous"/>
        </w:sectPr>
      </w:pPr>
    </w:p>
    <w:bookmarkStart w:id="30" w:name="page31"/>
    <w:bookmarkEnd w:id="30"/>
    <w:p>
      <w:pPr>
        <w:ind w:right="280"/>
        <w:spacing w:after="0" w:line="308" w:lineRule="auto"/>
        <w:rPr>
          <w:sz w:val="20"/>
          <w:szCs w:val="20"/>
          <w:color w:val="auto"/>
        </w:rPr>
      </w:pPr>
      <w:r>
        <w:rPr>
          <w:rFonts w:ascii="Arial" w:cs="Arial" w:eastAsia="Arial" w:hAnsi="Arial"/>
          <w:sz w:val="17"/>
          <w:szCs w:val="17"/>
          <w:color w:val="auto"/>
        </w:rPr>
        <w:t>estimated fair value and are included in other noncurrent assets. When property or equipment is retired or otherwise disposed of, the net book value of the asset is removed from the Company’s accounts and any net gain or loss is included in the Company’s results of operations.</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$10 million, $2 million and $1 million in 2006, 2005 and 2004, respectively, in connection with various capital projects.</w:t>
      </w:r>
    </w:p>
    <w:p>
      <w:pPr>
        <w:spacing w:after="0" w:line="177"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September 2006, the SEC staff issued Staff Accounting Bulletin (“SAB”) No. 108, “Considering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Effects of Prior Year Misstatements when Quantifying Misstatements in Current Year Financial Statements.” In SAB No. 108, the SEC staff established an approach that requires quantification of financial statement misstatements based on the effects of the misstatements on each of the company’s financial statements and the related financial statement disclosures. SAB No. 108 permits existing public companies to initially apply its provisions either by (i) restating prior financial statements or (ii) recording the cumulative effect as adjustments to the carrying values of assets and liabilities with an offsetting adjustment recorded to the opening balance of retained earnings. The Company is required to adopt SAB No. 108 by the end of 2007 and does not expect adoption to have a significant impact on the Company’s results of operations or financial condition.</w:t>
      </w:r>
    </w:p>
    <w:p>
      <w:pPr>
        <w:spacing w:after="0" w:line="17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September 2006, the Financial Accounting Standards Board (“FASB”) issued Statement of Financial Accounting Standards (“SFAS”) No. 158, “Employers’ Accounting for Defined Benefit Pension and Other Postretirement Plans—an amendment of FASB Statements No. 87, 88, 106, and 132(R).” SFAS No. 158 requires an employer to recognize the overfunded or underfunded status of a defined benefit postretirement plan (other than a multiemployer plan) as an asset or liability in its statement of financial position and to recognize changes in that funded status in the year in which the changes occur through comprehensive income. SFAS No. 158 also requires an employer to measure the funded status of a plan as of the date of its year-end statement of financial position, with limited exceptions. Under SFAS No. 158, the Company is required to initially recognize the funded status of a defined benefit postretirement plan and to provide the required disclosures as of the end of 2007. The Company is evaluating the impact this statement will have on its consolidated financial statements.</w:t>
      </w:r>
    </w:p>
    <w:p>
      <w:pPr>
        <w:spacing w:after="0" w:line="19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FAS No. 157 effective at the beginning of 2009. The Company is evaluating the impact this statement will have on its consolidated financial statements.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June 2006, the FASB issued FASB Interpretation Number 48 (“FIN 48”), “Accounting for Uncertainty in Income Taxes—an interpretation of FASB Statement No. 109.” The interpretation contains a two 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is required to adopt FIN 48 effective at the beginning of 2008. The Company is evaluating the impact this statement will have on its consolidated financial statements.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As of August 31, 2006, the Company did not have any hybrid financial instruments subject to the fair value election under SFAS No. 155. The Company is required to adopt SFAS No. 155 effective at the beginning of 2008.</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May 2005, the FASB issued SFAS No. 154, “Accounting Changes and Error Corrections.” SFAS No. 154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3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March 2005, the FASB issued Interpretation No. 47 (“FIN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adopted FIN 47 in the third quarter of 2006. The adoption of FIN 47 did not have a significant impact on the Company’s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Investment Securities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2006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1,272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notes and bonds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Repurchase agreements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2,746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cash equivalents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(1,077)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Less noncurrent investments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49"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Receivables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4"/>
                <w:szCs w:val="14"/>
                <w:color w:val="auto"/>
              </w:rPr>
            </w:pPr>
          </w:p>
        </w:tc>
        <w:tc>
          <w:tcPr>
            <w:tcW w:w="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connection with the acquisition of Lexar in the fourth quarter of 2006, the Company recorded receivables of $123 million. (See “Lexar Media, Inc.” note.)</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Other receivables include $51 million due from Intel primarily for amounts related to NAND Flash product design and process development activities and $51 million due from Toshiba. (See “Lexar Media, Inc.” note.)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Inventories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4"/>
                <w:szCs w:val="14"/>
                <w:color w:val="auto"/>
              </w:rPr>
            </w:pPr>
          </w:p>
        </w:tc>
        <w:tc>
          <w:tcPr>
            <w:tcW w:w="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Allowance for obsolescence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consolidation of TECH in the third quarter of 2006, the Company recorded inventories of $104 million. (See “Joint Ventures</w:t>
      </w:r>
    </w:p>
    <w:p>
      <w:pPr>
        <w:spacing w:after="0" w:line="46"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 Tech Semiconductor Singapore Pte. Ltd.” note.) In connection with the acquisition of Lexar in the fourth quarter of 2006, the Company recorded inventories of $75 million. (See “Lexar Media, Inc.” note.)</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gridSpan w:val="3"/>
          </w:tcPr>
          <w:p>
            <w:pPr>
              <w:spacing w:after="0"/>
              <w:rPr>
                <w:sz w:val="20"/>
                <w:szCs w:val="20"/>
                <w:color w:val="auto"/>
              </w:rPr>
            </w:pPr>
            <w:r>
              <w:rPr>
                <w:rFonts w:ascii="Arial" w:cs="Arial" w:eastAsia="Arial" w:hAnsi="Arial"/>
                <w:sz w:val="14"/>
                <w:szCs w:val="14"/>
                <w:b w:val="1"/>
                <w:bCs w:val="1"/>
                <w:color w:val="auto"/>
              </w:rPr>
              <w:t>Goodwill and Intangible Assets</w:t>
            </w:r>
          </w:p>
        </w:tc>
        <w:tc>
          <w:tcPr>
            <w:tcW w:w="180" w:type="dxa"/>
            <w:vAlign w:val="bottom"/>
          </w:tcPr>
          <w:p>
            <w:pPr>
              <w:spacing w:after="0"/>
              <w:rPr>
                <w:sz w:val="14"/>
                <w:szCs w:val="14"/>
                <w:color w:val="auto"/>
              </w:rPr>
            </w:pPr>
          </w:p>
        </w:tc>
        <w:tc>
          <w:tcPr>
            <w:tcW w:w="122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2006</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w w:val="83"/>
              </w:rPr>
              <w:t>2005</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tcPr>
          <w:p>
            <w:pPr>
              <w:jc w:val="right"/>
              <w:ind w:right="620"/>
              <w:spacing w:after="0" w:line="102" w:lineRule="exact"/>
              <w:rPr>
                <w:sz w:val="20"/>
                <w:szCs w:val="20"/>
                <w:color w:val="auto"/>
              </w:rPr>
            </w:pPr>
            <w:r>
              <w:rPr>
                <w:rFonts w:ascii="Arial" w:cs="Arial" w:eastAsia="Arial" w:hAnsi="Arial"/>
                <w:sz w:val="11"/>
                <w:szCs w:val="11"/>
                <w:b w:val="1"/>
                <w:bCs w:val="1"/>
                <w:color w:val="auto"/>
              </w:rPr>
              <w:t>Gross</w:t>
            </w: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ind w:right="37"/>
              <w:spacing w:after="0" w:line="102"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ind w:right="257"/>
              <w:spacing w:after="0" w:line="102" w:lineRule="exact"/>
              <w:rPr>
                <w:sz w:val="20"/>
                <w:szCs w:val="20"/>
                <w:color w:val="auto"/>
              </w:rPr>
            </w:pPr>
            <w:r>
              <w:rPr>
                <w:rFonts w:ascii="Arial" w:cs="Arial" w:eastAsia="Arial" w:hAnsi="Arial"/>
                <w:sz w:val="11"/>
                <w:szCs w:val="11"/>
                <w:b w:val="1"/>
                <w:bCs w:val="1"/>
                <w:color w:val="auto"/>
              </w:rPr>
              <w:t>Gross</w:t>
            </w:r>
          </w:p>
        </w:tc>
        <w:tc>
          <w:tcPr>
            <w:tcW w:w="2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ind w:right="37"/>
              <w:spacing w:after="0" w:line="102"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 supply arrangement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acquisition of Lexar in the fourth quarter of 2006, the Company capitalized $127 million for customer related intangible assets, $35 million for product and process technology and $21 million for trademark and trade name intangible assets with weighted-average useful lives of 8 years, 10 years and 5 years, respectively. (See “Lexar Media, Inc.” note.)</w:t>
      </w:r>
    </w:p>
    <w:p>
      <w:pPr>
        <w:spacing w:after="0" w:line="18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During 2006, including the value of assets acquired from Lexar, the Company capitalized $76 million for product and process technology with a weighted-average useful life of 10 years. During 2005, the Company capitalized $35 million for product and process technology with a weighted-average useful life of 10 years.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2006, as a result of the Company’s consolidation of TECH, the Company ceased amortization of the intangible asset associated with the TECH joint venture supply arrangement and included the remaining amount as part of the Company’s investment in TECH’s net assets, which is eliminated in consolidation. (See “Joint Ventures — TECH Semiconductor Singapore Pte. Ltd.” note.)</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Amortization expense for intangible assets was $52 million, $51 million and $50 million in 2006, 2005 and 2004, respectively. Annual amortization expense for intangible assets held as of August 31, 2006, is estimated to be $67 million for 2007, $67 million for 2008, $56 million for 2009, $47 million for 2010 and $43 million for 2011.</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the fourth quarter of 2006, the Company recorded $486 million of goodwill from its acquisition of Lexar. (See “Lexar Media, Inc.” note.) As of August 31, 2006, the Company had goodwill of $490 million for its Memory segment and $12 million for its Imaging segment. As of September 1, 2005, the Company had goodwill of $4 million for its Memory segment and $12 million for its Imaging segment.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20" w:type="dxa"/>
            <w:vAlign w:val="bottom"/>
            <w:gridSpan w:val="3"/>
          </w:tcPr>
          <w:p>
            <w:pPr>
              <w:spacing w:after="0"/>
              <w:rPr>
                <w:sz w:val="20"/>
                <w:szCs w:val="20"/>
                <w:color w:val="auto"/>
              </w:rPr>
            </w:pPr>
            <w:r>
              <w:rPr>
                <w:rFonts w:ascii="Arial" w:cs="Arial" w:eastAsia="Arial" w:hAnsi="Arial"/>
                <w:sz w:val="14"/>
                <w:szCs w:val="14"/>
                <w:b w:val="1"/>
                <w:bCs w:val="1"/>
                <w:color w:val="auto"/>
              </w:rPr>
              <w:t>Property, Plant and Equipment</w:t>
            </w: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13,133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4" w:right="239" w:bottom="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Depreciation expense was $1,258 million, $1,211 million and $1,166 million for 2006, 2005 and 2004, respectively.</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connection with the consolidation of TECH in the third quarter of 2006, the Company recorded property, plant and equipment of $562 million. (See “Joint Ventures — Tech Semiconductor Singapore Pte. Ltd.” note.)</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0" w:type="dxa"/>
            <w:vAlign w:val="bottom"/>
            <w:gridSpan w:val="3"/>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14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Salaries, wages and benefits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other than income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In connection with the consolidation of TECH in the third quarter of 2006, the Company recorded accounts payable and accrued expenses of $69 million. (See “Joint Ventures — Tech Semiconductor Singapore Pte. Ltd.” note.) In connection with the acquisition of Lexar in the fourth quarter of 2006, the Company recorded accounts payable and accrued expenses of $181 million. (See “Lexar Media, Inc.” note.)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w w:val="92"/>
              </w:rPr>
              <w:t xml:space="preserve">Capital lease obligations payable in monthly installments through </w:t>
            </w:r>
            <w:r>
              <w:rPr>
                <w:rFonts w:ascii="Arial" w:cs="Arial" w:eastAsia="Arial" w:hAnsi="Arial"/>
                <w:sz w:val="17"/>
                <w:szCs w:val="17"/>
                <w:color w:val="auto"/>
                <w:w w:val="92"/>
              </w:rPr>
              <w:t>February 2021, weighted-average imputed interest rate of 6.6%and</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00" w:type="dxa"/>
            <w:vAlign w:val="bottom"/>
            <w:shd w:val="clear" w:color="auto" w:fill="CCEEFF"/>
          </w:tcPr>
          <w:p>
            <w:pPr>
              <w:jc w:val="right"/>
              <w:ind w:right="8870"/>
              <w:spacing w:after="0"/>
              <w:rPr>
                <w:sz w:val="20"/>
                <w:szCs w:val="20"/>
                <w:color w:val="auto"/>
              </w:rPr>
            </w:pPr>
            <w:r>
              <w:rPr>
                <w:rFonts w:ascii="Arial" w:cs="Arial" w:eastAsia="Arial" w:hAnsi="Arial"/>
                <w:sz w:val="18"/>
                <w:szCs w:val="18"/>
                <w:color w:val="auto"/>
              </w:rPr>
              <w:t>6.4%</w:t>
            </w:r>
          </w:p>
        </w:tc>
        <w:tc>
          <w:tcPr>
            <w:tcW w:w="40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 xml:space="preserve">Notes payable in periodic installments through </w:t>
            </w:r>
            <w:r>
              <w:rPr>
                <w:rFonts w:ascii="Arial" w:cs="Arial" w:eastAsia="Arial" w:hAnsi="Arial"/>
                <w:sz w:val="17"/>
                <w:szCs w:val="17"/>
                <w:color w:val="auto"/>
              </w:rPr>
              <w:t>July 2015, weighted-average interest rate of 1.5% and 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Convertible subordinated notes payable, interest rate of 5.6%, due April 2010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Convertible subordinated notes payable, face amount of $633 million, interest rate of 2.5%, due February 2010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August 31, 2006, notes payable of $219 million denominated in Japanese yen were at a weighted-average interest rate of 1.2%.</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Company’s TECH subsidiary has a credit facility that enables it to borrow up to $400 million at Singapore Interbank Offered Rate (“SIBOR”) plus 2.5% subject to customary covenants. Amounts borrowed under the facility would be due in quarterly installments through September 2009. As of August 31, 2006, TECH had not borrowed any amounts against the credit facility.</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connection with the acquisition of Lexar in the fourth quarter of 2006, the Company assumed Lexar’s $70 million 5.625% convertible notes due April 1, 2010 (the “Lexar Notes”). The Lexar Notes are convertible into the Company’s common stock any time at the option of the holders of the Notes at a price equal to approximately $11.28 per share and are subject to customary covenants. The Lexar Notes are redeemable for cash at the Company’s option beginning on April 1, 2008, at a price equal to the principal amount plus accrued interest. The Company may only redeem the Lexar Notes if its common stock has exceeded 175% of the conversion price for at least 20 trading days in the 30 consecutive trading days prior to delivery of a notice of redemption. Upon redemption, the Company will be required to make a payment equal to the net present value of the remaining scheduled interest payments through April 1, 2010.</w:t>
      </w:r>
    </w:p>
    <w:p>
      <w:pPr>
        <w:spacing w:after="0" w:line="18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the second quarter of 2006, the Company’s $633 million 2.5% Convertible Subordinated Notes (“Notes”) were converted into 53.7 million shares of the Company’s common stock. In addition, the Company’s related interest rate swap terminated by its terms on February 6, 2006 and, as a result, $35 million of cash pledged as collateral for the swap became unrestricted. On February 14, 2006, the Company terminated its outstanding call spread options covering a total of approximately 53.7 million shares of its common stock (“Call Spread Options”). The Company originally entered into the Call Spread Options in connection with its issuance of the Notes. The Company received $171 million for the settlement of the Call Spread Options. The settlement was accounted for as a capital transaction.</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520" w:firstLine="648"/>
        <w:spacing w:after="0" w:line="291" w:lineRule="auto"/>
        <w:rPr>
          <w:sz w:val="20"/>
          <w:szCs w:val="20"/>
          <w:color w:val="auto"/>
        </w:rPr>
      </w:pPr>
      <w:r>
        <w:rPr>
          <w:rFonts w:ascii="Arial" w:cs="Arial" w:eastAsia="Arial" w:hAnsi="Arial"/>
          <w:sz w:val="16"/>
          <w:szCs w:val="16"/>
          <w:color w:val="auto"/>
        </w:rPr>
        <w:t>In 2005, the Company entered into two yen-dominated loans aggregating 23.5 billion yen ($221 million), payable in semi-annual installments through 2010. The first, a syndicated term loan for 13.5 billion yen bears interest at the 6-month Tokyo Interbank Offered Rate (“TIBOR”) plus 1.25%</w:t>
      </w:r>
    </w:p>
    <w:p>
      <w:pPr>
        <w:ind w:right="140"/>
        <w:spacing w:after="0" w:line="261" w:lineRule="auto"/>
        <w:rPr>
          <w:sz w:val="20"/>
          <w:szCs w:val="20"/>
          <w:color w:val="auto"/>
        </w:rPr>
      </w:pPr>
      <w:r>
        <w:rPr>
          <w:rFonts w:ascii="Arial" w:cs="Arial" w:eastAsia="Arial" w:hAnsi="Arial"/>
          <w:sz w:val="18"/>
          <w:szCs w:val="18"/>
          <w:color w:val="auto"/>
        </w:rPr>
        <w:t>(1.40% as of August 31, 2006). The second loan for 10.0 billion yen bears interest at a fixed rate of 0.95% and is collateralized by certain equipment owned by the Company.</w:t>
      </w:r>
    </w:p>
    <w:p>
      <w:pPr>
        <w:spacing w:after="0" w:line="184"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In 2005, the Company received $161 million in proceeds from sales-leaseback transactions and as a result recorded capital lease obligations aggregating $157 million with a weighted-average imputed interest rate of 6.3%, payable in periodic installments through January 2009.</w:t>
      </w:r>
    </w:p>
    <w:p>
      <w:pPr>
        <w:sectPr>
          <w:pgSz w:w="11900" w:h="16838" w:orient="portrait"/>
          <w:cols w:equalWidth="0" w:num="1">
            <w:col w:w="11420"/>
          </w:cols>
          <w:pgMar w:left="240" w:top="125" w:right="239" w:bottom="0" w:gutter="0" w:footer="0" w:header="0"/>
        </w:sectPr>
      </w:pPr>
    </w:p>
    <w:bookmarkStart w:id="33" w:name="page34"/>
    <w:bookmarkEnd w:id="33"/>
    <w:p>
      <w:pPr>
        <w:ind w:firstLine="648"/>
        <w:spacing w:after="0" w:line="264" w:lineRule="auto"/>
        <w:rPr>
          <w:sz w:val="20"/>
          <w:szCs w:val="20"/>
          <w:color w:val="auto"/>
        </w:rPr>
      </w:pPr>
      <w:r>
        <w:rPr>
          <w:rFonts w:ascii="Arial" w:cs="Arial" w:eastAsia="Arial" w:hAnsi="Arial"/>
          <w:sz w:val="18"/>
          <w:szCs w:val="18"/>
          <w:color w:val="auto"/>
        </w:rPr>
        <w:t>Certain notes payable are collateralized by property, plant and equipment with a carrying value of $184 million as of August 31, 2006. Equipment under capital leases and accumulated amortization thereon were $277 million and $102 million, respectively, as of August 31, 2006, and $254 million and $74 million, respectively, as of September 1, 2005.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August 31, 2006, maturities of notes payable and future minimum lease payments under capital lease obligations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Notes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35"/>
        </w:trPr>
        <w:tc>
          <w:tcPr>
            <w:tcW w:w="8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62"/>
        </w:trPr>
        <w:tc>
          <w:tcPr>
            <w:tcW w:w="8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Payable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Obligations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2012 and thereafter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As of August 31, 2006, the Company had commitments of approximately $1.7 billion for the acquisition of property, plant and equipment. The Company has an agreement to construct a facility to produce photomasks and sell such facility to its MP Mask partner for a negotiated amount. The Company does not expect to incur a loss on such sale. The Company leases certain facilities, equipment and software under operating leases. Total rental expense on all operating leases was $30 million, $23 million and $21 million for 2006, 2005 and 2004, respectively. Minimum future rental commitments under operating leases aggregated $81 million as of August 31, 2006, and are payable as follows: $30 million in 2007; $17 million in 2008; $6 million in 2009; $4 million in 2010; $3 million in 2011 and $21 million in 2012 and thereafter.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The Company also is engaged in patent litigation with Tadahiro Ohmi (“Ohmi”) in the U.S. District Court for the Eastern District of Texas and with Mosaid Technologies, Inc. (“Mosaid”) in both the U.S. District Court for the Northern District of California and the U.S. District Court for the Eastern District of Texas. Among other things, the above lawsuits pertain to certain of the Company’s SDRAM, DDR SDRAM, DDR2 SDRAM, RLDRAM, and image sensor products, which account for a significant portion of net sales.</w:t>
      </w:r>
    </w:p>
    <w:p>
      <w:pPr>
        <w:spacing w:after="0" w:line="39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8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 Subsequent to the commencement of the DOJ investigation, at least eighty-four (seven of which have been dismissed) purported class action lawsuits have been filed against the Company and other DRAM suppliers in various federal and state courts in the United States and in Puerto Rico by direct and indirect purchasers alleging price-fixing in violation of federal and state antitrust laws, violations of state unfair competition law, and/or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The Court has granted plaintiffs’ motion to certify the proposed class of direct purchasers.</w:t>
      </w:r>
    </w:p>
    <w:p>
      <w:pPr>
        <w:spacing w:after="0" w:line="193"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Three purported class action lawsuits also have been filed in Canada, alleging violations of the Canadian Competition Act. The substantive allegations in these cases are similar to those asserted in the cases filed in the United States and Puerto Rico.</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various states, through their Attorneys General, have filed suit against the Company and other DRAM manufacturers. On July 14, 2006,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the Commonwealth of the Northern Mariana Islands, Ohio, Oklahoma, Oregon, Pennsylvania, Rhode Island, South Carolina, Tennessee, Texas, Utah, Vermont, Virginia, Washington, West Virginia, and Wisconsin. The amended complaint, filed September 8, 2006,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w:t>
      </w:r>
    </w:p>
    <w:p>
      <w:pPr>
        <w:sectPr>
          <w:pgSz w:w="11900" w:h="16838" w:orient="portrait"/>
          <w:cols w:equalWidth="0" w:num="1">
            <w:col w:w="11420"/>
          </w:cols>
          <w:pgMar w:left="240" w:top="125" w:right="239" w:bottom="0" w:gutter="0" w:footer="0" w:header="0"/>
        </w:sectPr>
      </w:pPr>
    </w:p>
    <w:bookmarkStart w:id="34" w:name="page35"/>
    <w:bookmarkEnd w:id="34"/>
    <w:p>
      <w:pPr>
        <w:ind w:right="420" w:firstLine="648"/>
        <w:spacing w:after="0" w:line="312" w:lineRule="auto"/>
        <w:rPr>
          <w:sz w:val="20"/>
          <w:szCs w:val="20"/>
          <w:color w:val="auto"/>
        </w:rPr>
      </w:pPr>
      <w:r>
        <w:rPr>
          <w:rFonts w:ascii="Arial" w:cs="Arial" w:eastAsia="Arial" w:hAnsi="Arial"/>
          <w:sz w:val="16"/>
          <w:szCs w:val="16"/>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fully and actively with the DOJ in its investigation of the SRAM industry.</w:t>
      </w:r>
    </w:p>
    <w:p>
      <w:pPr>
        <w:spacing w:after="0" w:line="14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Subsequent to the issuance of subpoenas to the SRAM industry, a number of purported class action lawsuits have been filed against the Company and other SRAM suppliers. Two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eight cases have filed in the U.S. District Court for the Northern District of California and one in the U.S. District Court for the Eastern District of Tennessee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w:t>
      </w:r>
    </w:p>
    <w:p>
      <w:pPr>
        <w:spacing w:after="0" w:line="200" w:lineRule="exact"/>
        <w:rPr>
          <w:sz w:val="20"/>
          <w:szCs w:val="20"/>
          <w:color w:val="auto"/>
        </w:rPr>
      </w:pPr>
    </w:p>
    <w:p>
      <w:pPr>
        <w:spacing w:after="0" w:line="20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21, 2006, the Company entered into an agreement with Tessera Technologies, Inc. settling all outstanding litigation between the companies.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agreement, the Company paid $30 million and received a royalty-bearing license to Tessera’s Compliance Chip technology.</w:t>
      </w:r>
    </w:p>
    <w:p>
      <w:pPr>
        <w:spacing w:after="0" w:line="22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w:t>
      </w:r>
    </w:p>
    <w:p>
      <w:pPr>
        <w:spacing w:after="0" w:line="178"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The Company is unable to predict the outcome of these suits. A court determination against the Company could result in significant liability and could have a material adverse effect on the Company’s business, results of operations or financial condition. (See “Lexar Media, Inc.” note.)</w:t>
      </w:r>
    </w:p>
    <w:p>
      <w:pPr>
        <w:spacing w:after="0" w:line="16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ectPr>
          <w:pgSz w:w="11900" w:h="16838" w:orient="portrait"/>
          <w:cols w:equalWidth="0" w:num="1">
            <w:col w:w="11400"/>
          </w:cols>
          <w:pgMar w:left="240" w:top="125" w:right="259" w:bottom="528" w:gutter="0" w:footer="0" w:header="0"/>
        </w:sectPr>
      </w:pPr>
    </w:p>
    <w:p>
      <w:pPr>
        <w:spacing w:after="0" w:line="37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28"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Redeemable Common Stock</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$68 million in cash. During the first quarter of 2004, Toshiba exercised its option and the Company redeemed the 1.5 million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b w:val="1"/>
          <w:bCs w:val="1"/>
          <w:i w:val="1"/>
          <w:iCs w:val="1"/>
          <w:color w:val="auto"/>
        </w:rPr>
        <w:t xml:space="preserve">Stock Rights: </w:t>
      </w:r>
      <w:r>
        <w:rPr>
          <w:rFonts w:ascii="Arial" w:cs="Arial" w:eastAsia="Arial" w:hAnsi="Arial"/>
          <w:sz w:val="16"/>
          <w:szCs w:val="16"/>
          <w:color w:val="auto"/>
        </w:rPr>
        <w:t>On September 24, 2003, the Company received $450 million, which is included in additional capital in the accompanying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balance sheet, from Intel Corporation (“Intel”) in exchange for the issuance of stock rights exchangeable into approximately 33.9 million shares of the Company’s common stock. On August 21, 2006, Intel disposed of stock rights for 16.9 million shares of the Company’s common stock. The shares issuable pursuant to the remaining stock rights are included in weighted-average common shares outstanding in the computations of earnings per share.</w:t>
      </w:r>
    </w:p>
    <w:p>
      <w:pPr>
        <w:spacing w:after="0" w:line="15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b w:val="1"/>
          <w:bCs w:val="1"/>
          <w:i w:val="1"/>
          <w:iCs w:val="1"/>
          <w:color w:val="auto"/>
        </w:rPr>
        <w:t xml:space="preserve">Common Stock Warrants: </w:t>
      </w:r>
      <w:r>
        <w:rPr>
          <w:rFonts w:ascii="Arial" w:cs="Arial" w:eastAsia="Arial" w:hAnsi="Arial"/>
          <w:sz w:val="16"/>
          <w:szCs w:val="16"/>
          <w:color w:val="auto"/>
        </w:rPr>
        <w:t>In of 2001, the Company received $480 million from the issuance of warrants to purchase 29.1 million shares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August 31, 2006, there have been no exercises of warrants and all warrants issued remain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August 31, 2006, the Company had an aggregate of 164.9 million shares of its common stock reserved for issuance under its various equity plans, of which 126.2 million shares were subject to outstanding awards and 38.7 million shares were available for future grants. Awards are subject to terms and conditions as determined by the Company’s Board of Directors.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granted by the Company are generally exercisable in increments of 25% during each year of employment beginning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year from the date of grant. Stock options issued prior to January 19, 1998, and after September 22, 2004, generally expire six years from the date of grant. All other options expire ten years from date of grant.</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connection with the Company’s acquisition of Lexar on June 21, 2006, the Company assumed Lexar options, which were converted into options to purchase 6.6 million shares of the Company’s common stock. (See “Lexar Media, Inc.” note.)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activity for 2006 is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shares</w:t>
            </w:r>
          </w:p>
        </w:tc>
        <w:tc>
          <w:tcPr>
            <w:tcW w:w="140" w:type="dxa"/>
            <w:vAlign w:val="bottom"/>
          </w:tcPr>
          <w:p>
            <w:pPr>
              <w:spacing w:after="0"/>
              <w:rPr>
                <w:sz w:val="11"/>
                <w:szCs w:val="11"/>
                <w:color w:val="auto"/>
              </w:rPr>
            </w:pP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7"/>
              </w:rPr>
              <w:t>exercise price</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contractual life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per 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1,2005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13.77</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Assumed Lexar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11.34</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Cancelled or expired</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August 31, 2006</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20.02</w:t>
            </w: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w:t>
            </w:r>
          </w:p>
        </w:tc>
        <w:tc>
          <w:tcPr>
            <w:tcW w:w="4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329</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Exercisable at August 31, 2006</w:t>
            </w:r>
          </w:p>
        </w:tc>
        <w:tc>
          <w:tcPr>
            <w:tcW w:w="1180" w:type="dxa"/>
            <w:vAlign w:val="bottom"/>
          </w:tcPr>
          <w:p>
            <w:pPr>
              <w:jc w:val="right"/>
              <w:spacing w:after="0"/>
              <w:rPr>
                <w:sz w:val="20"/>
                <w:szCs w:val="20"/>
                <w:color w:val="auto"/>
              </w:rPr>
            </w:pPr>
            <w:r>
              <w:rPr>
                <w:rFonts w:ascii="Arial" w:cs="Arial" w:eastAsia="Arial" w:hAnsi="Arial"/>
                <w:sz w:val="18"/>
                <w:szCs w:val="18"/>
                <w:color w:val="auto"/>
              </w:rPr>
              <w:t>109.6</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20.92</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options outstanding as of August 31, 2006: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Outstanding options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Exercisable options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rPr>
              <w:t>Weighted-</w:t>
            </w:r>
          </w:p>
        </w:tc>
        <w:tc>
          <w:tcPr>
            <w:tcW w:w="180" w:type="dxa"/>
            <w:vAlign w:val="bottom"/>
          </w:tcPr>
          <w:p>
            <w:pPr>
              <w:spacing w:after="0"/>
              <w:rPr>
                <w:sz w:val="8"/>
                <w:szCs w:val="8"/>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remaining</w:t>
            </w:r>
          </w:p>
        </w:tc>
        <w:tc>
          <w:tcPr>
            <w:tcW w:w="180" w:type="dxa"/>
            <w:vAlign w:val="bottom"/>
          </w:tcPr>
          <w:p>
            <w:pPr>
              <w:spacing w:after="0"/>
              <w:rPr>
                <w:sz w:val="11"/>
                <w:szCs w:val="11"/>
                <w:color w:val="auto"/>
              </w:rPr>
            </w:pPr>
          </w:p>
        </w:tc>
        <w:tc>
          <w:tcPr>
            <w:tcW w:w="128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of shares</w:t>
            </w:r>
          </w:p>
        </w:tc>
        <w:tc>
          <w:tcPr>
            <w:tcW w:w="26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contractual life</w:t>
            </w:r>
          </w:p>
        </w:tc>
        <w:tc>
          <w:tcPr>
            <w:tcW w:w="180" w:type="dxa"/>
            <w:vAlign w:val="bottom"/>
          </w:tcPr>
          <w:p>
            <w:pPr>
              <w:spacing w:after="0"/>
              <w:rPr>
                <w:sz w:val="11"/>
                <w:szCs w:val="11"/>
                <w:color w:val="auto"/>
              </w:rPr>
            </w:pPr>
          </w:p>
        </w:tc>
        <w:tc>
          <w:tcPr>
            <w:tcW w:w="12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exercise</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of shares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62"/>
        </w:trPr>
        <w:tc>
          <w:tcPr>
            <w:tcW w:w="4400" w:type="dxa"/>
            <w:vAlign w:val="bottom"/>
            <w:gridSpan w:val="3"/>
            <w:vMerge w:val="continue"/>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$0.34 - $14.02</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14.03 - 22.83</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23.25 - 34.06</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34.09 - 40.06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36.87</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40.57 - 96.56</w:t>
            </w:r>
          </w:p>
        </w:tc>
        <w:tc>
          <w:tcPr>
            <w:tcW w:w="2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2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20.02</w:t>
            </w:r>
          </w:p>
        </w:tc>
        <w:tc>
          <w:tcPr>
            <w:tcW w:w="2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69" w:right="239" w:bottom="0" w:gutter="0" w:footer="0" w:header="0"/>
        </w:sectPr>
      </w:pPr>
    </w:p>
    <w:bookmarkStart w:id="36" w:name="page37"/>
    <w:bookmarkEnd w:id="36"/>
    <w:p>
      <w:pPr>
        <w:spacing w:after="0" w:line="66" w:lineRule="exact"/>
        <w:rPr>
          <w:sz w:val="20"/>
          <w:szCs w:val="20"/>
          <w:color w:val="auto"/>
        </w:rPr>
      </w:pPr>
    </w:p>
    <w:p>
      <w:pPr>
        <w:ind w:right="140" w:firstLine="630"/>
        <w:spacing w:after="0" w:line="286" w:lineRule="auto"/>
        <w:rPr>
          <w:sz w:val="20"/>
          <w:szCs w:val="20"/>
          <w:color w:val="auto"/>
        </w:rPr>
      </w:pPr>
      <w:r>
        <w:rPr>
          <w:rFonts w:ascii="Arial" w:cs="Arial" w:eastAsia="Arial" w:hAnsi="Arial"/>
          <w:sz w:val="17"/>
          <w:szCs w:val="17"/>
          <w:color w:val="auto"/>
        </w:rPr>
        <w:t>The weighted-average grant-date fair value per share was $5.92, $5.10 and $8.30 for options granted during 2006, 2005 and 2004, respectively. The weighted-average convert-date fair value per share for assumed Lexar options was $9.58. The total intrinsic value was $46 million, $3 million for options exercised during 2006 and 2004, respectively. The total intrinsic value for options exercised during 2005 was de minimus.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the Company’s nonvested options for 2006 are summarized as follows:</w:t>
      </w:r>
    </w:p>
    <w:p>
      <w:pPr>
        <w:spacing w:after="0" w:line="187" w:lineRule="exact"/>
        <w:rPr>
          <w:sz w:val="20"/>
          <w:szCs w:val="20"/>
          <w:color w:val="auto"/>
        </w:rPr>
      </w:pPr>
    </w:p>
    <w:tbl>
      <w:tblPr>
        <w:tblLayout w:type="fixed"/>
        <w:tblInd w:w="25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shares</w:t>
            </w:r>
          </w:p>
        </w:tc>
        <w:tc>
          <w:tcPr>
            <w:tcW w:w="60" w:type="dxa"/>
            <w:vAlign w:val="bottom"/>
          </w:tcPr>
          <w:p>
            <w:pPr>
              <w:spacing w:after="0"/>
              <w:rPr>
                <w:sz w:val="11"/>
                <w:szCs w:val="11"/>
                <w:color w:val="auto"/>
              </w:rPr>
            </w:pP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1, 2005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Assumed Lexar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Nonvested at August 31, 2006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August 31, 2006, there was $57 million of total unrecognized compensation cost related to nonvested stock options, which is expected to be recognized over a weighted-average period of 1.6 years. The Company expects substantially all of its nonvested options to vest. The Company’s nonvested options as of August 31, 2006, have a weighted-average exercise price of $13.08, a weighted-average remaining contractual life of 5.6 years and an aggregate intrinsic value of $60 million.</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fair value of each option award is estimated as of the date of grant using the Black-Scholes model. Expected volatilities are based on implied volatilities from traded options on the Company’s stock and historical volatility. The expected life of options granted is based on historical experience and on the terms and conditions of the options. The risk-free rates are based on the U.S. Treasury yield in effect at the time of the grant. For purposes of this valuation model, no dividends have been assumed. 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Assumptions used in the Black-Scholes model are presented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520" w:type="dxa"/>
            <w:vAlign w:val="bottom"/>
            <w:gridSpan w:val="2"/>
          </w:tcPr>
          <w:p>
            <w:pPr>
              <w:ind w:left="2940"/>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8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352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Expected volatility</w:t>
            </w:r>
          </w:p>
        </w:tc>
        <w:tc>
          <w:tcPr>
            <w:tcW w:w="3520" w:type="dxa"/>
            <w:vAlign w:val="bottom"/>
            <w:gridSpan w:val="2"/>
          </w:tcPr>
          <w:p>
            <w:pPr>
              <w:ind w:left="2660"/>
              <w:spacing w:after="0"/>
              <w:rPr>
                <w:sz w:val="20"/>
                <w:szCs w:val="20"/>
                <w:color w:val="auto"/>
              </w:rPr>
            </w:pPr>
            <w:r>
              <w:rPr>
                <w:rFonts w:ascii="Arial" w:cs="Arial" w:eastAsia="Arial" w:hAnsi="Arial"/>
                <w:sz w:val="18"/>
                <w:szCs w:val="18"/>
                <w:color w:val="auto"/>
              </w:rPr>
              <w:t>42%-48%</w:t>
            </w: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352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gridSpan w:val="2"/>
          </w:tcPr>
          <w:p>
            <w:pPr>
              <w:ind w:left="2660"/>
              <w:spacing w:after="0"/>
              <w:rPr>
                <w:sz w:val="20"/>
                <w:szCs w:val="20"/>
                <w:color w:val="auto"/>
              </w:rPr>
            </w:pPr>
            <w:r>
              <w:rPr>
                <w:rFonts w:ascii="Arial" w:cs="Arial" w:eastAsia="Arial" w:hAnsi="Arial"/>
                <w:sz w:val="18"/>
                <w:szCs w:val="18"/>
                <w:color w:val="auto"/>
                <w:w w:val="95"/>
              </w:rPr>
              <w:t>3.9%-5.2%</w:t>
            </w: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50</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580" w:type="dxa"/>
            <w:vAlign w:val="bottom"/>
            <w:tcBorders>
              <w:bottom w:val="single" w:sz="8" w:color="010101"/>
            </w:tcBorders>
          </w:tcPr>
          <w:p>
            <w:pPr>
              <w:spacing w:after="0"/>
              <w:rPr>
                <w:sz w:val="24"/>
                <w:szCs w:val="24"/>
                <w:color w:val="auto"/>
              </w:rPr>
            </w:pPr>
          </w:p>
        </w:tc>
        <w:tc>
          <w:tcPr>
            <w:tcW w:w="252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As of August 31, 2006, there were 2.3 million shares of restricted stock and restricted stock units outstanding, of which 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were performance-based restricted stock awards. For service-based restricted stock awards, restrictions generally lapse either in one-fourth or one-third increments during each year of employment after the grant date. For performance-based restricted stock awards, vesting is contingent upon meeting certain Company-wide performance goals. Restricted stock activity for 2006 and 2005 is summarized as follows:</w:t>
      </w:r>
    </w:p>
    <w:p>
      <w:pPr>
        <w:spacing w:after="0" w:line="150"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end of period</w:t>
            </w:r>
          </w:p>
        </w:tc>
        <w:tc>
          <w:tcPr>
            <w:tcW w:w="6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Aggregate value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Weighted-average remaining contractual life</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 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7"/>
              </w:rPr>
              <w:t>2.2 years</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weighted-average grant-date fair value per share was $13.04 and $12.17 for restricted stock awards granted during 2006 and 2005, respectively. The total value of awards for which restrictions lapsed during the 2006 was $2 million. As of August 31, 2006, there was $20 million of total unrecognized compensation cost, related to nonvested restricted stock and stock units awards, which is expected to be recognized over a weighted-average period of 1.1 year.</w:t>
      </w:r>
    </w:p>
    <w:p>
      <w:pPr>
        <w:spacing w:after="0" w:line="187"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b w:val="1"/>
          <w:bCs w:val="1"/>
          <w:i w:val="1"/>
          <w:iCs w:val="1"/>
          <w:color w:val="auto"/>
        </w:rPr>
        <w:t xml:space="preserve">Stock Purchase Plan: </w:t>
      </w:r>
      <w:r>
        <w:rPr>
          <w:rFonts w:ascii="Arial" w:cs="Arial" w:eastAsia="Arial" w:hAnsi="Arial"/>
          <w:sz w:val="16"/>
          <w:szCs w:val="16"/>
          <w:color w:val="auto"/>
        </w:rPr>
        <w:t>The Company’s 1989 Employee Stock Purchase Plan (“ESPP”) allows eligible employees to purchase shares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common stock through payroll deductions. Prior to July 1, 2005, shares could be purchased at 85% of the lower of the beginning or ending closing stock prices of each quarterly offering period. After July 1, 2005, shares can be purchased at 95% of the ending closing stock price of each offering quarterly period. Shares can be resold when purchased. Purchases are limited to 20% of an employee’s eligible compensation. As of August 31, 2006, 26.8 million shares of the Company’s common stock had been issued under the ESPP and 2.7 million shares were available for future issuance under the plan.</w:t>
      </w:r>
    </w:p>
    <w:p>
      <w:pPr>
        <w:spacing w:after="0" w:line="15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Non-Employee Director Stock Incentive Plan: </w:t>
      </w:r>
      <w:r>
        <w:rPr>
          <w:rFonts w:ascii="Arial" w:cs="Arial" w:eastAsia="Arial" w:hAnsi="Arial"/>
          <w:sz w:val="18"/>
          <w:szCs w:val="18"/>
          <w:color w:val="auto"/>
        </w:rPr>
        <w:t>As of August 31, 2006, 44,687 shares of the Company’s common stock had been issued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1998 Non-Employee Director Stock Incentive Plan (“DSIP”) and 455,313 shares were reserved for future issuance under the plan. Shares are issued under the DSIP as compensation to non-employee directors of the Company.</w:t>
      </w:r>
    </w:p>
    <w:p>
      <w:pPr>
        <w:sectPr>
          <w:pgSz w:w="11900" w:h="16904" w:orient="portrait"/>
          <w:cols w:equalWidth="0" w:num="1">
            <w:col w:w="11460"/>
          </w:cols>
          <w:pgMar w:left="240" w:top="125" w:right="199" w:bottom="0" w:gutter="0" w:footer="0" w:header="0"/>
        </w:sectPr>
      </w:pPr>
    </w:p>
    <w:bookmarkStart w:id="37" w:name="page38"/>
    <w:bookmarkEnd w:id="37"/>
    <w:p>
      <w:pPr>
        <w:ind w:left="660"/>
        <w:spacing w:after="0"/>
        <w:rPr>
          <w:sz w:val="20"/>
          <w:szCs w:val="20"/>
          <w:color w:val="auto"/>
        </w:rPr>
      </w:pPr>
      <w:r>
        <w:rPr>
          <w:rFonts w:ascii="Arial" w:cs="Arial" w:eastAsia="Arial" w:hAnsi="Arial"/>
          <w:sz w:val="16"/>
          <w:szCs w:val="16"/>
          <w:b w:val="1"/>
          <w:bCs w:val="1"/>
          <w:i w:val="1"/>
          <w:iCs w:val="1"/>
          <w:color w:val="auto"/>
        </w:rPr>
        <w:t xml:space="preserve">Stock-Based Compensation Expense: </w:t>
      </w:r>
      <w:r>
        <w:rPr>
          <w:rFonts w:ascii="Arial" w:cs="Arial" w:eastAsia="Arial" w:hAnsi="Arial"/>
          <w:sz w:val="16"/>
          <w:szCs w:val="16"/>
          <w:color w:val="auto"/>
        </w:rPr>
        <w:t>Total compensation cost for the Company’s stock plans in 2006 was $26 million and included the following:</w:t>
      </w:r>
    </w:p>
    <w:p>
      <w:pPr>
        <w:spacing w:after="0" w:line="226"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Stock-based compensation expense by type of award: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Restricted stock</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effect of the application of SFAS No. 123(R) in 2006 was a reduction of $16 million in operating income, income before taxes and net income, resulting in a $0.02 reduction in basic and diluted earnings per share. Stock-based compensation expense of $1 million was capitalized and remained in inventory at the end of 2006. As of August 31, 2006, $77 million of total unrecognized compensation costs related to non-vested awards is expected to be recognized over a weighted-average period of 1.5 years.</w:t>
      </w:r>
    </w:p>
    <w:p>
      <w:pPr>
        <w:spacing w:after="0" w:line="18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Through 2005, the Company accounted for its stock plans using the intrinsic value method prescribed by APB Opinion No. 25, “Accounting for Stock Issued to Employees,” and related Interpretations and provided the required pro forma disclosures of SFAS No. 123, “Accounting for Stock-Based Compensation.” The following presents pro forma income and per share data as if a fair value based method had been used to account for stock-based compensation for 2005 and 2004: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Stock-based employee compensation expense included in reported net income, net of tax</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w w:val="94"/>
              </w:rPr>
              <w:t>Less total stock-based employee compensation expense determined under a fair value-based method for all awards, net of tax</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net loss available to common shareholders</w:t>
            </w:r>
          </w:p>
        </w:tc>
        <w:tc>
          <w:tcPr>
            <w:tcW w:w="4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as reported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Basic, pro forma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Diluted, as reported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pro forma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(0.07)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Stock-based compensation expense in the above presentation does not reflect any significant income taxes, which is consistent with the Company’s treatment of income or loss from its U.S. operations. (See “Income Taxes” note.) In 2005, the Company accelerated the vesting of substantially all of its unvested stock options then outstanding under the Company’s stock plans to reduce compensation costs recognized subsequent to the adoption of SFAS 123(R).</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Assumptions used in the Black-Scholes option valuation model to estimate the value of the Company’s options included in pro forma amounts for 2005 and 2004 are presented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Stock option</w:t>
            </w:r>
          </w:p>
        </w:tc>
        <w:tc>
          <w:tcPr>
            <w:tcW w:w="18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Employee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22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89"/>
              </w:rPr>
              <w:t>plan shares</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9"/>
              </w:rPr>
              <w:t>Purchase plan shares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79"/>
              <w:spacing w:after="0" w:line="129"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(zero coupon U.S. Treasury note)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Savings Plan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has a 401(k) retirement plan (“RAM Plan”) under which U.S. employees may contribute up to 45% of their eligible pay (subject to IRS annual contribution limits) to various savings alternatives, none of which include direct investment in the Company’s common stock. Under the plan, the Company matches in cash eligible contributions from employees up to 3% of the employee’s annual eligible earnings, or $1,500, whichever is greater. The Company may provide additional contributions based on its financial performance. Contribution expense for the Company’s RAM Plan was $26 million, $18 million and $14 million in 2006, 2005 and 2004, respectively.</w:t>
      </w:r>
    </w:p>
    <w:p>
      <w:pPr>
        <w:sectPr>
          <w:pgSz w:w="11900" w:h="16838" w:orient="portrait"/>
          <w:cols w:equalWidth="0" w:num="1">
            <w:col w:w="11420"/>
          </w:cols>
          <w:pgMar w:left="240" w:top="125" w:right="239" w:bottom="0" w:gutter="0" w:footer="0" w:header="0"/>
        </w:sectPr>
      </w:pPr>
    </w:p>
    <w:bookmarkStart w:id="38" w:name="page39"/>
    <w:bookmarkEnd w:id="38"/>
    <w:p>
      <w:pPr>
        <w:spacing w:after="0" w:line="1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Other operating income for 2006 includes $230 million of net proceeds for the sale of the Company’s existing NAND flash memory designs and certain related technology to Intel net of amounts paid by the Company for a perpetual, paid-up license to use and modify such designs. Other operating income for 2006 also includes $23 million in additional amounts expected to be reimbursed resulting from the extension of an economic development agreement, which allows the Company to recover amounts relating to certain investments in the IMFT Lehi facility. Other operating income for 2005 includes gains net of losses on disposals of semiconductor equipment of $13 million and $12 million in receipts from the U.S. Government in connection with anti-dumping tariffs. Other operating expense for 2004 includes losses of $17 million from changes in currency exchange rates. Other operating income for 2004 includes $7 million from the Commonwealth of Virginia for meeting investment commitments at the Virginia wafer fabrication facility and net gains of $4 million on write-downs and disposals of semiconductor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(loss) before taxes and the income tax (provision) benefit consisted of the following:</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U.S.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$ 351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108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tcPr>
          <w:p>
            <w:pPr>
              <w:spacing w:after="0"/>
              <w:rPr>
                <w:sz w:val="21"/>
                <w:szCs w:val="21"/>
                <w:color w:val="auto"/>
              </w:rPr>
            </w:pPr>
          </w:p>
        </w:tc>
        <w:tc>
          <w:tcPr>
            <w:tcW w:w="18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433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199</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 (12)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Foreign</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ind w:left="160"/>
              <w:spacing w:after="0" w:line="196" w:lineRule="exact"/>
              <w:rPr>
                <w:sz w:val="20"/>
                <w:szCs w:val="20"/>
                <w:color w:val="auto"/>
              </w:rPr>
            </w:pPr>
            <w:r>
              <w:rPr>
                <w:rFonts w:ascii="Arial" w:cs="Arial" w:eastAsia="Arial" w:hAnsi="Arial"/>
                <w:sz w:val="18"/>
                <w:szCs w:val="18"/>
                <w:color w:val="auto"/>
              </w:rPr>
              <w:t>Deferred:</w:t>
            </w: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federal</w:t>
            </w:r>
          </w:p>
        </w:tc>
        <w:tc>
          <w:tcPr>
            <w:tcW w:w="1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State</w:t>
            </w:r>
          </w:p>
        </w:tc>
        <w:tc>
          <w:tcPr>
            <w:tcW w:w="18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 tax (provision)</w:t>
            </w:r>
          </w:p>
        </w:tc>
        <w:tc>
          <w:tcPr>
            <w:tcW w:w="18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Company’s income tax (provision) computed using the U.S. federal statutory rate and the Company’s income tax (provision) benefit is reconciled as follows:</w:t>
      </w:r>
    </w:p>
    <w:p>
      <w:pPr>
        <w:spacing w:after="0" w:line="149"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5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5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(provision) benefit at statutory rate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Foreign operations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Export sales benefit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Resolution of tax matters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taxes reflect investment tax credits of $23 million, $14 million and $9 million for 2006, 2005 and 2004, respectively.</w:t>
      </w: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bases of assets and liabilities for financial reporting and income tax purposes. The Company’s deferred tax assets and liabilities consist of the following as of the end of the periods shown below:</w:t>
      </w:r>
    </w:p>
    <w:p>
      <w:pPr>
        <w:spacing w:after="0" w:line="102" w:lineRule="exact"/>
        <w:rPr>
          <w:sz w:val="20"/>
          <w:szCs w:val="20"/>
          <w:color w:val="auto"/>
        </w:rPr>
      </w:pPr>
    </w:p>
    <w:p>
      <w:pPr>
        <w:ind w:left="8340"/>
        <w:spacing w:after="0"/>
        <w:tabs>
          <w:tab w:leader="none" w:pos="906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6350</wp:posOffset>
            </wp:positionV>
            <wp:extent cx="805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ectPr>
          <w:pgSz w:w="11900" w:h="16857" w:orient="portrait"/>
          <w:cols w:equalWidth="0" w:num="1">
            <w:col w:w="11400"/>
          </w:cols>
          <w:pgMar w:left="240" w:top="125" w:right="259" w:bottom="0" w:gutter="0" w:footer="0" w:header="0"/>
        </w:sectPr>
      </w:pP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Net operating loss and credit carryforwards</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  929</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$ 1,202</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differences in investments in joint ventures</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bl>
    <w:p>
      <w:pPr>
        <w:sectPr>
          <w:pgSz w:w="11900" w:h="16857" w:orient="portrait"/>
          <w:cols w:equalWidth="0" w:num="1">
            <w:col w:w="11400"/>
          </w:cols>
          <w:pgMar w:left="240" w:top="125" w:right="259" w:bottom="0" w:gutter="0" w:footer="0" w:header="0"/>
          <w:type w:val="continuous"/>
        </w:sectPr>
      </w:pPr>
    </w:p>
    <w:bookmarkStart w:id="39" w:name="page40"/>
    <w:bookmarkEnd w:id="39"/>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Accrued product and process technology</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Gross deferred tax assets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tax assets, net of valuation allowance</w:t>
            </w:r>
          </w:p>
        </w:tc>
        <w:tc>
          <w:tcPr>
            <w:tcW w:w="13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over book depreciation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Unremitted earnings on certain subsidiaries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and process technology</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Reported as: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Current deferred tax assets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deferred tax assets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Noncurrent deferred tax liabilities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has a valuation allowance against substantially all of its U.S. net deferred tax assets. As of August 31, 2006, the Company had aggregate U.S. tax net operating loss carryforwards of $1.7 billion and unused U.S. tax credit carryforwards of $164 million. The Company also has unused state tax net operating loss carryforwards of $1.4 billion and unused state tax credits of $163 million. During 2006, the Company utilized approximately $1.1 billion of its U.S. tax net operating loss carryforwards as a result of IMFT, MP Mask and related transactions. Substantially all of the net operating loss carryforwards expire in 2022 to 2025 and substantially all of the tax credit carryforwards expire in 2013 to 2026.</w:t>
      </w:r>
    </w:p>
    <w:p>
      <w:pPr>
        <w:spacing w:after="0" w:line="17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changes in valuation allowance of $(114) million and $25 million in 2006 and 2005, respectively, are primarily due to uncertainties of realizing certain U.S. net operating losses and certain tax credit carryforwards. The change in the valuation allowance in 2006 and 2005 includes $12 million and $2 million, respectively, for stock plan deductions, which will be credited to additional capital if realized.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Remaining undistributed earnings of $686 million as of August 31, 2006, have been indefinitely reinvested; therefore, no provision has been made for taxes due upon remittance of these earnings. Determination of the amount of unrecognized deferred tax liability on these unremitted earnings is not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2006</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 – Basic</w:t>
            </w: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effect of assumed conversion of debt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 – Diluted</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7"/>
                <w:szCs w:val="17"/>
                <w:color w:val="auto"/>
              </w:rPr>
              <w:t>– Basic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effect of dilutive stock options and assumed conversion of debt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7"/>
                <w:szCs w:val="17"/>
                <w:color w:val="auto"/>
              </w:rPr>
              <w:t>– Diluted</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$ 0.59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$ 0.29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As of August 31, 2006, Intel held stock rights that are exchangeable into approximately 16.9 million shares of the Company’s common stock. The shares issuable pursuant to the stock rights are considered outstanding common shares in the computations of basic and diluted earnings per share. (See “Shareholders’ Equity </w:t>
      </w:r>
      <w:r>
        <w:rPr>
          <w:rFonts w:ascii="Arial" w:cs="Arial" w:eastAsia="Arial" w:hAnsi="Arial"/>
          <w:sz w:val="17"/>
          <w:szCs w:val="17"/>
          <w:color w:val="auto"/>
        </w:rPr>
        <w:t>– Stock Rights” note.)</w:t>
      </w:r>
    </w:p>
    <w:p>
      <w:pPr>
        <w:sectPr>
          <w:pgSz w:w="11900" w:h="16838" w:orient="portrait"/>
          <w:cols w:equalWidth="0" w:num="1">
            <w:col w:w="11380"/>
          </w:cols>
          <w:pgMar w:left="240" w:top="125" w:right="279" w:bottom="137" w:gutter="0" w:footer="0" w:header="0"/>
        </w:sectPr>
      </w:pPr>
    </w:p>
    <w:bookmarkStart w:id="40" w:name="page41"/>
    <w:bookmarkEnd w:id="40"/>
    <w:p>
      <w:pPr>
        <w:ind w:right="160" w:firstLine="648"/>
        <w:spacing w:after="0" w:line="277" w:lineRule="auto"/>
        <w:rPr>
          <w:sz w:val="20"/>
          <w:szCs w:val="20"/>
          <w:color w:val="auto"/>
        </w:rPr>
      </w:pPr>
      <w:r>
        <w:rPr>
          <w:rFonts w:ascii="Arial" w:cs="Arial" w:eastAsia="Arial" w:hAnsi="Arial"/>
          <w:sz w:val="18"/>
          <w:szCs w:val="18"/>
          <w:color w:val="auto"/>
        </w:rPr>
        <w:t>Listed below are the potential common shares, as of the end of the periods shown below, that could dilute basic earnings per share in the future that were not included in the computation of diluted earnings per share because to do so would have been antidilutive:</w:t>
      </w:r>
    </w:p>
    <w:p>
      <w:pPr>
        <w:spacing w:after="0" w:line="149"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plans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Convertible subordinated notes payable</w:t>
            </w: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Media, Inc.</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On June 21, 2006, the Company acquired Lexar, a designer, developer, manufacturer and marketer of flash memory products, in a stock for stock merger to broaden the Company’s NAND product offering, enhance its retail presence and strengthen its portfolio of intellectual property. Pursuant to the terms of the merger agreement, each issued and outstanding share of common stock of Lexar was converted into 0.5925 shares of Micron’s common stock (the “Exchange Ratio”), and each issued, outstanding and unexercised Lexar employee stock option with an exercise price per share of $9.54 or less was converted into a Micron employee stock option using the Exchange Ratio. In connection therewith, the Company issued 50.7 million shares of common stock, issued 6.6 million stock options and incurred other acquisition costs resulting in an aggregate purchase price of $886 million. The Company’s results of operations for 2006 include the results of Lexar, which are included in the Company’s Memory segment, for the period subsequent to the acquisition date.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$886 million purchase price was allocated to the assets and liabilities of Lexar based on a preliminary estimate of fair values as follows:</w:t>
      </w:r>
    </w:p>
    <w:p>
      <w:pPr>
        <w:spacing w:after="0" w:line="240"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$ 101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Receivables ($179 of which was is classified as noncurrent)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Intangible assets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Aggregate purchase price</w:t>
            </w: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 xml:space="preserve"> 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of June 21, 2006, the estimated fair value of Lexar’s convertible debt exceeded its face value by $43 million. The convertible debt was recorded at its $70 million face value and the $43 million excess, which, in substance, represents a capital transaction, was recorded in the accompanying consolidated financial statements as additional capital in accordance with APB Opinion No. 14.</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Effective September 15, 2006, the Company and Toshiba Corporation entered into agreements settling all outstanding NAND flash memory-related litigation between the companies. Toshiba purchased certain of the Company’s semiconductor technology patents and licensed certain patents previously owned by Lexar. The Company will receive payments totaling $288 million over three years, substantial portion of which is reflected in the Company’s purchase accounting for Lexar at an imputed interest rate of 5.9%.</w:t>
      </w:r>
    </w:p>
    <w:p>
      <w:pPr>
        <w:spacing w:after="0" w:line="18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following unaudited pro forma information presents the consolidated results of operations of the Company as if the acquisition of Lexar had taken place at the beginning of 2006 and at the beginning of 2005. The pro forma information does not necessary reflect the actual results that would have occurred nor is it necessarily indicative of future results of operations.</w:t>
      </w:r>
    </w:p>
    <w:p>
      <w:pPr>
        <w:spacing w:after="0" w:line="15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88"/>
              </w:rPr>
              <w:t>5,746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7"/>
              <w:spacing w:after="0"/>
              <w:rPr>
                <w:sz w:val="20"/>
                <w:szCs w:val="20"/>
                <w:color w:val="auto"/>
              </w:rPr>
            </w:pPr>
            <w:r>
              <w:rPr>
                <w:rFonts w:ascii="Arial" w:cs="Arial" w:eastAsia="Arial" w:hAnsi="Arial"/>
                <w:sz w:val="18"/>
                <w:szCs w:val="18"/>
                <w:color w:val="auto"/>
              </w:rPr>
              <w:t>0.35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9" w:lineRule="exact"/>
        <w:rPr>
          <w:sz w:val="20"/>
          <w:szCs w:val="20"/>
          <w:color w:val="auto"/>
        </w:rPr>
      </w:pPr>
    </w:p>
    <w:p>
      <w:pPr>
        <w:ind w:firstLine="630"/>
        <w:spacing w:after="0" w:line="270" w:lineRule="auto"/>
        <w:rPr>
          <w:sz w:val="20"/>
          <w:szCs w:val="20"/>
          <w:color w:val="auto"/>
        </w:rPr>
      </w:pPr>
      <w:r>
        <w:rPr>
          <w:rFonts w:ascii="Arial" w:cs="Arial" w:eastAsia="Arial" w:hAnsi="Arial"/>
          <w:sz w:val="17"/>
          <w:szCs w:val="17"/>
          <w:b w:val="1"/>
          <w:bCs w:val="1"/>
          <w:i w:val="1"/>
          <w:iCs w:val="1"/>
          <w:color w:val="auto"/>
        </w:rPr>
        <w:t xml:space="preserve">IM Flash Technologies, LLC (“IMFT”): </w:t>
      </w:r>
      <w:r>
        <w:rPr>
          <w:rFonts w:ascii="Arial" w:cs="Arial" w:eastAsia="Arial" w:hAnsi="Arial"/>
          <w:sz w:val="17"/>
          <w:szCs w:val="17"/>
          <w:color w:val="auto"/>
        </w:rPr>
        <w:t>IMFT, which began operations on January 6, 2006, is a joint venture between the Company and Intel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formed to manufacture NAND Flash memory products for the exclusive benefit of its partners. In connection with the formation of IMFT, the Company contributed land and facilities in Lehi, Utah, a fully paid lease of a portion of the Company’s manufacturing facility in Manassas, Virginia, a wafer supply agreement to be supported by the Company’s operations located in Boise, Idaho and $250 million in cash. The aggregate fair value of these contributions was $1.245 billion. In connection with the contribution of land and facilities in Lehi, Utah, the Company recorded a $2 million gain in the second quarter of 2006, which is included in other non-operating income in the accompanying consolidated statement of operations. Intel contributed $1.196 billion in cash and notes to IMFT. As a result of these contributions, the Company owns 51% and Intel owns 49% of IMFT. The parties share the output of IMFT generally in proportion to their ownership in IMFT. Notes receivable from Intel in the amount of $261 million, for its contribution to IMFT, are accounted for as a reduction to noncontrolling interest and are not included in receivables as of August 31, 2006.</w:t>
      </w:r>
    </w:p>
    <w:p>
      <w:pPr>
        <w:sectPr>
          <w:pgSz w:w="11900" w:h="16838" w:orient="portrait"/>
          <w:cols w:equalWidth="0" w:num="1">
            <w:col w:w="11420"/>
          </w:cols>
          <w:pgMar w:left="240" w:top="125" w:right="239" w:bottom="245"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Under the terms of the lease, IMFT has the use of approximately 50% of the Company’s manufacturing facility in Manassas, Virginia for a period of 10 years. IMFT purchases and installs manufacturing equipment into the leased facility which is operated and maintained by the Company. The cost of operating and maintaining the equipment is charged to IMFT. Under the terms of a wafer supply agreement, the Company manufactures wafers for IMFT in its Boise, Idaho facility for a period of five years.</w:t>
      </w:r>
    </w:p>
    <w:p>
      <w:pPr>
        <w:spacing w:after="0" w:line="187"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IMFT manufactures NAND Flash memory products based on NAND Flash designs developed by the Company and Intel and licensed to the Company. Product design and other research and development costs for NAND Flash are shared equally among the Company and Intel. In the second quarter of 2006, the Company received net proceeds of $230 million from Intel for the sale of the Company’s existing NAND Flash memory designs and certain related technology and the Company’s acquisition of a perpetual, paid-up license to use and modify such designs.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and Intel entered into various service contracts with IMFT under which they provide operational and administrative support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Intel generally charge IMFT for costs of providing such services.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has determined that IMFT is a variable interest entity as defined in FASB Interpretation No. 46(R), “Consolidation of Variable Interest Entities,” and that the Company is the primary beneficiary. Accordingly, IMFT’s financial results are included in the accompanying consolidated financial statements of the Company. All amounts pertaining to Intel’s interests in IMFT are reported as noncontrolling interest.</w:t>
      </w:r>
    </w:p>
    <w:p>
      <w:pPr>
        <w:spacing w:after="0" w:line="166"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is obligated to provide certain NAND Flash memory products to Apple Computer, Inc. (“Apple”) until December 31, 2010, pursuant to a NAND Flash supply agreement. In connection with the obligation, Apple made a prepayment of $250 million to the Company in the second quarter of 2006. The prepayment is included in other liabilities in the accompanying consolidated balance sheet.</w:t>
      </w:r>
    </w:p>
    <w:p>
      <w:pPr>
        <w:spacing w:after="0" w:line="181" w:lineRule="exact"/>
        <w:rPr>
          <w:sz w:val="20"/>
          <w:szCs w:val="20"/>
          <w:color w:val="auto"/>
        </w:rPr>
      </w:pPr>
    </w:p>
    <w:p>
      <w:pPr>
        <w:ind w:right="360" w:firstLine="630"/>
        <w:spacing w:after="0" w:line="257" w:lineRule="auto"/>
        <w:rPr>
          <w:sz w:val="20"/>
          <w:szCs w:val="20"/>
          <w:color w:val="auto"/>
        </w:rPr>
      </w:pPr>
      <w:r>
        <w:rPr>
          <w:rFonts w:ascii="Arial" w:cs="Arial" w:eastAsia="Arial" w:hAnsi="Arial"/>
          <w:sz w:val="18"/>
          <w:szCs w:val="18"/>
          <w:b w:val="1"/>
          <w:bCs w:val="1"/>
          <w:i w:val="1"/>
          <w:iCs w:val="1"/>
          <w:color w:val="auto"/>
        </w:rPr>
        <w:t xml:space="preserve">TECH Semiconductor Singapore Pte. Ltd. (“TECH”): </w:t>
      </w:r>
      <w:r>
        <w:rPr>
          <w:rFonts w:ascii="Arial" w:cs="Arial" w:eastAsia="Arial" w:hAnsi="Arial"/>
          <w:sz w:val="18"/>
          <w:szCs w:val="18"/>
          <w:color w:val="auto"/>
        </w:rPr>
        <w:t>Since 1998, the Company has participated in TECH, a semiconductor memory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joint venture in Singapore among the Company, the Singapore Economic Development Board (“EDB”), Canon Inc. and Hewlett-Packard Company. On March 3, 2006, certain shareholders of TECH contributed approximately $260 million in cash as additional capital to TECH, of which the Company’s contribution was approximately $130 million. Following the contribution, the Company owned an approximate 43% interest in TECH. The shareholders’ agreement for the TECH joint venture expires in 2011.</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Effective March 3, 2006, the Company entered into an agreement with EDB whereby EDB granted the Company a call option to purchase from EDB, and the Company granted EDB a put option to sell to the Company, EDB’s shares of TECH common stock (approximately 30% as of August 31, 2006) (collectively, the “TECH Options”). The Company’s option to purchase EDB’s shares in TECH is exercisable at any time prior to October 1, 2009. EDB’s option to put its shares in TECH to the Company is exercisable from March 3, 2008, until October 1, 2010. The Company has determined that TECH is a variable interest entity, and as a result of the put option agreement noted above, the Company concluded it is the primary beneficiary of TECH as defined by FIN 46(R) and therefore began consolidating TECH’s financial results, which are included in the Company’s Memory segment, as of the beginning of the Company’s third quarter of 2006.</w:t>
      </w:r>
    </w:p>
    <w:p>
      <w:pPr>
        <w:spacing w:after="0" w:line="189"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Upon consolidation of TECH as of March 3, 2006, the Company’s basis of $134 million and the fair value of noncontrolling interests in TECH of $627 million were allocated to the assets and liabilities of TECH based on their estimated fair values. In connection with the consolidation of TECH, the Company recorded total assets of $990 million (net of eliminated intercompany balances and the Company’s contribution to TECH aggregating $204 million), including cash of $319 million, inventories of $104 million and property, plant and equipment of $562 million, and total liabilities of $411 (net of $24 million of eliminated intercompany balances), including accounts payable and accrued expenses of $69 million and debt and capital lease obligations totaling $339 million.</w:t>
      </w:r>
    </w:p>
    <w:p>
      <w:pPr>
        <w:spacing w:after="0" w:line="193"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The option granted by the Company to EDB to sell to the Company EDB’s shares in TECH is being accounted for as if the shares are mandatorily redeemable by the Company. The initial carrying value of the noncontrolling interest in TECH attributable to EDB of $287 million is being amortized to its estimated redemption value ($260 million as of August 31, 2006) through March 3, 2008, the date EDB’s option becomes exercisable. The amortization is recognized as other non-operating income in the accompanying consolidated statement of operations and amounted to $8 million for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TECH’s semiconductor manufacturing uses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 TECH. Through the second quarter of 2006, prior to the consolidation of TECH, all of these transactions with TECH were recognized as part of the net cost of products purchased from TECH. The net cost of products purchased from TECH amounted to $287 million for the first six months of 2006. The net cost of products purchased from TECH amounted to $652 million and $454 million for 2005 and 2004, respectively. Amortization expense resulting from the TECH supply arrangement, included in the cost of products purchased from TECH, was $6 million for the first six months of 2006 and $12 million for 2005 and 2004. In connection with the consolidation of TECH, amortization of the TECH supply arrangement was discontinued as of the beginning of the third quarter of 2006.</w:t>
      </w:r>
    </w:p>
    <w:p>
      <w:pPr>
        <w:spacing w:after="0" w:line="167" w:lineRule="exact"/>
        <w:rPr>
          <w:sz w:val="20"/>
          <w:szCs w:val="20"/>
          <w:color w:val="auto"/>
        </w:rPr>
      </w:pPr>
    </w:p>
    <w:p>
      <w:pPr>
        <w:ind w:right="20" w:firstLine="630"/>
        <w:spacing w:after="0" w:line="297" w:lineRule="auto"/>
        <w:rPr>
          <w:sz w:val="20"/>
          <w:szCs w:val="20"/>
          <w:color w:val="auto"/>
        </w:rPr>
      </w:pPr>
      <w:r>
        <w:rPr>
          <w:rFonts w:ascii="Arial" w:cs="Arial" w:eastAsia="Arial" w:hAnsi="Arial"/>
          <w:sz w:val="16"/>
          <w:szCs w:val="16"/>
          <w:b w:val="1"/>
          <w:bCs w:val="1"/>
          <w:i w:val="1"/>
          <w:iCs w:val="1"/>
          <w:color w:val="auto"/>
        </w:rPr>
        <w:t xml:space="preserve">MP Mask Technology Center, LLC (“MP Mask”): </w:t>
      </w:r>
      <w:r>
        <w:rPr>
          <w:rFonts w:ascii="Arial" w:cs="Arial" w:eastAsia="Arial" w:hAnsi="Arial"/>
          <w:sz w:val="16"/>
          <w:szCs w:val="16"/>
          <w:color w:val="auto"/>
        </w:rPr>
        <w:t>In the third quarter of 2006, the Company formed a joint venture, MP Mask, with Photronics,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(“Photronics”) to produce photomasks for leading-edge and advanced next generation semiconductors. The Company contributed its then existing reticle manufacturing operation to the venture. In exchange for a 49.99% interest in MP Mask, Photronics paid $48 million cash and $15 million in notes due over two years to the Company. In connection with the joint venture, the Company received $72 million in exchange for entering into a license agreement with Photronics, which will be recognized over the term of the 10-year agreement. The Company and Photronics also entered into supply arrangements wherein</w:t>
      </w:r>
    </w:p>
    <w:p>
      <w:pPr>
        <w:sectPr>
          <w:pgSz w:w="11900" w:h="16838" w:orient="portrait"/>
          <w:cols w:equalWidth="0" w:num="1">
            <w:col w:w="11400"/>
          </w:cols>
          <w:pgMar w:left="240" w:top="125" w:right="259" w:bottom="0" w:gutter="0" w:footer="0" w:header="0"/>
        </w:sectPr>
      </w:pPr>
    </w:p>
    <w:bookmarkStart w:id="42" w:name="page43"/>
    <w:bookmarkEnd w:id="42"/>
    <w:p>
      <w:pPr>
        <w:ind w:right="400"/>
        <w:spacing w:after="0" w:line="277" w:lineRule="auto"/>
        <w:rPr>
          <w:sz w:val="20"/>
          <w:szCs w:val="20"/>
          <w:color w:val="auto"/>
        </w:rPr>
      </w:pPr>
      <w:r>
        <w:rPr>
          <w:rFonts w:ascii="Arial" w:cs="Arial" w:eastAsia="Arial" w:hAnsi="Arial"/>
          <w:sz w:val="18"/>
          <w:szCs w:val="18"/>
          <w:color w:val="auto"/>
        </w:rPr>
        <w:t>the Company is expected to purchase a substantial majority of the reticles produced by MP Mask. The financial results of MP Mask are included in the consolidated financial results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reportable segments are Memory and Imaging. The Memory segment’s primary products are DRAM and NAND Flash and the Imaging segment’s primary product is CMOS image sensors. Segment information reported below is consistent with how it is reviewed and evaluated by the Company’s chief operating decision maker and is based on the nature of the Company’s operations and products offered to customers. The Company does not identify or report depreciation and amortization, capital expenditures or assets by segment. The information below represents the Company’s reportable segments.</w:t>
      </w:r>
    </w:p>
    <w:p>
      <w:pPr>
        <w:spacing w:after="0" w:line="382"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2006</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Memory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4,523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4,577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consolidated net sales</w:t>
            </w:r>
          </w:p>
        </w:tc>
        <w:tc>
          <w:tcPr>
            <w:tcW w:w="13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5,272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4,880</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4,404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income: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Memory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Imaging</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consolidated operating income</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Geographic net sales based on customer location were as follows: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2006</w:t>
            </w:r>
          </w:p>
        </w:tc>
        <w:tc>
          <w:tcPr>
            <w:tcW w:w="7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74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$ 1,657</w:t>
            </w: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$ 1,789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Asia Pacific (excluding China and Japan)</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5,272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$ 4,880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$ 4,404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Net property, plant and equipment by geographic area was as follows:</w:t>
            </w:r>
          </w:p>
        </w:tc>
        <w:tc>
          <w:tcPr>
            <w:tcW w:w="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92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4"/>
                <w:szCs w:val="24"/>
                <w:color w:val="auto"/>
              </w:rPr>
            </w:pPr>
          </w:p>
        </w:tc>
        <w:tc>
          <w:tcPr>
            <w:tcW w:w="74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$ 4,422</w:t>
            </w: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$ 3,677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Singapore</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Japan</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5,888</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3"/>
              </w:rPr>
              <w:t>$ 4,684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(Amounts in millions except per share amounts)</w:t>
      </w:r>
    </w:p>
    <w:p>
      <w:pPr>
        <w:spacing w:after="0" w:line="172"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4720" w:type="dxa"/>
            <w:vAlign w:val="bottom"/>
            <w:vMerge w:val="restart"/>
          </w:tcPr>
          <w:p>
            <w:pPr>
              <w:jc w:val="right"/>
              <w:ind w:right="4368"/>
              <w:spacing w:after="0"/>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8"/>
              </w:rPr>
              <w:t>First</w:t>
            </w:r>
          </w:p>
        </w:tc>
        <w:tc>
          <w:tcPr>
            <w:tcW w:w="2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Second</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Third</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2"/>
        </w:trPr>
        <w:tc>
          <w:tcPr>
            <w:tcW w:w="47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25" w:right="319" w:bottom="0" w:gutter="0" w:footer="0" w:header="0"/>
        </w:sectPr>
      </w:pPr>
    </w:p>
    <w:p>
      <w:pPr>
        <w:spacing w:after="0" w:line="16"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$ 1,362</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$ 1,225</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$ 1,312</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$ 1,373</w:t>
            </w: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340"/>
          </w:cols>
          <w:pgMar w:left="240" w:top="125" w:right="319" w:bottom="0" w:gutter="0" w:footer="0" w:header="0"/>
          <w:type w:val="continuous"/>
        </w:sectPr>
      </w:pPr>
    </w:p>
    <w:bookmarkStart w:id="43" w:name="page44"/>
    <w:bookmarkEnd w:id="43"/>
    <w:p>
      <w:pPr>
        <w:spacing w:after="0" w:line="1" w:lineRule="exact"/>
        <w:rPr>
          <w:sz w:val="20"/>
          <w:szCs w:val="20"/>
          <w:color w:val="auto"/>
        </w:rPr>
      </w:pPr>
    </w:p>
    <w:tbl>
      <w:tblPr>
        <w:tblLayout w:type="fixed"/>
        <w:tblInd w:w="1820" w:type="dxa"/>
        <w:tblCellMar>
          <w:top w:w="0" w:type="dxa"/>
          <w:left w:w="0" w:type="dxa"/>
          <w:bottom w:w="0" w:type="dxa"/>
          <w:right w:w="0" w:type="dxa"/>
        </w:tblCellMar>
      </w:tblP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Diluted earnings per share</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0.12</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First</w:t>
            </w:r>
          </w:p>
        </w:tc>
        <w:tc>
          <w:tcPr>
            <w:tcW w:w="2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Second</w:t>
            </w:r>
          </w:p>
        </w:tc>
        <w:tc>
          <w:tcPr>
            <w:tcW w:w="22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4"/>
                <w:szCs w:val="24"/>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62"/>
        </w:trPr>
        <w:tc>
          <w:tcPr>
            <w:tcW w:w="4720" w:type="dxa"/>
            <w:vAlign w:val="bottom"/>
            <w:vMerge w:val="continue"/>
          </w:tcPr>
          <w:p>
            <w:pPr>
              <w:spacing w:after="0"/>
              <w:rPr>
                <w:sz w:val="14"/>
                <w:szCs w:val="14"/>
                <w:color w:val="auto"/>
              </w:rPr>
            </w:pPr>
          </w:p>
        </w:tc>
        <w:tc>
          <w:tcPr>
            <w:tcW w:w="740" w:type="dxa"/>
            <w:vAlign w:val="bottom"/>
            <w:gridSpan w:val="3"/>
          </w:tcPr>
          <w:p>
            <w:pPr>
              <w:ind w:left="200"/>
              <w:spacing w:after="0"/>
              <w:rPr>
                <w:sz w:val="20"/>
                <w:szCs w:val="20"/>
                <w:color w:val="auto"/>
              </w:rPr>
            </w:pPr>
            <w:r>
              <w:rPr>
                <w:rFonts w:ascii="Arial" w:cs="Arial" w:eastAsia="Arial" w:hAnsi="Arial"/>
                <w:sz w:val="14"/>
                <w:szCs w:val="14"/>
                <w:b w:val="1"/>
                <w:bCs w:val="1"/>
                <w:color w:val="auto"/>
              </w:rPr>
              <w:t>Quarter</w:t>
            </w:r>
          </w:p>
        </w:tc>
        <w:tc>
          <w:tcPr>
            <w:tcW w:w="740" w:type="dxa"/>
            <w:vAlign w:val="bottom"/>
            <w:gridSpan w:val="3"/>
          </w:tcPr>
          <w:p>
            <w:pPr>
              <w:ind w:left="200"/>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Quarter</w:t>
            </w:r>
          </w:p>
        </w:tc>
        <w:tc>
          <w:tcPr>
            <w:tcW w:w="8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$ 1,260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$ 1,054</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$ 1,258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Diluted earnings (loss) per share</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0.17</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 (0.20)</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Micron Technology, Inc.</w:t>
      </w:r>
    </w:p>
    <w:p>
      <w:pPr>
        <w:spacing w:after="0" w:line="21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have completed integrated audits of Micron Technology, Inc.’s 2006 and 2005 consolidated financial statements and of its internal control over financial reporting as of August 31, 2006 and an audit of its 2004 consolidated financial statements in accordance with the standards of the Public Company Accounting Oversight Board (United States). Our opinions, based on our audits, are presented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and financial statement schedule</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our opinion, the consolidated financial statements listed in the accompanying index appearing under Item 8 present fairly, in all material respects, the financial position of Micron Technology, Inc. and its subsidiaries at August 31, 2006 and September 1, 2005, and the results of their operations and their cash flows for each of the three years in the period ended August 31, 2006 in conformity with accounting principles generally accepted in the United States of America. In addition, in our opinion, the financial statement schedule listed in the accompanying index appearing under Item 8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discussed in the Significant Accounting Policies note to the consolidated financial statements, the Company changed the manner in which it accounts for share-based compensation in the year ended August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Also, in our opinion, management’s assessment, included in Management’s Report on Internal Control Over Financial Reporting appearing under Item 9A, that the Company maintained effective internal control over financial reporting as of August 31, 2006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(COSO), is fairly stated,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respects, based on those criteria. Furthermore, in our opinion, the Company maintained, in all material respects, effective internal control over financial reporting as of August 31, 2006,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11400"/>
          </w:cols>
          <w:pgMar w:left="240" w:top="125" w:right="259" w:bottom="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25" w:right="259" w:bottom="0" w:gutter="0" w:footer="0" w:header="0"/>
          <w:type w:val="continuous"/>
        </w:sectPr>
      </w:pPr>
    </w:p>
    <w:bookmarkStart w:id="44" w:name="page45"/>
    <w:bookmarkEnd w:id="44"/>
    <w:p>
      <w:pPr>
        <w:ind w:right="140" w:firstLine="648"/>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described in Management’s Report on Internal Control Over Financial Reporting appearing under Item 9A, management has excluded TECH Semiconductor Pte. Ltd. (“TECH”) and Lexar Media, Inc. (“Lexar”) from its assessment of internal control over financial reporting as of August 31, 2006. The Company began consolidating TECH on March 3, 2006, and acquired Lexar on June 21, 2006. Net of eliminated intercompany balances and transactions, TECH’s total assets and revenues represented 8% and 0%, respectively, of the Company consolidated assets and revenues as of and for the year ended August 31, 2006. Net of eliminated intercompany balances and transactions, Lexar’s total assets and revenues represented 10% and less than 1%, respectively, of the Company’s consolidated assets and revenues as of and for the year ended August 31,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2006</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(i) recorded, processed, summarized and reported, within the time periods specified in the Commission’s rules and forms and (ii) accumulated and communicated to the Company’s management, including the Company’s principal executive officer and principal financial officer, as appropriate to allow timely decisions regarding required disclosure.</w:t>
      </w:r>
    </w:p>
    <w:p>
      <w:pPr>
        <w:spacing w:after="0" w:line="16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During the fourth quarter of fiscal 2006, there were no changes in the Company’s internal control over financial reporting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policies and procedures that i) pertain to the maintenance of records that in reasonable detail accurately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spacing w:after="0" w:line="19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Internal control over financial reporting cannot provide absolute assurance regarding the prevention or detection of misstatements because of inherent limitations. These inherent limitations are known by management and considered in the design of the Company’s internal control over financial reporting which reduce, though not eliminate, this risk.</w:t>
      </w:r>
    </w:p>
    <w:p>
      <w:pPr>
        <w:spacing w:after="0" w:line="181"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 xml:space="preserve">Management conducted an evaluation of the effectiveness of the Company’s internal control over financial reporting based on the framework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 Based on this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the Company’s internal control over financial reporting was effective as of August 31, 2006. Management’s assessment of the effectiveness of the Company’s internal control over financial reporting as of August 31, 2006, has been audited by PricewaterhouseCoopers LLP, an independent registered public accounting firm, as stated in their report, which is included in Part II, Item 8, of this Form 10-K.</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Company’s evaluation of the effectiveness of its internal control over financial reporting as of August 31, 2006, did not extend to the internal controls of TECH Semiconductor Singapore Pte. Ltd. (“TECH”) and Lexar Media, Inc. (“Lexar”). The Company began consolidating TECH on March 3, 2006, and acquired Lexar on June 21, 2006. Net of eliminated intercompany balances and transactions, TECH’s total assets and revenues represented 8% and 0%, respectively, of the Company’s consolidated assets and revenues as of and for the year ended August 31, 2006. Net of eliminated intercompany balances and transactions, Lexar’s total assets and revenues represented 10% and less than 1%, respectively, of the Company’s consolidated assets and revenues as of and for the year ended August 31, 2006.</w:t>
      </w:r>
    </w:p>
    <w:p>
      <w:pPr>
        <w:spacing w:after="0" w:line="18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ectPr>
          <w:pgSz w:w="11900" w:h="16838" w:orient="portrait"/>
          <w:cols w:equalWidth="0" w:num="1">
            <w:col w:w="11380"/>
          </w:cols>
          <w:pgMar w:left="240" w:top="1300" w:right="279" w:bottom="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Certain information concerning the registrant’s executive officers is included under the caption, “Directors and Executive Officers of the Registrant,” in Part I, Item 1 of this report. Other information required by Items 10, 11, 12, 13 and 14 will be contained in the registrant’s Proxy Statement which will be filed with the Securities and Exchange Commission within 120 days after August 31, 2006, and is incorporated herein by reference.</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5" w:lineRule="exact"/>
        <w:rPr>
          <w:sz w:val="20"/>
          <w:szCs w:val="20"/>
          <w:color w:val="auto"/>
        </w:rPr>
      </w:pPr>
    </w:p>
    <w:p>
      <w:pPr>
        <w:ind w:left="1000" w:hanging="3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 See Index to Consolidated Financial Statements under Item 8.</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Financial Statement Schedules have been omitted since they are either not required, not applicable or the information is otherwise included.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Exhibit</w:t>
            </w:r>
          </w:p>
        </w:tc>
        <w:tc>
          <w:tcPr>
            <w:tcW w:w="105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Agreement and Plan of Merger by and among Micron Technology, Inc., March 2006 Merger Corp. and Lexar Media, Inc., dated as of March</w:t>
            </w:r>
          </w:p>
        </w:tc>
        <w:tc>
          <w:tcPr>
            <w:tcW w:w="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8, 2006 (1)</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First Amendment to Agreement and Plan of Merger, dated as of May 30, 2006, by and among Micron Technology, Inc., March 2006 Merger</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Corp. and Lexar Media, Inc. (2)</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10500" w:type="dxa"/>
            <w:vAlign w:val="bottom"/>
          </w:tcPr>
          <w:p>
            <w:pPr>
              <w:ind w:left="240"/>
              <w:spacing w:after="0"/>
              <w:rPr>
                <w:sz w:val="20"/>
                <w:szCs w:val="20"/>
                <w:color w:val="auto"/>
              </w:rPr>
            </w:pPr>
            <w:r>
              <w:rPr>
                <w:rFonts w:ascii="Arial" w:cs="Arial" w:eastAsia="Arial" w:hAnsi="Arial"/>
                <w:sz w:val="18"/>
                <w:szCs w:val="18"/>
                <w:color w:val="auto"/>
                <w:w w:val="90"/>
              </w:rPr>
              <w:t>Second Amendment to Agreement and Plan of Merger, dated as of June 4, 2006, by and among Micron Technology, Inc., March 2006 Merger</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Corp. and Lexar Media, Inc. (3)</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500" w:type="dxa"/>
            <w:vAlign w:val="bottom"/>
          </w:tcPr>
          <w:p>
            <w:pPr>
              <w:ind w:left="240"/>
              <w:spacing w:after="0"/>
              <w:rPr>
                <w:sz w:val="20"/>
                <w:szCs w:val="20"/>
                <w:color w:val="auto"/>
              </w:rPr>
            </w:pPr>
            <w:r>
              <w:rPr>
                <w:rFonts w:ascii="Arial" w:cs="Arial" w:eastAsia="Arial" w:hAnsi="Arial"/>
                <w:sz w:val="18"/>
                <w:szCs w:val="18"/>
                <w:color w:val="auto"/>
              </w:rPr>
              <w:t>Restated Certificate of Incorporation of the Registrant (4)</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3.7</w:t>
            </w:r>
          </w:p>
        </w:tc>
        <w:tc>
          <w:tcPr>
            <w:tcW w:w="10500" w:type="dxa"/>
            <w:vAlign w:val="bottom"/>
          </w:tcPr>
          <w:p>
            <w:pPr>
              <w:ind w:left="240"/>
              <w:spacing w:after="0"/>
              <w:rPr>
                <w:sz w:val="20"/>
                <w:szCs w:val="20"/>
                <w:color w:val="auto"/>
              </w:rPr>
            </w:pPr>
            <w:r>
              <w:rPr>
                <w:rFonts w:ascii="Arial" w:cs="Arial" w:eastAsia="Arial" w:hAnsi="Arial"/>
                <w:sz w:val="18"/>
                <w:szCs w:val="18"/>
                <w:color w:val="auto"/>
              </w:rPr>
              <w:t>Bylaws of the Registrant, as amended (5)</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10500" w:type="dxa"/>
            <w:vAlign w:val="bottom"/>
          </w:tcPr>
          <w:p>
            <w:pPr>
              <w:ind w:left="240"/>
              <w:spacing w:after="0"/>
              <w:rPr>
                <w:sz w:val="20"/>
                <w:szCs w:val="20"/>
                <w:color w:val="auto"/>
              </w:rPr>
            </w:pPr>
            <w:r>
              <w:rPr>
                <w:rFonts w:ascii="Arial" w:cs="Arial" w:eastAsia="Arial" w:hAnsi="Arial"/>
                <w:sz w:val="18"/>
                <w:szCs w:val="18"/>
                <w:color w:val="auto"/>
              </w:rPr>
              <w:t>Form of Global Warrant representing Warrants to purchase Common Stock expiring May 15, 2008 (the “Warrants”) (6)</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4.13</w:t>
            </w:r>
          </w:p>
        </w:tc>
        <w:tc>
          <w:tcPr>
            <w:tcW w:w="10500" w:type="dxa"/>
            <w:vAlign w:val="bottom"/>
          </w:tcPr>
          <w:p>
            <w:pPr>
              <w:ind w:left="240"/>
              <w:spacing w:after="0"/>
              <w:rPr>
                <w:sz w:val="20"/>
                <w:szCs w:val="20"/>
                <w:color w:val="auto"/>
              </w:rPr>
            </w:pPr>
            <w:r>
              <w:rPr>
                <w:rFonts w:ascii="Arial" w:cs="Arial" w:eastAsia="Arial" w:hAnsi="Arial"/>
                <w:sz w:val="18"/>
                <w:szCs w:val="18"/>
                <w:color w:val="auto"/>
              </w:rPr>
              <w:t>Securities Purchase Agreement, dated September 24, 2003, between the Registrant and Intel Capital Corporation (7)</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4.14</w:t>
            </w:r>
          </w:p>
        </w:tc>
        <w:tc>
          <w:tcPr>
            <w:tcW w:w="10500" w:type="dxa"/>
            <w:vAlign w:val="bottom"/>
          </w:tcPr>
          <w:p>
            <w:pPr>
              <w:ind w:left="240"/>
              <w:spacing w:after="0"/>
              <w:rPr>
                <w:sz w:val="20"/>
                <w:szCs w:val="20"/>
                <w:color w:val="auto"/>
              </w:rPr>
            </w:pPr>
            <w:r>
              <w:rPr>
                <w:rFonts w:ascii="Arial" w:cs="Arial" w:eastAsia="Arial" w:hAnsi="Arial"/>
                <w:sz w:val="18"/>
                <w:szCs w:val="18"/>
                <w:color w:val="auto"/>
              </w:rPr>
              <w:t>Stock Rights Agreement, dated September 24, 2003, between the Registrant and Intel Capital Corporation (7)</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10.82</w:t>
            </w:r>
          </w:p>
        </w:tc>
        <w:tc>
          <w:tcPr>
            <w:tcW w:w="10500" w:type="dxa"/>
            <w:vAlign w:val="bottom"/>
          </w:tcPr>
          <w:p>
            <w:pPr>
              <w:ind w:left="240"/>
              <w:spacing w:after="0"/>
              <w:rPr>
                <w:sz w:val="20"/>
                <w:szCs w:val="20"/>
                <w:color w:val="auto"/>
              </w:rPr>
            </w:pPr>
            <w:r>
              <w:rPr>
                <w:rFonts w:ascii="Arial" w:cs="Arial" w:eastAsia="Arial" w:hAnsi="Arial"/>
                <w:sz w:val="18"/>
                <w:szCs w:val="18"/>
                <w:color w:val="auto"/>
              </w:rPr>
              <w:t>Form of Indemnification Agreement between the Registrant and its officers and directors (8)</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10.91</w:t>
            </w:r>
          </w:p>
        </w:tc>
        <w:tc>
          <w:tcPr>
            <w:tcW w:w="10500" w:type="dxa"/>
            <w:vAlign w:val="bottom"/>
          </w:tcPr>
          <w:p>
            <w:pPr>
              <w:ind w:left="240"/>
              <w:spacing w:after="0"/>
              <w:rPr>
                <w:sz w:val="20"/>
                <w:szCs w:val="20"/>
                <w:color w:val="auto"/>
              </w:rPr>
            </w:pPr>
            <w:r>
              <w:rPr>
                <w:rFonts w:ascii="Arial" w:cs="Arial" w:eastAsia="Arial" w:hAnsi="Arial"/>
                <w:sz w:val="18"/>
                <w:szCs w:val="18"/>
                <w:color w:val="auto"/>
              </w:rPr>
              <w:t>Board Resolution regarding stock and bonus plan vesting schedules in the event of change in control of the Registrant (9)</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10.110</w:t>
            </w:r>
          </w:p>
        </w:tc>
        <w:tc>
          <w:tcPr>
            <w:tcW w:w="10500" w:type="dxa"/>
            <w:vAlign w:val="bottom"/>
          </w:tcPr>
          <w:p>
            <w:pPr>
              <w:ind w:left="240"/>
              <w:spacing w:after="0"/>
              <w:rPr>
                <w:sz w:val="20"/>
                <w:szCs w:val="20"/>
                <w:color w:val="auto"/>
              </w:rPr>
            </w:pPr>
            <w:r>
              <w:rPr>
                <w:rFonts w:ascii="Arial" w:cs="Arial" w:eastAsia="Arial" w:hAnsi="Arial"/>
                <w:sz w:val="18"/>
                <w:szCs w:val="18"/>
                <w:color w:val="auto"/>
              </w:rPr>
              <w:t>1994 Stock Option Plan (10)</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10.112</w:t>
            </w:r>
          </w:p>
        </w:tc>
        <w:tc>
          <w:tcPr>
            <w:tcW w:w="10500" w:type="dxa"/>
            <w:vAlign w:val="bottom"/>
          </w:tcPr>
          <w:p>
            <w:pPr>
              <w:ind w:left="240"/>
              <w:spacing w:after="0"/>
              <w:rPr>
                <w:sz w:val="20"/>
                <w:szCs w:val="20"/>
                <w:color w:val="auto"/>
              </w:rPr>
            </w:pPr>
            <w:r>
              <w:rPr>
                <w:rFonts w:ascii="Arial" w:cs="Arial" w:eastAsia="Arial" w:hAnsi="Arial"/>
                <w:sz w:val="18"/>
                <w:szCs w:val="18"/>
                <w:color w:val="auto"/>
              </w:rPr>
              <w:t>Form of Severance Agreement between the Company and its officers (11)</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10.120</w:t>
            </w:r>
          </w:p>
        </w:tc>
        <w:tc>
          <w:tcPr>
            <w:tcW w:w="10500" w:type="dxa"/>
            <w:vAlign w:val="bottom"/>
          </w:tcPr>
          <w:p>
            <w:pPr>
              <w:ind w:left="240"/>
              <w:spacing w:after="0"/>
              <w:rPr>
                <w:sz w:val="20"/>
                <w:szCs w:val="20"/>
                <w:color w:val="auto"/>
              </w:rPr>
            </w:pPr>
            <w:r>
              <w:rPr>
                <w:rFonts w:ascii="Arial" w:cs="Arial" w:eastAsia="Arial" w:hAnsi="Arial"/>
                <w:sz w:val="18"/>
                <w:szCs w:val="18"/>
                <w:color w:val="auto"/>
              </w:rPr>
              <w:t>Form of Agreement and Amendment to Severance Agreement between the Company and its officers (12)</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10.128</w:t>
            </w:r>
          </w:p>
        </w:tc>
        <w:tc>
          <w:tcPr>
            <w:tcW w:w="10500" w:type="dxa"/>
            <w:vAlign w:val="bottom"/>
          </w:tcPr>
          <w:p>
            <w:pPr>
              <w:ind w:left="240"/>
              <w:spacing w:after="0"/>
              <w:rPr>
                <w:sz w:val="20"/>
                <w:szCs w:val="20"/>
                <w:color w:val="auto"/>
              </w:rPr>
            </w:pPr>
            <w:r>
              <w:rPr>
                <w:rFonts w:ascii="Arial" w:cs="Arial" w:eastAsia="Arial" w:hAnsi="Arial"/>
                <w:sz w:val="18"/>
                <w:szCs w:val="18"/>
                <w:color w:val="auto"/>
              </w:rPr>
              <w:t>Nonstatutory Stock Option Plan (13)</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10.129</w:t>
            </w:r>
          </w:p>
        </w:tc>
        <w:tc>
          <w:tcPr>
            <w:tcW w:w="10500" w:type="dxa"/>
            <w:vAlign w:val="bottom"/>
          </w:tcPr>
          <w:p>
            <w:pPr>
              <w:ind w:left="240"/>
              <w:spacing w:after="0"/>
              <w:rPr>
                <w:sz w:val="20"/>
                <w:szCs w:val="20"/>
                <w:color w:val="auto"/>
              </w:rPr>
            </w:pPr>
            <w:r>
              <w:rPr>
                <w:rFonts w:ascii="Arial" w:cs="Arial" w:eastAsia="Arial" w:hAnsi="Arial"/>
                <w:sz w:val="18"/>
                <w:szCs w:val="18"/>
                <w:color w:val="auto"/>
              </w:rPr>
              <w:t>1997 Nonstatutory Stock Option Plan (14)</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10.130</w:t>
            </w:r>
          </w:p>
        </w:tc>
        <w:tc>
          <w:tcPr>
            <w:tcW w:w="10500" w:type="dxa"/>
            <w:vAlign w:val="bottom"/>
          </w:tcPr>
          <w:p>
            <w:pPr>
              <w:ind w:left="240"/>
              <w:spacing w:after="0"/>
              <w:rPr>
                <w:sz w:val="20"/>
                <w:szCs w:val="20"/>
                <w:color w:val="auto"/>
              </w:rPr>
            </w:pPr>
            <w:r>
              <w:rPr>
                <w:rFonts w:ascii="Arial" w:cs="Arial" w:eastAsia="Arial" w:hAnsi="Arial"/>
                <w:sz w:val="18"/>
                <w:szCs w:val="18"/>
                <w:color w:val="auto"/>
              </w:rPr>
              <w:t>Micron Quantum Devices, Inc. 1996 Stock Option Plan (10)</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10.131</w:t>
            </w:r>
          </w:p>
        </w:tc>
        <w:tc>
          <w:tcPr>
            <w:tcW w:w="10500" w:type="dxa"/>
            <w:vAlign w:val="bottom"/>
          </w:tcPr>
          <w:p>
            <w:pPr>
              <w:ind w:left="240"/>
              <w:spacing w:after="0"/>
              <w:rPr>
                <w:sz w:val="20"/>
                <w:szCs w:val="20"/>
                <w:color w:val="auto"/>
              </w:rPr>
            </w:pPr>
            <w:r>
              <w:rPr>
                <w:rFonts w:ascii="Arial" w:cs="Arial" w:eastAsia="Arial" w:hAnsi="Arial"/>
                <w:sz w:val="18"/>
                <w:szCs w:val="18"/>
                <w:color w:val="auto"/>
              </w:rPr>
              <w:t>Sample Stock Option Assumption Letter for Micron Quantum Devices, Inc. 1996 Stock Option Plan (10)</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10.132</w:t>
            </w:r>
          </w:p>
        </w:tc>
        <w:tc>
          <w:tcPr>
            <w:tcW w:w="10500" w:type="dxa"/>
            <w:vAlign w:val="bottom"/>
          </w:tcPr>
          <w:p>
            <w:pPr>
              <w:ind w:left="240"/>
              <w:spacing w:after="0"/>
              <w:rPr>
                <w:sz w:val="20"/>
                <w:szCs w:val="20"/>
                <w:color w:val="auto"/>
              </w:rPr>
            </w:pPr>
            <w:r>
              <w:rPr>
                <w:rFonts w:ascii="Arial" w:cs="Arial" w:eastAsia="Arial" w:hAnsi="Arial"/>
                <w:sz w:val="18"/>
                <w:szCs w:val="18"/>
                <w:color w:val="auto"/>
              </w:rPr>
              <w:t>1998 Nonstatutory Stock Option Plan (14)</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10.133</w:t>
            </w:r>
          </w:p>
        </w:tc>
        <w:tc>
          <w:tcPr>
            <w:tcW w:w="10500" w:type="dxa"/>
            <w:vAlign w:val="bottom"/>
          </w:tcPr>
          <w:p>
            <w:pPr>
              <w:ind w:left="240"/>
              <w:spacing w:after="0"/>
              <w:rPr>
                <w:sz w:val="20"/>
                <w:szCs w:val="20"/>
                <w:color w:val="auto"/>
              </w:rPr>
            </w:pPr>
            <w:r>
              <w:rPr>
                <w:rFonts w:ascii="Arial" w:cs="Arial" w:eastAsia="Arial" w:hAnsi="Arial"/>
                <w:sz w:val="18"/>
                <w:szCs w:val="18"/>
                <w:color w:val="auto"/>
              </w:rPr>
              <w:t>Rendition, Inc. 1994 Equity Incentive Plan (15)</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10.134</w:t>
            </w:r>
          </w:p>
        </w:tc>
        <w:tc>
          <w:tcPr>
            <w:tcW w:w="10500" w:type="dxa"/>
            <w:vAlign w:val="bottom"/>
          </w:tcPr>
          <w:p>
            <w:pPr>
              <w:ind w:left="240"/>
              <w:spacing w:after="0"/>
              <w:rPr>
                <w:sz w:val="20"/>
                <w:szCs w:val="20"/>
                <w:color w:val="auto"/>
              </w:rPr>
            </w:pPr>
            <w:r>
              <w:rPr>
                <w:rFonts w:ascii="Arial" w:cs="Arial" w:eastAsia="Arial" w:hAnsi="Arial"/>
                <w:sz w:val="18"/>
                <w:szCs w:val="18"/>
                <w:color w:val="auto"/>
              </w:rPr>
              <w:t>Sample Stock Option Assumption Letter for Rendition, Inc. 1994 Equity Incentive Plan (15)</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10.139</w:t>
            </w:r>
          </w:p>
        </w:tc>
        <w:tc>
          <w:tcPr>
            <w:tcW w:w="10500" w:type="dxa"/>
            <w:vAlign w:val="bottom"/>
          </w:tcPr>
          <w:p>
            <w:pPr>
              <w:ind w:left="240"/>
              <w:spacing w:after="0"/>
              <w:rPr>
                <w:sz w:val="20"/>
                <w:szCs w:val="20"/>
                <w:color w:val="auto"/>
              </w:rPr>
            </w:pPr>
            <w:r>
              <w:rPr>
                <w:rFonts w:ascii="Arial" w:cs="Arial" w:eastAsia="Arial" w:hAnsi="Arial"/>
                <w:sz w:val="18"/>
                <w:szCs w:val="18"/>
                <w:color w:val="auto"/>
              </w:rPr>
              <w:t>1989 Employee Stock Purchase Plan (16)</w:t>
            </w:r>
          </w:p>
        </w:tc>
        <w:tc>
          <w:tcPr>
            <w:tcW w:w="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10.140</w:t>
            </w:r>
          </w:p>
        </w:tc>
        <w:tc>
          <w:tcPr>
            <w:tcW w:w="10500" w:type="dxa"/>
            <w:vAlign w:val="bottom"/>
          </w:tcPr>
          <w:p>
            <w:pPr>
              <w:ind w:left="240"/>
              <w:spacing w:after="0"/>
              <w:rPr>
                <w:sz w:val="20"/>
                <w:szCs w:val="20"/>
                <w:color w:val="auto"/>
              </w:rPr>
            </w:pPr>
            <w:r>
              <w:rPr>
                <w:rFonts w:ascii="Arial" w:cs="Arial" w:eastAsia="Arial" w:hAnsi="Arial"/>
                <w:sz w:val="18"/>
                <w:szCs w:val="18"/>
                <w:color w:val="auto"/>
              </w:rPr>
              <w:t>1998 Non-Employee Director Stock Incentive Plan (17)</w:t>
            </w:r>
          </w:p>
        </w:tc>
        <w:tc>
          <w:tcPr>
            <w:tcW w:w="40" w:type="dxa"/>
            <w:vAlign w:val="bottom"/>
          </w:tcPr>
          <w:p>
            <w:pPr>
              <w:spacing w:after="0"/>
              <w:rPr>
                <w:sz w:val="20"/>
                <w:szCs w:val="20"/>
                <w:color w:val="auto"/>
              </w:rPr>
            </w:pPr>
          </w:p>
        </w:tc>
      </w:tr>
      <w:tr>
        <w:trPr>
          <w:trHeight w:val="702"/>
        </w:trPr>
        <w:tc>
          <w:tcPr>
            <w:tcW w:w="920" w:type="dxa"/>
            <w:vAlign w:val="bottom"/>
          </w:tcPr>
          <w:p>
            <w:pPr>
              <w:spacing w:after="0"/>
              <w:rPr>
                <w:sz w:val="24"/>
                <w:szCs w:val="24"/>
                <w:color w:val="auto"/>
              </w:rPr>
            </w:pPr>
          </w:p>
        </w:tc>
        <w:tc>
          <w:tcPr>
            <w:tcW w:w="10500" w:type="dxa"/>
            <w:vAlign w:val="bottom"/>
          </w:tcPr>
          <w:p>
            <w:pPr>
              <w:ind w:left="454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r>
      <w:tr>
        <w:trPr>
          <w:trHeight w:val="375"/>
        </w:trPr>
        <w:tc>
          <w:tcPr>
            <w:tcW w:w="920" w:type="dxa"/>
            <w:vAlign w:val="bottom"/>
            <w:tcBorders>
              <w:bottom w:val="single" w:sz="8" w:color="010101"/>
            </w:tcBorders>
          </w:tcPr>
          <w:p>
            <w:pPr>
              <w:spacing w:after="0"/>
              <w:rPr>
                <w:sz w:val="24"/>
                <w:szCs w:val="24"/>
                <w:color w:val="auto"/>
              </w:rPr>
            </w:pPr>
          </w:p>
        </w:tc>
        <w:tc>
          <w:tcPr>
            <w:tcW w:w="105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316"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10.142</w:t>
            </w:r>
          </w:p>
        </w:tc>
        <w:tc>
          <w:tcPr>
            <w:tcW w:w="10440" w:type="dxa"/>
            <w:vAlign w:val="bottom"/>
          </w:tcPr>
          <w:p>
            <w:pPr>
              <w:ind w:left="280"/>
              <w:spacing w:after="0"/>
              <w:rPr>
                <w:sz w:val="20"/>
                <w:szCs w:val="20"/>
                <w:color w:val="auto"/>
              </w:rPr>
            </w:pPr>
            <w:r>
              <w:rPr>
                <w:rFonts w:ascii="Arial" w:cs="Arial" w:eastAsia="Arial" w:hAnsi="Arial"/>
                <w:sz w:val="18"/>
                <w:szCs w:val="18"/>
                <w:color w:val="auto"/>
              </w:rPr>
              <w:t>Purchase Agreement dated October 1, 1998, between the Registrant and TECH Semiconductor Singapore Pte. Ltd. (18)</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10.144</w:t>
            </w:r>
          </w:p>
        </w:tc>
        <w:tc>
          <w:tcPr>
            <w:tcW w:w="10440" w:type="dxa"/>
            <w:vAlign w:val="bottom"/>
          </w:tcPr>
          <w:p>
            <w:pPr>
              <w:ind w:left="280"/>
              <w:spacing w:after="0"/>
              <w:rPr>
                <w:sz w:val="20"/>
                <w:szCs w:val="20"/>
                <w:color w:val="auto"/>
              </w:rPr>
            </w:pPr>
            <w:r>
              <w:rPr>
                <w:rFonts w:ascii="Arial" w:cs="Arial" w:eastAsia="Arial" w:hAnsi="Arial"/>
                <w:sz w:val="18"/>
                <w:szCs w:val="18"/>
                <w:color w:val="auto"/>
              </w:rPr>
              <w:t>Purchase Agreement dated as of July 12, 2001, between the Registrant and Lehman Brothers, Inc. relating to the Warrants (6)</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10.145</w:t>
            </w:r>
          </w:p>
        </w:tc>
        <w:tc>
          <w:tcPr>
            <w:tcW w:w="10440" w:type="dxa"/>
            <w:vAlign w:val="bottom"/>
          </w:tcPr>
          <w:p>
            <w:pPr>
              <w:ind w:left="280"/>
              <w:spacing w:after="0"/>
              <w:rPr>
                <w:sz w:val="20"/>
                <w:szCs w:val="20"/>
                <w:color w:val="auto"/>
              </w:rPr>
            </w:pPr>
            <w:r>
              <w:rPr>
                <w:rFonts w:ascii="Arial" w:cs="Arial" w:eastAsia="Arial" w:hAnsi="Arial"/>
                <w:sz w:val="18"/>
                <w:szCs w:val="18"/>
                <w:color w:val="auto"/>
                <w:w w:val="93"/>
              </w:rPr>
              <w:t>Registration Rights Agreement dated as of July 18, 2001, between the Registrant and Lehman Brothers, Inc., relating to the Warrants (6)</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10.146</w:t>
            </w:r>
          </w:p>
        </w:tc>
        <w:tc>
          <w:tcPr>
            <w:tcW w:w="10440" w:type="dxa"/>
            <w:vAlign w:val="bottom"/>
          </w:tcPr>
          <w:p>
            <w:pPr>
              <w:ind w:left="280"/>
              <w:spacing w:after="0"/>
              <w:rPr>
                <w:sz w:val="20"/>
                <w:szCs w:val="20"/>
                <w:color w:val="auto"/>
              </w:rPr>
            </w:pPr>
            <w:r>
              <w:rPr>
                <w:rFonts w:ascii="Arial" w:cs="Arial" w:eastAsia="Arial" w:hAnsi="Arial"/>
                <w:sz w:val="18"/>
                <w:szCs w:val="18"/>
                <w:color w:val="auto"/>
                <w:w w:val="92"/>
              </w:rPr>
              <w:t>Warrant Agreement dated as of July 18, 2001, between the Registrant and Wells Fargo Bank Minnesota, N.A., relating to the Warrants (6)</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10.151</w:t>
            </w:r>
          </w:p>
        </w:tc>
        <w:tc>
          <w:tcPr>
            <w:tcW w:w="10440" w:type="dxa"/>
            <w:vAlign w:val="bottom"/>
          </w:tcPr>
          <w:p>
            <w:pPr>
              <w:ind w:left="280"/>
              <w:spacing w:after="0"/>
              <w:rPr>
                <w:sz w:val="20"/>
                <w:szCs w:val="20"/>
                <w:color w:val="auto"/>
              </w:rPr>
            </w:pPr>
            <w:r>
              <w:rPr>
                <w:rFonts w:ascii="Arial" w:cs="Arial" w:eastAsia="Arial" w:hAnsi="Arial"/>
                <w:sz w:val="18"/>
                <w:szCs w:val="18"/>
                <w:color w:val="auto"/>
              </w:rPr>
              <w:t>2001 Stock Option Plan (19)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10.152</w:t>
            </w:r>
          </w:p>
        </w:tc>
        <w:tc>
          <w:tcPr>
            <w:tcW w:w="10440" w:type="dxa"/>
            <w:vAlign w:val="bottom"/>
          </w:tcPr>
          <w:p>
            <w:pPr>
              <w:ind w:left="280"/>
              <w:spacing w:after="0"/>
              <w:rPr>
                <w:sz w:val="20"/>
                <w:szCs w:val="20"/>
                <w:color w:val="auto"/>
              </w:rPr>
            </w:pPr>
            <w:r>
              <w:rPr>
                <w:rFonts w:ascii="Arial" w:cs="Arial" w:eastAsia="Arial" w:hAnsi="Arial"/>
                <w:sz w:val="18"/>
                <w:szCs w:val="18"/>
                <w:color w:val="auto"/>
              </w:rPr>
              <w:t>2002 Employment Inducement Stock Option Plan (19)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10.153*</w:t>
            </w:r>
          </w:p>
        </w:tc>
        <w:tc>
          <w:tcPr>
            <w:tcW w:w="10440" w:type="dxa"/>
            <w:vAlign w:val="bottom"/>
          </w:tcPr>
          <w:p>
            <w:pPr>
              <w:ind w:left="280"/>
              <w:spacing w:after="0"/>
              <w:rPr>
                <w:sz w:val="20"/>
                <w:szCs w:val="20"/>
                <w:color w:val="auto"/>
              </w:rPr>
            </w:pPr>
            <w:r>
              <w:rPr>
                <w:rFonts w:ascii="Arial" w:cs="Arial" w:eastAsia="Arial" w:hAnsi="Arial"/>
                <w:sz w:val="18"/>
                <w:szCs w:val="18"/>
                <w:color w:val="auto"/>
              </w:rPr>
              <w:t>Business Agreement, dated September 24, 2003, between the Registrant and Intel Corporation (7)</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10.154</w:t>
            </w:r>
          </w:p>
        </w:tc>
        <w:tc>
          <w:tcPr>
            <w:tcW w:w="10440" w:type="dxa"/>
            <w:vAlign w:val="bottom"/>
          </w:tcPr>
          <w:p>
            <w:pPr>
              <w:ind w:left="280"/>
              <w:spacing w:after="0"/>
              <w:rPr>
                <w:sz w:val="20"/>
                <w:szCs w:val="20"/>
                <w:color w:val="auto"/>
              </w:rPr>
            </w:pPr>
            <w:r>
              <w:rPr>
                <w:rFonts w:ascii="Arial" w:cs="Arial" w:eastAsia="Arial" w:hAnsi="Arial"/>
                <w:sz w:val="18"/>
                <w:szCs w:val="18"/>
                <w:color w:val="auto"/>
              </w:rPr>
              <w:t>Securities Rights and Restrictions Agreement, dated September 24, 2003, between the Registrant and Intel Capital (7)</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10.155</w:t>
            </w:r>
          </w:p>
        </w:tc>
        <w:tc>
          <w:tcPr>
            <w:tcW w:w="10440" w:type="dxa"/>
            <w:vAlign w:val="bottom"/>
          </w:tcPr>
          <w:p>
            <w:pPr>
              <w:ind w:left="280"/>
              <w:spacing w:after="0"/>
              <w:rPr>
                <w:sz w:val="20"/>
                <w:szCs w:val="20"/>
                <w:color w:val="auto"/>
              </w:rPr>
            </w:pPr>
            <w:r>
              <w:rPr>
                <w:rFonts w:ascii="Arial" w:cs="Arial" w:eastAsia="Arial" w:hAnsi="Arial"/>
                <w:sz w:val="18"/>
                <w:szCs w:val="18"/>
                <w:color w:val="auto"/>
              </w:rPr>
              <w:t>2004 Equity Incentive Plan (16)</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10.156</w:t>
            </w:r>
          </w:p>
        </w:tc>
        <w:tc>
          <w:tcPr>
            <w:tcW w:w="10440" w:type="dxa"/>
            <w:vAlign w:val="bottom"/>
          </w:tcPr>
          <w:p>
            <w:pPr>
              <w:ind w:left="280"/>
              <w:spacing w:after="0"/>
              <w:rPr>
                <w:sz w:val="20"/>
                <w:szCs w:val="20"/>
                <w:color w:val="auto"/>
              </w:rPr>
            </w:pPr>
            <w:r>
              <w:rPr>
                <w:rFonts w:ascii="Arial" w:cs="Arial" w:eastAsia="Arial" w:hAnsi="Arial"/>
                <w:sz w:val="18"/>
                <w:szCs w:val="18"/>
                <w:color w:val="auto"/>
              </w:rPr>
              <w:t>Executive Officer Performance Incentive Plan (20)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10.157</w:t>
            </w:r>
          </w:p>
        </w:tc>
        <w:tc>
          <w:tcPr>
            <w:tcW w:w="10440" w:type="dxa"/>
            <w:vAlign w:val="bottom"/>
          </w:tcPr>
          <w:p>
            <w:pPr>
              <w:ind w:left="280"/>
              <w:spacing w:after="0"/>
              <w:rPr>
                <w:sz w:val="20"/>
                <w:szCs w:val="20"/>
                <w:color w:val="auto"/>
              </w:rPr>
            </w:pPr>
            <w:r>
              <w:rPr>
                <w:rFonts w:ascii="Arial" w:cs="Arial" w:eastAsia="Arial" w:hAnsi="Arial"/>
                <w:sz w:val="18"/>
                <w:szCs w:val="18"/>
                <w:color w:val="auto"/>
              </w:rPr>
              <w:t>2004 Equity Incentive Plan Forms of Agreement and Terms and Conditions (16)</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10.158</w:t>
            </w:r>
          </w:p>
        </w:tc>
        <w:tc>
          <w:tcPr>
            <w:tcW w:w="10440" w:type="dxa"/>
            <w:vAlign w:val="bottom"/>
          </w:tcPr>
          <w:p>
            <w:pPr>
              <w:ind w:left="280"/>
              <w:spacing w:after="0"/>
              <w:rPr>
                <w:sz w:val="20"/>
                <w:szCs w:val="20"/>
                <w:color w:val="auto"/>
              </w:rPr>
            </w:pPr>
            <w:r>
              <w:rPr>
                <w:rFonts w:ascii="Arial" w:cs="Arial" w:eastAsia="Arial" w:hAnsi="Arial"/>
                <w:sz w:val="18"/>
                <w:szCs w:val="18"/>
                <w:color w:val="auto"/>
              </w:rPr>
              <w:t>1994 Stock Option Plan Form of Agreement and Terms and Conditions (16)</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10.159</w:t>
            </w:r>
          </w:p>
        </w:tc>
        <w:tc>
          <w:tcPr>
            <w:tcW w:w="10440" w:type="dxa"/>
            <w:vAlign w:val="bottom"/>
          </w:tcPr>
          <w:p>
            <w:pPr>
              <w:ind w:left="280"/>
              <w:spacing w:after="0"/>
              <w:rPr>
                <w:sz w:val="20"/>
                <w:szCs w:val="20"/>
                <w:color w:val="auto"/>
              </w:rPr>
            </w:pPr>
            <w:r>
              <w:rPr>
                <w:rFonts w:ascii="Arial" w:cs="Arial" w:eastAsia="Arial" w:hAnsi="Arial"/>
                <w:sz w:val="18"/>
                <w:szCs w:val="18"/>
                <w:color w:val="auto"/>
              </w:rPr>
              <w:t>Nonstatutory Stock Option Plan Form of Agreement and Terms and Conditions (16)</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10.160</w:t>
            </w:r>
          </w:p>
        </w:tc>
        <w:tc>
          <w:tcPr>
            <w:tcW w:w="10440" w:type="dxa"/>
            <w:vAlign w:val="bottom"/>
          </w:tcPr>
          <w:p>
            <w:pPr>
              <w:ind w:left="280"/>
              <w:spacing w:after="0"/>
              <w:rPr>
                <w:sz w:val="20"/>
                <w:szCs w:val="20"/>
                <w:color w:val="auto"/>
              </w:rPr>
            </w:pPr>
            <w:r>
              <w:rPr>
                <w:rFonts w:ascii="Arial" w:cs="Arial" w:eastAsia="Arial" w:hAnsi="Arial"/>
                <w:sz w:val="18"/>
                <w:szCs w:val="18"/>
                <w:color w:val="auto"/>
              </w:rPr>
              <w:t>Form of Agreement relating to the Company’s 2001 Stock Option Plan (21)</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10.161*</w:t>
            </w:r>
          </w:p>
        </w:tc>
        <w:tc>
          <w:tcPr>
            <w:tcW w:w="10440" w:type="dxa"/>
            <w:vAlign w:val="bottom"/>
          </w:tcPr>
          <w:p>
            <w:pPr>
              <w:ind w:left="280"/>
              <w:spacing w:after="0"/>
              <w:rPr>
                <w:sz w:val="20"/>
                <w:szCs w:val="20"/>
                <w:color w:val="auto"/>
              </w:rPr>
            </w:pPr>
            <w:r>
              <w:rPr>
                <w:rFonts w:ascii="Arial" w:cs="Arial" w:eastAsia="Arial" w:hAnsi="Arial"/>
                <w:sz w:val="18"/>
                <w:szCs w:val="18"/>
                <w:color w:val="auto"/>
              </w:rPr>
              <w:t>Master Agreement, dated as of November 18, 2005, between Micron Technology, Inc. and Intel Corporation(22)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10.162*</w:t>
            </w: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Limited Liability Company Operating Agreement of IM Flash Technologies, LLC, dated as of January 6, 2006, between Micron Technology,</w:t>
            </w:r>
          </w:p>
        </w:tc>
      </w:tr>
      <w:tr>
        <w:trPr>
          <w:trHeight w:val="216"/>
        </w:trPr>
        <w:tc>
          <w:tcPr>
            <w:tcW w:w="8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Inc. and Intel Corporation(22)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10.163*</w:t>
            </w:r>
          </w:p>
        </w:tc>
        <w:tc>
          <w:tcPr>
            <w:tcW w:w="10440" w:type="dxa"/>
            <w:vAlign w:val="bottom"/>
          </w:tcPr>
          <w:p>
            <w:pPr>
              <w:ind w:left="280"/>
              <w:spacing w:after="0"/>
              <w:rPr>
                <w:sz w:val="20"/>
                <w:szCs w:val="20"/>
                <w:color w:val="auto"/>
              </w:rPr>
            </w:pPr>
            <w:r>
              <w:rPr>
                <w:rFonts w:ascii="Arial" w:cs="Arial" w:eastAsia="Arial" w:hAnsi="Arial"/>
                <w:sz w:val="18"/>
                <w:szCs w:val="18"/>
                <w:color w:val="auto"/>
                <w:w w:val="93"/>
              </w:rPr>
              <w:t>Manufacturing Services Agreement, dated as of January 6, 2006, between Micron Technology, Inc. and IM Flash Technologies, LLC(22)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10.164*</w:t>
            </w:r>
          </w:p>
        </w:tc>
        <w:tc>
          <w:tcPr>
            <w:tcW w:w="10440" w:type="dxa"/>
            <w:vAlign w:val="bottom"/>
          </w:tcPr>
          <w:p>
            <w:pPr>
              <w:ind w:left="280"/>
              <w:spacing w:after="0"/>
              <w:rPr>
                <w:sz w:val="20"/>
                <w:szCs w:val="20"/>
                <w:color w:val="auto"/>
              </w:rPr>
            </w:pPr>
            <w:r>
              <w:rPr>
                <w:rFonts w:ascii="Arial" w:cs="Arial" w:eastAsia="Arial" w:hAnsi="Arial"/>
                <w:sz w:val="18"/>
                <w:szCs w:val="18"/>
                <w:color w:val="auto"/>
              </w:rPr>
              <w:t>Boise Supply Agreement, dated as of January 6, 2006, between IM Flash Technologies, LLC and Micron Technology, Inc.(22)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10.165*</w:t>
            </w:r>
          </w:p>
        </w:tc>
        <w:tc>
          <w:tcPr>
            <w:tcW w:w="10440" w:type="dxa"/>
            <w:vAlign w:val="bottom"/>
          </w:tcPr>
          <w:p>
            <w:pPr>
              <w:ind w:left="280"/>
              <w:spacing w:after="0"/>
              <w:rPr>
                <w:sz w:val="20"/>
                <w:szCs w:val="20"/>
                <w:color w:val="auto"/>
              </w:rPr>
            </w:pPr>
            <w:r>
              <w:rPr>
                <w:rFonts w:ascii="Arial" w:cs="Arial" w:eastAsia="Arial" w:hAnsi="Arial"/>
                <w:sz w:val="18"/>
                <w:szCs w:val="18"/>
                <w:color w:val="auto"/>
              </w:rPr>
              <w:t>MTV Lease Agreement, dated as of January 6, 2006, between Micron Technology, Inc. and IM Flash Technologies, LLC(22)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10.166*</w:t>
            </w:r>
          </w:p>
        </w:tc>
        <w:tc>
          <w:tcPr>
            <w:tcW w:w="10440" w:type="dxa"/>
            <w:vAlign w:val="bottom"/>
          </w:tcPr>
          <w:p>
            <w:pPr>
              <w:ind w:left="280"/>
              <w:spacing w:after="0"/>
              <w:rPr>
                <w:sz w:val="20"/>
                <w:szCs w:val="20"/>
                <w:color w:val="auto"/>
              </w:rPr>
            </w:pPr>
            <w:r>
              <w:rPr>
                <w:rFonts w:ascii="Arial" w:cs="Arial" w:eastAsia="Arial" w:hAnsi="Arial"/>
                <w:sz w:val="18"/>
                <w:szCs w:val="18"/>
                <w:color w:val="auto"/>
              </w:rPr>
              <w:t>Product Designs Assignment Agreement, dated January 6, 2006, between Intel Corporation and Micron Technology, Inc.(22)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10.167*</w:t>
            </w:r>
          </w:p>
        </w:tc>
        <w:tc>
          <w:tcPr>
            <w:tcW w:w="10440" w:type="dxa"/>
            <w:vAlign w:val="bottom"/>
          </w:tcPr>
          <w:p>
            <w:pPr>
              <w:ind w:left="280"/>
              <w:spacing w:after="0"/>
              <w:rPr>
                <w:sz w:val="20"/>
                <w:szCs w:val="20"/>
                <w:color w:val="auto"/>
              </w:rPr>
            </w:pPr>
            <w:r>
              <w:rPr>
                <w:rFonts w:ascii="Arial" w:cs="Arial" w:eastAsia="Arial" w:hAnsi="Arial"/>
                <w:sz w:val="18"/>
                <w:szCs w:val="18"/>
                <w:color w:val="auto"/>
                <w:w w:val="98"/>
              </w:rPr>
              <w:t>NAND Flash Supply Agreement, effective as of January 6, 2006, between Apple Computer, Inc. and Micron Technology, Inc. (22)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10.168*</w:t>
            </w:r>
          </w:p>
        </w:tc>
        <w:tc>
          <w:tcPr>
            <w:tcW w:w="10440" w:type="dxa"/>
            <w:vAlign w:val="bottom"/>
          </w:tcPr>
          <w:p>
            <w:pPr>
              <w:ind w:left="280"/>
              <w:spacing w:after="0"/>
              <w:rPr>
                <w:sz w:val="20"/>
                <w:szCs w:val="20"/>
                <w:color w:val="auto"/>
              </w:rPr>
            </w:pPr>
            <w:r>
              <w:rPr>
                <w:rFonts w:ascii="Arial" w:cs="Arial" w:eastAsia="Arial" w:hAnsi="Arial"/>
                <w:sz w:val="18"/>
                <w:szCs w:val="18"/>
                <w:color w:val="auto"/>
              </w:rPr>
              <w:t>Supply Agreement, dated as of January 6, 2006, between Micron Technology, Inc. and IM Flash Technologies, LLC (22)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10.169*</w:t>
            </w:r>
          </w:p>
        </w:tc>
        <w:tc>
          <w:tcPr>
            <w:tcW w:w="10440" w:type="dxa"/>
            <w:vAlign w:val="bottom"/>
          </w:tcPr>
          <w:p>
            <w:pPr>
              <w:ind w:left="280"/>
              <w:spacing w:after="0"/>
              <w:rPr>
                <w:sz w:val="20"/>
                <w:szCs w:val="20"/>
                <w:color w:val="auto"/>
              </w:rPr>
            </w:pPr>
            <w:r>
              <w:rPr>
                <w:rFonts w:ascii="Arial" w:cs="Arial" w:eastAsia="Arial" w:hAnsi="Arial"/>
                <w:sz w:val="18"/>
                <w:szCs w:val="18"/>
                <w:color w:val="auto"/>
              </w:rPr>
              <w:t>Supply Agreement, dated as of January 6, 2006, between Intel Corporation and IM Flash Technologies, LLC (22)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10.170</w:t>
            </w:r>
          </w:p>
        </w:tc>
        <w:tc>
          <w:tcPr>
            <w:tcW w:w="10440" w:type="dxa"/>
            <w:vAlign w:val="bottom"/>
          </w:tcPr>
          <w:p>
            <w:pPr>
              <w:ind w:left="280"/>
              <w:spacing w:after="0"/>
              <w:rPr>
                <w:sz w:val="20"/>
                <w:szCs w:val="20"/>
                <w:color w:val="auto"/>
              </w:rPr>
            </w:pPr>
            <w:r>
              <w:rPr>
                <w:rFonts w:ascii="Arial" w:cs="Arial" w:eastAsia="Arial" w:hAnsi="Arial"/>
                <w:sz w:val="18"/>
                <w:szCs w:val="18"/>
                <w:color w:val="auto"/>
              </w:rPr>
              <w:t>Lexar Media, Inc. 2000 Equity Incentive Plan (23)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10440" w:type="dxa"/>
            <w:vAlign w:val="bottom"/>
          </w:tcPr>
          <w:p>
            <w:pPr>
              <w:ind w:left="28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440" w:type="dxa"/>
            <w:vAlign w:val="bottom"/>
          </w:tcPr>
          <w:p>
            <w:pPr>
              <w:ind w:left="280"/>
              <w:spacing w:after="0"/>
              <w:rPr>
                <w:sz w:val="20"/>
                <w:szCs w:val="20"/>
                <w:color w:val="auto"/>
              </w:rPr>
            </w:pPr>
            <w:r>
              <w:rPr>
                <w:rFonts w:ascii="Arial" w:cs="Arial" w:eastAsia="Arial" w:hAnsi="Arial"/>
                <w:sz w:val="18"/>
                <w:szCs w:val="18"/>
                <w:color w:val="auto"/>
              </w:rPr>
              <w:t>Consent of Registered Public Accounting Firm</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tcPr>
          <w:p>
            <w:pPr>
              <w:ind w:left="280"/>
              <w:spacing w:after="0"/>
              <w:rPr>
                <w:sz w:val="20"/>
                <w:szCs w:val="20"/>
                <w:color w:val="auto"/>
              </w:rPr>
            </w:pPr>
            <w:r>
              <w:rPr>
                <w:rFonts w:ascii="Arial" w:cs="Arial" w:eastAsia="Arial" w:hAnsi="Arial"/>
                <w:sz w:val="18"/>
                <w:szCs w:val="18"/>
                <w:color w:val="auto"/>
              </w:rPr>
              <w:t>Rule 13a-14(a) Certification of Chief Executive Officer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tcPr>
          <w:p>
            <w:pPr>
              <w:ind w:left="280"/>
              <w:spacing w:after="0"/>
              <w:rPr>
                <w:sz w:val="20"/>
                <w:szCs w:val="20"/>
                <w:color w:val="auto"/>
              </w:rPr>
            </w:pPr>
            <w:r>
              <w:rPr>
                <w:rFonts w:ascii="Arial" w:cs="Arial" w:eastAsia="Arial" w:hAnsi="Arial"/>
                <w:sz w:val="18"/>
                <w:szCs w:val="18"/>
                <w:color w:val="auto"/>
              </w:rPr>
              <w:t>Rule 13a-14(a) Certification of Chief Financial Officer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March 10, 2006</w:t>
      </w:r>
    </w:p>
    <w:p>
      <w:pPr>
        <w:spacing w:after="0" w:line="23" w:lineRule="exact"/>
        <w:rPr>
          <w:rFonts w:ascii="Arial" w:cs="Arial" w:eastAsia="Arial" w:hAnsi="Arial"/>
          <w:sz w:val="18"/>
          <w:szCs w:val="18"/>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May 31, 2006</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June 5, 2006</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September 29, 2005</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30, 2001</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September 29, 2003</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Proxy Statement for the 1986 Annual Meeting of Shareholders</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31, 1989</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333-50353)</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28, 2003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1997</w:t>
      </w:r>
    </w:p>
    <w:p>
      <w:pPr>
        <w:spacing w:after="0" w:line="23"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333-103341)</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November 28, 2002</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333-65449)</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March 3, 2005</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June 3, 1999</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3, 1998</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333-102545)</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2, 2004</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on April 6, 2005</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1, 2005</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333-135459)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-1640205</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-1365885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-1091565</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13893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4" w:lineRule="exact"/>
        <w:rPr>
          <w:sz w:val="20"/>
          <w:szCs w:val="20"/>
          <w:color w:val="auto"/>
        </w:rPr>
      </w:pPr>
    </w:p>
    <w:p>
      <w:pPr>
        <w:ind w:left="5460" w:right="2520" w:hanging="5452"/>
        <w:spacing w:after="0" w:line="778" w:lineRule="auto"/>
        <w:tabs>
          <w:tab w:leader="none" w:pos="3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Commission.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320"/>
          </w:cols>
          <w:pgMar w:left="240" w:top="341" w:right="339" w:bottom="0" w:gutter="0" w:footer="0" w:header="0"/>
        </w:sectPr>
      </w:pPr>
    </w:p>
    <w:bookmarkStart w:id="47" w:name="page48"/>
    <w:bookmarkEnd w:id="47"/>
    <w:p>
      <w:pPr>
        <w:ind w:right="260"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Boise, State of Idaho, on the 7th day of November 2006.</w:t>
      </w:r>
    </w:p>
    <w:p>
      <w:pPr>
        <w:spacing w:after="0" w:line="1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562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 G. Stover, Jr.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Vice President of Finance, Chief Financial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Financial and Accounting Officer)</w:t>
      </w:r>
    </w:p>
    <w:p>
      <w:pPr>
        <w:spacing w:after="0" w:line="2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100" w:type="dxa"/>
            <w:vAlign w:val="bottom"/>
            <w:gridSpan w:val="4"/>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Title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4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i w:val="1"/>
                <w:iCs w:val="1"/>
                <w:color w:val="auto"/>
                <w:w w:val="88"/>
              </w:rPr>
              <w:t>/s/ Steven R. Appleton</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w w:val="93"/>
              </w:rPr>
              <w:t>Chairman of the Board,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8"/>
                <w:szCs w:val="18"/>
                <w:color w:val="auto"/>
                <w:w w:val="95"/>
              </w:rPr>
              <w:t>November 7, 2006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gridSpan w:val="6"/>
          </w:tcPr>
          <w:p>
            <w:pPr>
              <w:jc w:val="center"/>
              <w:ind w:right="20"/>
              <w:spacing w:after="0" w:line="195" w:lineRule="exact"/>
              <w:rPr>
                <w:sz w:val="20"/>
                <w:szCs w:val="20"/>
                <w:color w:val="auto"/>
              </w:rPr>
            </w:pPr>
            <w:r>
              <w:rPr>
                <w:rFonts w:ascii="Arial" w:cs="Arial" w:eastAsia="Arial" w:hAnsi="Arial"/>
                <w:sz w:val="18"/>
                <w:szCs w:val="18"/>
                <w:b w:val="1"/>
                <w:bCs w:val="1"/>
                <w:color w:val="auto"/>
                <w:w w:val="90"/>
              </w:rPr>
              <w:t>(Steven R. Appleton)</w:t>
            </w:r>
          </w:p>
        </w:tc>
        <w:tc>
          <w:tcPr>
            <w:tcW w:w="2040" w:type="dxa"/>
            <w:vAlign w:val="bottom"/>
            <w:gridSpan w:val="2"/>
          </w:tcPr>
          <w:p>
            <w:pPr>
              <w:ind w:left="280"/>
              <w:spacing w:after="0" w:line="195" w:lineRule="exact"/>
              <w:rPr>
                <w:sz w:val="20"/>
                <w:szCs w:val="20"/>
                <w:color w:val="auto"/>
              </w:rPr>
            </w:pPr>
            <w:r>
              <w:rPr>
                <w:rFonts w:ascii="Arial" w:cs="Arial" w:eastAsia="Arial" w:hAnsi="Arial"/>
                <w:sz w:val="18"/>
                <w:szCs w:val="18"/>
                <w:color w:val="auto"/>
                <w:w w:val="95"/>
              </w:rPr>
              <w:t>Chief Executive Officer</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w w:val="91"/>
              </w:rPr>
              <w:t>and President (Principal</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Executive Officer)</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i w:val="1"/>
                <w:iCs w:val="1"/>
                <w:color w:val="auto"/>
                <w:w w:val="86"/>
              </w:rPr>
              <w:t>/s/ W. G. Stover, Jr.</w:t>
            </w:r>
          </w:p>
        </w:tc>
        <w:tc>
          <w:tcPr>
            <w:tcW w:w="2960" w:type="dxa"/>
            <w:vAlign w:val="bottom"/>
            <w:gridSpan w:val="5"/>
          </w:tcPr>
          <w:p>
            <w:pPr>
              <w:ind w:left="280"/>
              <w:spacing w:after="0"/>
              <w:rPr>
                <w:sz w:val="20"/>
                <w:szCs w:val="20"/>
                <w:color w:val="auto"/>
              </w:rPr>
            </w:pPr>
            <w:r>
              <w:rPr>
                <w:rFonts w:ascii="Arial" w:cs="Arial" w:eastAsia="Arial" w:hAnsi="Arial"/>
                <w:sz w:val="18"/>
                <w:szCs w:val="18"/>
                <w:color w:val="auto"/>
              </w:rPr>
              <w:t>Vice President of Finance,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8"/>
                <w:szCs w:val="18"/>
                <w:color w:val="auto"/>
                <w:w w:val="95"/>
              </w:rPr>
              <w:t>November 7, 2006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gridSpan w:val="6"/>
          </w:tcPr>
          <w:p>
            <w:pPr>
              <w:jc w:val="center"/>
              <w:ind w:right="40"/>
              <w:spacing w:after="0" w:line="195" w:lineRule="exact"/>
              <w:rPr>
                <w:sz w:val="20"/>
                <w:szCs w:val="20"/>
                <w:color w:val="auto"/>
              </w:rPr>
            </w:pPr>
            <w:r>
              <w:rPr>
                <w:rFonts w:ascii="Arial" w:cs="Arial" w:eastAsia="Arial" w:hAnsi="Arial"/>
                <w:sz w:val="18"/>
                <w:szCs w:val="18"/>
                <w:b w:val="1"/>
                <w:bCs w:val="1"/>
                <w:color w:val="auto"/>
                <w:w w:val="91"/>
              </w:rPr>
              <w:t>(W. G. Stover, Jr.)</w:t>
            </w:r>
          </w:p>
        </w:tc>
        <w:tc>
          <w:tcPr>
            <w:tcW w:w="2040" w:type="dxa"/>
            <w:vAlign w:val="bottom"/>
            <w:gridSpan w:val="2"/>
          </w:tcPr>
          <w:p>
            <w:pPr>
              <w:ind w:left="280"/>
              <w:spacing w:after="0" w:line="195" w:lineRule="exact"/>
              <w:rPr>
                <w:sz w:val="20"/>
                <w:szCs w:val="20"/>
                <w:color w:val="auto"/>
              </w:rPr>
            </w:pPr>
            <w:r>
              <w:rPr>
                <w:rFonts w:ascii="Arial" w:cs="Arial" w:eastAsia="Arial" w:hAnsi="Arial"/>
                <w:sz w:val="18"/>
                <w:szCs w:val="18"/>
                <w:color w:val="auto"/>
                <w:w w:val="98"/>
              </w:rPr>
              <w:t>Chief Financial Officer</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w w:val="92"/>
              </w:rPr>
              <w:t>(Principal Financial and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Accounting Officer)</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i w:val="1"/>
                <w:iCs w:val="1"/>
                <w:color w:val="auto"/>
                <w:w w:val="91"/>
              </w:rPr>
              <w:t>/s/ Teruaki Aoki</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8"/>
                <w:szCs w:val="18"/>
                <w:color w:val="auto"/>
                <w:w w:val="95"/>
              </w:rPr>
              <w:t>November 7, 2006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4"/>
              </w:rPr>
              <w:t>(Teruaki Aoki)</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i w:val="1"/>
                <w:iCs w:val="1"/>
                <w:color w:val="auto"/>
                <w:w w:val="87"/>
              </w:rPr>
              <w:t>/s/ James W. Bagley</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8"/>
                <w:szCs w:val="18"/>
                <w:color w:val="auto"/>
                <w:w w:val="95"/>
              </w:rPr>
              <w:t>November 7, 2006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9"/>
              </w:rPr>
              <w:t>(James W. Bagley)</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i w:val="1"/>
                <w:iCs w:val="1"/>
                <w:color w:val="auto"/>
                <w:w w:val="88"/>
              </w:rPr>
              <w:t>/s/ Mercedes Johnson</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8"/>
                <w:szCs w:val="18"/>
                <w:color w:val="auto"/>
                <w:w w:val="95"/>
              </w:rPr>
              <w:t>November 7, 2006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7"/>
              </w:rPr>
              <w:t>(Mercedes Johnson)</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i w:val="1"/>
                <w:iCs w:val="1"/>
                <w:color w:val="auto"/>
                <w:w w:val="91"/>
              </w:rPr>
              <w:t>/s/ Robert A. Lothrop</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8"/>
                <w:szCs w:val="18"/>
                <w:color w:val="auto"/>
                <w:w w:val="99"/>
              </w:rPr>
              <w:t>November 7 2006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3"/>
              </w:rPr>
              <w:t>(Robert A. Lothrop)</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i w:val="1"/>
                <w:iCs w:val="1"/>
                <w:color w:val="auto"/>
                <w:w w:val="91"/>
              </w:rPr>
              <w:t>/s/ Lawrence N. Mondry</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8"/>
                <w:szCs w:val="18"/>
                <w:color w:val="auto"/>
                <w:w w:val="95"/>
              </w:rPr>
              <w:t>November 7, 2006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4"/>
              </w:rPr>
              <w:t>(Lawrence N. Mondry)</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i w:val="1"/>
                <w:iCs w:val="1"/>
                <w:color w:val="auto"/>
                <w:w w:val="91"/>
              </w:rPr>
              <w:t>/s/ Gordon C. Smith</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8"/>
                <w:szCs w:val="18"/>
                <w:color w:val="auto"/>
                <w:w w:val="95"/>
              </w:rPr>
              <w:t>November 7, 2006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2"/>
              </w:rPr>
              <w:t>(Gordon C. Smith)</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i w:val="1"/>
                <w:iCs w:val="1"/>
                <w:color w:val="auto"/>
                <w:w w:val="90"/>
              </w:rPr>
              <w:t>/s/ Robert E. Switz</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8"/>
                <w:szCs w:val="18"/>
                <w:color w:val="auto"/>
                <w:w w:val="95"/>
              </w:rPr>
              <w:t>November 7, 2006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3"/>
              </w:rPr>
              <w:t>(Robert E. Switz)</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i w:val="1"/>
                <w:iCs w:val="1"/>
                <w:color w:val="auto"/>
                <w:w w:val="90"/>
              </w:rPr>
              <w:t>/s/ William P. Weber</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8"/>
                <w:szCs w:val="18"/>
                <w:color w:val="auto"/>
                <w:w w:val="95"/>
              </w:rPr>
              <w:t>November 7, 2006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4"/>
              </w:rPr>
              <w:t>(William P. Weber)</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jc w:val="center"/>
              <w:ind w:left="331"/>
              <w:spacing w:after="0"/>
              <w:rPr>
                <w:sz w:val="20"/>
                <w:szCs w:val="20"/>
                <w:color w:val="auto"/>
              </w:rPr>
            </w:pPr>
            <w:r>
              <w:rPr>
                <w:rFonts w:ascii="Arial" w:cs="Arial" w:eastAsia="Arial" w:hAnsi="Arial"/>
                <w:sz w:val="18"/>
                <w:szCs w:val="18"/>
                <w:color w:val="auto"/>
                <w:w w:val="89"/>
              </w:rPr>
              <w:t>67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gridSpan w:val="5"/>
          </w:tcPr>
          <w:p>
            <w:pPr>
              <w:spacing w:after="0"/>
              <w:rPr>
                <w:sz w:val="24"/>
                <w:szCs w:val="24"/>
                <w:color w:val="auto"/>
              </w:rPr>
            </w:pPr>
          </w:p>
        </w:tc>
        <w:tc>
          <w:tcPr>
            <w:tcW w:w="1080" w:type="dxa"/>
            <w:vAlign w:val="bottom"/>
            <w:tcBorders>
              <w:bottom w:val="single" w:sz="8" w:color="010101"/>
            </w:tcBorders>
            <w:gridSpan w:val="2"/>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9"/>
          </w:tcPr>
          <w:p>
            <w:pPr>
              <w:jc w:val="center"/>
              <w:ind w:left="750"/>
              <w:spacing w:after="0"/>
              <w:rPr>
                <w:sz w:val="20"/>
                <w:szCs w:val="20"/>
                <w:color w:val="auto"/>
              </w:rPr>
            </w:pPr>
            <w:r>
              <w:rPr>
                <w:rFonts w:ascii="Arial" w:cs="Arial" w:eastAsia="Arial" w:hAnsi="Arial"/>
                <w:sz w:val="18"/>
                <w:szCs w:val="18"/>
                <w:b w:val="1"/>
                <w:bCs w:val="1"/>
                <w:color w:val="auto"/>
              </w:rPr>
              <w:t>MICRON TECHNOLOGY,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5"/>
          </w:tcPr>
          <w:p>
            <w:pPr>
              <w:jc w:val="center"/>
              <w:spacing w:after="0"/>
              <w:rPr>
                <w:sz w:val="20"/>
                <w:szCs w:val="20"/>
                <w:color w:val="auto"/>
              </w:rPr>
            </w:pPr>
            <w:r>
              <w:rPr>
                <w:rFonts w:ascii="Arial" w:cs="Arial" w:eastAsia="Arial" w:hAnsi="Arial"/>
                <w:sz w:val="18"/>
                <w:szCs w:val="18"/>
                <w:b w:val="1"/>
                <w:bCs w:val="1"/>
                <w:color w:val="auto"/>
              </w:rPr>
              <w:t>SCHEDULE II</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80" w:type="dxa"/>
            <w:vAlign w:val="bottom"/>
            <w:gridSpan w:val="10"/>
          </w:tcPr>
          <w:p>
            <w:pPr>
              <w:jc w:val="center"/>
              <w:ind w:left="650"/>
              <w:spacing w:after="0"/>
              <w:rPr>
                <w:sz w:val="20"/>
                <w:szCs w:val="20"/>
                <w:color w:val="auto"/>
              </w:rPr>
            </w:pPr>
            <w:r>
              <w:rPr>
                <w:rFonts w:ascii="Arial" w:cs="Arial" w:eastAsia="Arial" w:hAnsi="Arial"/>
                <w:sz w:val="18"/>
                <w:szCs w:val="18"/>
                <w:b w:val="1"/>
                <w:bCs w:val="1"/>
                <w:color w:val="auto"/>
              </w:rPr>
              <w:t>VALUATION AND QUALIFYING ACCOUNTS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40" w:type="dxa"/>
            <w:vAlign w:val="bottom"/>
            <w:gridSpan w:val="8"/>
          </w:tcPr>
          <w:p>
            <w:pPr>
              <w:jc w:val="center"/>
              <w:ind w:right="1000"/>
              <w:spacing w:after="0"/>
              <w:rPr>
                <w:sz w:val="20"/>
                <w:szCs w:val="20"/>
                <w:color w:val="auto"/>
              </w:rPr>
            </w:pPr>
            <w:r>
              <w:rPr>
                <w:rFonts w:ascii="Arial" w:cs="Arial" w:eastAsia="Arial" w:hAnsi="Arial"/>
                <w:sz w:val="18"/>
                <w:szCs w:val="18"/>
                <w:b w:val="1"/>
                <w:bCs w:val="1"/>
                <w:color w:val="auto"/>
                <w:w w:val="90"/>
              </w:rPr>
              <w:t>(Amounts in millions)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Acquisition of</w:t>
            </w:r>
          </w:p>
        </w:tc>
        <w:tc>
          <w:tcPr>
            <w:tcW w:w="10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Charged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6"/>
              </w:rPr>
              <w:t>Lexar and</w:t>
            </w:r>
          </w:p>
        </w:tc>
        <w:tc>
          <w:tcPr>
            <w:tcW w:w="10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(Credited) to</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2"/>
              </w:rPr>
              <w:t>Deductions/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gridSpan w:val="4"/>
          </w:tcPr>
          <w:p>
            <w:pPr>
              <w:jc w:val="center"/>
              <w:ind w:right="2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2"/>
              </w:rPr>
              <w:t>Consolidation</w:t>
            </w:r>
          </w:p>
        </w:tc>
        <w:tc>
          <w:tcPr>
            <w:tcW w:w="10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Costs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at End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of TECH</w:t>
            </w: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Write-Offs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Borders>
              <w:top w:val="single" w:sz="8" w:color="CCEEFF"/>
            </w:tcBorders>
            <w:gridSpan w:val="6"/>
            <w:shd w:val="clear" w:color="auto" w:fill="CCEEFF"/>
          </w:tcPr>
          <w:p>
            <w:pPr>
              <w:spacing w:after="0" w:line="156" w:lineRule="exact"/>
              <w:rPr>
                <w:sz w:val="20"/>
                <w:szCs w:val="20"/>
                <w:color w:val="auto"/>
              </w:rPr>
            </w:pPr>
            <w:r>
              <w:rPr>
                <w:rFonts w:ascii="Arial" w:cs="Arial" w:eastAsia="Arial" w:hAnsi="Arial"/>
                <w:sz w:val="18"/>
                <w:szCs w:val="18"/>
                <w:color w:val="auto"/>
              </w:rPr>
              <w:t>Allowance for Doubtful Accounts</w:t>
            </w:r>
          </w:p>
        </w:tc>
        <w:tc>
          <w:tcPr>
            <w:tcW w:w="18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w w:val="98"/>
              </w:rPr>
              <w:t>Year ended August 31, 2006</w:t>
            </w:r>
          </w:p>
        </w:tc>
        <w:tc>
          <w:tcPr>
            <w:tcW w:w="540" w:type="dxa"/>
            <w:vAlign w:val="bottom"/>
            <w:tcBorders>
              <w:top w:val="single" w:sz="8" w:color="CCEEFF"/>
            </w:tcBorders>
            <w:gridSpan w:val="3"/>
          </w:tcPr>
          <w:p>
            <w:pPr>
              <w:spacing w:after="0"/>
              <w:rPr>
                <w:sz w:val="18"/>
                <w:szCs w:val="18"/>
                <w:color w:val="auto"/>
              </w:rPr>
            </w:pPr>
          </w:p>
        </w:tc>
        <w:tc>
          <w:tcPr>
            <w:tcW w:w="2040" w:type="dxa"/>
            <w:vAlign w:val="bottom"/>
            <w:tcBorders>
              <w:top w:val="single" w:sz="8" w:color="CCEEFF"/>
            </w:tcBorders>
            <w:gridSpan w:val="2"/>
          </w:tcPr>
          <w:p>
            <w:pPr>
              <w:ind w:left="18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Year ended September 1, 2005</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6"/>
          </w:tcPr>
          <w:p>
            <w:pPr>
              <w:ind w:left="160"/>
              <w:spacing w:after="0"/>
              <w:rPr>
                <w:sz w:val="20"/>
                <w:szCs w:val="20"/>
                <w:color w:val="auto"/>
              </w:rPr>
            </w:pPr>
            <w:r>
              <w:rPr>
                <w:rFonts w:ascii="Arial" w:cs="Arial" w:eastAsia="Arial" w:hAnsi="Arial"/>
                <w:sz w:val="18"/>
                <w:szCs w:val="18"/>
                <w:color w:val="auto"/>
              </w:rPr>
              <w:t>Year ended September 2, 2004</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80" w:type="dxa"/>
            <w:vAlign w:val="bottom"/>
            <w:gridSpan w:val="6"/>
          </w:tcPr>
          <w:p>
            <w:pPr>
              <w:spacing w:after="0" w:line="176" w:lineRule="exact"/>
              <w:rPr>
                <w:sz w:val="20"/>
                <w:szCs w:val="20"/>
                <w:color w:val="auto"/>
              </w:rPr>
            </w:pPr>
            <w:r>
              <w:rPr>
                <w:rFonts w:ascii="Arial" w:cs="Arial" w:eastAsia="Arial" w:hAnsi="Arial"/>
                <w:sz w:val="18"/>
                <w:szCs w:val="18"/>
                <w:color w:val="auto"/>
              </w:rPr>
              <w:t>Allowance for Obsolete Inventories</w:t>
            </w: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Year ended August 31, 2006</w:t>
            </w:r>
          </w:p>
        </w:tc>
        <w:tc>
          <w:tcPr>
            <w:tcW w:w="20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6"/>
          </w:tcPr>
          <w:p>
            <w:pPr>
              <w:ind w:left="160"/>
              <w:spacing w:after="0"/>
              <w:rPr>
                <w:sz w:val="20"/>
                <w:szCs w:val="20"/>
                <w:color w:val="auto"/>
              </w:rPr>
            </w:pPr>
            <w:r>
              <w:rPr>
                <w:rFonts w:ascii="Arial" w:cs="Arial" w:eastAsia="Arial" w:hAnsi="Arial"/>
                <w:sz w:val="18"/>
                <w:szCs w:val="18"/>
                <w:color w:val="auto"/>
              </w:rPr>
              <w:t>Year ended September 1, 2005</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Year ended September 2, 2004</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gridSpan w:val="6"/>
            <w:shd w:val="clear" w:color="auto" w:fill="CCEEFF"/>
          </w:tcPr>
          <w:p>
            <w:pPr>
              <w:jc w:val="center"/>
              <w:ind w:right="40"/>
              <w:spacing w:after="0" w:line="176" w:lineRule="exact"/>
              <w:rPr>
                <w:sz w:val="20"/>
                <w:szCs w:val="20"/>
                <w:color w:val="auto"/>
              </w:rPr>
            </w:pPr>
            <w:r>
              <w:rPr>
                <w:rFonts w:ascii="Arial" w:cs="Arial" w:eastAsia="Arial" w:hAnsi="Arial"/>
                <w:sz w:val="18"/>
                <w:szCs w:val="18"/>
                <w:color w:val="auto"/>
                <w:w w:val="91"/>
              </w:rPr>
              <w:t>Deferred Tax Asset Valuation Allowance</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gridSpan w:val="5"/>
          </w:tcPr>
          <w:p>
            <w:pPr>
              <w:ind w:left="160"/>
              <w:spacing w:after="0"/>
              <w:rPr>
                <w:sz w:val="20"/>
                <w:szCs w:val="20"/>
                <w:color w:val="auto"/>
              </w:rPr>
            </w:pPr>
            <w:r>
              <w:rPr>
                <w:rFonts w:ascii="Arial" w:cs="Arial" w:eastAsia="Arial" w:hAnsi="Arial"/>
                <w:sz w:val="18"/>
                <w:szCs w:val="18"/>
                <w:color w:val="auto"/>
              </w:rPr>
              <w:t>Year ended August 31, 2006</w:t>
            </w:r>
          </w:p>
        </w:tc>
        <w:tc>
          <w:tcPr>
            <w:tcW w:w="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gridSpan w:val="2"/>
          </w:tcPr>
          <w:p>
            <w:pPr>
              <w:ind w:left="18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1,029</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(103)</w:t>
            </w: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Year ended September 1, 2005</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gridSpan w:val="6"/>
          </w:tcPr>
          <w:p>
            <w:pPr>
              <w:ind w:left="160"/>
              <w:spacing w:after="0"/>
              <w:rPr>
                <w:sz w:val="20"/>
                <w:szCs w:val="20"/>
                <w:color w:val="auto"/>
              </w:rPr>
            </w:pPr>
            <w:r>
              <w:rPr>
                <w:rFonts w:ascii="Arial" w:cs="Arial" w:eastAsia="Arial" w:hAnsi="Arial"/>
                <w:sz w:val="18"/>
                <w:szCs w:val="18"/>
                <w:color w:val="auto"/>
              </w:rPr>
              <w:t>Year ended September 2, 2004</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-3209290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-3209290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8" w:name="page49"/>
    <w:bookmarkEnd w:id="48"/>
    <w:p>
      <w:pPr>
        <w:ind w:firstLine="648"/>
        <w:spacing w:after="0" w:line="277" w:lineRule="auto"/>
        <w:rPr>
          <w:sz w:val="20"/>
          <w:szCs w:val="20"/>
          <w:color w:val="auto"/>
        </w:rPr>
      </w:pPr>
      <w:r>
        <w:rPr>
          <w:rFonts w:ascii="Arial" w:cs="Arial" w:eastAsia="Arial" w:hAnsi="Arial"/>
          <w:sz w:val="18"/>
          <w:szCs w:val="18"/>
          <w:color w:val="auto"/>
        </w:rPr>
        <w:t>The allowance for obsolete inventories excludes any charges for write-downs of work in process and finished goods inventories to their estimated market values. See “Item 8. Financial Statements and Supplementary Data – Notes to Consolidated Financial Statements.”</w:t>
      </w:r>
    </w:p>
    <w:p>
      <w:pPr>
        <w:spacing w:after="0" w:line="3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2"/>
          </w:tcPr>
          <w:p>
            <w:pPr>
              <w:ind w:left="110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414"/>
        </w:trPr>
        <w:tc>
          <w:tcPr>
            <w:tcW w:w="8900" w:type="dxa"/>
            <w:vAlign w:val="bottom"/>
          </w:tcPr>
          <w:p>
            <w:pPr>
              <w:ind w:left="4420"/>
              <w:spacing w:after="0"/>
              <w:rPr>
                <w:sz w:val="20"/>
                <w:szCs w:val="20"/>
                <w:color w:val="auto"/>
              </w:rPr>
            </w:pPr>
            <w:r>
              <w:rPr>
                <w:rFonts w:ascii="Arial" w:cs="Arial" w:eastAsia="Arial" w:hAnsi="Arial"/>
                <w:sz w:val="18"/>
                <w:szCs w:val="18"/>
                <w:b w:val="1"/>
                <w:bCs w:val="1"/>
                <w:color w:val="auto"/>
              </w:rPr>
              <w:t>MICRON TECHNOLOGY, INC.</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4100"/>
              <w:spacing w:after="0"/>
              <w:rPr>
                <w:sz w:val="20"/>
                <w:szCs w:val="20"/>
                <w:color w:val="auto"/>
              </w:rPr>
            </w:pPr>
            <w:r>
              <w:rPr>
                <w:rFonts w:ascii="Arial" w:cs="Arial" w:eastAsia="Arial" w:hAnsi="Arial"/>
                <w:sz w:val="18"/>
                <w:szCs w:val="18"/>
                <w:b w:val="1"/>
                <w:bCs w:val="1"/>
                <w:color w:val="auto"/>
              </w:rPr>
              <w:t>SUBSIDIARIES OF THE REGISTRANT</w:t>
            </w: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State (or jurisdiction)</w:t>
            </w:r>
          </w:p>
        </w:tc>
        <w:tc>
          <w:tcPr>
            <w:tcW w:w="0" w:type="dxa"/>
            <w:vAlign w:val="bottom"/>
          </w:tcPr>
          <w:p>
            <w:pPr>
              <w:spacing w:after="0"/>
              <w:rPr>
                <w:sz w:val="1"/>
                <w:szCs w:val="1"/>
                <w:color w:val="auto"/>
              </w:rPr>
            </w:pPr>
          </w:p>
        </w:tc>
      </w:tr>
      <w:tr>
        <w:trPr>
          <w:trHeight w:val="162"/>
        </w:trPr>
        <w:tc>
          <w:tcPr>
            <w:tcW w:w="8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 which Organized</w:t>
            </w:r>
          </w:p>
        </w:tc>
        <w:tc>
          <w:tcPr>
            <w:tcW w:w="0" w:type="dxa"/>
            <w:vAlign w:val="bottom"/>
          </w:tcPr>
          <w:p>
            <w:pPr>
              <w:spacing w:after="0"/>
              <w:rPr>
                <w:sz w:val="1"/>
                <w:szCs w:val="1"/>
                <w:color w:val="auto"/>
              </w:rPr>
            </w:pPr>
          </w:p>
        </w:tc>
      </w:tr>
      <w:tr>
        <w:trPr>
          <w:trHeight w:val="210"/>
        </w:trPr>
        <w:tc>
          <w:tcPr>
            <w:tcW w:w="8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Acclaim Innovations, LLC</w:t>
            </w:r>
          </w:p>
        </w:tc>
        <w:tc>
          <w:tcPr>
            <w:tcW w:w="2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Lexar Hong Kong Limited</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Lexar Media (Europe) Limited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Lexar Media, Inc.</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Lexar Media International Limited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Lexar Media K.K.</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Japan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Lexar Media Pty Ltd.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Lexar (Shanghai) Electronic Company Limited</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Lexar Singapore Pte. Ltd.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Singapore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Customs Brokerage Services, Inc.</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Idaho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Europe Limited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Also does business as Crucial Technology Europe</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Japan, Ltd.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Japan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Semiconductor Asia Pte. Ltd.</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Singapore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Also does business as Crucial Technology Asia</w:t>
            </w:r>
          </w:p>
        </w:tc>
        <w:tc>
          <w:tcPr>
            <w:tcW w:w="280" w:type="dxa"/>
            <w:vAlign w:val="bottom"/>
            <w:shd w:val="clear" w:color="auto" w:fill="CCEEFF"/>
          </w:tcPr>
          <w:p>
            <w:pPr>
              <w:spacing w:after="0"/>
              <w:rPr>
                <w:sz w:val="18"/>
                <w:szCs w:val="18"/>
                <w:color w:val="auto"/>
              </w:rPr>
            </w:pPr>
          </w:p>
        </w:tc>
        <w:tc>
          <w:tcPr>
            <w:tcW w:w="22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Semiconductor Canada, Inc.</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(Deutschland) GmbH</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Semiconductor France, SAS</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France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Fraxalis Oy</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Finland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Semiconductor GmbH</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Austria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Hungary Kft</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Hungary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Semiconductor India, Inc.</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Idaho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India Private Limited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Semiconductor International, Ltd.</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Cayman Islands, B.W.I.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Ireland Limited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Semiconductor Korea Co., Ltd.</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South Korea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Products, Inc.</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Idaho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Also does business as Crucial Technology</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(Shanghai) Co., Ltd.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Semiconductor Sweden AB (Aktiebolaget Grundstenen 108204)</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Sweden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Technology (Shanghai) Co., Ltd.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Semiconductor (Xiamen) Co., Ltd.</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(Xi’an) Co., Ltd.</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Technology Asia Pacific, Inc.</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Idaho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Italia S.r.l.</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Italy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Micron Technology Puerto Rico, Inc.</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Puerto Rico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Services, Inc.</w:t>
            </w:r>
          </w:p>
        </w:tc>
        <w:tc>
          <w:tcPr>
            <w:tcW w:w="25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Idaho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Micron Technology Texas, LLC</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Idaho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1"/>
        </w:trPr>
        <w:tc>
          <w:tcPr>
            <w:tcW w:w="89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 on Forms S-3 (File Nos. 333-33050, 333-71620, 333-104894) and Forms S-8 (File Nos. 33-27078, 33-57887, 33-65050, 333-07283, 333-17073, 333-50353, 333-65449, 333-71249, 333-82549, 333-99271, 333-102545, 333-103341, 333-111170, 333-120620, 333-133667, 333-135459) of Micron Technology, Inc. of our report dated November 6, 2006 relating to the financial statements, financial statement schedule, management’s assessment of the effectiveness of internal control over financial reporting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4" w:lineRule="auto"/>
        <w:tabs>
          <w:tab w:leader="none" w:pos="3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3"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5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80" w:hanging="328"/>
        <w:spacing w:after="0" w:line="277" w:lineRule="auto"/>
        <w:tabs>
          <w:tab w:leader="none" w:pos="66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7, 2006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Steven R. Appleton</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40" w:type="dxa"/>
            <w:vAlign w:val="bottom"/>
          </w:tcPr>
          <w:p>
            <w:pPr>
              <w:spacing w:after="0"/>
              <w:rPr>
                <w:sz w:val="20"/>
                <w:szCs w:val="20"/>
                <w:color w:val="auto"/>
              </w:rPr>
            </w:pPr>
          </w:p>
        </w:tc>
      </w:tr>
      <w:tr>
        <w:trPr>
          <w:trHeight w:val="1239"/>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3" w:right="199" w:bottom="1440" w:gutter="0" w:footer="0" w:header="0"/>
        </w:sectPr>
      </w:pPr>
    </w:p>
    <w:bookmarkStart w:id="52" w:name="page53"/>
    <w:bookmarkEnd w:id="5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4" w:lineRule="auto"/>
        <w:tabs>
          <w:tab w:leader="none" w:pos="3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3"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80" w:hanging="328"/>
        <w:spacing w:after="0" w:line="277" w:lineRule="auto"/>
        <w:tabs>
          <w:tab w:leader="none" w:pos="66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Date: November 7, 2006</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 G. Stover, Jr.</w:t>
            </w:r>
          </w:p>
        </w:tc>
        <w:tc>
          <w:tcPr>
            <w:tcW w:w="40" w:type="dxa"/>
            <w:vAlign w:val="bottom"/>
          </w:tcPr>
          <w:p>
            <w:pPr>
              <w:spacing w:after="0"/>
              <w:rPr>
                <w:sz w:val="20"/>
                <w:szCs w:val="20"/>
                <w:color w:val="auto"/>
              </w:rPr>
            </w:pPr>
          </w:p>
        </w:tc>
      </w:tr>
      <w:tr>
        <w:trPr>
          <w:trHeight w:val="195"/>
        </w:trPr>
        <w:tc>
          <w:tcPr>
            <w:tcW w:w="63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40" w:type="dxa"/>
            <w:vAlign w:val="bottom"/>
          </w:tcPr>
          <w:p>
            <w:pPr>
              <w:spacing w:after="0"/>
              <w:rPr>
                <w:sz w:val="16"/>
                <w:szCs w:val="16"/>
                <w:color w:val="auto"/>
              </w:rPr>
            </w:pPr>
          </w:p>
        </w:tc>
      </w:tr>
      <w:tr>
        <w:trPr>
          <w:trHeight w:val="230"/>
        </w:trPr>
        <w:tc>
          <w:tcPr>
            <w:tcW w:w="63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40" w:type="dxa"/>
            <w:vAlign w:val="bottom"/>
          </w:tcPr>
          <w:p>
            <w:pPr>
              <w:spacing w:after="0"/>
              <w:rPr>
                <w:sz w:val="20"/>
                <w:szCs w:val="20"/>
                <w:color w:val="auto"/>
              </w:rPr>
            </w:pPr>
          </w:p>
        </w:tc>
      </w:tr>
      <w:tr>
        <w:trPr>
          <w:trHeight w:val="591"/>
        </w:trPr>
        <w:tc>
          <w:tcPr>
            <w:tcW w:w="638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3" w:name="page54"/>
    <w:bookmarkEnd w:id="53"/>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Annual Report of Micron Technology, Inc. on Form 10-K for the period ended August 31, 2006,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Date: November 7, 2006</w:t>
            </w:r>
          </w:p>
        </w:tc>
        <w:tc>
          <w:tcPr>
            <w:tcW w:w="740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R. Appleton</w:t>
            </w:r>
          </w:p>
        </w:tc>
        <w:tc>
          <w:tcPr>
            <w:tcW w:w="40" w:type="dxa"/>
            <w:vAlign w:val="bottom"/>
          </w:tcPr>
          <w:p>
            <w:pPr>
              <w:spacing w:after="0"/>
              <w:rPr>
                <w:sz w:val="20"/>
                <w:szCs w:val="20"/>
                <w:color w:val="auto"/>
              </w:rPr>
            </w:pPr>
          </w:p>
        </w:tc>
      </w:tr>
      <w:tr>
        <w:trPr>
          <w:trHeight w:val="195"/>
        </w:trPr>
        <w:tc>
          <w:tcPr>
            <w:tcW w:w="40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R. Appleton</w:t>
            </w:r>
          </w:p>
        </w:tc>
        <w:tc>
          <w:tcPr>
            <w:tcW w:w="40" w:type="dxa"/>
            <w:vAlign w:val="bottom"/>
          </w:tcPr>
          <w:p>
            <w:pPr>
              <w:spacing w:after="0"/>
              <w:rPr>
                <w:sz w:val="16"/>
                <w:szCs w:val="16"/>
                <w:color w:val="auto"/>
              </w:rPr>
            </w:pPr>
          </w:p>
        </w:tc>
      </w:tr>
      <w:tr>
        <w:trPr>
          <w:trHeight w:val="230"/>
        </w:trPr>
        <w:tc>
          <w:tcPr>
            <w:tcW w:w="40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40" w:type="dxa"/>
            <w:vAlign w:val="bottom"/>
          </w:tcPr>
          <w:p>
            <w:pPr>
              <w:spacing w:after="0"/>
              <w:rPr>
                <w:sz w:val="20"/>
                <w:szCs w:val="20"/>
                <w:color w:val="auto"/>
              </w:rPr>
            </w:pPr>
          </w:p>
        </w:tc>
      </w:tr>
      <w:tr>
        <w:trPr>
          <w:trHeight w:val="1023"/>
        </w:trPr>
        <w:tc>
          <w:tcPr>
            <w:tcW w:w="402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4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3" w:right="199" w:bottom="1440" w:gutter="0" w:footer="0" w:header="0"/>
        </w:sectPr>
      </w:pPr>
    </w:p>
    <w:bookmarkStart w:id="54" w:name="page55"/>
    <w:bookmarkEnd w:id="54"/>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Annual Report of Micron Technology, Inc. on Form 10-K for the period ended August 31, 2006,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November 7, 2006</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W. G. Stover, Jr.</w:t>
            </w:r>
          </w:p>
        </w:tc>
        <w:tc>
          <w:tcPr>
            <w:tcW w:w="40" w:type="dxa"/>
            <w:vAlign w:val="bottom"/>
          </w:tcPr>
          <w:p>
            <w:pPr>
              <w:spacing w:after="0"/>
              <w:rPr>
                <w:sz w:val="20"/>
                <w:szCs w:val="20"/>
                <w:color w:val="auto"/>
              </w:rPr>
            </w:pPr>
          </w:p>
        </w:tc>
      </w:tr>
      <w:tr>
        <w:trPr>
          <w:trHeight w:val="195"/>
        </w:trPr>
        <w:tc>
          <w:tcPr>
            <w:tcW w:w="38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G. Stover, Jr.</w:t>
            </w:r>
          </w:p>
        </w:tc>
        <w:tc>
          <w:tcPr>
            <w:tcW w:w="4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40" w:type="dxa"/>
            <w:vAlign w:val="bottom"/>
          </w:tcPr>
          <w:p>
            <w:pPr>
              <w:spacing w:after="0"/>
              <w:rPr>
                <w:sz w:val="20"/>
                <w:szCs w:val="20"/>
                <w:color w:val="auto"/>
              </w:rPr>
            </w:pPr>
          </w:p>
        </w:tc>
      </w:tr>
      <w:tr>
        <w:trPr>
          <w:trHeight w:val="1023"/>
        </w:trPr>
        <w:tc>
          <w:tcPr>
            <w:tcW w:w="384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50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769"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upperLetter"/>
      <w:start w:val="1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28"/>
    </w:lvl>
  </w:abstractNum>
  <w:abstractNum w:abstractNumId="11">
    <w:nsid w:val="1BEFD79F"/>
    <w:multiLevelType w:val="hybridMultilevel"/>
    <w:lvl w:ilvl="0">
      <w:lvlJc w:val="left"/>
      <w:lvlText w:val="\emdash "/>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2"/>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2019-12-13T13:28:15Z</dcterms:created>
  <dcterms:modified xsi:type="dcterms:W3CDTF">2019-12-13T13:28:15Z</dcterms:modified>
</cp:coreProperties>
</file>