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17145</wp:posOffset>
            </wp:positionV>
            <wp:extent cx="6992620" cy="5081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81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Beard Robert P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4" w:right="600" w:firstLine="4"/>
        <w:spacing w:after="0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3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SVP, General Counsel&amp;Secretary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80" w:space="544"/>
            <w:col w:w="3336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2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10/01/2022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0.00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11,268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10/01/2022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FF"/>
                <w:vertAlign w:val="subscript"/>
              </w:rPr>
              <w:t>31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50.1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11,237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0" w:type="dxa"/>
            <w:vAlign w:val="bottom"/>
            <w:gridSpan w:val="1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10/01/2022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101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Acquisition resulted from the vesting of an equal number of Restricted Stock Units.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Includes 53.857 shares acquired on July 29, 2022 under the Micron Technology, Inc. Employee Stock Purchase Plan, which acquisition is exempt from reporting under Rules 16a-3(g)(1) and 16b-3(c).</w:t>
      </w:r>
    </w:p>
    <w:p>
      <w:pPr>
        <w:spacing w:after="0" w:line="57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Withholding of shares of common stock to satisfy tax withholding obligations in connection with the vesting of awards under the Issuer's 2007 Equity Incentive Plan.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vested or will vest, as the case may be, in three equal installments on October 1, 2021, 2022, and 2023.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Mai Lan Bui, Attorney-in-fact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10/04/2022</w:t>
            </w:r>
          </w:p>
        </w:tc>
      </w:tr>
      <w:tr>
        <w:trPr>
          <w:trHeight w:val="20"/>
        </w:trPr>
        <w:tc>
          <w:tcPr>
            <w:tcW w:w="2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2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0225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2022-10-04T16:26:14Z</dcterms:created>
  <dcterms:modified xsi:type="dcterms:W3CDTF">2022-10-04T16:26:14Z</dcterms:modified>
</cp:coreProperties>
</file>