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November 18, 2004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1"/>
              </w:rPr>
              <w:t>Delaware</w:t>
            </w:r>
          </w:p>
        </w:tc>
        <w:tc>
          <w:tcPr>
            <w:tcW w:w="268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001-10658</w:t>
            </w:r>
          </w:p>
        </w:tc>
        <w:tc>
          <w:tcPr>
            <w:tcW w:w="2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1"/>
              </w:rPr>
              <w:t>75-1618004</w:t>
            </w:r>
          </w:p>
        </w:tc>
      </w:tr>
      <w:tr>
        <w:trPr>
          <w:trHeight w:val="224"/>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00"/>
        </w:trPr>
        <w:tc>
          <w:tcPr>
            <w:tcW w:w="4720" w:type="dxa"/>
            <w:vAlign w:val="bottom"/>
            <w:gridSpan w:val="3"/>
          </w:tcPr>
          <w:p>
            <w:pPr>
              <w:jc w:val="center"/>
              <w:ind w:left="2590"/>
              <w:spacing w:after="0"/>
              <w:rPr>
                <w:sz w:val="20"/>
                <w:szCs w:val="20"/>
                <w:color w:val="auto"/>
              </w:rPr>
            </w:pPr>
            <w:r>
              <w:rPr>
                <w:rFonts w:ascii="Arial" w:cs="Arial" w:eastAsia="Arial" w:hAnsi="Arial"/>
                <w:sz w:val="18"/>
                <w:szCs w:val="18"/>
                <w:b w:val="1"/>
                <w:bCs w:val="1"/>
                <w:color w:val="auto"/>
                <w:w w:val="90"/>
              </w:rPr>
              <w:t>8000 South Federal Way</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4"/>
        </w:trPr>
        <w:tc>
          <w:tcPr>
            <w:tcW w:w="4720" w:type="dxa"/>
            <w:vAlign w:val="bottom"/>
            <w:tcBorders>
              <w:bottom w:val="single" w:sz="8" w:color="auto"/>
            </w:tcBorders>
            <w:gridSpan w:val="3"/>
          </w:tcPr>
          <w:p>
            <w:pPr>
              <w:jc w:val="center"/>
              <w:ind w:left="2590"/>
              <w:spacing w:after="0"/>
              <w:rPr>
                <w:sz w:val="20"/>
                <w:szCs w:val="20"/>
                <w:color w:val="auto"/>
              </w:rPr>
            </w:pPr>
            <w:r>
              <w:rPr>
                <w:rFonts w:ascii="Arial" w:cs="Arial" w:eastAsia="Arial" w:hAnsi="Arial"/>
                <w:sz w:val="18"/>
                <w:szCs w:val="18"/>
                <w:b w:val="1"/>
                <w:bCs w:val="1"/>
                <w:color w:val="auto"/>
                <w:w w:val="89"/>
              </w:rPr>
              <w:t>Boise, Idaho</w:t>
            </w:r>
          </w:p>
        </w:tc>
        <w:tc>
          <w:tcPr>
            <w:tcW w:w="2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83716-9632</w:t>
            </w:r>
          </w:p>
        </w:tc>
      </w:tr>
      <w:tr>
        <w:trPr>
          <w:trHeight w:val="224"/>
        </w:trPr>
        <w:tc>
          <w:tcPr>
            <w:tcW w:w="74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04"/>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80" w:type="dxa"/>
            <w:vAlign w:val="bottom"/>
          </w:tcPr>
          <w:p>
            <w:pPr>
              <w:jc w:val="right"/>
              <w:ind w:right="1030"/>
              <w:spacing w:after="0"/>
              <w:rPr>
                <w:sz w:val="20"/>
                <w:szCs w:val="20"/>
                <w:color w:val="auto"/>
              </w:rPr>
            </w:pPr>
            <w:r>
              <w:rPr>
                <w:rFonts w:ascii="Arial" w:cs="Arial" w:eastAsia="Arial" w:hAnsi="Arial"/>
                <w:sz w:val="18"/>
                <w:szCs w:val="18"/>
                <w:b w:val="1"/>
                <w:bCs w:val="1"/>
                <w:color w:val="auto"/>
              </w:rPr>
              <w:t>(208) 368-4000</w:t>
            </w:r>
          </w:p>
        </w:tc>
        <w:tc>
          <w:tcPr>
            <w:tcW w:w="2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0"/>
        </w:trPr>
        <w:tc>
          <w:tcPr>
            <w:tcW w:w="7620" w:type="dxa"/>
            <w:vAlign w:val="bottom"/>
            <w:gridSpan w:val="5"/>
          </w:tcPr>
          <w:p>
            <w:pPr>
              <w:jc w:val="center"/>
              <w:ind w:left="3710"/>
              <w:spacing w:after="0"/>
              <w:rPr>
                <w:sz w:val="20"/>
                <w:szCs w:val="20"/>
                <w:color w:val="auto"/>
              </w:rPr>
            </w:pPr>
            <w:r>
              <w:rPr>
                <w:rFonts w:ascii="Arial" w:cs="Arial" w:eastAsia="Arial" w:hAnsi="Arial"/>
                <w:sz w:val="18"/>
                <w:szCs w:val="18"/>
                <w:color w:val="auto"/>
                <w:w w:val="90"/>
              </w:rPr>
              <w:t>(Registrant’s telephone number, including area code)</w:t>
            </w: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200" w:firstLine="972"/>
        <w:spacing w:after="0" w:line="286" w:lineRule="auto"/>
        <w:rPr>
          <w:sz w:val="20"/>
          <w:szCs w:val="20"/>
          <w:color w:val="auto"/>
        </w:rPr>
      </w:pPr>
      <w:r>
        <w:rPr>
          <w:rFonts w:ascii="Arial" w:cs="Arial" w:eastAsia="Arial" w:hAnsi="Arial"/>
          <w:sz w:val="17"/>
          <w:szCs w:val="17"/>
          <w:color w:val="auto"/>
        </w:rPr>
        <w:t>On November 18, 2004, the shareholders of Micron Technology, Inc. (the “Company”) approved the Executive Officer Performance Incentive Plan that was filed with the Securities and Exchange Commission on October 18, 2004 as part of the Company’s definitive proxy statement on Schedule 14A. The Executive Officer Performance Incentive Plan is included herein as Exhibit 99.1 to this Current Report on Form 8-K.</w:t>
      </w:r>
    </w:p>
    <w:p>
      <w:pPr>
        <w:spacing w:after="0" w:line="162"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0460" w:type="dxa"/>
            <w:vAlign w:val="bottom"/>
            <w:gridSpan w:val="2"/>
          </w:tcPr>
          <w:p>
            <w:pPr>
              <w:jc w:val="right"/>
              <w:ind w:right="9459"/>
              <w:spacing w:after="0"/>
              <w:rPr>
                <w:sz w:val="20"/>
                <w:szCs w:val="20"/>
                <w:color w:val="auto"/>
              </w:rPr>
            </w:pPr>
            <w:r>
              <w:rPr>
                <w:rFonts w:ascii="Arial" w:cs="Arial" w:eastAsia="Arial" w:hAnsi="Arial"/>
                <w:sz w:val="18"/>
                <w:szCs w:val="18"/>
                <w:color w:val="auto"/>
                <w:w w:val="95"/>
              </w:rPr>
              <w:t>(c) Exhibits.</w:t>
            </w:r>
          </w:p>
        </w:tc>
        <w:tc>
          <w:tcPr>
            <w:tcW w:w="20" w:type="dxa"/>
            <w:vAlign w:val="bottom"/>
          </w:tcPr>
          <w:p>
            <w:pPr>
              <w:spacing w:after="0"/>
              <w:rPr>
                <w:sz w:val="20"/>
                <w:szCs w:val="20"/>
                <w:color w:val="auto"/>
              </w:rPr>
            </w:pPr>
          </w:p>
        </w:tc>
      </w:tr>
      <w:tr>
        <w:trPr>
          <w:trHeight w:val="36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880" w:type="dxa"/>
            <w:vAlign w:val="bottom"/>
          </w:tcPr>
          <w:p>
            <w:pPr>
              <w:spacing w:after="0"/>
              <w:rPr>
                <w:sz w:val="24"/>
                <w:szCs w:val="24"/>
                <w:color w:val="auto"/>
              </w:rPr>
            </w:pPr>
          </w:p>
        </w:tc>
        <w:tc>
          <w:tcPr>
            <w:tcW w:w="9580" w:type="dxa"/>
            <w:vAlign w:val="bottom"/>
            <w:tcBorders>
              <w:bottom w:val="single" w:sz="8" w:color="auto"/>
            </w:tcBorders>
          </w:tcPr>
          <w:p>
            <w:pPr>
              <w:jc w:val="right"/>
              <w:ind w:right="4359"/>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880" w:type="dxa"/>
            <w:vAlign w:val="bottom"/>
          </w:tcPr>
          <w:p>
            <w:pPr>
              <w:spacing w:after="0"/>
              <w:rPr>
                <w:sz w:val="24"/>
                <w:szCs w:val="24"/>
                <w:color w:val="auto"/>
              </w:rPr>
            </w:pPr>
          </w:p>
        </w:tc>
        <w:tc>
          <w:tcPr>
            <w:tcW w:w="9580" w:type="dxa"/>
            <w:vAlign w:val="bottom"/>
          </w:tcPr>
          <w:p>
            <w:pPr>
              <w:jc w:val="right"/>
              <w:ind w:right="6159"/>
              <w:spacing w:after="0"/>
              <w:rPr>
                <w:sz w:val="20"/>
                <w:szCs w:val="20"/>
                <w:color w:val="auto"/>
              </w:rPr>
            </w:pPr>
            <w:r>
              <w:rPr>
                <w:rFonts w:ascii="Arial" w:cs="Arial" w:eastAsia="Arial" w:hAnsi="Arial"/>
                <w:sz w:val="18"/>
                <w:szCs w:val="18"/>
                <w:color w:val="auto"/>
                <w:w w:val="91"/>
              </w:rPr>
              <w:t>Executive Officer Performance Incentive Plan</w:t>
            </w:r>
          </w:p>
        </w:tc>
        <w:tc>
          <w:tcPr>
            <w:tcW w:w="2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10460" w:type="dxa"/>
            <w:vAlign w:val="bottom"/>
            <w:gridSpan w:val="2"/>
          </w:tcPr>
          <w:p>
            <w:pPr>
              <w:jc w:val="right"/>
              <w:ind w:right="5579"/>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105"/>
        </w:trPr>
        <w:tc>
          <w:tcPr>
            <w:tcW w:w="9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300" w:type="dxa"/>
            <w:vAlign w:val="bottom"/>
            <w:gridSpan w:val="2"/>
          </w:tcPr>
          <w:p>
            <w:pPr>
              <w:ind w:left="220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Date: November 29, 2004</w:t>
            </w:r>
          </w:p>
        </w:tc>
        <w:tc>
          <w:tcPr>
            <w:tcW w:w="2920" w:type="dxa"/>
            <w:vAlign w:val="bottom"/>
          </w:tcPr>
          <w:p>
            <w:pPr>
              <w:ind w:left="220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195"/>
        </w:trPr>
        <w:tc>
          <w:tcPr>
            <w:tcW w:w="4120" w:type="dxa"/>
            <w:vAlign w:val="bottom"/>
          </w:tcPr>
          <w:p>
            <w:pPr>
              <w:spacing w:after="0"/>
              <w:rPr>
                <w:sz w:val="16"/>
                <w:szCs w:val="16"/>
                <w:color w:val="auto"/>
              </w:rPr>
            </w:pPr>
          </w:p>
        </w:tc>
        <w:tc>
          <w:tcPr>
            <w:tcW w:w="2920" w:type="dxa"/>
            <w:vAlign w:val="bottom"/>
          </w:tcPr>
          <w:p>
            <w:pPr>
              <w:ind w:left="2200"/>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r>
      <w:tr>
        <w:trPr>
          <w:trHeight w:val="230"/>
        </w:trPr>
        <w:tc>
          <w:tcPr>
            <w:tcW w:w="4120" w:type="dxa"/>
            <w:vAlign w:val="bottom"/>
          </w:tcPr>
          <w:p>
            <w:pPr>
              <w:spacing w:after="0"/>
              <w:rPr>
                <w:sz w:val="20"/>
                <w:szCs w:val="20"/>
                <w:color w:val="auto"/>
              </w:rPr>
            </w:pPr>
          </w:p>
        </w:tc>
        <w:tc>
          <w:tcPr>
            <w:tcW w:w="2920" w:type="dxa"/>
            <w:vAlign w:val="bottom"/>
          </w:tcPr>
          <w:p>
            <w:pPr>
              <w:ind w:left="220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Vice President of Finance and</w:t>
            </w:r>
          </w:p>
        </w:tc>
      </w:tr>
    </w:tbl>
    <w:p>
      <w:pPr>
        <w:sectPr>
          <w:pgSz w:w="11900" w:h="16838" w:orient="portrait"/>
          <w:cols w:equalWidth="0" w:num="1">
            <w:col w:w="11440"/>
          </w:cols>
          <w:pgMar w:left="240" w:top="585" w:right="219" w:bottom="0" w:gutter="0" w:footer="0" w:header="0"/>
        </w:sectPr>
      </w:pPr>
    </w:p>
    <w:bookmarkStart w:id="1" w:name="page2"/>
    <w:bookmarkEnd w:id="1"/>
    <w:p>
      <w:pPr>
        <w:ind w:left="7040"/>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60" w:type="dxa"/>
            <w:vAlign w:val="bottom"/>
          </w:tcPr>
          <w:p>
            <w:pPr>
              <w:jc w:val="center"/>
              <w:ind w:right="1573"/>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0"/>
                <w:szCs w:val="20"/>
                <w:color w:val="auto"/>
              </w:rPr>
            </w:pPr>
          </w:p>
        </w:tc>
      </w:tr>
      <w:tr>
        <w:trPr>
          <w:trHeight w:val="91"/>
        </w:trPr>
        <w:tc>
          <w:tcPr>
            <w:tcW w:w="12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97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r>
        <w:trPr>
          <w:trHeight w:val="748"/>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98"/>
              </w:rPr>
              <w:t>THE CURRENT REPORT ON FORM 8-K DATED NOVEMBER 12, 2004</w:t>
            </w:r>
          </w:p>
        </w:tc>
      </w:tr>
      <w:tr>
        <w:trPr>
          <w:trHeight w:val="365"/>
        </w:trPr>
        <w:tc>
          <w:tcPr>
            <w:tcW w:w="12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1280" w:type="dxa"/>
            <w:vAlign w:val="bottom"/>
          </w:tcPr>
          <w:p>
            <w:pPr>
              <w:jc w:val="right"/>
              <w:ind w:right="399"/>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Executive Officer Performance Incentive Plan</w:t>
            </w:r>
          </w:p>
        </w:tc>
      </w:tr>
      <w:tr>
        <w:trPr>
          <w:trHeight w:val="43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60" w:type="dxa"/>
            <w:vAlign w:val="bottom"/>
          </w:tcPr>
          <w:p>
            <w:pPr>
              <w:jc w:val="center"/>
              <w:ind w:right="1573"/>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r>
      <w:tr>
        <w:trPr>
          <w:trHeight w:val="105"/>
        </w:trPr>
        <w:tc>
          <w:tcPr>
            <w:tcW w:w="1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-1506220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21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purpose of the Plan is to promote the success of the Company by providing performance-based incentive compensation in the form of cash payments (“Awards”) to the chief executive officer, president and vice-presidents (“Executive Officers”) of the Company. Such Awards are designed to attract, retain and reward the Executive Officers for outstanding business performance. The Plan is intended, but not required, to provide qualified performance-based compensation in accordance with Section 162(m) of the Internal Revenue Code of 1986, as it may be amended from time to time, and the regulations promulgated thereunder (“Section 162(m)”).</w:t>
      </w:r>
    </w:p>
    <w:p>
      <w:pPr>
        <w:spacing w:after="0" w:line="18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Plan shall be administered by the Committee. The Committee shall be composed solely of two or more outside directors as defined in Section 162(m) and shall qualify as an independent compensation committee under Section 162(m). The Committee shall have full power and authority to construe, interpret and administer the Plan and shall have authority to delegate the day-to-day administration of the Plan to Company employees or to such other persons as the Committee deems reasonable under the circumstances. The Committee shall meet at such times and places as it may determine. A majority of the members of the Committee shall constitute a quorum and all decisions of the Committee with respect to matters related to the Plan shall be final, conclusive and binding upon all persons, including the Company, shareholders, employees, Company successors and assigns and a Participant’s spouse, if any, and his or her guardian, estate and/or heirs (“Interested Parties”). The Committee shall have the full and exclusive right to make reductions in Awards under the Plan. In determining whether to reduce any Award and the amount of any such reduction, the Committee shall take into consideration such factors as the Committee shall determine reasonable under the circumstances, in its sole and absolute discretion. All expenses of the administration of the Plan shall be borne by the Company, including all Awards, if any, paid pursuant to the terms of the Plan.</w:t>
      </w:r>
    </w:p>
    <w:p>
      <w:pPr>
        <w:spacing w:after="0" w:line="17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 Approval.</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Plan shall be effective if, and only if, the Company’s shareholders approve the Plan. No Award shall be paid under the Plan for any period until after stockholder approval of the Plan has been obtained. To the extent necessary for the Plan to qualify as performance-based compensation under Section 162(m), the material terms of the Plan shall be disclosed to and re-approved by the shareholders no later than the first shareholders meeting that occurs in the fifth year following the year in which shareholders previously approved the material terms of the Plan.</w:t>
      </w:r>
    </w:p>
    <w:p>
      <w:pPr>
        <w:spacing w:after="0" w:line="17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sz w:val="20"/>
          <w:szCs w:val="20"/>
          <w:color w:val="auto"/>
        </w:rPr>
      </w:pPr>
    </w:p>
    <w:p>
      <w:pPr>
        <w:ind w:right="300" w:firstLine="8"/>
        <w:spacing w:after="0" w:line="257"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Selection of Participants. </w:t>
      </w:r>
      <w:r>
        <w:rPr>
          <w:rFonts w:ascii="Arial" w:cs="Arial" w:eastAsia="Arial" w:hAnsi="Arial"/>
          <w:sz w:val="18"/>
          <w:szCs w:val="18"/>
          <w:color w:val="auto"/>
        </w:rPr>
        <w:t>For each measurement period (which may or may not be the same period with respect to each Participant and which may or</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a twelve-month period; provided, however, in no event will a measurement period be less than ninety (90) days for any Participant), the Committee will choose, in its sole discretion, the Executive Officers who will participate in the Plan (each a “Participant”). Nothing in this Plan shall be construed as precluding or prohibiting an Executive Officer from being eligible to participate in any other bonus or compensation arrangement of the Company, whether or not currently established.</w:t>
      </w:r>
    </w:p>
    <w:p>
      <w:pPr>
        <w:spacing w:after="0" w:line="188" w:lineRule="exact"/>
        <w:rPr>
          <w:rFonts w:ascii="Arial" w:cs="Arial" w:eastAsia="Arial" w:hAnsi="Arial"/>
          <w:sz w:val="18"/>
          <w:szCs w:val="18"/>
          <w:color w:val="auto"/>
        </w:rPr>
      </w:pPr>
    </w:p>
    <w:p>
      <w:pPr>
        <w:ind w:right="100" w:firstLine="8"/>
        <w:spacing w:after="0" w:line="293"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Employment Criteria. </w:t>
      </w:r>
      <w:r>
        <w:rPr>
          <w:rFonts w:ascii="Arial" w:cs="Arial" w:eastAsia="Arial" w:hAnsi="Arial"/>
          <w:sz w:val="16"/>
          <w:szCs w:val="16"/>
          <w:color w:val="auto"/>
        </w:rPr>
        <w:t>To be eligible to receive an Award under the terms of the Plan with respect to a measurement period, a Participant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employed by the Company or a subsidiary or affiliate as an Executive Officer for the entire measurement period, including, as well, through the date of determination and certification of the payment of any such Award (“Certification Date”). For purposes of the Plan, with respect to any given measurement period, a Participant who (i) terminates employment (regardless of cause) or who otherwise ceases to be an Executive Officer, prior to the Certification Date and (ii) who, pursuant to a separate contractual arrangement with the Company is entitled to receive payments from the Company thereunder extending to or beyond such Certification Date as a result of such termination or cessation in Executive Officer status, shall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deemed to have been employed by the Company as an Executive Officer through the Certification Date for purposes of Award eligibility.</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Criteria on Which Performance Goals Shall be Based.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that are related, directly or indirectly, to one or more of the following objective business criteria, or any combination or portion thereof:</w:t>
      </w:r>
    </w:p>
    <w:p>
      <w:pPr>
        <w:spacing w:after="0" w:line="1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2" w:lineRule="exact"/>
        <w:rPr>
          <w:rFonts w:ascii="Arial" w:cs="Arial" w:eastAsia="Arial" w:hAnsi="Arial"/>
          <w:sz w:val="22"/>
          <w:szCs w:val="22"/>
          <w:color w:val="auto"/>
        </w:rPr>
      </w:pPr>
    </w:p>
    <w:p>
      <w:pPr>
        <w:ind w:left="660" w:right="620" w:hanging="328"/>
        <w:spacing w:after="0" w:line="23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ectPr>
          <w:pgSz w:w="11900" w:h="16838" w:orient="portrait"/>
          <w:cols w:equalWidth="0" w:num="1">
            <w:col w:w="11420"/>
          </w:cols>
          <w:pgMar w:left="240" w:top="121" w:right="239" w:bottom="0" w:gutter="0" w:footer="0" w:header="0"/>
        </w:sectPr>
      </w:pPr>
    </w:p>
    <w:bookmarkStart w:id="3" w:name="page4"/>
    <w:bookmarkEnd w:id="3"/>
    <w:p>
      <w:pPr>
        <w:ind w:left="660" w:right="240" w:hanging="328"/>
        <w:spacing w:after="0" w:line="251" w:lineRule="auto"/>
        <w:tabs>
          <w:tab w:leader="none" w:pos="655" w:val="left"/>
        </w:tabs>
        <w:numPr>
          <w:ilvl w:val="0"/>
          <w:numId w:val="8"/>
        </w:numPr>
        <w:rPr>
          <w:rFonts w:ascii="Arial" w:cs="Arial" w:eastAsia="Arial" w:hAnsi="Arial"/>
          <w:sz w:val="21"/>
          <w:szCs w:val="21"/>
          <w:color w:val="auto"/>
        </w:rPr>
      </w:pPr>
      <w:r>
        <w:rPr>
          <w:rFonts w:ascii="Arial" w:cs="Arial" w:eastAsia="Arial" w:hAnsi="Arial"/>
          <w:sz w:val="17"/>
          <w:szCs w:val="17"/>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9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Company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Committee Action.</w:t>
      </w:r>
      <w:r>
        <w:rPr>
          <w:rFonts w:ascii="Arial" w:cs="Arial" w:eastAsia="Arial" w:hAnsi="Arial"/>
          <w:sz w:val="17"/>
          <w:szCs w:val="17"/>
          <w:color w:val="auto"/>
        </w:rPr>
        <w:t xml:space="preserve"> For each measurement period the Committee shall establish the following: (1) the length of the measurement period with respect to each Participant (measurement periods need not be the same for each Participant. Measurement periods will coincide with the Company’s fiscal year unless a shorter measurement period is established; provided, however, in no event will a measurement period be less than a three-month period for any Participant);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8" w:lineRule="exact"/>
        <w:rPr>
          <w:sz w:val="20"/>
          <w:szCs w:val="20"/>
          <w:color w:val="auto"/>
        </w:rPr>
      </w:pPr>
    </w:p>
    <w:p>
      <w:pPr>
        <w:jc w:val="both"/>
        <w:ind w:right="580" w:firstLine="8"/>
        <w:spacing w:after="0" w:line="342"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Timing of Committee Action. </w:t>
      </w:r>
      <w:r>
        <w:rPr>
          <w:rFonts w:ascii="Arial" w:cs="Arial" w:eastAsia="Arial" w:hAnsi="Arial"/>
          <w:sz w:val="16"/>
          <w:szCs w:val="16"/>
          <w:color w:val="auto"/>
        </w:rPr>
        <w:t>The Committee shall make the above determinations in writing no later than ninety (90) days after the start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period, on or before twenty-five percent (25%) of the measurement period has elapsed, and while the outcome is substantially uncertain.</w:t>
      </w:r>
    </w:p>
    <w:p>
      <w:pPr>
        <w:spacing w:after="0" w:line="123" w:lineRule="exact"/>
        <w:rPr>
          <w:rFonts w:ascii="Arial" w:cs="Arial" w:eastAsia="Arial" w:hAnsi="Arial"/>
          <w:sz w:val="16"/>
          <w:szCs w:val="16"/>
          <w:color w:val="auto"/>
        </w:rPr>
      </w:pPr>
    </w:p>
    <w:p>
      <w:pPr>
        <w:ind w:right="220" w:firstLine="8"/>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shall not exceed $3,000,000.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Changes in the Business, Executive Officer Positions or Duties, Re-Set Events, Etc.</w:t>
      </w:r>
    </w:p>
    <w:p>
      <w:pPr>
        <w:spacing w:after="0" w:line="225" w:lineRule="exact"/>
        <w:rPr>
          <w:rFonts w:ascii="Arial" w:cs="Arial" w:eastAsia="Arial" w:hAnsi="Arial"/>
          <w:sz w:val="18"/>
          <w:szCs w:val="18"/>
          <w:color w:val="auto"/>
        </w:rPr>
      </w:pPr>
    </w:p>
    <w:p>
      <w:pPr>
        <w:ind w:right="80" w:firstLine="332"/>
        <w:spacing w:after="0" w:line="289" w:lineRule="auto"/>
        <w:tabs>
          <w:tab w:leader="none" w:pos="624"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Satisfy Section 162(m). </w:t>
      </w:r>
      <w:r>
        <w:rPr>
          <w:rFonts w:ascii="Arial" w:cs="Arial" w:eastAsia="Arial" w:hAnsi="Arial"/>
          <w:sz w:val="16"/>
          <w:szCs w:val="16"/>
          <w:color w:val="auto"/>
        </w:rPr>
        <w:t>With respect to Awards not intended to satisfy Section 162(m), if the Committee determines that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If a Participant is promoted, demoted or transferred to a different business unit or function during a measurement period, the Committee may determine that the Performance Goals or measurement period are no longer appropriate and may (i) adjust, change or eliminate the Performance Goals or the applicable measurement period as it deems appropriate to make such goals and period comparable to the initial Performance Goals and measurement period, or (ii) make an Award to the Participant in amount determined by the Committee to be in the best interests of the Company, in the Committee’s sole discretion. The foregoing two sentences shall apply with respect to an Award that is not intended to satisfy Section 162(m).</w:t>
      </w:r>
    </w:p>
    <w:p>
      <w:pPr>
        <w:spacing w:after="0" w:line="166" w:lineRule="exact"/>
        <w:rPr>
          <w:rFonts w:ascii="Arial" w:cs="Arial" w:eastAsia="Arial" w:hAnsi="Arial"/>
          <w:sz w:val="16"/>
          <w:szCs w:val="16"/>
          <w:color w:val="auto"/>
        </w:rPr>
      </w:pPr>
    </w:p>
    <w:p>
      <w:pPr>
        <w:ind w:firstLine="332"/>
        <w:spacing w:after="0" w:line="285" w:lineRule="auto"/>
        <w:tabs>
          <w:tab w:leader="none" w:pos="624"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Satisfy Section 162(m). </w:t>
      </w:r>
      <w:r>
        <w:rPr>
          <w:rFonts w:ascii="Arial" w:cs="Arial" w:eastAsia="Arial" w:hAnsi="Arial"/>
          <w:sz w:val="16"/>
          <w:szCs w:val="16"/>
          <w:color w:val="auto"/>
        </w:rPr>
        <w:t>With respect to Awards intended to satisfy Section 162(m), unless otherwise specified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in each case a “Re-Set Event,”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5 and 6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6(d)(2) will be construed to authorize the Committee to take actions under this Section 6(d)(2) that are not permitted by Section 162(m).</w:t>
      </w:r>
    </w:p>
    <w:p>
      <w:pPr>
        <w:spacing w:after="0" w:line="172" w:lineRule="exact"/>
        <w:rPr>
          <w:rFonts w:ascii="Arial" w:cs="Arial" w:eastAsia="Arial" w:hAnsi="Arial"/>
          <w:sz w:val="16"/>
          <w:szCs w:val="16"/>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225" w:lineRule="exact"/>
        <w:rPr>
          <w:rFonts w:ascii="Arial" w:cs="Arial" w:eastAsia="Arial" w:hAnsi="Arial"/>
          <w:sz w:val="18"/>
          <w:szCs w:val="18"/>
          <w:color w:val="auto"/>
        </w:rPr>
      </w:pPr>
    </w:p>
    <w:p>
      <w:pPr>
        <w:ind w:firstLine="332"/>
        <w:spacing w:after="0" w:line="255" w:lineRule="auto"/>
        <w:tabs>
          <w:tab w:leader="none" w:pos="62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Notwithstanding Section 6(d), in the event of a Change in Control (as defined below), each measurement period shall be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ended as of the last day of the fiscal month immediately preceding such Change in Control (the “CIC Termination Date”). The Committee shall determine with respect to each Participant whether his or her Performance Goal(s) were Achieved (as defined below) as of the CIC Termination Date. In the case of any such achievement, a Participant shall receive, subject to the terms and conditions of the Plan, including the Committee’s discretion and certification as set forth in Section 7 below, an Award payable within thirty days of the Certification Date. Subject to the Committee’s discretion set forth in Section 7(b), Awards that are Achieved as defined in subsection 6(e)(2)(i) shall not be pro-rated and Awards that are Achieved as defined in subsection 6(e)(2)(ii) shall be pro-rated.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this Section 6, the following terms shall be defined as follows:</w:t>
      </w:r>
    </w:p>
    <w:p>
      <w:pPr>
        <w:sectPr>
          <w:pgSz w:w="11900" w:h="16838" w:orient="portrait"/>
          <w:cols w:equalWidth="0" w:num="1">
            <w:col w:w="11400"/>
          </w:cols>
          <w:pgMar w:left="240" w:top="152" w:right="259" w:bottom="0" w:gutter="0" w:footer="0" w:header="0"/>
        </w:sectPr>
      </w:pPr>
    </w:p>
    <w:bookmarkStart w:id="4" w:name="page5"/>
    <w:bookmarkEnd w:id="4"/>
    <w:p>
      <w:pPr>
        <w:ind w:right="400"/>
        <w:spacing w:after="0" w:line="264" w:lineRule="auto"/>
        <w:rPr>
          <w:sz w:val="20"/>
          <w:szCs w:val="20"/>
          <w:color w:val="auto"/>
        </w:rPr>
      </w:pPr>
      <w:r>
        <w:rPr>
          <w:rFonts w:ascii="Arial" w:cs="Arial" w:eastAsia="Arial" w:hAnsi="Arial"/>
          <w:sz w:val="18"/>
          <w:szCs w:val="18"/>
          <w:color w:val="auto"/>
        </w:rPr>
        <w:t>“Achieved” shall mean with respect to (i) a non-financial or non-numerical Performance Goal, the full achievement of such Performance Goal;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sz w:val="20"/>
          <w:szCs w:val="20"/>
          <w:color w:val="auto"/>
        </w:rPr>
      </w:pPr>
    </w:p>
    <w:p>
      <w:pPr>
        <w:ind w:right="20" w:firstLine="332"/>
        <w:spacing w:after="0" w:line="255" w:lineRule="auto"/>
        <w:tabs>
          <w:tab w:leader="none" w:pos="6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89" w:lineRule="exact"/>
        <w:rPr>
          <w:rFonts w:ascii="Arial" w:cs="Arial" w:eastAsia="Arial" w:hAnsi="Arial"/>
          <w:sz w:val="18"/>
          <w:szCs w:val="18"/>
          <w:color w:val="auto"/>
        </w:rPr>
      </w:pPr>
    </w:p>
    <w:p>
      <w:pPr>
        <w:ind w:left="680" w:hanging="348"/>
        <w:spacing w:after="0"/>
        <w:tabs>
          <w:tab w:leader="none" w:pos="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person is or becomes a “beneficial owner” (as defined in Rule 13d-3 under the 1934 Securities Exchange Act), directly or indirectly, of either</w:t>
      </w:r>
    </w:p>
    <w:p>
      <w:pPr>
        <w:spacing w:after="0" w:line="46" w:lineRule="exact"/>
        <w:rPr>
          <w:rFonts w:ascii="Arial" w:cs="Arial" w:eastAsia="Arial" w:hAnsi="Arial"/>
          <w:sz w:val="16"/>
          <w:szCs w:val="16"/>
          <w:color w:val="auto"/>
        </w:rPr>
      </w:pPr>
    </w:p>
    <w:p>
      <w:pPr>
        <w:ind w:left="300" w:hanging="292"/>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35% or more of the then-outstanding shares of common stock of the Company (“Company Common Stock”) or (B) securities of the Company</w:t>
      </w:r>
    </w:p>
    <w:p>
      <w:pPr>
        <w:spacing w:after="0" w:line="20" w:lineRule="exact"/>
        <w:rPr>
          <w:rFonts w:ascii="Arial" w:cs="Arial" w:eastAsia="Arial" w:hAnsi="Arial"/>
          <w:sz w:val="17"/>
          <w:szCs w:val="17"/>
          <w:color w:val="auto"/>
        </w:rPr>
      </w:pPr>
    </w:p>
    <w:p>
      <w:pPr>
        <w:ind w:right="12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representing 35% or more of the combined voting power of the Company’s then outstanding securities eligible to vote for the election of directors (the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1" w:lineRule="exact"/>
        <w:rPr>
          <w:rFonts w:ascii="Arial" w:cs="Arial" w:eastAsia="Arial" w:hAnsi="Arial"/>
          <w:sz w:val="17"/>
          <w:szCs w:val="17"/>
          <w:color w:val="auto"/>
        </w:rPr>
      </w:pPr>
    </w:p>
    <w:p>
      <w:pPr>
        <w:ind w:firstLine="332"/>
        <w:spacing w:after="0" w:line="267" w:lineRule="auto"/>
        <w:tabs>
          <w:tab w:leader="none" w:pos="6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shareholders of the Company of a complete liquidation or dissolution of the Company.</w:t>
      </w:r>
    </w:p>
    <w:p>
      <w:pPr>
        <w:spacing w:after="0" w:line="19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sz w:val="20"/>
          <w:szCs w:val="20"/>
          <w:color w:val="auto"/>
        </w:rPr>
      </w:pPr>
    </w:p>
    <w:p>
      <w:pPr>
        <w:ind w:firstLine="8"/>
        <w:spacing w:after="0" w:line="272" w:lineRule="auto"/>
        <w:tabs>
          <w:tab w:leader="none" w:pos="29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and Certification of Awards. </w:t>
      </w:r>
      <w:r>
        <w:rPr>
          <w:rFonts w:ascii="Arial" w:cs="Arial" w:eastAsia="Arial" w:hAnsi="Arial"/>
          <w:sz w:val="17"/>
          <w:szCs w:val="17"/>
          <w:color w:val="auto"/>
        </w:rPr>
        <w:t>As soon as practicable following the expiration of a measurement period, the Committee shall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Performance Goals and other elements established pursuant to Section 6 above, the Award to be paid to each Participant for such measurement period. The Committee’s determinations shall be final, binding and conclusive with respect to all Interested Parties and shall be certified in writing by the Committee prior to the payment of any such Award, which writing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8"/>
        <w:spacing w:after="0" w:line="276" w:lineRule="auto"/>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Committee Discretion. </w:t>
      </w:r>
      <w:r>
        <w:rPr>
          <w:rFonts w:ascii="Arial" w:cs="Arial" w:eastAsia="Arial" w:hAnsi="Arial"/>
          <w:sz w:val="17"/>
          <w:szCs w:val="17"/>
          <w:color w:val="auto"/>
        </w:rPr>
        <w:t>The Committee, in its sole discretion, based on any factors the Committee deems appropriate, may reduce the Award to any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7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Awards shall be paid in cash, in a single lump sum, to the Participants as soon as practicable following the Certification Date.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8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Termination.</w:t>
      </w:r>
    </w:p>
    <w:p>
      <w:pPr>
        <w:sectPr>
          <w:pgSz w:w="11900" w:h="16838" w:orient="portrait"/>
          <w:cols w:equalWidth="0" w:num="1">
            <w:col w:w="11400"/>
          </w:cols>
          <w:pgMar w:left="240" w:top="341" w:right="259" w:bottom="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shareholder approval of any amendment determined to require shareholder approval pursuant to Section 162(m) or any other applicable law, rule regulation or listing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Nonassignability.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No Right to Continued Employment.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Nothing in this Plan shall confer upon any employee who is an Executive Officer or Participant any right to continue in the employ of the Company or shall interfere with or restrict in any way the right of the Company to discharge such employee at any time for any reason whatsoever, with or without good cause.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Effectiveness.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Upon stockholder approval as described in Section 3, the Plan shall be effective for measurement periods beginning on or after September 3, 2004.</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Letter"/>
      <w:start w:val="4"/>
    </w:lvl>
    <w:lvl w:ilvl="1">
      <w:lvlJc w:val="left"/>
      <w:lvlText w:val="(%2)"/>
      <w:numFmt w:val="decimal"/>
      <w:start w:val="1"/>
    </w:lvl>
  </w:abstractNum>
  <w:abstractNum w:abstractNumId="11">
    <w:nsid w:val="1BEFD79F"/>
    <w:multiLevelType w:val="hybridMultilevel"/>
    <w:lvl w:ilvl="0">
      <w:lvlJc w:val="left"/>
      <w:lvlText w:val="%1"/>
      <w:numFmt w:val="upperLetter"/>
      <w:start w:val="1"/>
    </w:lvl>
    <w:lvl w:ilvl="1">
      <w:lvlJc w:val="left"/>
      <w:lvlText w:val="(%2)"/>
      <w:numFmt w:val="lowerRoman"/>
      <w:start w:val="1"/>
    </w:lvl>
  </w:abstractNum>
  <w:abstractNum w:abstractNumId="12">
    <w:nsid w:val="41A7C4C9"/>
    <w:multiLevelType w:val="hybridMultilevel"/>
    <w:lvl w:ilvl="0">
      <w:lvlJc w:val="left"/>
      <w:lvlText w:val="(%1)"/>
      <w:numFmt w:val="upperLetter"/>
      <w:start w:val="1"/>
    </w:lvl>
    <w:lvl w:ilvl="1">
      <w:lvlJc w:val="left"/>
      <w:lvlText w:val="(%2)"/>
      <w:numFmt w:val="lowerRoman"/>
      <w:start w:val="3"/>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8"/>
    </w:lvl>
  </w:abstractNum>
  <w:abstractNum w:abstractNumId="17">
    <w:nsid w:val="431BD7B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2019-12-13T13:08:45Z</dcterms:created>
  <dcterms:modified xsi:type="dcterms:W3CDTF">2019-12-13T13:08:45Z</dcterms:modified>
</cp:coreProperties>
</file>