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OMB APPROVAL</w:t>
      </w:r>
    </w:p>
    <w:p>
      <w:pPr>
        <w:ind w:left="4860"/>
        <w:spacing w:after="0"/>
        <w:rPr>
          <w:sz w:val="20"/>
          <w:szCs w:val="20"/>
          <w:color w:val="auto"/>
        </w:rPr>
      </w:pPr>
      <w:r>
        <w:rPr>
          <w:rFonts w:ascii="Courier New" w:cs="Courier New" w:eastAsia="Courier New" w:hAnsi="Courier New"/>
          <w:sz w:val="18"/>
          <w:szCs w:val="18"/>
          <w:color w:val="auto"/>
        </w:rPr>
        <w:t>---------------------------------</w:t>
      </w:r>
    </w:p>
    <w:p>
      <w:pPr>
        <w:ind w:left="4860"/>
        <w:spacing w:after="0"/>
        <w:tabs>
          <w:tab w:leader="none" w:pos="7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4860"/>
        <w:spacing w:after="0"/>
        <w:tabs>
          <w:tab w:leader="none" w:pos="662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January 31, 2006</w:t>
      </w:r>
    </w:p>
    <w:p>
      <w:pPr>
        <w:ind w:left="4860"/>
        <w:spacing w:after="0"/>
        <w:rPr>
          <w:sz w:val="20"/>
          <w:szCs w:val="20"/>
          <w:color w:val="auto"/>
        </w:rPr>
      </w:pPr>
      <w:r>
        <w:rPr>
          <w:rFonts w:ascii="Courier New" w:cs="Courier New" w:eastAsia="Courier New" w:hAnsi="Courier New"/>
          <w:sz w:val="18"/>
          <w:szCs w:val="18"/>
          <w:color w:val="auto"/>
        </w:rPr>
        <w:t>Estimated average burden</w:t>
      </w:r>
    </w:p>
    <w:p>
      <w:pPr>
        <w:ind w:left="4860"/>
        <w:spacing w:after="0" w:line="237" w:lineRule="auto"/>
        <w:tabs>
          <w:tab w:leader="dot" w:pos="8100" w:val="left"/>
        </w:tabs>
        <w:rPr>
          <w:sz w:val="20"/>
          <w:szCs w:val="20"/>
          <w:color w:val="auto"/>
        </w:rPr>
      </w:pPr>
      <w:r>
        <w:rPr>
          <w:rFonts w:ascii="Courier New" w:cs="Courier New" w:eastAsia="Courier New" w:hAnsi="Courier New"/>
          <w:sz w:val="18"/>
          <w:szCs w:val="18"/>
          <w:color w:val="auto"/>
        </w:rPr>
        <w:t>hours per response</w:t>
      </w:r>
      <w:r>
        <w:rPr>
          <w:sz w:val="20"/>
          <w:szCs w:val="20"/>
          <w:color w:val="auto"/>
        </w:rPr>
        <w:tab/>
      </w:r>
      <w:r>
        <w:rPr>
          <w:rFonts w:ascii="Courier New" w:cs="Courier New" w:eastAsia="Courier New" w:hAnsi="Courier New"/>
          <w:sz w:val="18"/>
          <w:szCs w:val="18"/>
          <w:color w:val="auto"/>
        </w:rPr>
        <w:t>11</w:t>
      </w:r>
    </w:p>
    <w:p>
      <w:pPr>
        <w:ind w:left="4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$0.10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(1-06)</w:t>
      </w:r>
    </w:p>
    <w:p>
      <w:pPr>
        <w:ind w:left="3380"/>
        <w:spacing w:after="0" w:line="238" w:lineRule="auto"/>
        <w:rPr>
          <w:sz w:val="20"/>
          <w:szCs w:val="20"/>
          <w:color w:val="auto"/>
        </w:rPr>
      </w:pPr>
      <w:r>
        <w:rPr>
          <w:rFonts w:ascii="Courier New" w:cs="Courier New" w:eastAsia="Courier New" w:hAnsi="Courier New"/>
          <w:sz w:val="18"/>
          <w:szCs w:val="18"/>
          <w:color w:val="auto"/>
        </w:rPr>
        <w:t>Page 1 of 8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CUSIP No. 595112103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17" w:lineRule="exact"/>
        <w:rPr>
          <w:sz w:val="24"/>
          <w:szCs w:val="24"/>
          <w:color w:val="auto"/>
        </w:rPr>
      </w:pPr>
    </w:p>
    <w:p>
      <w:pPr>
        <w:sectPr>
          <w:pgSz w:w="11900" w:h="16838" w:orient="portrait"/>
          <w:cols w:equalWidth="0" w:num="2">
            <w:col w:w="3500" w:space="720"/>
            <w:col w:w="5999"/>
          </w:cols>
          <w:pgMar w:left="240" w:top="244" w:right="1440" w:bottom="0" w:gutter="0" w:footer="0" w:header="0"/>
          <w:type w:val="continuous"/>
        </w:sect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Goldman, Sachs &amp; Co.</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80" w:hanging="430"/>
        <w:spacing w:after="0" w:line="238" w:lineRule="auto"/>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10,928,139</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10,959,289</w:t>
            </w:r>
          </w:p>
        </w:tc>
      </w:tr>
    </w:tbl>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10,959,289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80" w:right="2739" w:hanging="7172"/>
        <w:spacing w:after="0" w:line="399" w:lineRule="auto"/>
        <w:tabs>
          <w:tab w:leader="none" w:pos="64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4419" w:hanging="1152"/>
        <w:spacing w:after="0" w:line="470" w:lineRule="auto"/>
        <w:tabs>
          <w:tab w:leader="none" w:pos="6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7059" w:hanging="1152"/>
        <w:spacing w:after="0" w:line="470" w:lineRule="auto"/>
        <w:tabs>
          <w:tab w:leader="none" w:pos="6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BD-PN-IA</w:t>
      </w:r>
    </w:p>
    <w:p>
      <w:pPr>
        <w:spacing w:after="0" w:line="12"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8 pages</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44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r>
      <w:tr>
        <w:trPr>
          <w:trHeight w:val="203"/>
        </w:trPr>
        <w:tc>
          <w:tcPr>
            <w:tcW w:w="34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CUSIP No. 595112103</w:t>
            </w:r>
          </w:p>
        </w:tc>
        <w:tc>
          <w:tcPr>
            <w:tcW w:w="1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Goldman Sachs Group, Inc.</w:t>
      </w:r>
    </w:p>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180" w:hanging="430"/>
        <w:spacing w:after="0" w:line="238" w:lineRule="auto"/>
        <w:tabs>
          <w:tab w:leader="none" w:pos="71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180" w:hanging="430"/>
        <w:spacing w:after="0" w:line="238" w:lineRule="auto"/>
        <w:tabs>
          <w:tab w:leader="none" w:pos="71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10,928,139</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10,959,289</w:t>
            </w:r>
          </w:p>
        </w:tc>
      </w:tr>
    </w:tbl>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527"/>
        <w:spacing w:after="0" w:line="238" w:lineRule="auto"/>
        <w:tabs>
          <w:tab w:leader="none" w:pos="6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10,959,289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180" w:right="2739" w:hanging="7172"/>
        <w:spacing w:after="0" w:line="399" w:lineRule="auto"/>
        <w:tabs>
          <w:tab w:leader="none" w:pos="6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4419" w:hanging="1152"/>
        <w:spacing w:after="0" w:line="470" w:lineRule="auto"/>
        <w:tabs>
          <w:tab w:leader="none" w:pos="63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7059" w:hanging="1152"/>
        <w:spacing w:after="0" w:line="470" w:lineRule="auto"/>
        <w:tabs>
          <w:tab w:leader="none" w:pos="63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2"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8 pages</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Amount beneficially</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owned:</w:t>
            </w: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Item  9</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See the response(s)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Item 11</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attached cover page(s).</w:t>
            </w: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w w:val="99"/>
              </w:rPr>
              <w:t>Number of shares as</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to which such</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person has:</w:t>
            </w:r>
          </w:p>
        </w:tc>
      </w:tr>
    </w:tbl>
    <w:p>
      <w:pPr>
        <w:spacing w:after="0" w:line="207" w:lineRule="exact"/>
        <w:rPr>
          <w:sz w:val="20"/>
          <w:szCs w:val="20"/>
          <w:color w:val="auto"/>
        </w:rPr>
      </w:pPr>
    </w:p>
    <w:p>
      <w:pPr>
        <w:jc w:val="both"/>
        <w:ind w:left="2960" w:right="1779" w:hanging="947"/>
        <w:spacing w:after="0" w:line="290" w:lineRule="auto"/>
        <w:tabs>
          <w:tab w:leader="none" w:pos="29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960" w:right="1779" w:hanging="947"/>
        <w:spacing w:after="0" w:line="290" w:lineRule="auto"/>
        <w:tabs>
          <w:tab w:leader="none" w:pos="29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960" w:right="1779" w:hanging="947"/>
        <w:spacing w:after="0" w:line="236" w:lineRule="auto"/>
        <w:tabs>
          <w:tab w:leader="none" w:pos="294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8"/>
          <w:szCs w:val="18"/>
          <w:color w:val="auto"/>
        </w:rPr>
        <w:t>Sole power to dispose or to direct the disposition of: See the response(s) to Item 7 on the attached cover page(s).</w:t>
      </w:r>
    </w:p>
    <w:p>
      <w:pPr>
        <w:spacing w:after="0" w:line="209" w:lineRule="exact"/>
        <w:rPr>
          <w:sz w:val="20"/>
          <w:szCs w:val="20"/>
          <w:color w:val="auto"/>
        </w:rPr>
      </w:pPr>
    </w:p>
    <w:p>
      <w:pPr>
        <w:jc w:val="both"/>
        <w:ind w:left="2960" w:right="1779" w:hanging="947"/>
        <w:spacing w:after="0" w:line="236" w:lineRule="auto"/>
        <w:tabs>
          <w:tab w:leader="none" w:pos="29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720" w:type="dxa"/>
            <w:vAlign w:val="bottom"/>
            <w:gridSpan w:val="2"/>
          </w:tcPr>
          <w:p>
            <w:pPr>
              <w:ind w:left="560"/>
              <w:spacing w:after="0"/>
              <w:rPr>
                <w:sz w:val="20"/>
                <w:szCs w:val="20"/>
                <w:color w:val="auto"/>
              </w:rPr>
            </w:pPr>
            <w:r>
              <w:rPr>
                <w:rFonts w:ascii="Courier New" w:cs="Courier New" w:eastAsia="Courier New" w:hAnsi="Courier New"/>
                <w:sz w:val="18"/>
                <w:szCs w:val="18"/>
                <w:color w:val="auto"/>
              </w:rPr>
              <w:t>Ownership</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1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Five  Percent</w:t>
            </w:r>
          </w:p>
        </w:tc>
        <w:tc>
          <w:tcPr>
            <w:tcW w:w="34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or  Less  of  a  Class.</w:t>
            </w:r>
          </w:p>
        </w:tc>
      </w:tr>
      <w:tr>
        <w:trPr>
          <w:trHeight w:val="203"/>
        </w:trPr>
        <w:tc>
          <w:tcPr>
            <w:tcW w:w="1440" w:type="dxa"/>
            <w:vAlign w:val="bottom"/>
          </w:tcPr>
          <w:p>
            <w:pPr>
              <w:spacing w:after="0"/>
              <w:rPr>
                <w:sz w:val="17"/>
                <w:szCs w:val="17"/>
                <w:color w:val="auto"/>
              </w:rPr>
            </w:pPr>
          </w:p>
        </w:tc>
        <w:tc>
          <w:tcPr>
            <w:tcW w:w="14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If this</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statement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is being</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filed to report the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fact that as</w:t>
            </w:r>
          </w:p>
        </w:tc>
      </w:tr>
      <w:tr>
        <w:trPr>
          <w:trHeight w:val="203"/>
        </w:trPr>
        <w:tc>
          <w:tcPr>
            <w:tcW w:w="1440" w:type="dxa"/>
            <w:vAlign w:val="bottom"/>
          </w:tcPr>
          <w:p>
            <w:pPr>
              <w:spacing w:after="0"/>
              <w:rPr>
                <w:sz w:val="17"/>
                <w:szCs w:val="17"/>
                <w:color w:val="auto"/>
              </w:rPr>
            </w:pPr>
          </w:p>
        </w:tc>
        <w:tc>
          <w:tcPr>
            <w:tcW w:w="246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w w:val="96"/>
              </w:rPr>
              <w:t>of the date hereof</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the</w:t>
            </w:r>
          </w:p>
        </w:tc>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reporting  persons  have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ceased to be</w:t>
            </w:r>
          </w:p>
        </w:tc>
      </w:tr>
      <w:tr>
        <w:trPr>
          <w:trHeight w:val="203"/>
        </w:trPr>
        <w:tc>
          <w:tcPr>
            <w:tcW w:w="1440" w:type="dxa"/>
            <w:vAlign w:val="bottom"/>
          </w:tcPr>
          <w:p>
            <w:pPr>
              <w:spacing w:after="0"/>
              <w:rPr>
                <w:sz w:val="17"/>
                <w:szCs w:val="17"/>
                <w:color w:val="auto"/>
              </w:rPr>
            </w:pPr>
          </w:p>
        </w:tc>
        <w:tc>
          <w:tcPr>
            <w:tcW w:w="210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rPr>
              <w:t>the beneficial</w:t>
            </w:r>
          </w:p>
        </w:tc>
        <w:tc>
          <w:tcPr>
            <w:tcW w:w="3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owners of more than five percent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r>
      <w:tr>
        <w:trPr>
          <w:trHeight w:val="203"/>
        </w:trPr>
        <w:tc>
          <w:tcPr>
            <w:tcW w:w="1440" w:type="dxa"/>
            <w:vAlign w:val="bottom"/>
          </w:tcPr>
          <w:p>
            <w:pPr>
              <w:spacing w:after="0"/>
              <w:rPr>
                <w:sz w:val="17"/>
                <w:szCs w:val="17"/>
                <w:color w:val="auto"/>
              </w:rPr>
            </w:pPr>
          </w:p>
        </w:tc>
        <w:tc>
          <w:tcPr>
            <w:tcW w:w="5680" w:type="dxa"/>
            <w:vAlign w:val="bottom"/>
            <w:gridSpan w:val="8"/>
          </w:tcPr>
          <w:p>
            <w:pPr>
              <w:ind w:left="560"/>
              <w:spacing w:after="0" w:line="203" w:lineRule="exact"/>
              <w:rPr>
                <w:sz w:val="20"/>
                <w:szCs w:val="20"/>
                <w:color w:val="auto"/>
              </w:rPr>
            </w:pPr>
            <w:r>
              <w:rPr>
                <w:rFonts w:ascii="Courier New" w:cs="Courier New" w:eastAsia="Courier New" w:hAnsi="Courier New"/>
                <w:sz w:val="18"/>
                <w:szCs w:val="18"/>
                <w:color w:val="auto"/>
              </w:rPr>
              <w:t>of securities, check the following [X].</w:t>
            </w:r>
          </w:p>
        </w:tc>
        <w:tc>
          <w:tcPr>
            <w:tcW w:w="132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10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Certification.</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72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By signing</w:t>
            </w:r>
          </w:p>
        </w:tc>
        <w:tc>
          <w:tcPr>
            <w:tcW w:w="39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below I certify that, to the best of</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my knowledge</w:t>
            </w:r>
          </w:p>
        </w:tc>
      </w:tr>
      <w:tr>
        <w:trPr>
          <w:trHeight w:val="203"/>
        </w:trPr>
        <w:tc>
          <w:tcPr>
            <w:tcW w:w="1440" w:type="dxa"/>
            <w:vAlign w:val="bottom"/>
          </w:tcPr>
          <w:p>
            <w:pPr>
              <w:spacing w:after="0"/>
              <w:rPr>
                <w:sz w:val="17"/>
                <w:szCs w:val="17"/>
                <w:color w:val="auto"/>
              </w:rPr>
            </w:pPr>
          </w:p>
        </w:tc>
        <w:tc>
          <w:tcPr>
            <w:tcW w:w="172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w w:val="95"/>
              </w:rPr>
              <w:t>and belief,</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referred to above were acquired</w:t>
            </w:r>
          </w:p>
        </w:tc>
      </w:tr>
      <w:tr>
        <w:trPr>
          <w:trHeight w:val="203"/>
        </w:trPr>
        <w:tc>
          <w:tcPr>
            <w:tcW w:w="1440" w:type="dxa"/>
            <w:vAlign w:val="bottom"/>
          </w:tcPr>
          <w:p>
            <w:pPr>
              <w:spacing w:after="0"/>
              <w:rPr>
                <w:sz w:val="17"/>
                <w:szCs w:val="17"/>
                <w:color w:val="auto"/>
              </w:rPr>
            </w:pPr>
          </w:p>
        </w:tc>
        <w:tc>
          <w:tcPr>
            <w:tcW w:w="3580" w:type="dxa"/>
            <w:vAlign w:val="bottom"/>
            <w:gridSpan w:val="6"/>
          </w:tcPr>
          <w:p>
            <w:pPr>
              <w:ind w:left="560"/>
              <w:spacing w:after="0" w:line="203" w:lineRule="exact"/>
              <w:rPr>
                <w:sz w:val="20"/>
                <w:szCs w:val="20"/>
                <w:color w:val="auto"/>
              </w:rPr>
            </w:pPr>
            <w:r>
              <w:rPr>
                <w:rFonts w:ascii="Courier New" w:cs="Courier New" w:eastAsia="Courier New" w:hAnsi="Courier New"/>
                <w:sz w:val="18"/>
                <w:szCs w:val="18"/>
                <w:color w:val="auto"/>
                <w:w w:val="99"/>
              </w:rPr>
              <w:t>and are held in the ordinary</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were not</w:t>
            </w:r>
          </w:p>
        </w:tc>
      </w:tr>
      <w:tr>
        <w:trPr>
          <w:trHeight w:val="203"/>
        </w:trPr>
        <w:tc>
          <w:tcPr>
            <w:tcW w:w="1440" w:type="dxa"/>
            <w:vAlign w:val="bottom"/>
          </w:tcPr>
          <w:p>
            <w:pPr>
              <w:spacing w:after="0"/>
              <w:rPr>
                <w:sz w:val="17"/>
                <w:szCs w:val="17"/>
                <w:color w:val="auto"/>
              </w:rPr>
            </w:pPr>
          </w:p>
        </w:tc>
        <w:tc>
          <w:tcPr>
            <w:tcW w:w="14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5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and are not</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held</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for the</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purpose  of or with the</w:t>
            </w:r>
          </w:p>
        </w:tc>
      </w:tr>
      <w:tr>
        <w:trPr>
          <w:trHeight w:val="203"/>
        </w:trPr>
        <w:tc>
          <w:tcPr>
            <w:tcW w:w="1440" w:type="dxa"/>
            <w:vAlign w:val="bottom"/>
          </w:tcPr>
          <w:p>
            <w:pPr>
              <w:spacing w:after="0"/>
              <w:rPr>
                <w:sz w:val="17"/>
                <w:szCs w:val="17"/>
                <w:color w:val="auto"/>
              </w:rPr>
            </w:pPr>
          </w:p>
        </w:tc>
        <w:tc>
          <w:tcPr>
            <w:tcW w:w="246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w w:val="96"/>
              </w:rPr>
              <w:t>effect of changing</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or</w:t>
            </w: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influencing</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the control of the issuer</w:t>
            </w:r>
          </w:p>
        </w:tc>
      </w:tr>
      <w:tr>
        <w:trPr>
          <w:trHeight w:val="203"/>
        </w:trPr>
        <w:tc>
          <w:tcPr>
            <w:tcW w:w="1440" w:type="dxa"/>
            <w:vAlign w:val="bottom"/>
          </w:tcPr>
          <w:p>
            <w:pPr>
              <w:spacing w:after="0"/>
              <w:rPr>
                <w:sz w:val="17"/>
                <w:szCs w:val="17"/>
                <w:color w:val="auto"/>
              </w:rPr>
            </w:pPr>
          </w:p>
        </w:tc>
        <w:tc>
          <w:tcPr>
            <w:tcW w:w="14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of the</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were</w:t>
            </w:r>
          </w:p>
        </w:tc>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not acquired and are not held in</w:t>
            </w:r>
          </w:p>
        </w:tc>
      </w:tr>
      <w:tr>
        <w:trPr>
          <w:trHeight w:val="203"/>
        </w:trPr>
        <w:tc>
          <w:tcPr>
            <w:tcW w:w="1440" w:type="dxa"/>
            <w:vAlign w:val="bottom"/>
          </w:tcPr>
          <w:p>
            <w:pPr>
              <w:spacing w:after="0"/>
              <w:rPr>
                <w:sz w:val="17"/>
                <w:szCs w:val="17"/>
                <w:color w:val="auto"/>
              </w:rPr>
            </w:pPr>
          </w:p>
        </w:tc>
        <w:tc>
          <w:tcPr>
            <w:tcW w:w="2460" w:type="dxa"/>
            <w:vAlign w:val="bottom"/>
            <w:gridSpan w:val="4"/>
          </w:tcPr>
          <w:p>
            <w:pPr>
              <w:ind w:left="560"/>
              <w:spacing w:after="0" w:line="203" w:lineRule="exact"/>
              <w:rPr>
                <w:sz w:val="20"/>
                <w:szCs w:val="20"/>
                <w:color w:val="auto"/>
              </w:rPr>
            </w:pPr>
            <w:r>
              <w:rPr>
                <w:rFonts w:ascii="Courier New" w:cs="Courier New" w:eastAsia="Courier New" w:hAnsi="Courier New"/>
                <w:sz w:val="18"/>
                <w:szCs w:val="18"/>
                <w:color w:val="auto"/>
                <w:w w:val="96"/>
              </w:rPr>
              <w:t>connection with or</w:t>
            </w:r>
          </w:p>
        </w:tc>
        <w:tc>
          <w:tcPr>
            <w:tcW w:w="45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as a participant in any transaction having</w:t>
            </w:r>
          </w:p>
        </w:tc>
      </w:tr>
      <w:tr>
        <w:trPr>
          <w:trHeight w:val="203"/>
        </w:trPr>
        <w:tc>
          <w:tcPr>
            <w:tcW w:w="1440" w:type="dxa"/>
            <w:vAlign w:val="bottom"/>
          </w:tcPr>
          <w:p>
            <w:pPr>
              <w:spacing w:after="0"/>
              <w:rPr>
                <w:sz w:val="17"/>
                <w:szCs w:val="17"/>
                <w:color w:val="auto"/>
              </w:rPr>
            </w:pPr>
          </w:p>
        </w:tc>
        <w:tc>
          <w:tcPr>
            <w:tcW w:w="3000" w:type="dxa"/>
            <w:vAlign w:val="bottom"/>
            <w:gridSpan w:val="5"/>
          </w:tcPr>
          <w:p>
            <w:pPr>
              <w:ind w:left="560"/>
              <w:spacing w:after="0" w:line="203" w:lineRule="exact"/>
              <w:rPr>
                <w:sz w:val="20"/>
                <w:szCs w:val="20"/>
                <w:color w:val="auto"/>
              </w:rPr>
            </w:pPr>
            <w:r>
              <w:rPr>
                <w:rFonts w:ascii="Courier New" w:cs="Courier New" w:eastAsia="Courier New" w:hAnsi="Courier New"/>
                <w:sz w:val="18"/>
                <w:szCs w:val="18"/>
                <w:color w:val="auto"/>
                <w:w w:val="97"/>
              </w:rPr>
              <w:t>that purpose or effect.</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1779" w:firstLine="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(the "SEC") Release No. 34-39538 (January 12, 1998), this filing reflects the securities beneficially owned by the investment banking division ("IBD") of The Goldman Sachs Group, Inc. and its subsidiaries and affiliates (collectively, "GSG"). This filing does not reflect securities, if any, beneficially owned by any other operating unit of GSG. IBD disclaims beneficial ownership of the securities beneficially owned by (i) any client accounts with respect to which IBD or its employees have voting or investment discretion, or both and (ii) certain investment entities, of which IBD is the general partner, managing general partner or other manager, to the extent interests in such entities are held by persons other than IBD.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717"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2006</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Yvette Kosic</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Name:</w:t>
        <w:tab/>
        <w:t>Yvette Kosic</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Yvette Kosic</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Yvette Kosic</w:t>
      </w: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10219"/>
          </w:cols>
          <w:pgMar w:left="240" w:top="919"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820" w:space="720"/>
            <w:col w:w="7679"/>
          </w:cols>
          <w:pgMar w:left="240" w:top="925"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ourier New" w:cs="Courier New" w:eastAsia="Courier New" w:hAnsi="Courier New"/>
          <w:sz w:val="18"/>
          <w:szCs w:val="18"/>
          <w:color w:val="auto"/>
        </w:rPr>
        <w:t>Power of Attorney, dated November 7, 2005, The Goldman Sachs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relating to</w:t>
      </w:r>
    </w:p>
    <w:p>
      <w:pPr>
        <w:spacing w:after="0" w:line="418" w:lineRule="exact"/>
        <w:rPr>
          <w:sz w:val="20"/>
          <w:szCs w:val="20"/>
          <w:color w:val="auto"/>
        </w:rPr>
      </w:pPr>
    </w:p>
    <w:p>
      <w:pPr>
        <w:sectPr>
          <w:pgSz w:w="11900" w:h="16838" w:orient="portrait"/>
          <w:cols w:equalWidth="0" w:num="3">
            <w:col w:w="1720" w:space="720"/>
            <w:col w:w="4620" w:space="220"/>
            <w:col w:w="2939"/>
          </w:cols>
          <w:pgMar w:left="240" w:top="925" w:right="1440" w:bottom="1440" w:gutter="0" w:footer="0" w:header="0"/>
          <w:type w:val="continuous"/>
        </w:sectPr>
      </w:pP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November 7,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relating to</w:t>
      </w:r>
    </w:p>
    <w:p>
      <w:pPr>
        <w:spacing w:after="0" w:line="402" w:lineRule="exact"/>
        <w:rPr>
          <w:sz w:val="20"/>
          <w:szCs w:val="20"/>
          <w:color w:val="auto"/>
        </w:rPr>
      </w:pPr>
    </w:p>
    <w:p>
      <w:pPr>
        <w:sectPr>
          <w:pgSz w:w="11900" w:h="16838" w:orient="portrait"/>
          <w:cols w:equalWidth="0" w:num="5">
            <w:col w:w="1720" w:space="720"/>
            <w:col w:w="2100" w:space="0"/>
            <w:col w:w="520" w:space="220"/>
            <w:col w:w="1780" w:space="220"/>
            <w:col w:w="2939"/>
          </w:cols>
          <w:pgMar w:left="240" w:top="925"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6 of 8 pages</w:t>
      </w:r>
    </w:p>
    <w:p>
      <w:pPr>
        <w:sectPr>
          <w:pgSz w:w="11900" w:h="16838" w:orient="portrait"/>
          <w:cols w:equalWidth="0" w:num="1">
            <w:col w:w="10219"/>
          </w:cols>
          <w:pgMar w:left="240" w:top="925"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each of Roger S. Begelman, Yvette Kosic, John M. O'Rourke, Felicia J. Rector, Michael T. Seeley, and Stephen Wong, (and any other employee of The Goldman Sachs Group, Inc. or one of its affiliates designated in writing by one of the attorneys-in-fact), acting individually, its true and lawful attorney, to execute and deliver in it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8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7th,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By: /s/ Gregory</w:t>
      </w:r>
      <w:r>
        <w:rPr>
          <w:sz w:val="20"/>
          <w:szCs w:val="20"/>
          <w:color w:val="auto"/>
        </w:rPr>
        <w:tab/>
      </w:r>
      <w:r>
        <w:rPr>
          <w:rFonts w:ascii="Courier New" w:cs="Courier New" w:eastAsia="Courier New" w:hAnsi="Courier New"/>
          <w:sz w:val="16"/>
          <w:szCs w:val="16"/>
          <w:color w:val="auto"/>
        </w:rPr>
        <w:t>K. Palm</w:t>
      </w:r>
    </w:p>
    <w:p>
      <w:pPr>
        <w:ind w:left="220" w:hanging="212"/>
        <w:spacing w:after="0" w:line="238"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GREGORY K. PALM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919"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KNOW ALL PERSONS BY THESE PRESENTS that GOLDMAN, SACHS &amp; CO. (the "Company") does hereby make, constitute and appoint each of Roger S. Begelman, Yvette Kosic, John M. O'Rourke, Felicia J. Rector, Michael T. Seeley, and Stephen Wong, (and any other employee of The Goldman Sachs Group, Inc. or one of its affiliates designated in writing by one of the attorneys-in-fact), acting individually, its true and lawful attorney, to execute and deliver in it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7th,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By: /s/ Gregory</w:t>
      </w:r>
      <w:r>
        <w:rPr>
          <w:sz w:val="20"/>
          <w:szCs w:val="20"/>
          <w:color w:val="auto"/>
        </w:rPr>
        <w:tab/>
      </w:r>
      <w:r>
        <w:rPr>
          <w:rFonts w:ascii="Courier New" w:cs="Courier New" w:eastAsia="Courier New" w:hAnsi="Courier New"/>
          <w:sz w:val="16"/>
          <w:szCs w:val="16"/>
          <w:color w:val="auto"/>
        </w:rPr>
        <w:t>K. Palm</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GREGORY K. PALM Managing Director</w:t>
      </w:r>
    </w:p>
    <w:p>
      <w:pPr>
        <w:spacing w:after="0" w:line="200" w:lineRule="exact"/>
        <w:rPr>
          <w:sz w:val="20"/>
          <w:szCs w:val="20"/>
          <w:color w:val="auto"/>
        </w:rPr>
      </w:pPr>
    </w:p>
    <w:p>
      <w:pPr>
        <w:spacing w:after="0" w:line="3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upperLetter"/>
      <w:start w:val="24"/>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6">
    <w:nsid w:val="25E45D3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7">
    <w:nsid w:val="519B500D"/>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8">
    <w:nsid w:val="431BD7B7"/>
    <w:multiLevelType w:val="hybridMultilevel"/>
    <w:lvl w:ilvl="0">
      <w:lvlJc w:val="left"/>
      <w:lvlText w:val="-"/>
      <w:numFmt w:val="bullet"/>
      <w:start w:val="1"/>
    </w:lvl>
    <w:lvl w:ilvl="1">
      <w:lvlJc w:val="left"/>
      <w:lvlText w:val="%2."/>
      <w:numFmt w:val="decimal"/>
      <w:start w:val="5"/>
    </w:lvl>
  </w:abstractNum>
  <w:abstractNum w:abstractNumId="9">
    <w:nsid w:val="3F2DBA31"/>
    <w:multiLevelType w:val="hybridMultilevel"/>
    <w:lvl w:ilvl="0">
      <w:lvlJc w:val="left"/>
      <w:lvlText w:val="-"/>
      <w:numFmt w:val="bullet"/>
      <w:start w:val="1"/>
    </w:lvl>
    <w:lvl w:ilvl="1">
      <w:lvlJc w:val="left"/>
      <w:lvlText w:val="%2."/>
      <w:numFmt w:val="decimal"/>
      <w:start w:val="9"/>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1."/>
      <w:numFmt w:val="decimal"/>
      <w:start w:val="1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2."/>
      <w:numFmt w:val="decimal"/>
      <w:start w:val="1"/>
    </w:lvl>
  </w:abstractNum>
  <w:abstractNum w:abstractNumId="15">
    <w:nsid w:val="333AB10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6">
    <w:nsid w:val="721DA31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7">
    <w:nsid w:val="2443A858"/>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8">
    <w:nsid w:val="2D1D5AE9"/>
    <w:multiLevelType w:val="hybridMultilevel"/>
    <w:lvl w:ilvl="0">
      <w:lvlJc w:val="left"/>
      <w:lvlText w:val="-"/>
      <w:numFmt w:val="bullet"/>
      <w:start w:val="1"/>
    </w:lvl>
    <w:lvl w:ilvl="1">
      <w:lvlJc w:val="left"/>
      <w:lvlText w:val="%2."/>
      <w:numFmt w:val="decimal"/>
      <w:start w:val="5"/>
    </w:lvl>
  </w:abstractNum>
  <w:abstractNum w:abstractNumId="19">
    <w:nsid w:val="6763845E"/>
    <w:multiLevelType w:val="hybridMultilevel"/>
    <w:lvl w:ilvl="0">
      <w:lvlJc w:val="left"/>
      <w:lvlText w:val="-"/>
      <w:numFmt w:val="bullet"/>
      <w:start w:val="1"/>
    </w:lvl>
    <w:lvl w:ilvl="1">
      <w:lvlJc w:val="left"/>
      <w:lvlText w:val="%2."/>
      <w:numFmt w:val="decimal"/>
      <w:start w:val="9"/>
    </w:lvl>
  </w:abstractNum>
  <w:abstractNum w:abstractNumId="20">
    <w:nsid w:val="75A2A8D4"/>
    <w:multiLevelType w:val="hybridMultilevel"/>
    <w:lvl w:ilvl="0">
      <w:lvlJc w:val="left"/>
      <w:lvlText w:val="%1."/>
      <w:numFmt w:val="decimal"/>
      <w:start w:val="10"/>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2"/>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lvl w:ilvl="1">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2019-12-13T13:12:35Z</dcterms:created>
  <dcterms:modified xsi:type="dcterms:W3CDTF">2019-12-13T13:12:35Z</dcterms:modified>
</cp:coreProperties>
</file>