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23,894,840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619" w:hanging="427"/>
        <w:spacing w:after="0" w:line="58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23,894,840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11.1%</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893"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Micron Technology,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8000 S. Federal Way</w:t>
      </w:r>
    </w:p>
    <w:p>
      <w:pPr>
        <w:ind w:left="740"/>
        <w:spacing w:after="0" w:line="238" w:lineRule="auto"/>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595112103</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839" w:hanging="535"/>
        <w:spacing w:after="0" w:line="347"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23,894,840 shares or 11.1% of the 213,500,000 shares of Common Stock believed to be outstanding as a result of acting as investment adviser to various investment companies registered under Section 8 of the Investment Company Act of 1940.</w:t>
      </w:r>
    </w:p>
    <w:p>
      <w:pPr>
        <w:spacing w:after="0" w:line="98" w:lineRule="exact"/>
        <w:rPr>
          <w:sz w:val="20"/>
          <w:szCs w:val="20"/>
          <w:color w:val="auto"/>
        </w:rPr>
      </w:pPr>
    </w:p>
    <w:p>
      <w:pPr>
        <w:ind w:left="740" w:right="2839"/>
        <w:spacing w:after="0" w:line="274" w:lineRule="auto"/>
        <w:rPr>
          <w:sz w:val="20"/>
          <w:szCs w:val="20"/>
          <w:color w:val="auto"/>
        </w:rPr>
      </w:pPr>
      <w:r>
        <w:rPr>
          <w:rFonts w:ascii="Courier New" w:cs="Courier New" w:eastAsia="Courier New" w:hAnsi="Courier New"/>
          <w:sz w:val="18"/>
          <w:szCs w:val="18"/>
          <w:color w:val="auto"/>
        </w:rPr>
        <w:t>Shares reported by Capital Research and Management Company includes 1,112,040 shares resulting from the assumed conversion of $75,000,000 principal amount of the 7.00% Convertible Note, due 2004.</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66"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10219"/>
          </w:cols>
          <w:pgMar w:left="240" w:top="691" w:right="1440" w:bottom="1440" w:gutter="0" w:footer="0" w:header="0"/>
        </w:sectPr>
      </w:pPr>
    </w:p>
    <w:bookmarkStart w:id="4" w:name="page5"/>
    <w:bookmarkEnd w:id="4"/>
    <w:p>
      <w:pPr>
        <w:spacing w:after="0"/>
        <w:tabs>
          <w:tab w:leader="none" w:pos="940" w:val="left"/>
          <w:tab w:leader="none" w:pos="726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720" w:space="720"/>
            <w:col w:w="7779"/>
          </w:cols>
          <w:pgMar w:left="240" w:top="488" w:right="1440" w:bottom="1440" w:gutter="0" w:footer="0" w:header="0"/>
          <w:type w:val="continuous"/>
        </w:sectPr>
      </w:pPr>
    </w:p>
    <w:p>
      <w:pPr>
        <w:spacing w:after="0" w:line="172"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58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Research and Management Company on February 8, 1999 with respect to ABR Information Services, Inc.</w:t>
      </w:r>
    </w:p>
    <w:sectPr>
      <w:pgSz w:w="11900" w:h="16838" w:orient="portrait"/>
      <w:cols w:equalWidth="0" w:num="1">
        <w:col w:w="10219"/>
      </w:cols>
      <w:pgMar w:left="240" w:top="4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2020-02-22T10:59:41Z</dcterms:created>
  <dcterms:modified xsi:type="dcterms:W3CDTF">2020-02-22T10:59:41Z</dcterms:modified>
</cp:coreProperties>
</file>