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333-220882</w:t>
      </w:r>
    </w:p>
    <w:p>
      <w:pPr>
        <w:spacing w:after="0" w:line="213" w:lineRule="exact"/>
        <w:rPr>
          <w:sz w:val="24"/>
          <w:szCs w:val="24"/>
          <w:color w:val="auto"/>
        </w:rPr>
      </w:pPr>
    </w:p>
    <w:p>
      <w:pPr>
        <w:ind w:right="20"/>
        <w:spacing w:after="0" w:line="310" w:lineRule="auto"/>
        <w:rPr>
          <w:sz w:val="20"/>
          <w:szCs w:val="20"/>
          <w:color w:val="auto"/>
        </w:rPr>
      </w:pPr>
      <w:r>
        <w:rPr>
          <w:rFonts w:ascii="Arial" w:cs="Arial" w:eastAsia="Arial" w:hAnsi="Arial"/>
          <w:sz w:val="16"/>
          <w:szCs w:val="16"/>
          <w:b w:val="1"/>
          <w:bCs w:val="1"/>
          <w:color w:val="EF505F"/>
        </w:rPr>
        <w:t>This preliminary prospectus supplement is not complete and may be changed. A registration statement relating to these notes has been filed with the U.S. Securities and Exchange Commission and is effective. This preliminary prospectus supplement and the accompanying prospectus are not an offer to sell these notes and they are not soliciting an offer to buy these notes in any jurisdiction where the offer or sale is not permitted.</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April 21,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10, 2017)</w:t>
      </w:r>
    </w:p>
    <w:p>
      <w:pPr>
        <w:spacing w:after="0" w:line="199" w:lineRule="exact"/>
        <w:rPr>
          <w:sz w:val="24"/>
          <w:szCs w:val="24"/>
          <w:color w:val="auto"/>
        </w:rPr>
      </w:pPr>
    </w:p>
    <w:p>
      <w:pPr>
        <w:ind w:left="5200"/>
        <w:spacing w:after="0"/>
        <w:rPr>
          <w:sz w:val="20"/>
          <w:szCs w:val="20"/>
          <w:color w:val="auto"/>
        </w:rPr>
      </w:pPr>
      <w:r>
        <w:rPr>
          <w:rFonts w:ascii="Arial" w:cs="Arial" w:eastAsia="Arial" w:hAnsi="Arial"/>
          <w:sz w:val="24"/>
          <w:szCs w:val="2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160020</wp:posOffset>
            </wp:positionV>
            <wp:extent cx="3086100" cy="874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0" cy="874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4"/>
          <w:szCs w:val="24"/>
          <w:color w:val="auto"/>
        </w:rPr>
      </w:pPr>
    </w:p>
    <w:p>
      <w:pPr>
        <w:ind w:left="4740"/>
        <w:spacing w:after="0"/>
        <w:rPr>
          <w:sz w:val="20"/>
          <w:szCs w:val="20"/>
          <w:color w:val="auto"/>
        </w:rPr>
      </w:pPr>
      <w:r>
        <w:rPr>
          <w:rFonts w:ascii="Arial" w:cs="Arial" w:eastAsia="Arial" w:hAnsi="Arial"/>
          <w:sz w:val="24"/>
          <w:szCs w:val="24"/>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ectPr>
          <w:pgSz w:w="11900" w:h="16838" w:orient="portrait"/>
          <w:cols w:equalWidth="0" w:num="1">
            <w:col w:w="11240"/>
          </w:cols>
          <w:pgMar w:left="320" w:top="685"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Micron Technology, Inc. is offering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auto"/>
        </w:rPr>
        <w:t>aggregate principal amount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auto"/>
        </w:rPr>
        <w:t>% senior notes due 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6"/>
          <w:szCs w:val="16"/>
          <w:color w:val="auto"/>
        </w:rPr>
        <w:t>(the "notes").</w:t>
      </w:r>
    </w:p>
    <w:p>
      <w:pPr>
        <w:spacing w:after="0" w:line="200" w:lineRule="exact"/>
        <w:rPr>
          <w:sz w:val="24"/>
          <w:szCs w:val="24"/>
          <w:color w:val="auto"/>
        </w:rPr>
      </w:pPr>
    </w:p>
    <w:p>
      <w:pPr>
        <w:sectPr>
          <w:pgSz w:w="11900" w:h="16838" w:orient="portrait"/>
          <w:cols w:equalWidth="0" w:num="4">
            <w:col w:w="2980" w:space="540"/>
            <w:col w:w="2100" w:space="360"/>
            <w:col w:w="1540" w:space="180"/>
            <w:col w:w="3540"/>
          </w:cols>
          <w:pgMar w:left="320" w:top="685" w:right="339" w:bottom="0" w:gutter="0" w:footer="0" w:header="0"/>
          <w:type w:val="continuous"/>
        </w:sectPr>
      </w:pPr>
    </w:p>
    <w:p>
      <w:pPr>
        <w:spacing w:after="0" w:line="48" w:lineRule="exact"/>
        <w:rPr>
          <w:sz w:val="24"/>
          <w:szCs w:val="24"/>
          <w:color w:val="auto"/>
        </w:rPr>
      </w:pPr>
    </w:p>
    <w:p>
      <w:pPr>
        <w:jc w:val="center"/>
        <w:ind w:left="360"/>
        <w:spacing w:after="0"/>
        <w:rPr>
          <w:sz w:val="20"/>
          <w:szCs w:val="20"/>
          <w:color w:val="auto"/>
        </w:rPr>
      </w:pPr>
      <w:r>
        <w:rPr>
          <w:rFonts w:ascii="Arial" w:cs="Arial" w:eastAsia="Arial" w:hAnsi="Arial"/>
          <w:sz w:val="15"/>
          <w:szCs w:val="15"/>
          <w:color w:val="auto"/>
        </w:rPr>
        <w:t>The notes will bear interest at the rate of</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 per year. Interest will be payable semi-annually in arrears 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of each year, beginning</w:t>
      </w:r>
    </w:p>
    <w:p>
      <w:pPr>
        <w:spacing w:after="0" w:line="50" w:lineRule="exact"/>
        <w:rPr>
          <w:sz w:val="24"/>
          <w:szCs w:val="24"/>
          <w:color w:val="auto"/>
        </w:rPr>
      </w:pPr>
    </w:p>
    <w:p>
      <w:pPr>
        <w:sectPr>
          <w:pgSz w:w="11900" w:h="16838" w:orient="portrait"/>
          <w:cols w:equalWidth="0" w:num="4">
            <w:col w:w="3200" w:space="340"/>
            <w:col w:w="4440" w:space="700"/>
            <w:col w:w="260" w:space="520"/>
            <w:col w:w="1780"/>
          </w:cols>
          <w:pgMar w:left="320" w:top="685" w:right="339" w:bottom="0" w:gutter="0" w:footer="0" w:header="0"/>
          <w:type w:val="continuous"/>
        </w:sectPr>
      </w:pPr>
    </w:p>
    <w:p>
      <w:pPr>
        <w:ind w:left="720"/>
        <w:spacing w:after="0"/>
        <w:rPr>
          <w:sz w:val="20"/>
          <w:szCs w:val="20"/>
          <w:color w:val="auto"/>
        </w:rPr>
      </w:pPr>
      <w:r>
        <w:rPr>
          <w:rFonts w:ascii="Arial" w:cs="Arial" w:eastAsia="Arial" w:hAnsi="Arial"/>
          <w:sz w:val="15"/>
          <w:szCs w:val="15"/>
          <w:color w:val="auto"/>
        </w:rPr>
        <w:t>, 2020.</w:t>
      </w:r>
    </w:p>
    <w:p>
      <w:pPr>
        <w:sectPr>
          <w:pgSz w:w="11900" w:h="16838" w:orient="portrait"/>
          <w:cols w:equalWidth="0" w:num="1">
            <w:col w:w="11240"/>
          </w:cols>
          <w:pgMar w:left="320" w:top="685" w:right="339" w:bottom="0" w:gutter="0" w:footer="0" w:header="0"/>
          <w:type w:val="continuous"/>
        </w:sectPr>
      </w:pPr>
    </w:p>
    <w:p>
      <w:pPr>
        <w:spacing w:after="0" w:line="253"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notes will mature on</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15"/>
          <w:szCs w:val="15"/>
          <w:color w:val="auto"/>
        </w:rPr>
        <w:t>, 20</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4"/>
          <w:szCs w:val="24"/>
          <w:color w:val="auto"/>
        </w:rPr>
      </w:pPr>
    </w:p>
    <w:p>
      <w:pPr>
        <w:sectPr>
          <w:pgSz w:w="11900" w:h="16838" w:orient="portrait"/>
          <w:cols w:equalWidth="0" w:num="3">
            <w:col w:w="2120" w:space="700"/>
            <w:col w:w="260" w:space="180"/>
            <w:col w:w="7980"/>
          </w:cols>
          <w:pgMar w:left="320" w:top="685" w:right="339" w:bottom="0" w:gutter="0" w:footer="0" w:header="0"/>
          <w:type w:val="continuous"/>
        </w:sectPr>
      </w:pPr>
    </w:p>
    <w:p>
      <w:pPr>
        <w:spacing w:after="0" w:line="48" w:lineRule="exact"/>
        <w:rPr>
          <w:sz w:val="24"/>
          <w:szCs w:val="24"/>
          <w:color w:val="auto"/>
        </w:rPr>
      </w:pPr>
    </w:p>
    <w:p>
      <w:pPr>
        <w:ind w:right="20" w:firstLine="348"/>
        <w:spacing w:after="0" w:line="291" w:lineRule="auto"/>
        <w:rPr>
          <w:sz w:val="20"/>
          <w:szCs w:val="20"/>
          <w:color w:val="auto"/>
        </w:rPr>
      </w:pPr>
      <w:r>
        <w:rPr>
          <w:rFonts w:ascii="Arial" w:cs="Arial" w:eastAsia="Arial" w:hAnsi="Arial"/>
          <w:sz w:val="16"/>
          <w:szCs w:val="16"/>
          <w:color w:val="auto"/>
        </w:rPr>
        <w:t>We may redeem some or all of the notes, at any time or from time to time, at a redemption price equal to the greater of (i) 100% of the principal amount of the notes to be redeemed and (ii) a make-whole amount (as described in the section entitled "Description of the Notes—Optional Redemption"), plus accrued and unpaid interest thereon to, but excluding, the redemption date. See "Description of the Notes—Optional Redemption" in this prospectus supplement for more information. We will be required to make an offer to purchase the notes, at a price equal to 101% of their principal amount, plus accrued and unpaid interest to, but excluding, the date of purchase, upon the occurrence of a Change of Control Triggering Event (as defined herein). See the section entitled "Description of the Notes—Repurchase of Notes Upon a Change of Control Triggering Event" for more information.</w:t>
      </w:r>
    </w:p>
    <w:p>
      <w:pPr>
        <w:spacing w:after="0" w:line="174" w:lineRule="exact"/>
        <w:rPr>
          <w:sz w:val="24"/>
          <w:szCs w:val="24"/>
          <w:color w:val="auto"/>
        </w:rPr>
      </w:pPr>
    </w:p>
    <w:p>
      <w:pPr>
        <w:ind w:right="820" w:firstLine="348"/>
        <w:spacing w:after="0" w:line="268" w:lineRule="auto"/>
        <w:rPr>
          <w:sz w:val="20"/>
          <w:szCs w:val="20"/>
          <w:color w:val="auto"/>
        </w:rPr>
      </w:pPr>
      <w:r>
        <w:rPr>
          <w:rFonts w:ascii="Arial" w:cs="Arial" w:eastAsia="Arial" w:hAnsi="Arial"/>
          <w:sz w:val="18"/>
          <w:szCs w:val="18"/>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123190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right="300" w:firstLine="351"/>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S-9 for a discussion of certain risks that should be considered in connection with an investment in the notes.</w:t>
      </w:r>
    </w:p>
    <w:p>
      <w:pPr>
        <w:spacing w:after="0" w:line="175" w:lineRule="exact"/>
        <w:rPr>
          <w:sz w:val="24"/>
          <w:szCs w:val="24"/>
          <w:color w:val="auto"/>
        </w:rPr>
      </w:pPr>
    </w:p>
    <w:p>
      <w:pPr>
        <w:ind w:right="300" w:firstLine="351"/>
        <w:spacing w:after="0" w:line="26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127000</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14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300" w:type="dxa"/>
            <w:vAlign w:val="bottom"/>
            <w:tcBorders>
              <w:top w:val="single" w:sz="8" w:color="auto"/>
              <w:bottom w:val="single" w:sz="8" w:color="auto"/>
            </w:tcBorders>
          </w:tcPr>
          <w:p>
            <w:pPr>
              <w:spacing w:after="0"/>
              <w:rPr>
                <w:sz w:val="3"/>
                <w:szCs w:val="3"/>
                <w:color w:val="auto"/>
              </w:rPr>
            </w:pPr>
          </w:p>
        </w:tc>
        <w:tc>
          <w:tcPr>
            <w:tcW w:w="29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900" w:type="dxa"/>
            <w:vAlign w:val="bottom"/>
          </w:tcPr>
          <w:p>
            <w:pPr>
              <w:jc w:val="center"/>
              <w:ind w:left="1282"/>
              <w:spacing w:after="0" w:line="116" w:lineRule="exact"/>
              <w:rPr>
                <w:sz w:val="20"/>
                <w:szCs w:val="20"/>
                <w:color w:val="auto"/>
              </w:rPr>
            </w:pPr>
            <w:r>
              <w:rPr>
                <w:rFonts w:ascii="Arial" w:cs="Arial" w:eastAsia="Arial" w:hAnsi="Arial"/>
                <w:sz w:val="13"/>
                <w:szCs w:val="13"/>
                <w:b w:val="1"/>
                <w:bCs w:val="1"/>
                <w:color w:val="auto"/>
                <w:w w:val="94"/>
              </w:rPr>
              <w:t>Public offering</w:t>
            </w:r>
          </w:p>
        </w:tc>
        <w:tc>
          <w:tcPr>
            <w:tcW w:w="1460" w:type="dxa"/>
            <w:vAlign w:val="bottom"/>
          </w:tcPr>
          <w:p>
            <w:pPr>
              <w:ind w:left="340"/>
              <w:spacing w:after="0" w:line="116" w:lineRule="exact"/>
              <w:rPr>
                <w:sz w:val="20"/>
                <w:szCs w:val="20"/>
                <w:color w:val="auto"/>
              </w:rPr>
            </w:pPr>
            <w:r>
              <w:rPr>
                <w:rFonts w:ascii="Arial" w:cs="Arial" w:eastAsia="Arial" w:hAnsi="Arial"/>
                <w:sz w:val="13"/>
                <w:szCs w:val="13"/>
                <w:b w:val="1"/>
                <w:bCs w:val="1"/>
                <w:color w:val="auto"/>
              </w:rPr>
              <w:t>Underwriting</w:t>
            </w:r>
          </w:p>
        </w:tc>
        <w:tc>
          <w:tcPr>
            <w:tcW w:w="1600" w:type="dxa"/>
            <w:vAlign w:val="bottom"/>
          </w:tcPr>
          <w:p>
            <w:pPr>
              <w:jc w:val="center"/>
              <w:ind w:left="42"/>
              <w:spacing w:after="0" w:line="116" w:lineRule="exact"/>
              <w:rPr>
                <w:sz w:val="20"/>
                <w:szCs w:val="20"/>
                <w:color w:val="auto"/>
              </w:rPr>
            </w:pPr>
            <w:r>
              <w:rPr>
                <w:rFonts w:ascii="Arial" w:cs="Arial" w:eastAsia="Arial" w:hAnsi="Arial"/>
                <w:sz w:val="13"/>
                <w:szCs w:val="13"/>
                <w:b w:val="1"/>
                <w:bCs w:val="1"/>
                <w:color w:val="auto"/>
                <w:w w:val="86"/>
              </w:rPr>
              <w:t>Proceeds to us,</w:t>
            </w:r>
          </w:p>
        </w:tc>
      </w:tr>
      <w:tr>
        <w:trPr>
          <w:trHeight w:val="182"/>
        </w:trPr>
        <w:tc>
          <w:tcPr>
            <w:tcW w:w="2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jc w:val="center"/>
              <w:ind w:left="1282"/>
              <w:spacing w:after="0"/>
              <w:rPr>
                <w:sz w:val="20"/>
                <w:szCs w:val="20"/>
                <w:color w:val="auto"/>
              </w:rPr>
            </w:pPr>
            <w:r>
              <w:rPr>
                <w:rFonts w:ascii="Arial" w:cs="Arial" w:eastAsia="Arial" w:hAnsi="Arial"/>
                <w:sz w:val="13"/>
                <w:szCs w:val="13"/>
                <w:b w:val="1"/>
                <w:bCs w:val="1"/>
                <w:color w:val="auto"/>
                <w:w w:val="97"/>
              </w:rPr>
              <w:t>price(1)</w:t>
            </w: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discount(2)</w:t>
            </w:r>
          </w:p>
        </w:tc>
        <w:tc>
          <w:tcPr>
            <w:tcW w:w="1600" w:type="dxa"/>
            <w:vAlign w:val="bottom"/>
            <w:tcBorders>
              <w:bottom w:val="single" w:sz="8" w:color="auto"/>
            </w:tcBorders>
          </w:tcPr>
          <w:p>
            <w:pPr>
              <w:jc w:val="center"/>
              <w:ind w:left="42"/>
              <w:spacing w:after="0"/>
              <w:rPr>
                <w:sz w:val="20"/>
                <w:szCs w:val="20"/>
                <w:color w:val="auto"/>
              </w:rPr>
            </w:pPr>
            <w:r>
              <w:rPr>
                <w:rFonts w:ascii="Arial" w:cs="Arial" w:eastAsia="Arial" w:hAnsi="Arial"/>
                <w:sz w:val="13"/>
                <w:szCs w:val="13"/>
                <w:b w:val="1"/>
                <w:bCs w:val="1"/>
                <w:color w:val="auto"/>
                <w:w w:val="87"/>
              </w:rPr>
              <w:t>before expenses(1)</w:t>
            </w:r>
          </w:p>
        </w:tc>
      </w:tr>
      <w:tr>
        <w:trPr>
          <w:trHeight w:val="222"/>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Per Note</w:t>
            </w:r>
          </w:p>
        </w:tc>
        <w:tc>
          <w:tcPr>
            <w:tcW w:w="2900" w:type="dxa"/>
            <w:vAlign w:val="bottom"/>
          </w:tcPr>
          <w:p>
            <w:pPr>
              <w:jc w:val="right"/>
              <w:ind w:right="44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0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22"/>
              <w:spacing w:after="0"/>
              <w:rPr>
                <w:sz w:val="20"/>
                <w:szCs w:val="20"/>
                <w:color w:val="auto"/>
              </w:rPr>
            </w:pPr>
            <w:r>
              <w:rPr>
                <w:rFonts w:ascii="Arial" w:cs="Arial" w:eastAsia="Arial" w:hAnsi="Arial"/>
                <w:sz w:val="18"/>
                <w:szCs w:val="18"/>
                <w:color w:val="auto"/>
              </w:rPr>
              <w:t>%</w:t>
            </w:r>
          </w:p>
        </w:tc>
      </w:tr>
      <w:tr>
        <w:trPr>
          <w:trHeight w:val="21"/>
        </w:trPr>
        <w:tc>
          <w:tcPr>
            <w:tcW w:w="2320" w:type="dxa"/>
            <w:vAlign w:val="bottom"/>
            <w:tcBorders>
              <w:bottom w:val="single" w:sz="8" w:color="auto"/>
            </w:tcBorders>
            <w:gridSpan w:val="2"/>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00" w:type="dxa"/>
            <w:vAlign w:val="bottom"/>
          </w:tcPr>
          <w:p>
            <w:pPr>
              <w:jc w:val="right"/>
              <w:ind w:right="902"/>
              <w:spacing w:after="0"/>
              <w:rPr>
                <w:sz w:val="20"/>
                <w:szCs w:val="20"/>
                <w:color w:val="auto"/>
              </w:rPr>
            </w:pPr>
            <w:r>
              <w:rPr>
                <w:rFonts w:ascii="Arial" w:cs="Arial" w:eastAsia="Arial" w:hAnsi="Arial"/>
                <w:sz w:val="18"/>
                <w:szCs w:val="18"/>
                <w:color w:val="auto"/>
              </w:rPr>
              <w:t>$</w:t>
            </w:r>
          </w:p>
        </w:tc>
        <w:tc>
          <w:tcPr>
            <w:tcW w:w="1460" w:type="dxa"/>
            <w:vAlign w:val="bottom"/>
          </w:tcPr>
          <w:p>
            <w:pPr>
              <w:ind w:left="4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882"/>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685" w:right="339" w:bottom="0" w:gutter="0" w:footer="0" w:header="0"/>
          <w:type w:val="continuous"/>
        </w:sectPr>
      </w:pPr>
    </w:p>
    <w:bookmarkStart w:id="1" w:name="page2"/>
    <w:bookmarkEnd w:id="1"/>
    <w:tbl>
      <w:tblPr>
        <w:tblLayout w:type="fixed"/>
        <w:tblInd w:w="540" w:type="dxa"/>
        <w:tblCellMar>
          <w:top w:w="0" w:type="dxa"/>
          <w:left w:w="0" w:type="dxa"/>
          <w:bottom w:w="0" w:type="dxa"/>
          <w:right w:w="0" w:type="dxa"/>
        </w:tblCellMar>
      </w:tblP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Plus accrued interest, if any, from</w:t>
            </w:r>
          </w:p>
        </w:tc>
        <w:tc>
          <w:tcPr>
            <w:tcW w:w="84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23"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underwriters have agreed to reimburse us for certain expenses in connection with the offering. See "Underwriting (Conflicts of Interest)."</w:t>
      </w:r>
    </w:p>
    <w:p>
      <w:pPr>
        <w:spacing w:after="0" w:line="248"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Interest on the notes will accrue from , 2020.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expect to deliver the notes to purchasers through the book-entry delivery system of The Depository Trust Company and its participants,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w w:val="94"/>
              </w:rPr>
              <w:t>including Euroclear Bank S.A./N.V. and Clearstream Banking, S.A., on or about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 2020.</w:t>
            </w:r>
          </w:p>
        </w:tc>
      </w:tr>
      <w:tr>
        <w:trPr>
          <w:trHeight w:val="212"/>
        </w:trPr>
        <w:tc>
          <w:tcPr>
            <w:tcW w:w="420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19"/>
                <w:szCs w:val="19"/>
                <w:color w:val="auto"/>
              </w:rPr>
            </w:pPr>
          </w:p>
        </w:tc>
        <w:tc>
          <w:tcPr>
            <w:tcW w:w="3960" w:type="dxa"/>
            <w:vAlign w:val="bottom"/>
          </w:tcPr>
          <w:p>
            <w:pPr>
              <w:jc w:val="right"/>
              <w:ind w:right="508"/>
              <w:spacing w:after="0"/>
              <w:rPr>
                <w:sz w:val="20"/>
                <w:szCs w:val="20"/>
                <w:color w:val="auto"/>
              </w:rPr>
            </w:pPr>
            <w:r>
              <w:rPr>
                <w:rFonts w:ascii="Arial" w:cs="Arial" w:eastAsia="Arial" w:hAnsi="Arial"/>
                <w:sz w:val="18"/>
                <w:szCs w:val="18"/>
                <w:i w:val="1"/>
                <w:iCs w:val="1"/>
                <w:color w:val="auto"/>
              </w:rPr>
              <w:t>Joint Book-Running Managers</w:t>
            </w:r>
          </w:p>
        </w:tc>
        <w:tc>
          <w:tcPr>
            <w:tcW w:w="3920" w:type="dxa"/>
            <w:vAlign w:val="bottom"/>
          </w:tcPr>
          <w:p>
            <w:pPr>
              <w:spacing w:after="0"/>
              <w:rPr>
                <w:sz w:val="19"/>
                <w:szCs w:val="19"/>
                <w:color w:val="auto"/>
              </w:rPr>
            </w:pPr>
          </w:p>
        </w:tc>
      </w:tr>
      <w:tr>
        <w:trPr>
          <w:trHeight w:val="598"/>
        </w:trPr>
        <w:tc>
          <w:tcPr>
            <w:tcW w:w="3360" w:type="dxa"/>
            <w:vAlign w:val="bottom"/>
          </w:tcPr>
          <w:p>
            <w:pPr>
              <w:ind w:left="1140"/>
              <w:spacing w:after="0"/>
              <w:rPr>
                <w:sz w:val="20"/>
                <w:szCs w:val="20"/>
                <w:color w:val="auto"/>
              </w:rPr>
            </w:pPr>
            <w:r>
              <w:rPr>
                <w:rFonts w:ascii="Arial" w:cs="Arial" w:eastAsia="Arial" w:hAnsi="Arial"/>
                <w:sz w:val="32"/>
                <w:szCs w:val="32"/>
                <w:b w:val="1"/>
                <w:bCs w:val="1"/>
                <w:color w:val="auto"/>
              </w:rPr>
              <w:t>Citigroup</w:t>
            </w:r>
          </w:p>
        </w:tc>
        <w:tc>
          <w:tcPr>
            <w:tcW w:w="3960" w:type="dxa"/>
            <w:vAlign w:val="bottom"/>
          </w:tcPr>
          <w:p>
            <w:pPr>
              <w:jc w:val="right"/>
              <w:ind w:right="1148"/>
              <w:spacing w:after="0"/>
              <w:rPr>
                <w:sz w:val="20"/>
                <w:szCs w:val="20"/>
                <w:color w:val="auto"/>
              </w:rPr>
            </w:pPr>
            <w:r>
              <w:rPr>
                <w:rFonts w:ascii="Arial" w:cs="Arial" w:eastAsia="Arial" w:hAnsi="Arial"/>
                <w:sz w:val="32"/>
                <w:szCs w:val="32"/>
                <w:b w:val="1"/>
                <w:bCs w:val="1"/>
                <w:color w:val="auto"/>
              </w:rPr>
              <w:t>Credit Suisse</w:t>
            </w:r>
          </w:p>
        </w:tc>
        <w:tc>
          <w:tcPr>
            <w:tcW w:w="3920" w:type="dxa"/>
            <w:vAlign w:val="bottom"/>
          </w:tcPr>
          <w:p>
            <w:pPr>
              <w:ind w:left="600"/>
              <w:spacing w:after="0"/>
              <w:rPr>
                <w:sz w:val="20"/>
                <w:szCs w:val="20"/>
                <w:color w:val="auto"/>
              </w:rPr>
            </w:pPr>
            <w:r>
              <w:rPr>
                <w:rFonts w:ascii="Arial" w:cs="Arial" w:eastAsia="Arial" w:hAnsi="Arial"/>
                <w:sz w:val="32"/>
                <w:szCs w:val="32"/>
                <w:b w:val="1"/>
                <w:bCs w:val="1"/>
                <w:color w:val="auto"/>
              </w:rPr>
              <w:t>Morgan Stanley</w:t>
            </w:r>
          </w:p>
        </w:tc>
      </w:tr>
      <w:tr>
        <w:trPr>
          <w:trHeight w:val="415"/>
        </w:trPr>
        <w:tc>
          <w:tcPr>
            <w:tcW w:w="3360" w:type="dxa"/>
            <w:vAlign w:val="bottom"/>
          </w:tcPr>
          <w:p>
            <w:pPr>
              <w:spacing w:after="0"/>
              <w:rPr>
                <w:sz w:val="24"/>
                <w:szCs w:val="24"/>
                <w:color w:val="auto"/>
              </w:rPr>
            </w:pPr>
          </w:p>
        </w:tc>
        <w:tc>
          <w:tcPr>
            <w:tcW w:w="3960" w:type="dxa"/>
            <w:vAlign w:val="bottom"/>
          </w:tcPr>
          <w:p>
            <w:pPr>
              <w:jc w:val="right"/>
              <w:ind w:right="1008"/>
              <w:spacing w:after="0"/>
              <w:rPr>
                <w:sz w:val="20"/>
                <w:szCs w:val="20"/>
                <w:color w:val="auto"/>
              </w:rPr>
            </w:pPr>
            <w:r>
              <w:rPr>
                <w:rFonts w:ascii="Arial" w:cs="Arial" w:eastAsia="Arial" w:hAnsi="Arial"/>
                <w:sz w:val="18"/>
                <w:szCs w:val="18"/>
                <w:color w:val="auto"/>
              </w:rPr>
              <w:t>, 2020</w:t>
            </w:r>
          </w:p>
        </w:tc>
        <w:tc>
          <w:tcPr>
            <w:tcW w:w="3920" w:type="dxa"/>
            <w:vAlign w:val="bottom"/>
          </w:tcPr>
          <w:p>
            <w:pPr>
              <w:spacing w:after="0"/>
              <w:rPr>
                <w:sz w:val="24"/>
                <w:szCs w:val="24"/>
                <w:color w:val="auto"/>
              </w:rPr>
            </w:pPr>
          </w:p>
        </w:tc>
      </w:tr>
      <w:tr>
        <w:trPr>
          <w:trHeight w:val="228"/>
        </w:trPr>
        <w:tc>
          <w:tcPr>
            <w:tcW w:w="33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60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NOTE ON FORWARD-LOOKING STATEMENTS</w:t>
              </w:r>
            </w:hyperlink>
          </w:p>
        </w:tc>
        <w:tc>
          <w:tcPr>
            <w:tcW w:w="2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201"/>
        </w:trPr>
        <w:tc>
          <w:tcPr>
            <w:tcW w:w="8600" w:type="dxa"/>
            <w:vAlign w:val="bottom"/>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 SUPPLEMENT</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S-iii</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20" w:type="dxa"/>
            <w:vAlign w:val="bottom"/>
          </w:tcPr>
          <w:p>
            <w:pPr>
              <w:spacing w:after="0"/>
              <w:rPr>
                <w:sz w:val="18"/>
                <w:szCs w:val="18"/>
                <w:color w:val="auto"/>
              </w:rPr>
            </w:pPr>
          </w:p>
        </w:tc>
        <w:tc>
          <w:tcPr>
            <w:tcW w:w="360" w:type="dxa"/>
            <w:vAlign w:val="bottom"/>
            <w:gridSpan w:val="2"/>
          </w:tcPr>
          <w:p>
            <w:pPr>
              <w:jc w:val="center"/>
              <w:ind w:left="15"/>
              <w:spacing w:after="0"/>
              <w:rPr>
                <w:rFonts w:ascii="Arial" w:cs="Arial" w:eastAsia="Arial" w:hAnsi="Arial"/>
                <w:sz w:val="18"/>
                <w:szCs w:val="18"/>
                <w:u w:val="single" w:color="auto"/>
                <w:color w:val="0000EE"/>
                <w:w w:val="92"/>
              </w:rPr>
            </w:pPr>
            <w:hyperlink w:anchor="page6">
              <w:r>
                <w:rPr>
                  <w:rFonts w:ascii="Arial" w:cs="Arial" w:eastAsia="Arial" w:hAnsi="Arial"/>
                  <w:sz w:val="18"/>
                  <w:szCs w:val="18"/>
                  <w:u w:val="single" w:color="auto"/>
                  <w:color w:val="0000EE"/>
                  <w:w w:val="92"/>
                </w:rPr>
                <w:t>S-1</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20" w:type="dxa"/>
            <w:vAlign w:val="bottom"/>
          </w:tcPr>
          <w:p>
            <w:pPr>
              <w:spacing w:after="0"/>
              <w:rPr>
                <w:sz w:val="18"/>
                <w:szCs w:val="18"/>
                <w:color w:val="auto"/>
              </w:rPr>
            </w:pPr>
          </w:p>
        </w:tc>
        <w:tc>
          <w:tcPr>
            <w:tcW w:w="360" w:type="dxa"/>
            <w:vAlign w:val="bottom"/>
            <w:gridSpan w:val="2"/>
          </w:tcPr>
          <w:p>
            <w:pPr>
              <w:jc w:val="center"/>
              <w:ind w:left="15"/>
              <w:spacing w:after="0"/>
              <w:rPr>
                <w:rFonts w:ascii="Arial" w:cs="Arial" w:eastAsia="Arial" w:hAnsi="Arial"/>
                <w:sz w:val="18"/>
                <w:szCs w:val="18"/>
                <w:u w:val="single" w:color="auto"/>
                <w:color w:val="0000EE"/>
                <w:w w:val="92"/>
              </w:rPr>
            </w:pPr>
            <w:hyperlink w:anchor="page14">
              <w:r>
                <w:rPr>
                  <w:rFonts w:ascii="Arial" w:cs="Arial" w:eastAsia="Arial" w:hAnsi="Arial"/>
                  <w:sz w:val="18"/>
                  <w:szCs w:val="18"/>
                  <w:u w:val="single" w:color="auto"/>
                  <w:color w:val="0000EE"/>
                  <w:w w:val="92"/>
                </w:rPr>
                <w:t>S-9</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USE OF PROCEEDS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S-14</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CASH AND CAPITALIZATION</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S-15</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DESCRIPTION OF THE NOTES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S-17</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MATERIAL U.S. FEDERAL INCOME TAX CONSEQUENCES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S-40</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UNDERWRITING (CONFLICTS OF INTEREST)</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S-45</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VALIDITY OF SECURITIES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56">
              <w:r>
                <w:rPr>
                  <w:rFonts w:ascii="Arial" w:cs="Arial" w:eastAsia="Arial" w:hAnsi="Arial"/>
                  <w:sz w:val="18"/>
                  <w:szCs w:val="18"/>
                  <w:u w:val="single" w:color="auto"/>
                  <w:color w:val="0000EE"/>
                  <w:w w:val="89"/>
                </w:rPr>
                <w:t>S-51</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EXPERTS</w:t>
              </w:r>
            </w:hyperlink>
          </w:p>
        </w:tc>
        <w:tc>
          <w:tcPr>
            <w:tcW w:w="20" w:type="dxa"/>
            <w:vAlign w:val="bottom"/>
          </w:tcPr>
          <w:p>
            <w:pPr>
              <w:spacing w:after="0"/>
              <w:rPr>
                <w:sz w:val="18"/>
                <w:szCs w:val="18"/>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56">
              <w:r>
                <w:rPr>
                  <w:rFonts w:ascii="Arial" w:cs="Arial" w:eastAsia="Arial" w:hAnsi="Arial"/>
                  <w:sz w:val="18"/>
                  <w:szCs w:val="18"/>
                  <w:u w:val="single" w:color="auto"/>
                  <w:color w:val="0000EE"/>
                  <w:w w:val="89"/>
                </w:rPr>
                <w:t>S-51</w:t>
              </w:r>
            </w:hyperlink>
          </w:p>
        </w:tc>
        <w:tc>
          <w:tcPr>
            <w:tcW w:w="0" w:type="dxa"/>
            <w:vAlign w:val="bottom"/>
          </w:tcPr>
          <w:p>
            <w:pPr>
              <w:spacing w:after="0"/>
              <w:rPr>
                <w:sz w:val="1"/>
                <w:szCs w:val="1"/>
                <w:color w:val="auto"/>
              </w:rPr>
            </w:pPr>
          </w:p>
        </w:tc>
      </w:tr>
      <w:tr>
        <w:trPr>
          <w:trHeight w:val="222"/>
        </w:trPr>
        <w:tc>
          <w:tcPr>
            <w:tcW w:w="86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WHERE YOU CAN FIND MORE INFORMATION</w:t>
              </w:r>
            </w:hyperlink>
          </w:p>
        </w:tc>
        <w:tc>
          <w:tcPr>
            <w:tcW w:w="20" w:type="dxa"/>
            <w:vAlign w:val="bottom"/>
          </w:tcPr>
          <w:p>
            <w:pPr>
              <w:spacing w:after="0"/>
              <w:rPr>
                <w:sz w:val="19"/>
                <w:szCs w:val="19"/>
                <w:color w:val="auto"/>
              </w:rPr>
            </w:pPr>
          </w:p>
        </w:tc>
        <w:tc>
          <w:tcPr>
            <w:tcW w:w="360" w:type="dxa"/>
            <w:vAlign w:val="bottom"/>
            <w:gridSpan w:val="2"/>
          </w:tcPr>
          <w:p>
            <w:pPr>
              <w:jc w:val="center"/>
              <w:spacing w:after="0"/>
              <w:rPr>
                <w:rFonts w:ascii="Arial" w:cs="Arial" w:eastAsia="Arial" w:hAnsi="Arial"/>
                <w:sz w:val="18"/>
                <w:szCs w:val="18"/>
                <w:u w:val="single" w:color="auto"/>
                <w:color w:val="0000EE"/>
                <w:w w:val="89"/>
              </w:rPr>
            </w:pPr>
            <w:hyperlink w:anchor="page56">
              <w:r>
                <w:rPr>
                  <w:rFonts w:ascii="Arial" w:cs="Arial" w:eastAsia="Arial" w:hAnsi="Arial"/>
                  <w:sz w:val="18"/>
                  <w:szCs w:val="18"/>
                  <w:u w:val="single" w:color="auto"/>
                  <w:color w:val="0000EE"/>
                  <w:w w:val="89"/>
                </w:rPr>
                <w:t>S-51</w:t>
              </w:r>
            </w:hyperlink>
          </w:p>
        </w:tc>
        <w:tc>
          <w:tcPr>
            <w:tcW w:w="0" w:type="dxa"/>
            <w:vAlign w:val="bottom"/>
          </w:tcPr>
          <w:p>
            <w:pPr>
              <w:spacing w:after="0"/>
              <w:rPr>
                <w:sz w:val="1"/>
                <w:szCs w:val="1"/>
                <w:color w:val="auto"/>
              </w:rPr>
            </w:pPr>
          </w:p>
        </w:tc>
      </w:tr>
      <w:tr>
        <w:trPr>
          <w:trHeight w:val="648"/>
        </w:trPr>
        <w:tc>
          <w:tcPr>
            <w:tcW w:w="8600" w:type="dxa"/>
            <w:vAlign w:val="bottom"/>
          </w:tcPr>
          <w:p>
            <w:pPr>
              <w:ind w:left="4060"/>
              <w:spacing w:after="0"/>
              <w:rPr>
                <w:sz w:val="20"/>
                <w:szCs w:val="20"/>
                <w:color w:val="auto"/>
              </w:rPr>
            </w:pPr>
            <w:r>
              <w:rPr>
                <w:rFonts w:ascii="Arial" w:cs="Arial" w:eastAsia="Arial" w:hAnsi="Arial"/>
                <w:sz w:val="18"/>
                <w:szCs w:val="18"/>
                <w:b w:val="1"/>
                <w:bCs w:val="1"/>
                <w:color w:val="auto"/>
              </w:rPr>
              <w:t>Prospectus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600" w:type="dxa"/>
            <w:vAlign w:val="bottom"/>
            <w:vMerge w:val="restart"/>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ABOUT THIS PROSPECTUS</w:t>
              </w:r>
            </w:hyperlink>
          </w:p>
        </w:tc>
        <w:tc>
          <w:tcPr>
            <w:tcW w:w="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201"/>
        </w:trPr>
        <w:tc>
          <w:tcPr>
            <w:tcW w:w="8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WHERE YOU CAN FIND MORE INFORMATION; INCORPORATION BY REFERENCE</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THE COMPANY</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RISK FACTORS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USE OF PROCEEDS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RATIO OF EARNINGS TO FIXED CHARGES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DESCRIPTION OF SECURITIES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8</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PLAN OF DISTRIBUTION</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9</w:t>
              </w:r>
            </w:hyperlink>
          </w:p>
        </w:tc>
        <w:tc>
          <w:tcPr>
            <w:tcW w:w="0" w:type="dxa"/>
            <w:vAlign w:val="bottom"/>
          </w:tcPr>
          <w:p>
            <w:pPr>
              <w:spacing w:after="0"/>
              <w:rPr>
                <w:sz w:val="1"/>
                <w:szCs w:val="1"/>
                <w:color w:val="auto"/>
              </w:rPr>
            </w:pPr>
          </w:p>
        </w:tc>
      </w:tr>
      <w:tr>
        <w:trPr>
          <w:trHeight w:val="216"/>
        </w:trPr>
        <w:tc>
          <w:tcPr>
            <w:tcW w:w="86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LEGAL MATTERS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222"/>
        </w:trPr>
        <w:tc>
          <w:tcPr>
            <w:tcW w:w="86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EXPERTS</w:t>
              </w:r>
            </w:hyperlink>
          </w:p>
        </w:tc>
        <w:tc>
          <w:tcPr>
            <w:tcW w:w="380" w:type="dxa"/>
            <w:vAlign w:val="bottom"/>
            <w:gridSpan w:val="3"/>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 "would" and similar expressions or the negative of these words and phrases, other variations of these words and phrases or comparable terminology.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relate to, among other things:</w:t>
      </w:r>
    </w:p>
    <w:p>
      <w:pPr>
        <w:spacing w:after="0" w:line="23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direct and indirect impacts of COVID-19 on our business;</w:t>
      </w:r>
    </w:p>
    <w:p>
      <w:pPr>
        <w:spacing w:after="0" w:line="252"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statements such as those made regarding underutilization of our Lehi, Utah manufacturing capacity (previously known as IM Flash Technologies, LLC and now known as Micron Technology Utah, LLC);</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 from time to time, to engage in additional financing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cash and investments, cash flows from operations, and available financing;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spending in 2020.</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Reports on Form 10-Q incorporated by reference herein and as may be updated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98"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6"/>
          <w:szCs w:val="16"/>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prospectus supplement and the accompanying prospectus dated October 10, 2017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77" w:lineRule="exact"/>
        <w:rPr>
          <w:sz w:val="20"/>
          <w:szCs w:val="20"/>
          <w:color w:val="auto"/>
        </w:rPr>
      </w:pPr>
    </w:p>
    <w:p>
      <w:pPr>
        <w:ind w:right="40" w:firstLine="344"/>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72" w:lineRule="exact"/>
        <w:rPr>
          <w:sz w:val="20"/>
          <w:szCs w:val="20"/>
          <w:color w:val="auto"/>
        </w:rPr>
      </w:pPr>
    </w:p>
    <w:p>
      <w:pPr>
        <w:ind w:right="120" w:firstLine="344"/>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9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613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53"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w:t>
      </w:r>
      <w:hyperlink r:id="rId18">
        <w:r>
          <w:rPr>
            <w:rFonts w:ascii="Arial" w:cs="Arial" w:eastAsia="Arial" w:hAnsi="Arial"/>
            <w:sz w:val="18"/>
            <w:szCs w:val="18"/>
            <w:i w:val="1"/>
            <w:iCs w:val="1"/>
            <w:color w:val="auto"/>
          </w:rPr>
          <w:t xml:space="preserve">the heading "Risk Factors" included in this prospectus supplement, our </w:t>
        </w:r>
        <w:r>
          <w:rPr>
            <w:rFonts w:ascii="Arial" w:cs="Arial" w:eastAsia="Arial" w:hAnsi="Arial"/>
            <w:sz w:val="18"/>
            <w:szCs w:val="18"/>
            <w:i w:val="1"/>
            <w:iCs w:val="1"/>
            <w:u w:val="single" w:color="auto"/>
            <w:color w:val="0000EE"/>
          </w:rPr>
          <w:t>Annual Report on Form 10-K for the year ended August 29, 2019,</w:t>
        </w:r>
        <w:r>
          <w:rPr>
            <w:rFonts w:ascii="Arial" w:cs="Arial" w:eastAsia="Arial" w:hAnsi="Arial"/>
            <w:sz w:val="18"/>
            <w:szCs w:val="18"/>
            <w:i w:val="1"/>
            <w:iCs w:val="1"/>
            <w:color w:val="auto"/>
          </w:rPr>
          <w:t xml:space="preserve"> our </w:t>
        </w:r>
        <w:r>
          <w:rPr>
            <w:rFonts w:ascii="Arial" w:cs="Arial" w:eastAsia="Arial" w:hAnsi="Arial"/>
            <w:sz w:val="18"/>
            <w:szCs w:val="18"/>
            <w:i w:val="1"/>
            <w:iCs w:val="1"/>
            <w:u w:val="single" w:color="auto"/>
            <w:color w:val="0000EE"/>
          </w:rPr>
          <w:t>Quarterly</w:t>
        </w:r>
      </w:hyperlink>
      <w:r>
        <w:rPr>
          <w:rFonts w:ascii="Arial" w:cs="Arial" w:eastAsia="Arial" w:hAnsi="Arial"/>
          <w:sz w:val="18"/>
          <w:szCs w:val="18"/>
          <w:i w:val="1"/>
          <w:iCs w:val="1"/>
          <w:color w:val="auto"/>
        </w:rPr>
        <w:t xml:space="preserve"> </w:t>
      </w:r>
      <w:hyperlink r:id="rId18">
        <w:r>
          <w:rPr>
            <w:rFonts w:ascii="Arial" w:cs="Arial" w:eastAsia="Arial" w:hAnsi="Arial"/>
            <w:sz w:val="18"/>
            <w:szCs w:val="18"/>
            <w:i w:val="1"/>
            <w:iCs w:val="1"/>
            <w:u w:val="single" w:color="auto"/>
            <w:color w:val="0000EE"/>
          </w:rPr>
          <w:t>Report on Form 10-Q for the quarter ended February 27, 2020,</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documents that we subsequently file with the SEC and the financial statements and other</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information included or incorporated by reference in this prospectus supplement and the accompanying prospectus, before making an investment decision.</w:t>
      </w:r>
    </w:p>
    <w:p>
      <w:pPr>
        <w:spacing w:after="0" w:line="200" w:lineRule="exact"/>
        <w:rPr>
          <w:sz w:val="20"/>
          <w:szCs w:val="20"/>
          <w:color w:val="auto"/>
        </w:rPr>
      </w:pP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240" w:right="40" w:firstLine="348"/>
        <w:spacing w:after="0" w:line="254" w:lineRule="auto"/>
        <w:rPr>
          <w:sz w:val="20"/>
          <w:szCs w:val="20"/>
          <w:color w:val="auto"/>
        </w:rPr>
      </w:pPr>
      <w:r>
        <w:rPr>
          <w:rFonts w:ascii="Arial" w:cs="Arial" w:eastAsia="Arial" w:hAnsi="Arial"/>
          <w:sz w:val="18"/>
          <w:szCs w:val="18"/>
          <w:color w:val="auto"/>
        </w:rPr>
        <w:t>We are an industry leader in innovative memory and storage solutions. Through our global brands, Micron® and Crucial®, our broad portfolio of high-performance memory and storage technologies, including DRAM, NAND, 3D XPoint memory, and NOR, is transforming how the world uses information to enrich life.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01" w:lineRule="exact"/>
        <w:rPr>
          <w:sz w:val="20"/>
          <w:szCs w:val="20"/>
          <w:color w:val="auto"/>
        </w:rPr>
      </w:pPr>
    </w:p>
    <w:p>
      <w:pPr>
        <w:ind w:left="240" w:right="120" w:firstLine="348"/>
        <w:spacing w:after="0" w:line="369" w:lineRule="auto"/>
        <w:rPr>
          <w:sz w:val="20"/>
          <w:szCs w:val="20"/>
          <w:color w:val="auto"/>
        </w:rPr>
      </w:pPr>
      <w:r>
        <w:rPr>
          <w:rFonts w:ascii="Arial" w:cs="Arial" w:eastAsia="Arial" w:hAnsi="Arial"/>
          <w:sz w:val="15"/>
          <w:szCs w:val="15"/>
          <w:color w:val="auto"/>
        </w:rPr>
        <w:t>We manufacture our products at our wholly-owned facilities and also utilize subcontractors to perform certain manufacturing processes. In recent years, we have increased our manufacturing scale and product diversity through strategic acquisitions, expansion, and various partnering arrangements.</w:t>
      </w:r>
    </w:p>
    <w:p>
      <w:pPr>
        <w:spacing w:after="0" w:line="118"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advanced packaging solutions to meet industry standards, lower power consumption, improved read/write reliability, and increased memory density. Our managed NAND and SSD storage products, which incorporate NAND, a controller, and firmware, constitute a significant portion of our revenue. We have developed proprietary firmware and controllers, which are included in certain of our SSDs. Development of advanced technologies enables us to diversify our product portfolio toward a richer mix of differentiated, high-value solutions and to target high-growth markets.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 Regarding COVID-19</w:t>
      </w:r>
    </w:p>
    <w:p>
      <w:pPr>
        <w:spacing w:after="0" w:line="225" w:lineRule="exact"/>
        <w:rPr>
          <w:sz w:val="20"/>
          <w:szCs w:val="20"/>
          <w:color w:val="auto"/>
        </w:rPr>
      </w:pPr>
    </w:p>
    <w:p>
      <w:pPr>
        <w:ind w:left="240" w:right="140" w:firstLine="351"/>
        <w:spacing w:after="0" w:line="288" w:lineRule="auto"/>
        <w:rPr>
          <w:sz w:val="20"/>
          <w:szCs w:val="20"/>
          <w:color w:val="auto"/>
        </w:rPr>
      </w:pPr>
      <w:r>
        <w:rPr>
          <w:rFonts w:ascii="Arial" w:cs="Arial" w:eastAsia="Arial" w:hAnsi="Arial"/>
          <w:sz w:val="16"/>
          <w:szCs w:val="16"/>
          <w:color w:val="auto"/>
        </w:rPr>
        <w:t>Events surrounding the ongoing COVID-19 outbreak have resulted in a reduction in economic activity across the globe. The severity and duration of these economic repercussions remain largely unknown and ultimately will depend on many factors, including the speed and effectiveness of the containment efforts throughout the world. While we have observed demand increases in some areas of our business that support the stay-at-home economy, such as products used in datacenter infrastructure, gaming, notebook computers and similar applications, we have also observed demand decreases in other categories such as smartphones, consumer electronics, and automobiles. The extent to which COVID-19 will impact demand for our products depends on future developments, which are highly uncertain and very difficult to predict, including new information that may emerge concerning the severity of the coronavirus and actions to contain and treat its impacts. While all our global sites are currently operational, our manufacturing site in Malaysia is currently operating at reduced utilization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416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6130" cy="641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color w:val="auto"/>
        </w:rPr>
        <w:t>levels due to local conditions and restrictions related to COVID-19. Other facilities could also be required to temporarily curtail production levels or temporarily cease operations based on governmental mandates.</w:t>
      </w:r>
    </w:p>
    <w:p>
      <w:pPr>
        <w:spacing w:after="0" w:line="186" w:lineRule="exact"/>
        <w:rPr>
          <w:sz w:val="20"/>
          <w:szCs w:val="20"/>
          <w:color w:val="auto"/>
        </w:rPr>
      </w:pPr>
    </w:p>
    <w:p>
      <w:pPr>
        <w:ind w:left="240" w:right="60" w:firstLine="351"/>
        <w:spacing w:after="0" w:line="298" w:lineRule="auto"/>
        <w:rPr>
          <w:sz w:val="20"/>
          <w:szCs w:val="20"/>
          <w:color w:val="auto"/>
        </w:rPr>
      </w:pPr>
      <w:r>
        <w:rPr>
          <w:rFonts w:ascii="Arial" w:cs="Arial" w:eastAsia="Arial" w:hAnsi="Arial"/>
          <w:sz w:val="16"/>
          <w:szCs w:val="16"/>
          <w:color w:val="auto"/>
        </w:rPr>
        <w:t>From the start of the COVID-19 outbreak, we proactively implemented preventative protocols intended to safeguard our team members, contractors, suppliers and customers, and ensure business continuity in the event government restrictions or severe outbreaks impact our operations at certain sites. We remain committed to the health and safety of our team members, contractors, suppliers, customers, and communities, and are following governmental policies and recommendations designed to slow the spread of COVID-19.</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efforts to respond to the COVID-19 outbreak include the following:</w:t>
      </w:r>
    </w:p>
    <w:p>
      <w:pPr>
        <w:spacing w:after="0" w:line="252" w:lineRule="exact"/>
        <w:rPr>
          <w:sz w:val="20"/>
          <w:szCs w:val="20"/>
          <w:color w:val="auto"/>
        </w:rPr>
      </w:pPr>
    </w:p>
    <w:p>
      <w:pPr>
        <w:ind w:left="1320" w:hanging="538"/>
        <w:spacing w:after="0" w:line="256"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put health screenings in place, required social distancing, and have established team separation protocols at our facilities. We are also prohibiting visitors, have suspended business travel, and require team members to work from home to the extent possible. Where work from home is not possible, all on-site team members must pass through thermal scanning equipment to ensure they do not have an elevated body temperature and must wear a mask at all times.</w:t>
      </w:r>
    </w:p>
    <w:p>
      <w:pPr>
        <w:spacing w:after="0" w:line="210"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respond to changing market conditions, we have shifted some supply from markets which have experienced declines in demand, such as smartphones, to markets that have experienced demand increases, such as datacenter markets.</w:t>
      </w:r>
    </w:p>
    <w:p>
      <w:pPr>
        <w:spacing w:after="0" w:line="199" w:lineRule="exact"/>
        <w:rPr>
          <w:rFonts w:ascii="Arial" w:cs="Arial" w:eastAsia="Arial" w:hAnsi="Arial"/>
          <w:sz w:val="18"/>
          <w:szCs w:val="18"/>
          <w:color w:val="auto"/>
        </w:rPr>
      </w:pPr>
    </w:p>
    <w:p>
      <w:pPr>
        <w:ind w:left="1320" w:right="40" w:hanging="538"/>
        <w:spacing w:after="0" w:line="331"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evaluated our supply chain and communicated with our suppliers to identify supply gaps and taken steps to ensure continuity. In some cases, we have added alternative suppliers and increased our on-hand inventory of raw materials needed in our operations.</w:t>
      </w:r>
    </w:p>
    <w:p>
      <w:pPr>
        <w:spacing w:after="0" w:line="167" w:lineRule="exact"/>
        <w:rPr>
          <w:rFonts w:ascii="Arial" w:cs="Arial" w:eastAsia="Arial" w:hAnsi="Arial"/>
          <w:sz w:val="16"/>
          <w:szCs w:val="16"/>
          <w:color w:val="auto"/>
        </w:rPr>
      </w:pPr>
    </w:p>
    <w:p>
      <w:pPr>
        <w:ind w:left="1320" w:right="2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and external partners.</w:t>
      </w:r>
    </w:p>
    <w:p>
      <w:pPr>
        <w:spacing w:after="0" w:line="199" w:lineRule="exact"/>
        <w:rPr>
          <w:rFonts w:ascii="Arial" w:cs="Arial" w:eastAsia="Arial" w:hAnsi="Arial"/>
          <w:sz w:val="18"/>
          <w:szCs w:val="18"/>
          <w:color w:val="auto"/>
        </w:rPr>
      </w:pPr>
    </w:p>
    <w:p>
      <w:pPr>
        <w:ind w:left="1320" w:right="1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evaluating all our construction projects across our global manufacturing operations and enacting protocols to enhance the safety of our team members, suppliers, and contractors.</w:t>
      </w:r>
    </w:p>
    <w:p>
      <w:pPr>
        <w:spacing w:after="0" w:line="199"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developed strategies and are implementing measures to respond to a variety of potential economic scenarios, such as limitations on new hiring, suspension of business travel, and reductions in discretionary spending.</w:t>
      </w:r>
    </w:p>
    <w:p>
      <w:pPr>
        <w:spacing w:after="0" w:line="212" w:lineRule="exact"/>
        <w:rPr>
          <w:rFonts w:ascii="Arial" w:cs="Arial" w:eastAsia="Arial" w:hAnsi="Arial"/>
          <w:sz w:val="18"/>
          <w:szCs w:val="18"/>
          <w:color w:val="auto"/>
        </w:rPr>
      </w:pPr>
    </w:p>
    <w:p>
      <w:pPr>
        <w:ind w:left="1320" w:right="120" w:hanging="538"/>
        <w:spacing w:after="0" w:line="306"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37,000 team members in 18 countries, while safely continuing operations to the extent possible at our sites across the globe.</w:t>
      </w:r>
    </w:p>
    <w:p>
      <w:pPr>
        <w:spacing w:after="0" w:line="160" w:lineRule="exact"/>
        <w:rPr>
          <w:sz w:val="20"/>
          <w:szCs w:val="20"/>
          <w:color w:val="auto"/>
        </w:rPr>
      </w:pPr>
    </w:p>
    <w:p>
      <w:pPr>
        <w:jc w:val="both"/>
        <w:ind w:left="240" w:right="40" w:firstLine="341"/>
        <w:spacing w:after="0" w:line="306" w:lineRule="auto"/>
        <w:rPr>
          <w:sz w:val="20"/>
          <w:szCs w:val="20"/>
          <w:color w:val="auto"/>
        </w:rPr>
      </w:pPr>
      <w:r>
        <w:rPr>
          <w:rFonts w:ascii="Arial" w:cs="Arial" w:eastAsia="Arial" w:hAnsi="Arial"/>
          <w:sz w:val="16"/>
          <w:szCs w:val="16"/>
          <w:color w:val="auto"/>
        </w:rPr>
        <w:t>As a precautionary measure, to increase our cash position and preserve financial flexibility in light of the uncertainty in the global markets resulting from COVID-19, on March 13, 2020, we drew the $2.50 billion available under our revolving credit facility. We intend to use the net proceeds from this offering to repay a portion of the outstanding borrowings under our revolving credit facility. See "Use of Proceeds."</w:t>
      </w:r>
    </w:p>
    <w:p>
      <w:pPr>
        <w:spacing w:after="0" w:line="160" w:lineRule="exact"/>
        <w:rPr>
          <w:sz w:val="20"/>
          <w:szCs w:val="20"/>
          <w:color w:val="auto"/>
        </w:rPr>
      </w:pPr>
    </w:p>
    <w:p>
      <w:pPr>
        <w:ind w:left="240" w:right="80" w:firstLine="348"/>
        <w:spacing w:after="0" w:line="256" w:lineRule="auto"/>
        <w:rPr>
          <w:sz w:val="20"/>
          <w:szCs w:val="20"/>
          <w:color w:val="auto"/>
        </w:rPr>
      </w:pPr>
      <w:r>
        <w:rPr>
          <w:rFonts w:ascii="Arial" w:cs="Arial" w:eastAsia="Arial" w:hAnsi="Arial"/>
          <w:sz w:val="18"/>
          <w:szCs w:val="18"/>
          <w:color w:val="auto"/>
        </w:rPr>
        <w:t>We believe these actions are appropriate and prudent to safeguard our team members, contractors, suppliers, customers, and communities, while allowing us to safely continue operations, but we cannot predict how the steps we, our team members, government entities, suppliers, or customers take in response to the COVID-19 outbreak will impact our business, outlook, or results of operations. Please also see the discussion related to COVID-19 in our Quarterly Report on Form 10-Q for the fiscal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1753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6130" cy="175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quarter ended February 27, 2020 generally and the risk factor set forth herein under "Risk Factors—Risks Related to COVID-19".</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0" w:firstLine="348"/>
        <w:spacing w:after="0" w:line="298" w:lineRule="auto"/>
        <w:rPr>
          <w:sz w:val="20"/>
          <w:szCs w:val="20"/>
          <w:color w:val="auto"/>
        </w:rPr>
      </w:pPr>
      <w:r>
        <w:rPr>
          <w:rFonts w:ascii="Arial" w:cs="Arial" w:eastAsia="Arial" w:hAnsi="Arial"/>
          <w:sz w:val="16"/>
          <w:szCs w:val="16"/>
          <w:color w:val="auto"/>
        </w:rPr>
        <w:t>We were originally incorporated in Idaho in 1978. In 1984, we were reincorporated in Delaware. Our executive offices are located at 8000 South Federal Way, Boise, Idaho 83716-9632 and our telephone number is (208) 368-4000. Information about the Company is available on the internet at www.micron.com. The information contained or incorporated in our website is not part of this prospectus supplement or the accompanying prospectus. You should not rely on any such information in making your decision whether to purchase the notes.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60"/>
          </w:cols>
          <w:pgMar w:left="320" w:top="131" w:right="7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339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166" w:lineRule="exact"/>
        <w:rPr>
          <w:sz w:val="20"/>
          <w:szCs w:val="20"/>
          <w:color w:val="auto"/>
        </w:rPr>
      </w:pPr>
    </w:p>
    <w:tbl>
      <w:tblPr>
        <w:tblLayout w:type="fixed"/>
        <w:tblInd w:w="132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Issuer</w:t>
            </w:r>
          </w:p>
        </w:tc>
        <w:tc>
          <w:tcPr>
            <w:tcW w:w="2480" w:type="dxa"/>
            <w:vAlign w:val="bottom"/>
            <w:gridSpan w:val="2"/>
          </w:tcPr>
          <w:p>
            <w:pPr>
              <w:ind w:left="580"/>
              <w:spacing w:after="0"/>
              <w:rPr>
                <w:sz w:val="20"/>
                <w:szCs w:val="20"/>
                <w:color w:val="auto"/>
              </w:rPr>
            </w:pPr>
            <w:r>
              <w:rPr>
                <w:rFonts w:ascii="Arial" w:cs="Arial" w:eastAsia="Arial" w:hAnsi="Arial"/>
                <w:sz w:val="18"/>
                <w:szCs w:val="18"/>
                <w:color w:val="auto"/>
                <w:w w:val="98"/>
              </w:rPr>
              <w:t>Micron Technology, Inc.</w:t>
            </w:r>
          </w:p>
        </w:tc>
        <w:tc>
          <w:tcPr>
            <w:tcW w:w="88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Securities Offered</w:t>
            </w:r>
          </w:p>
        </w:tc>
        <w:tc>
          <w:tcPr>
            <w:tcW w:w="1200" w:type="dxa"/>
            <w:vAlign w:val="bottom"/>
          </w:tcPr>
          <w:p>
            <w:pPr>
              <w:ind w:left="580"/>
              <w:spacing w:after="0"/>
              <w:rPr>
                <w:sz w:val="20"/>
                <w:szCs w:val="20"/>
                <w:color w:val="auto"/>
              </w:rPr>
            </w:pPr>
            <w:r>
              <w:rPr>
                <w:rFonts w:ascii="Arial" w:cs="Arial" w:eastAsia="Arial" w:hAnsi="Arial"/>
                <w:sz w:val="18"/>
                <w:szCs w:val="18"/>
                <w:color w:val="auto"/>
              </w:rPr>
              <w:t>$</w:t>
            </w: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aggregate principal amount of</w:t>
            </w:r>
          </w:p>
        </w:tc>
        <w:tc>
          <w:tcPr>
            <w:tcW w:w="2680" w:type="dxa"/>
            <w:vAlign w:val="bottom"/>
          </w:tcPr>
          <w:p>
            <w:pPr>
              <w:jc w:val="right"/>
              <w:ind w:right="532"/>
              <w:spacing w:after="0"/>
              <w:rPr>
                <w:sz w:val="20"/>
                <w:szCs w:val="20"/>
                <w:color w:val="auto"/>
              </w:rPr>
            </w:pPr>
            <w:r>
              <w:rPr>
                <w:rFonts w:ascii="Arial" w:cs="Arial" w:eastAsia="Arial" w:hAnsi="Arial"/>
                <w:sz w:val="18"/>
                <w:szCs w:val="18"/>
                <w:color w:val="auto"/>
              </w:rPr>
              <w:t>% Senior Notes due 20  .</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Maturity</w:t>
            </w:r>
          </w:p>
        </w:tc>
        <w:tc>
          <w:tcPr>
            <w:tcW w:w="2480" w:type="dxa"/>
            <w:vAlign w:val="bottom"/>
            <w:gridSpan w:val="2"/>
          </w:tcPr>
          <w:p>
            <w:pPr>
              <w:ind w:left="580"/>
              <w:spacing w:after="0"/>
              <w:rPr>
                <w:sz w:val="20"/>
                <w:szCs w:val="20"/>
                <w:color w:val="auto"/>
              </w:rPr>
            </w:pPr>
            <w:r>
              <w:rPr>
                <w:rFonts w:ascii="Arial" w:cs="Arial" w:eastAsia="Arial" w:hAnsi="Arial"/>
                <w:sz w:val="18"/>
                <w:szCs w:val="18"/>
                <w:color w:val="auto"/>
                <w:w w:val="95"/>
              </w:rPr>
              <w:t>The notes will mature on</w:t>
            </w:r>
          </w:p>
        </w:tc>
        <w:tc>
          <w:tcPr>
            <w:tcW w:w="880" w:type="dxa"/>
            <w:vAlign w:val="bottom"/>
          </w:tcPr>
          <w:p>
            <w:pPr>
              <w:spacing w:after="0"/>
              <w:rPr>
                <w:sz w:val="24"/>
                <w:szCs w:val="24"/>
                <w:color w:val="auto"/>
              </w:rPr>
            </w:pPr>
          </w:p>
        </w:tc>
        <w:tc>
          <w:tcPr>
            <w:tcW w:w="2680" w:type="dxa"/>
            <w:vAlign w:val="bottom"/>
          </w:tcPr>
          <w:p>
            <w:pPr>
              <w:jc w:val="right"/>
              <w:ind w:right="2072"/>
              <w:spacing w:after="0"/>
              <w:rPr>
                <w:sz w:val="20"/>
                <w:szCs w:val="20"/>
                <w:color w:val="auto"/>
              </w:rPr>
            </w:pPr>
            <w:r>
              <w:rPr>
                <w:rFonts w:ascii="Arial" w:cs="Arial" w:eastAsia="Arial" w:hAnsi="Arial"/>
                <w:sz w:val="18"/>
                <w:szCs w:val="18"/>
                <w:color w:val="auto"/>
              </w:rPr>
              <w:t>,20  .</w:t>
            </w:r>
          </w:p>
        </w:tc>
      </w:tr>
      <w:tr>
        <w:trPr>
          <w:trHeight w:val="426"/>
        </w:trPr>
        <w:tc>
          <w:tcPr>
            <w:tcW w:w="2520" w:type="dxa"/>
            <w:vAlign w:val="bottom"/>
          </w:tcPr>
          <w:p>
            <w:pPr>
              <w:spacing w:after="0"/>
              <w:rPr>
                <w:sz w:val="20"/>
                <w:szCs w:val="20"/>
                <w:color w:val="auto"/>
              </w:rPr>
            </w:pPr>
            <w:r>
              <w:rPr>
                <w:rFonts w:ascii="Arial" w:cs="Arial" w:eastAsia="Arial" w:hAnsi="Arial"/>
                <w:sz w:val="18"/>
                <w:szCs w:val="18"/>
                <w:color w:val="auto"/>
              </w:rPr>
              <w:t>Interest and Payment Dates</w:t>
            </w:r>
          </w:p>
        </w:tc>
        <w:tc>
          <w:tcPr>
            <w:tcW w:w="6040" w:type="dxa"/>
            <w:vAlign w:val="bottom"/>
            <w:gridSpan w:val="4"/>
          </w:tcPr>
          <w:p>
            <w:pPr>
              <w:ind w:left="860"/>
              <w:spacing w:after="0"/>
              <w:rPr>
                <w:sz w:val="20"/>
                <w:szCs w:val="20"/>
                <w:color w:val="auto"/>
              </w:rPr>
            </w:pPr>
            <w:r>
              <w:rPr>
                <w:rFonts w:ascii="Arial" w:cs="Arial" w:eastAsia="Arial" w:hAnsi="Arial"/>
                <w:sz w:val="18"/>
                <w:szCs w:val="18"/>
                <w:color w:val="auto"/>
                <w:w w:val="87"/>
              </w:rPr>
              <w:t>% per year on the principal amount of the notes. Interest is payable on the</w:t>
            </w:r>
          </w:p>
        </w:tc>
      </w:tr>
      <w:tr>
        <w:trPr>
          <w:trHeight w:val="216"/>
        </w:trPr>
        <w:tc>
          <w:tcPr>
            <w:tcW w:w="2520" w:type="dxa"/>
            <w:vAlign w:val="bottom"/>
          </w:tcPr>
          <w:p>
            <w:pPr>
              <w:spacing w:after="0"/>
              <w:rPr>
                <w:sz w:val="18"/>
                <w:szCs w:val="18"/>
                <w:color w:val="auto"/>
              </w:rPr>
            </w:pPr>
          </w:p>
        </w:tc>
        <w:tc>
          <w:tcPr>
            <w:tcW w:w="1200" w:type="dxa"/>
            <w:vAlign w:val="bottom"/>
          </w:tcPr>
          <w:p>
            <w:pPr>
              <w:ind w:left="580"/>
              <w:spacing w:after="0"/>
              <w:rPr>
                <w:sz w:val="20"/>
                <w:szCs w:val="20"/>
                <w:color w:val="auto"/>
              </w:rPr>
            </w:pPr>
            <w:r>
              <w:rPr>
                <w:rFonts w:ascii="Arial" w:cs="Arial" w:eastAsia="Arial" w:hAnsi="Arial"/>
                <w:sz w:val="18"/>
                <w:szCs w:val="18"/>
                <w:color w:val="auto"/>
                <w:w w:val="86"/>
              </w:rPr>
              <w:t>notes on</w:t>
            </w:r>
          </w:p>
        </w:tc>
        <w:tc>
          <w:tcPr>
            <w:tcW w:w="1280" w:type="dxa"/>
            <w:vAlign w:val="bottom"/>
          </w:tcPr>
          <w:p>
            <w:pPr>
              <w:jc w:val="right"/>
              <w:ind w:right="432"/>
              <w:spacing w:after="0"/>
              <w:rPr>
                <w:sz w:val="20"/>
                <w:szCs w:val="20"/>
                <w:color w:val="auto"/>
              </w:rPr>
            </w:pPr>
            <w:r>
              <w:rPr>
                <w:rFonts w:ascii="Arial" w:cs="Arial" w:eastAsia="Arial" w:hAnsi="Arial"/>
                <w:sz w:val="18"/>
                <w:szCs w:val="18"/>
                <w:color w:val="auto"/>
              </w:rPr>
              <w:t>and</w:t>
            </w:r>
          </w:p>
        </w:tc>
        <w:tc>
          <w:tcPr>
            <w:tcW w:w="3560" w:type="dxa"/>
            <w:vAlign w:val="bottom"/>
            <w:gridSpan w:val="2"/>
          </w:tcPr>
          <w:p>
            <w:pPr>
              <w:jc w:val="right"/>
              <w:ind w:right="772"/>
              <w:spacing w:after="0"/>
              <w:rPr>
                <w:sz w:val="20"/>
                <w:szCs w:val="20"/>
                <w:color w:val="auto"/>
              </w:rPr>
            </w:pPr>
            <w:r>
              <w:rPr>
                <w:rFonts w:ascii="Arial" w:cs="Arial" w:eastAsia="Arial" w:hAnsi="Arial"/>
                <w:sz w:val="18"/>
                <w:szCs w:val="18"/>
                <w:color w:val="auto"/>
                <w:w w:val="86"/>
              </w:rPr>
              <w:t>of each year after the date of issuance,</w:t>
            </w:r>
          </w:p>
        </w:tc>
      </w:tr>
      <w:tr>
        <w:trPr>
          <w:trHeight w:val="216"/>
        </w:trPr>
        <w:tc>
          <w:tcPr>
            <w:tcW w:w="2520" w:type="dxa"/>
            <w:vAlign w:val="bottom"/>
          </w:tcPr>
          <w:p>
            <w:pPr>
              <w:spacing w:after="0"/>
              <w:rPr>
                <w:sz w:val="18"/>
                <w:szCs w:val="18"/>
                <w:color w:val="auto"/>
              </w:rPr>
            </w:pPr>
          </w:p>
        </w:tc>
        <w:tc>
          <w:tcPr>
            <w:tcW w:w="2480" w:type="dxa"/>
            <w:vAlign w:val="bottom"/>
            <w:gridSpan w:val="2"/>
          </w:tcPr>
          <w:p>
            <w:pPr>
              <w:ind w:left="580"/>
              <w:spacing w:after="0"/>
              <w:rPr>
                <w:sz w:val="20"/>
                <w:szCs w:val="20"/>
                <w:color w:val="auto"/>
              </w:rPr>
            </w:pPr>
            <w:r>
              <w:rPr>
                <w:rFonts w:ascii="Arial" w:cs="Arial" w:eastAsia="Arial" w:hAnsi="Arial"/>
                <w:sz w:val="18"/>
                <w:szCs w:val="18"/>
                <w:color w:val="auto"/>
              </w:rPr>
              <w:t>commencing</w:t>
            </w:r>
          </w:p>
        </w:tc>
        <w:tc>
          <w:tcPr>
            <w:tcW w:w="3560" w:type="dxa"/>
            <w:vAlign w:val="bottom"/>
            <w:gridSpan w:val="2"/>
          </w:tcPr>
          <w:p>
            <w:pPr>
              <w:jc w:val="right"/>
              <w:ind w:right="632"/>
              <w:spacing w:after="0"/>
              <w:rPr>
                <w:sz w:val="20"/>
                <w:szCs w:val="20"/>
                <w:color w:val="auto"/>
              </w:rPr>
            </w:pPr>
            <w:r>
              <w:rPr>
                <w:rFonts w:ascii="Arial" w:cs="Arial" w:eastAsia="Arial" w:hAnsi="Arial"/>
                <w:sz w:val="18"/>
                <w:szCs w:val="18"/>
                <w:color w:val="auto"/>
                <w:w w:val="90"/>
              </w:rPr>
              <w:t>, 2020. Interest on the notes will accrue</w:t>
            </w:r>
          </w:p>
        </w:tc>
      </w:tr>
      <w:tr>
        <w:trPr>
          <w:trHeight w:val="222"/>
        </w:trPr>
        <w:tc>
          <w:tcPr>
            <w:tcW w:w="2520" w:type="dxa"/>
            <w:vAlign w:val="bottom"/>
          </w:tcPr>
          <w:p>
            <w:pPr>
              <w:spacing w:after="0"/>
              <w:rPr>
                <w:sz w:val="19"/>
                <w:szCs w:val="19"/>
                <w:color w:val="auto"/>
              </w:rPr>
            </w:pPr>
          </w:p>
        </w:tc>
        <w:tc>
          <w:tcPr>
            <w:tcW w:w="1200" w:type="dxa"/>
            <w:vAlign w:val="bottom"/>
          </w:tcPr>
          <w:p>
            <w:pPr>
              <w:ind w:left="580"/>
              <w:spacing w:after="0"/>
              <w:rPr>
                <w:sz w:val="20"/>
                <w:szCs w:val="20"/>
                <w:color w:val="auto"/>
              </w:rPr>
            </w:pPr>
            <w:r>
              <w:rPr>
                <w:rFonts w:ascii="Arial" w:cs="Arial" w:eastAsia="Arial" w:hAnsi="Arial"/>
                <w:sz w:val="18"/>
                <w:szCs w:val="18"/>
                <w:color w:val="auto"/>
              </w:rPr>
              <w:t>from</w:t>
            </w:r>
          </w:p>
        </w:tc>
        <w:tc>
          <w:tcPr>
            <w:tcW w:w="1280" w:type="dxa"/>
            <w:vAlign w:val="bottom"/>
          </w:tcPr>
          <w:p>
            <w:pPr>
              <w:jc w:val="right"/>
              <w:spacing w:after="0"/>
              <w:rPr>
                <w:sz w:val="20"/>
                <w:szCs w:val="20"/>
                <w:color w:val="auto"/>
              </w:rPr>
            </w:pPr>
            <w:r>
              <w:rPr>
                <w:rFonts w:ascii="Arial" w:cs="Arial" w:eastAsia="Arial" w:hAnsi="Arial"/>
                <w:sz w:val="18"/>
                <w:szCs w:val="18"/>
                <w:color w:val="auto"/>
              </w:rPr>
              <w:t>, 2020.</w:t>
            </w:r>
          </w:p>
        </w:tc>
        <w:tc>
          <w:tcPr>
            <w:tcW w:w="88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26"/>
        </w:trPr>
        <w:tc>
          <w:tcPr>
            <w:tcW w:w="2520" w:type="dxa"/>
            <w:vAlign w:val="bottom"/>
          </w:tcPr>
          <w:p>
            <w:pPr>
              <w:spacing w:after="0"/>
              <w:rPr>
                <w:sz w:val="20"/>
                <w:szCs w:val="20"/>
                <w:color w:val="auto"/>
              </w:rPr>
            </w:pPr>
            <w:r>
              <w:rPr>
                <w:rFonts w:ascii="Arial" w:cs="Arial" w:eastAsia="Arial" w:hAnsi="Arial"/>
                <w:sz w:val="18"/>
                <w:szCs w:val="18"/>
                <w:color w:val="auto"/>
              </w:rPr>
              <w:t>Ranking of the Notes</w:t>
            </w:r>
          </w:p>
        </w:tc>
        <w:tc>
          <w:tcPr>
            <w:tcW w:w="6040" w:type="dxa"/>
            <w:vAlign w:val="bottom"/>
            <w:gridSpan w:val="4"/>
          </w:tcPr>
          <w:p>
            <w:pPr>
              <w:ind w:left="580"/>
              <w:spacing w:after="0"/>
              <w:rPr>
                <w:sz w:val="20"/>
                <w:szCs w:val="20"/>
                <w:color w:val="auto"/>
              </w:rPr>
            </w:pPr>
            <w:r>
              <w:rPr>
                <w:rFonts w:ascii="Arial" w:cs="Arial" w:eastAsia="Arial" w:hAnsi="Arial"/>
                <w:sz w:val="18"/>
                <w:szCs w:val="18"/>
                <w:color w:val="auto"/>
                <w:w w:val="90"/>
              </w:rPr>
              <w:t>The notes will be our senior unsecured obligations and will rank equally with</w:t>
            </w:r>
          </w:p>
        </w:tc>
      </w:tr>
      <w:tr>
        <w:trPr>
          <w:trHeight w:val="216"/>
        </w:trPr>
        <w:tc>
          <w:tcPr>
            <w:tcW w:w="2520" w:type="dxa"/>
            <w:vAlign w:val="bottom"/>
          </w:tcPr>
          <w:p>
            <w:pPr>
              <w:spacing w:after="0"/>
              <w:rPr>
                <w:sz w:val="18"/>
                <w:szCs w:val="18"/>
                <w:color w:val="auto"/>
              </w:rPr>
            </w:pPr>
          </w:p>
        </w:tc>
        <w:tc>
          <w:tcPr>
            <w:tcW w:w="6040" w:type="dxa"/>
            <w:vAlign w:val="bottom"/>
            <w:gridSpan w:val="4"/>
          </w:tcPr>
          <w:p>
            <w:pPr>
              <w:ind w:left="580"/>
              <w:spacing w:after="0"/>
              <w:rPr>
                <w:sz w:val="20"/>
                <w:szCs w:val="20"/>
                <w:color w:val="auto"/>
              </w:rPr>
            </w:pPr>
            <w:r>
              <w:rPr>
                <w:rFonts w:ascii="Arial" w:cs="Arial" w:eastAsia="Arial" w:hAnsi="Arial"/>
                <w:sz w:val="18"/>
                <w:szCs w:val="18"/>
                <w:color w:val="auto"/>
              </w:rPr>
              <w:t>all of our other existing and future unsecured and unsubordinated</w:t>
            </w:r>
          </w:p>
        </w:tc>
      </w:tr>
      <w:tr>
        <w:trPr>
          <w:trHeight w:val="222"/>
        </w:trPr>
        <w:tc>
          <w:tcPr>
            <w:tcW w:w="2520" w:type="dxa"/>
            <w:vAlign w:val="bottom"/>
          </w:tcPr>
          <w:p>
            <w:pPr>
              <w:spacing w:after="0"/>
              <w:rPr>
                <w:sz w:val="19"/>
                <w:szCs w:val="19"/>
                <w:color w:val="auto"/>
              </w:rPr>
            </w:pPr>
          </w:p>
        </w:tc>
        <w:tc>
          <w:tcPr>
            <w:tcW w:w="6040" w:type="dxa"/>
            <w:vAlign w:val="bottom"/>
            <w:gridSpan w:val="4"/>
          </w:tcPr>
          <w:p>
            <w:pPr>
              <w:ind w:left="580"/>
              <w:spacing w:after="0"/>
              <w:rPr>
                <w:sz w:val="20"/>
                <w:szCs w:val="20"/>
                <w:color w:val="auto"/>
              </w:rPr>
            </w:pPr>
            <w:r>
              <w:rPr>
                <w:rFonts w:ascii="Arial" w:cs="Arial" w:eastAsia="Arial" w:hAnsi="Arial"/>
                <w:sz w:val="18"/>
                <w:szCs w:val="18"/>
                <w:color w:val="auto"/>
              </w:rPr>
              <w:t>indebtedness from time to time outstanding.</w:t>
            </w:r>
          </w:p>
        </w:tc>
      </w:tr>
    </w:tbl>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As of February 27, 2020 and after giving pro forma effect to our borrowing of</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$2.50 billion in aggregate principal amount under our revolving credit facility</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on March 13, 2020:</w:t>
      </w:r>
    </w:p>
    <w:p>
      <w:pPr>
        <w:spacing w:after="0" w:line="219" w:lineRule="exact"/>
        <w:rPr>
          <w:sz w:val="20"/>
          <w:szCs w:val="20"/>
          <w:color w:val="auto"/>
        </w:rPr>
      </w:pPr>
    </w:p>
    <w:p>
      <w:pPr>
        <w:ind w:left="4600" w:right="1560" w:hanging="171"/>
        <w:spacing w:after="0" w:line="294" w:lineRule="auto"/>
        <w:tabs>
          <w:tab w:leader="none" w:pos="4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had approximately $7.55 billion aggregate principal amount of indebtedness (excluding indebtedness of our subsidiaries including approximately $70 million principal amount of indebtedness of our subsidiaries that is guaranteed by us), of which $102 million was our secured indebtedness;</w:t>
      </w:r>
    </w:p>
    <w:p>
      <w:pPr>
        <w:spacing w:after="0" w:line="169" w:lineRule="exact"/>
        <w:rPr>
          <w:rFonts w:ascii="Arial" w:cs="Arial" w:eastAsia="Arial" w:hAnsi="Arial"/>
          <w:sz w:val="16"/>
          <w:szCs w:val="16"/>
          <w:color w:val="auto"/>
        </w:rPr>
      </w:pPr>
    </w:p>
    <w:p>
      <w:pPr>
        <w:ind w:left="4600" w:right="1080" w:hanging="171"/>
        <w:spacing w:after="0" w:line="290" w:lineRule="auto"/>
        <w:tabs>
          <w:tab w:leader="none" w:pos="4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and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$6.0 billion, all of which will be structurally senior to the notes with respect to claims on the assets and cash flows of our subsidiaries.</w:t>
      </w:r>
    </w:p>
    <w:p>
      <w:pPr>
        <w:spacing w:after="0" w:line="172" w:lineRule="exact"/>
        <w:rPr>
          <w:sz w:val="20"/>
          <w:szCs w:val="20"/>
          <w:color w:val="auto"/>
        </w:rPr>
      </w:pPr>
    </w:p>
    <w:p>
      <w:pPr>
        <w:ind w:left="1320"/>
        <w:spacing w:after="0"/>
        <w:tabs>
          <w:tab w:leader="none" w:pos="4400" w:val="left"/>
        </w:tabs>
        <w:rPr>
          <w:sz w:val="20"/>
          <w:szCs w:val="20"/>
          <w:color w:val="auto"/>
        </w:rPr>
      </w:pPr>
      <w:r>
        <w:rPr>
          <w:rFonts w:ascii="Arial" w:cs="Arial" w:eastAsia="Arial" w:hAnsi="Arial"/>
          <w:sz w:val="18"/>
          <w:szCs w:val="18"/>
          <w:color w:val="auto"/>
        </w:rPr>
        <w:t>Sinking Fund</w:t>
      </w:r>
      <w:r>
        <w:rPr>
          <w:sz w:val="20"/>
          <w:szCs w:val="20"/>
          <w:color w:val="auto"/>
        </w:rPr>
        <w:tab/>
      </w: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2440" w:type="dxa"/>
            <w:vAlign w:val="bottom"/>
            <w:tcBorders>
              <w:top w:val="single" w:sz="8" w:color="auto"/>
              <w:left w:val="single" w:sz="8" w:color="auto"/>
            </w:tcBorders>
          </w:tcPr>
          <w:p>
            <w:pPr>
              <w:ind w:left="1320"/>
              <w:spacing w:after="0"/>
              <w:rPr>
                <w:sz w:val="20"/>
                <w:szCs w:val="20"/>
                <w:color w:val="auto"/>
              </w:rPr>
            </w:pPr>
            <w:r>
              <w:rPr>
                <w:rFonts w:ascii="Arial" w:cs="Arial" w:eastAsia="Arial" w:hAnsi="Arial"/>
                <w:sz w:val="18"/>
                <w:szCs w:val="18"/>
                <w:color w:val="auto"/>
              </w:rPr>
              <w:t>Optional</w:t>
            </w:r>
          </w:p>
        </w:tc>
        <w:tc>
          <w:tcPr>
            <w:tcW w:w="88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notes will be redeemable at our option, in whole or in part, at any time and from time to time at a</w:t>
            </w: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w w:val="94"/>
              </w:rPr>
              <w:t>Redemption</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redemption price equal to the greater of (i) 100% of the principal amount of the notes to be redeemed</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 (ii) the make-whole amount (as described in the section entitled "Description of the Notes—Optional</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Redemption"), plus accrued and unpaid interest thereon to, but excluding, the redemption date. See</w:t>
            </w:r>
          </w:p>
        </w:tc>
      </w:tr>
      <w:tr>
        <w:trPr>
          <w:trHeight w:val="222"/>
        </w:trPr>
        <w:tc>
          <w:tcPr>
            <w:tcW w:w="244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"Description of the Notes—Optional Redemption."</w:t>
            </w:r>
          </w:p>
        </w:tc>
      </w:tr>
      <w:tr>
        <w:trPr>
          <w:trHeight w:val="426"/>
        </w:trPr>
        <w:tc>
          <w:tcPr>
            <w:tcW w:w="24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Mandatory</w:t>
            </w:r>
          </w:p>
        </w:tc>
        <w:tc>
          <w:tcPr>
            <w:tcW w:w="8800" w:type="dxa"/>
            <w:vAlign w:val="bottom"/>
            <w:tcBorders>
              <w:right w:val="single" w:sz="8" w:color="auto"/>
            </w:tcBorders>
          </w:tcPr>
          <w:p>
            <w:pPr>
              <w:spacing w:after="0"/>
              <w:rPr>
                <w:sz w:val="24"/>
                <w:szCs w:val="24"/>
                <w:color w:val="auto"/>
              </w:rPr>
            </w:pP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Offer to</w:t>
            </w:r>
          </w:p>
        </w:tc>
        <w:tc>
          <w:tcPr>
            <w:tcW w:w="8800" w:type="dxa"/>
            <w:vAlign w:val="bottom"/>
            <w:tcBorders>
              <w:right w:val="single" w:sz="8" w:color="auto"/>
            </w:tcBorders>
          </w:tcPr>
          <w:p>
            <w:pPr>
              <w:spacing w:after="0"/>
              <w:rPr>
                <w:sz w:val="18"/>
                <w:szCs w:val="18"/>
                <w:color w:val="auto"/>
              </w:rPr>
            </w:pP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w w:val="94"/>
              </w:rPr>
              <w:t>Repurchase</w:t>
            </w:r>
          </w:p>
        </w:tc>
        <w:tc>
          <w:tcPr>
            <w:tcW w:w="8800" w:type="dxa"/>
            <w:vAlign w:val="bottom"/>
            <w:tcBorders>
              <w:right w:val="single" w:sz="8" w:color="auto"/>
            </w:tcBorders>
          </w:tcPr>
          <w:p>
            <w:pPr>
              <w:spacing w:after="0"/>
              <w:rPr>
                <w:sz w:val="18"/>
                <w:szCs w:val="18"/>
                <w:color w:val="auto"/>
              </w:rPr>
            </w:pP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Upon a</w:t>
            </w:r>
          </w:p>
        </w:tc>
        <w:tc>
          <w:tcPr>
            <w:tcW w:w="8800" w:type="dxa"/>
            <w:vAlign w:val="bottom"/>
            <w:tcBorders>
              <w:right w:val="single" w:sz="8" w:color="auto"/>
            </w:tcBorders>
          </w:tcPr>
          <w:p>
            <w:pPr>
              <w:spacing w:after="0"/>
              <w:rPr>
                <w:sz w:val="18"/>
                <w:szCs w:val="18"/>
                <w:color w:val="auto"/>
              </w:rPr>
            </w:pP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Change of</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Upon the occurrence of a Change of Control Triggering Event (as defined elsewhere in this prospectus</w:t>
            </w: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Control</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supplement), we will be required to make an offer to purchase the notes at a price equal to 101% of their</w:t>
            </w: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Triggering</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principal amount plus accrued and unpaid interest to, but excluding, the date of purchase. See</w:t>
            </w:r>
          </w:p>
        </w:tc>
      </w:tr>
      <w:tr>
        <w:trPr>
          <w:trHeight w:val="222"/>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Event</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"Description of the Notes—Repurchase of Notes Upon a Change of Control Triggering Event."</w:t>
            </w:r>
          </w:p>
        </w:tc>
      </w:tr>
      <w:tr>
        <w:trPr>
          <w:trHeight w:val="426"/>
        </w:trPr>
        <w:tc>
          <w:tcPr>
            <w:tcW w:w="24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Certain</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indenture that will govern the notes contains covenants that, subject to significant exceptions, limit</w:t>
            </w: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Covenants</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ability and/or the ability of our restricted subsidiaries (which are generally domestic subsidiaries in</w:t>
            </w:r>
          </w:p>
        </w:tc>
      </w:tr>
      <w:tr>
        <w:trPr>
          <w:trHeight w:val="222"/>
        </w:trPr>
        <w:tc>
          <w:tcPr>
            <w:tcW w:w="244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which we own at least 80% of the voting stock and which own Principal Property (as defined herein)) to:</w:t>
            </w:r>
          </w:p>
        </w:tc>
      </w:tr>
      <w:tr>
        <w:trPr>
          <w:trHeight w:val="426"/>
        </w:trPr>
        <w:tc>
          <w:tcPr>
            <w:tcW w:w="244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create or incur certain liens on Principal Property owned by us or a Restricted Subsidiary and shares of</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capital stock of any restricted subsidiary and enter into sale and lease-back transactions with respect to</w:t>
            </w:r>
          </w:p>
        </w:tc>
      </w:tr>
      <w:tr>
        <w:trPr>
          <w:trHeight w:val="222"/>
        </w:trPr>
        <w:tc>
          <w:tcPr>
            <w:tcW w:w="244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Principal Property; and</w:t>
            </w:r>
          </w:p>
        </w:tc>
      </w:tr>
      <w:tr>
        <w:trPr>
          <w:trHeight w:val="426"/>
        </w:trPr>
        <w:tc>
          <w:tcPr>
            <w:tcW w:w="244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consolidate with or merge with or into, or convey, transfer or lease all or substantially all of our assets,</w:t>
            </w:r>
          </w:p>
        </w:tc>
      </w:tr>
      <w:tr>
        <w:trPr>
          <w:trHeight w:val="222"/>
        </w:trPr>
        <w:tc>
          <w:tcPr>
            <w:tcW w:w="244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to another person.</w:t>
            </w:r>
          </w:p>
        </w:tc>
      </w:tr>
      <w:tr>
        <w:trPr>
          <w:trHeight w:val="426"/>
        </w:trPr>
        <w:tc>
          <w:tcPr>
            <w:tcW w:w="244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These covenants are subject to a number of important limitations and exceptions as described under</w:t>
            </w:r>
          </w:p>
        </w:tc>
      </w:tr>
      <w:tr>
        <w:trPr>
          <w:trHeight w:val="222"/>
        </w:trPr>
        <w:tc>
          <w:tcPr>
            <w:tcW w:w="244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"Description of the Notes—Certain Covenants."</w:t>
            </w:r>
          </w:p>
        </w:tc>
      </w:tr>
      <w:tr>
        <w:trPr>
          <w:trHeight w:val="426"/>
        </w:trPr>
        <w:tc>
          <w:tcPr>
            <w:tcW w:w="244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No Prior</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notes will be a new issue of securities for which there is currently no established public market.</w:t>
            </w: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Market; No</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Although the underwriters have informed us that they intend to make a market in the notes, they are not</w:t>
            </w:r>
          </w:p>
        </w:tc>
      </w:tr>
      <w:tr>
        <w:trPr>
          <w:trHeight w:val="216"/>
        </w:trPr>
        <w:tc>
          <w:tcPr>
            <w:tcW w:w="244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Listing</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obligated to do so and may discontinue market-making with respect to the notes at any time without</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notice. Accordingly, a liquid market for the notes may not develop or be maintained. See "Risk Factors</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—Risks Related to the Notes—Your ability to transfer the notes may be limited by the absence of an</w:t>
            </w:r>
          </w:p>
        </w:tc>
      </w:tr>
      <w:tr>
        <w:trPr>
          <w:trHeight w:val="222"/>
        </w:trPr>
        <w:tc>
          <w:tcPr>
            <w:tcW w:w="244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active trading market, and an active trading market may not develop for the notes."</w:t>
            </w:r>
          </w:p>
        </w:tc>
      </w:tr>
      <w:tr>
        <w:trPr>
          <w:trHeight w:val="426"/>
        </w:trPr>
        <w:tc>
          <w:tcPr>
            <w:tcW w:w="244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 do not intend to apply for the listing of the notes on any securities exchange or for the quotation of</w:t>
            </w:r>
          </w:p>
        </w:tc>
      </w:tr>
      <w:tr>
        <w:trPr>
          <w:trHeight w:val="222"/>
        </w:trPr>
        <w:tc>
          <w:tcPr>
            <w:tcW w:w="2440" w:type="dxa"/>
            <w:vAlign w:val="bottom"/>
            <w:tcBorders>
              <w:left w:val="single" w:sz="8" w:color="auto"/>
            </w:tcBorders>
          </w:tcPr>
          <w:p>
            <w:pPr>
              <w:spacing w:after="0"/>
              <w:rPr>
                <w:sz w:val="19"/>
                <w:szCs w:val="19"/>
                <w:color w:val="auto"/>
              </w:rPr>
            </w:pP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notes in any dealer quotation system.</w:t>
            </w:r>
          </w:p>
        </w:tc>
      </w:tr>
      <w:tr>
        <w:trPr>
          <w:trHeight w:val="444"/>
        </w:trPr>
        <w:tc>
          <w:tcPr>
            <w:tcW w:w="2440" w:type="dxa"/>
            <w:vAlign w:val="bottom"/>
            <w:tcBorders>
              <w:left w:val="single" w:sz="8" w:color="auto"/>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r>
      <w:tr>
        <w:trPr>
          <w:trHeight w:val="427"/>
        </w:trPr>
        <w:tc>
          <w:tcPr>
            <w:tcW w:w="2440" w:type="dxa"/>
            <w:vAlign w:val="bottom"/>
          </w:tcPr>
          <w:p>
            <w:pPr>
              <w:spacing w:after="0"/>
              <w:rPr>
                <w:sz w:val="24"/>
                <w:szCs w:val="24"/>
                <w:color w:val="auto"/>
              </w:rPr>
            </w:pPr>
          </w:p>
        </w:tc>
        <w:tc>
          <w:tcPr>
            <w:tcW w:w="8800" w:type="dxa"/>
            <w:vAlign w:val="bottom"/>
          </w:tcPr>
          <w:p>
            <w:pPr>
              <w:ind w:left="3060"/>
              <w:spacing w:after="0"/>
              <w:rPr>
                <w:sz w:val="20"/>
                <w:szCs w:val="20"/>
                <w:color w:val="auto"/>
              </w:rPr>
            </w:pPr>
            <w:r>
              <w:rPr>
                <w:rFonts w:ascii="Arial" w:cs="Arial" w:eastAsia="Arial" w:hAnsi="Arial"/>
                <w:sz w:val="18"/>
                <w:szCs w:val="18"/>
                <w:color w:val="auto"/>
              </w:rPr>
              <w:t>S-5</w:t>
            </w:r>
          </w:p>
        </w:tc>
      </w:tr>
      <w:tr>
        <w:trPr>
          <w:trHeight w:val="228"/>
        </w:trPr>
        <w:tc>
          <w:tcPr>
            <w:tcW w:w="244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4160" w:type="dxa"/>
            <w:vAlign w:val="bottom"/>
            <w:tcBorders>
              <w:top w:val="single" w:sz="8" w:color="auto"/>
              <w:left w:val="single" w:sz="8" w:color="auto"/>
            </w:tcBorders>
          </w:tcPr>
          <w:p>
            <w:pPr>
              <w:ind w:left="1320"/>
              <w:spacing w:after="0"/>
              <w:rPr>
                <w:sz w:val="20"/>
                <w:szCs w:val="20"/>
                <w:color w:val="auto"/>
              </w:rPr>
            </w:pPr>
            <w:r>
              <w:rPr>
                <w:rFonts w:ascii="Arial" w:cs="Arial" w:eastAsia="Arial" w:hAnsi="Arial"/>
                <w:sz w:val="18"/>
                <w:szCs w:val="18"/>
                <w:color w:val="auto"/>
              </w:rPr>
              <w:t>Use of Proceeds</w:t>
            </w:r>
          </w:p>
        </w:tc>
        <w:tc>
          <w:tcPr>
            <w:tcW w:w="7080" w:type="dxa"/>
            <w:vAlign w:val="bottom"/>
            <w:tcBorders>
              <w:top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We estimate net proceeds from this offering, after deducting underwriter</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discount and other estimated offering expenses, will be approximately</w:t>
            </w:r>
          </w:p>
        </w:tc>
      </w:tr>
      <w:tr>
        <w:trPr>
          <w:trHeight w:val="216"/>
        </w:trPr>
        <w:tc>
          <w:tcPr>
            <w:tcW w:w="4160" w:type="dxa"/>
            <w:vAlign w:val="bottom"/>
            <w:tcBorders>
              <w:left w:val="single" w:sz="8" w:color="auto"/>
            </w:tcBorders>
          </w:tcPr>
          <w:p>
            <w:pPr>
              <w:spacing w:after="0"/>
              <w:rPr>
                <w:sz w:val="18"/>
                <w:szCs w:val="18"/>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rPr>
              <w:t>$</w:t>
            </w:r>
          </w:p>
        </w:tc>
        <w:tc>
          <w:tcPr>
            <w:tcW w:w="63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We intend to use the net proceeds of the offering to repay a portion</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of the outstanding borrowings under our existing revolving credit facility. See</w:t>
            </w:r>
          </w:p>
        </w:tc>
      </w:tr>
      <w:tr>
        <w:trPr>
          <w:trHeight w:val="222"/>
        </w:trPr>
        <w:tc>
          <w:tcPr>
            <w:tcW w:w="4160" w:type="dxa"/>
            <w:vAlign w:val="bottom"/>
            <w:tcBorders>
              <w:left w:val="single" w:sz="8" w:color="auto"/>
            </w:tcBorders>
          </w:tcPr>
          <w:p>
            <w:pPr>
              <w:spacing w:after="0"/>
              <w:rPr>
                <w:sz w:val="19"/>
                <w:szCs w:val="19"/>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"Use of Proceeds."</w:t>
            </w:r>
          </w:p>
        </w:tc>
      </w:tr>
      <w:tr>
        <w:trPr>
          <w:trHeight w:val="426"/>
        </w:trPr>
        <w:tc>
          <w:tcPr>
            <w:tcW w:w="416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Risk Factors</w:t>
            </w: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You should carefully consider all of the information set forth in this</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prospectus supplement and the accompanying prospectus and the documents,</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including the information incorporated by reference, and, in particular, should</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evaluate the specific factors set forth in this prospectus supplement under</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"Risk Factors" for an explanation of certain risks you should consider before</w:t>
            </w:r>
          </w:p>
        </w:tc>
      </w:tr>
      <w:tr>
        <w:trPr>
          <w:trHeight w:val="222"/>
        </w:trPr>
        <w:tc>
          <w:tcPr>
            <w:tcW w:w="4160" w:type="dxa"/>
            <w:vAlign w:val="bottom"/>
            <w:tcBorders>
              <w:left w:val="single" w:sz="8" w:color="auto"/>
            </w:tcBorders>
          </w:tcPr>
          <w:p>
            <w:pPr>
              <w:spacing w:after="0"/>
              <w:rPr>
                <w:sz w:val="19"/>
                <w:szCs w:val="19"/>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investing in the notes.</w:t>
            </w:r>
          </w:p>
        </w:tc>
      </w:tr>
      <w:tr>
        <w:trPr>
          <w:trHeight w:val="426"/>
        </w:trPr>
        <w:tc>
          <w:tcPr>
            <w:tcW w:w="416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Form and Denomination</w:t>
            </w: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The notes will be issued in the form of one or more fully registered global</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securities, without coupons, in denominations of $2,000 in principal amount</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and integral multiples of $1,000 in excess thereof. These global notes will be</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deposited with the trustee as custodian for, and registered in the name of, a</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nominee of The Depository Trust Company ("DTC"). Except in the limited</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circumstances described under "Description of the Notes—Book-Entry, Form,</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Denomination and Delivery of Notes," notes in certificated form will not be</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issued or exchanged for interests in global securities. Investors may hold their</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interests in a global note directly through Euroclear Bank S.A./N.V., as</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operator of the Euroclear System ("Euroclear"), and Clearstream</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Banking, S.A. ("Clearstream"), if they are participants in such systems, or</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indirectly through organizations that are participants in such systems.</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Euroclear and Clearstream will hold interests in a global note on behalf of</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their participants through their respective depositaries, which in turn will hold</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such interests in the global note in customers' securities accounts in the</w:t>
            </w:r>
          </w:p>
        </w:tc>
      </w:tr>
      <w:tr>
        <w:trPr>
          <w:trHeight w:val="222"/>
        </w:trPr>
        <w:tc>
          <w:tcPr>
            <w:tcW w:w="4160" w:type="dxa"/>
            <w:vAlign w:val="bottom"/>
            <w:tcBorders>
              <w:left w:val="single" w:sz="8" w:color="auto"/>
            </w:tcBorders>
          </w:tcPr>
          <w:p>
            <w:pPr>
              <w:spacing w:after="0"/>
              <w:rPr>
                <w:sz w:val="19"/>
                <w:szCs w:val="19"/>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depositaries' names on the books of DTC.</w:t>
            </w:r>
          </w:p>
        </w:tc>
      </w:tr>
      <w:tr>
        <w:trPr>
          <w:trHeight w:val="432"/>
        </w:trPr>
        <w:tc>
          <w:tcPr>
            <w:tcW w:w="416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w w:val="96"/>
              </w:rPr>
              <w:t>Trustee, Registrar and Paying Agent</w:t>
            </w: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U.S. Bank National Association.</w:t>
            </w:r>
          </w:p>
        </w:tc>
      </w:tr>
      <w:tr>
        <w:trPr>
          <w:trHeight w:val="426"/>
        </w:trPr>
        <w:tc>
          <w:tcPr>
            <w:tcW w:w="416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Governing Law</w:t>
            </w: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The indenture and the notes will be governed by the laws of the State of New</w:t>
            </w:r>
          </w:p>
        </w:tc>
      </w:tr>
      <w:tr>
        <w:trPr>
          <w:trHeight w:val="222"/>
        </w:trPr>
        <w:tc>
          <w:tcPr>
            <w:tcW w:w="4160" w:type="dxa"/>
            <w:vAlign w:val="bottom"/>
            <w:tcBorders>
              <w:left w:val="single" w:sz="8" w:color="auto"/>
            </w:tcBorders>
          </w:tcPr>
          <w:p>
            <w:pPr>
              <w:spacing w:after="0"/>
              <w:rPr>
                <w:sz w:val="19"/>
                <w:szCs w:val="19"/>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rPr>
              <w:t>York.</w:t>
            </w:r>
          </w:p>
        </w:tc>
        <w:tc>
          <w:tcPr>
            <w:tcW w:w="6320" w:type="dxa"/>
            <w:vAlign w:val="bottom"/>
            <w:tcBorders>
              <w:right w:val="single" w:sz="8" w:color="auto"/>
            </w:tcBorders>
          </w:tcPr>
          <w:p>
            <w:pPr>
              <w:spacing w:after="0"/>
              <w:rPr>
                <w:sz w:val="19"/>
                <w:szCs w:val="19"/>
                <w:color w:val="auto"/>
              </w:rPr>
            </w:pPr>
          </w:p>
        </w:tc>
      </w:tr>
      <w:tr>
        <w:trPr>
          <w:trHeight w:val="426"/>
        </w:trPr>
        <w:tc>
          <w:tcPr>
            <w:tcW w:w="4160" w:type="dxa"/>
            <w:vAlign w:val="bottom"/>
            <w:tcBorders>
              <w:left w:val="single" w:sz="8" w:color="auto"/>
            </w:tcBorders>
          </w:tcPr>
          <w:p>
            <w:pPr>
              <w:ind w:left="1320"/>
              <w:spacing w:after="0"/>
              <w:rPr>
                <w:sz w:val="20"/>
                <w:szCs w:val="20"/>
                <w:color w:val="auto"/>
              </w:rPr>
            </w:pPr>
            <w:r>
              <w:rPr>
                <w:rFonts w:ascii="Arial" w:cs="Arial" w:eastAsia="Arial" w:hAnsi="Arial"/>
                <w:sz w:val="18"/>
                <w:szCs w:val="18"/>
                <w:color w:val="auto"/>
              </w:rPr>
              <w:t>Conflicts of Interest</w:t>
            </w: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Affiliates of certain underwriters will receive at least 5% of the net offering</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proceeds in connection with the repayment of a portion of the outstanding</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borrowings under our revolving credit facility. See "Use of Proceeds."</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Accordingly, this offering is made in compliance with the requirements of</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Rule 5121 of Financial Industry Regulatory Authority, Inc. ("FINRA").</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Because the notes offered hereby have an investment grade rating, the</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appointment of a qualified independent underwriter will not be necessary. The</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underwriters subject to FINRA Rule 5121 will not confirm sales of the</w:t>
            </w:r>
          </w:p>
        </w:tc>
      </w:tr>
      <w:tr>
        <w:trPr>
          <w:trHeight w:val="216"/>
        </w:trPr>
        <w:tc>
          <w:tcPr>
            <w:tcW w:w="416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securities to any account over which they exercise discretionary authority</w:t>
            </w:r>
          </w:p>
        </w:tc>
      </w:tr>
      <w:tr>
        <w:trPr>
          <w:trHeight w:val="222"/>
        </w:trPr>
        <w:tc>
          <w:tcPr>
            <w:tcW w:w="4160" w:type="dxa"/>
            <w:vAlign w:val="bottom"/>
            <w:tcBorders>
              <w:left w:val="single" w:sz="8" w:color="auto"/>
            </w:tcBorders>
          </w:tcPr>
          <w:p>
            <w:pPr>
              <w:spacing w:after="0"/>
              <w:rPr>
                <w:sz w:val="19"/>
                <w:szCs w:val="19"/>
                <w:color w:val="auto"/>
              </w:rPr>
            </w:pPr>
          </w:p>
        </w:tc>
        <w:tc>
          <w:tcPr>
            <w:tcW w:w="708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without the prior written approval of the customer.</w:t>
            </w:r>
          </w:p>
        </w:tc>
      </w:tr>
      <w:tr>
        <w:trPr>
          <w:trHeight w:val="228"/>
        </w:trPr>
        <w:tc>
          <w:tcPr>
            <w:tcW w:w="4160" w:type="dxa"/>
            <w:vAlign w:val="bottom"/>
            <w:tcBorders>
              <w:left w:val="single" w:sz="8" w:color="auto"/>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320" w:type="dxa"/>
            <w:vAlign w:val="bottom"/>
            <w:tcBorders>
              <w:bottom w:val="single" w:sz="8" w:color="auto"/>
              <w:right w:val="single" w:sz="8" w:color="auto"/>
            </w:tcBorders>
          </w:tcPr>
          <w:p>
            <w:pPr>
              <w:spacing w:after="0"/>
              <w:rPr>
                <w:sz w:val="19"/>
                <w:szCs w:val="19"/>
                <w:color w:val="auto"/>
              </w:rPr>
            </w:pPr>
          </w:p>
        </w:tc>
      </w:tr>
      <w:tr>
        <w:trPr>
          <w:trHeight w:val="427"/>
        </w:trPr>
        <w:tc>
          <w:tcPr>
            <w:tcW w:w="4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20" w:type="dxa"/>
            <w:vAlign w:val="bottom"/>
          </w:tcPr>
          <w:p>
            <w:pPr>
              <w:ind w:left="580"/>
              <w:spacing w:after="0"/>
              <w:rPr>
                <w:sz w:val="20"/>
                <w:szCs w:val="20"/>
                <w:color w:val="auto"/>
              </w:rPr>
            </w:pPr>
            <w:r>
              <w:rPr>
                <w:rFonts w:ascii="Arial" w:cs="Arial" w:eastAsia="Arial" w:hAnsi="Arial"/>
                <w:sz w:val="18"/>
                <w:szCs w:val="18"/>
                <w:color w:val="auto"/>
              </w:rPr>
              <w:t>S-6</w:t>
            </w:r>
          </w:p>
        </w:tc>
      </w:tr>
      <w:tr>
        <w:trPr>
          <w:trHeight w:val="228"/>
        </w:trPr>
        <w:tc>
          <w:tcPr>
            <w:tcW w:w="4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523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6130" cy="523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right="240" w:firstLine="351"/>
        <w:spacing w:after="0" w:line="287" w:lineRule="auto"/>
        <w:rPr>
          <w:sz w:val="20"/>
          <w:szCs w:val="20"/>
          <w:color w:val="auto"/>
        </w:rPr>
      </w:pPr>
      <w:r>
        <w:rPr>
          <w:rFonts w:ascii="Arial" w:cs="Arial" w:eastAsia="Arial" w:hAnsi="Arial"/>
          <w:sz w:val="16"/>
          <w:szCs w:val="16"/>
          <w:color w:val="auto"/>
        </w:rPr>
        <w:t>Our summary consolidated financial information presented below as of and for the three fiscal years ended August 29, 2019 has been derived from our audited consolidated financial statements. The summary consolidated statement of operations data below for the six-month periods ended February 27, 2020 and February 28, 2019, and the summary consolidated balance sheet data as of February 27, 2020, have been derived from our unaudited consolidated financial statements that are incorporated by reference herein. In the opinion of management, such unaudited interim financial data contains all adjustments necessary for the fair statement of our financial position and results of operations as of and for such periods. Our historical results, including our operating results for the six months ended February 27, 2020, are not necessarily indicative of results that may be expected for future periods or for the full year. Our summary consolidated financial information set forth below should be read in conjunction with our consolidated financial statements, including the notes thereto, and "Management's Discussion and Analysis of Financial Condition and Results of Operations," both of which can be found in our Annual Report on Form 10-K for the fiscal year ended August 29, 2019 and in our Quarterly Report on Form 10-Q for the fiscal quarter ended February 27, 2020, which are each incorporated by reference herein.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Fiscal Year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6"/>
          </w:tcPr>
          <w:p>
            <w:pPr>
              <w:ind w:left="260"/>
              <w:spacing w:after="0"/>
              <w:rPr>
                <w:sz w:val="20"/>
                <w:szCs w:val="20"/>
                <w:color w:val="auto"/>
              </w:rPr>
            </w:pPr>
            <w:r>
              <w:rPr>
                <w:rFonts w:ascii="Arial" w:cs="Arial" w:eastAsia="Arial" w:hAnsi="Arial"/>
                <w:sz w:val="13"/>
                <w:szCs w:val="13"/>
                <w:b w:val="1"/>
                <w:bCs w:val="1"/>
                <w:color w:val="auto"/>
              </w:rPr>
              <w:t>Six Months Ended</w:t>
            </w:r>
          </w:p>
        </w:tc>
      </w:tr>
      <w:tr>
        <w:trPr>
          <w:trHeight w:val="129"/>
        </w:trPr>
        <w:tc>
          <w:tcPr>
            <w:tcW w:w="13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173"/>
              <w:spacing w:after="0" w:line="129" w:lineRule="exact"/>
              <w:rPr>
                <w:sz w:val="20"/>
                <w:szCs w:val="20"/>
                <w:color w:val="auto"/>
              </w:rPr>
            </w:pPr>
            <w:r>
              <w:rPr>
                <w:rFonts w:ascii="Arial" w:cs="Arial" w:eastAsia="Arial" w:hAnsi="Arial"/>
                <w:sz w:val="13"/>
                <w:szCs w:val="13"/>
                <w:b w:val="1"/>
                <w:bCs w:val="1"/>
                <w:color w:val="auto"/>
              </w:rPr>
              <w:t>August 29,</w:t>
            </w:r>
          </w:p>
        </w:tc>
        <w:tc>
          <w:tcPr>
            <w:tcW w:w="94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3"/>
              </w:rPr>
              <w:t>August 30,</w:t>
            </w: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9"/>
              </w:rPr>
              <w:t>August 31,</w:t>
            </w:r>
          </w:p>
        </w:tc>
        <w:tc>
          <w:tcPr>
            <w:tcW w:w="160" w:type="dxa"/>
            <w:vAlign w:val="bottom"/>
          </w:tcPr>
          <w:p>
            <w:pPr>
              <w:spacing w:after="0"/>
              <w:rPr>
                <w:sz w:val="11"/>
                <w:szCs w:val="11"/>
                <w:color w:val="auto"/>
              </w:rPr>
            </w:pPr>
          </w:p>
        </w:tc>
        <w:tc>
          <w:tcPr>
            <w:tcW w:w="108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3"/>
                <w:szCs w:val="13"/>
                <w:b w:val="1"/>
                <w:bCs w:val="1"/>
                <w:color w:val="auto"/>
              </w:rPr>
              <w:t>February 27,</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February 28,</w:t>
            </w:r>
          </w:p>
        </w:tc>
        <w:tc>
          <w:tcPr>
            <w:tcW w:w="1440" w:type="dxa"/>
            <w:vAlign w:val="bottom"/>
            <w:gridSpan w:val="2"/>
          </w:tcPr>
          <w:p>
            <w:pPr>
              <w:spacing w:after="0"/>
              <w:rPr>
                <w:sz w:val="11"/>
                <w:szCs w:val="11"/>
                <w:color w:val="auto"/>
              </w:rPr>
            </w:pPr>
          </w:p>
        </w:tc>
      </w:tr>
      <w:tr>
        <w:trPr>
          <w:trHeight w:val="161"/>
        </w:trPr>
        <w:tc>
          <w:tcPr>
            <w:tcW w:w="13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Consolidated Statement of Operations Data:</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23,406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30,391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20,322</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9,941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13,748</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12,704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6,269</w:t>
            </w:r>
          </w:p>
        </w:tc>
        <w:tc>
          <w:tcPr>
            <w:tcW w:w="1280" w:type="dxa"/>
            <w:vAlign w:val="bottom"/>
          </w:tcPr>
          <w:p>
            <w:pPr>
              <w:spacing w:after="0"/>
              <w:rPr>
                <w:sz w:val="18"/>
                <w:szCs w:val="18"/>
                <w:color w:val="auto"/>
              </w:rPr>
            </w:pPr>
          </w:p>
        </w:tc>
      </w:tr>
      <w:tr>
        <w:trPr>
          <w:trHeight w:val="210"/>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2,441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28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7,376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5,716</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18"/>
                <w:szCs w:val="18"/>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28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5,677</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1280" w:type="dxa"/>
            <w:vAlign w:val="bottom"/>
          </w:tcPr>
          <w:p>
            <w:pPr>
              <w:spacing w:after="0"/>
              <w:rPr>
                <w:sz w:val="18"/>
                <w:szCs w:val="18"/>
                <w:color w:val="auto"/>
              </w:rPr>
            </w:pPr>
          </w:p>
        </w:tc>
      </w:tr>
      <w:tr>
        <w:trPr>
          <w:trHeight w:val="208"/>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Equity in net income (loss) of equity method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investees</w:t>
            </w:r>
          </w:p>
        </w:tc>
        <w:tc>
          <w:tcPr>
            <w:tcW w:w="180" w:type="dxa"/>
            <w:vAlign w:val="bottom"/>
          </w:tcPr>
          <w:p>
            <w:pPr>
              <w:spacing w:after="0"/>
              <w:rPr>
                <w:sz w:val="19"/>
                <w:szCs w:val="19"/>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8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6,358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4,921</w:t>
            </w:r>
          </w:p>
        </w:tc>
        <w:tc>
          <w:tcPr>
            <w:tcW w:w="12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highlight w:val="white"/>
                <w:w w:val="93"/>
              </w:rPr>
              <w:t>Net income attributable to noncontrolling interests</w:t>
            </w:r>
          </w:p>
        </w:tc>
        <w:tc>
          <w:tcPr>
            <w:tcW w:w="180" w:type="dxa"/>
            <w:vAlign w:val="bottom"/>
          </w:tcPr>
          <w:p>
            <w:pPr>
              <w:spacing w:after="0"/>
              <w:rPr>
                <w:sz w:val="18"/>
                <w:szCs w:val="18"/>
                <w:color w:val="auto"/>
              </w:rPr>
            </w:pPr>
          </w:p>
        </w:tc>
        <w:tc>
          <w:tcPr>
            <w:tcW w:w="760" w:type="dxa"/>
            <w:vAlign w:val="bottom"/>
            <w:gridSpan w:val="2"/>
          </w:tcPr>
          <w:p>
            <w:pPr>
              <w:jc w:val="right"/>
              <w:ind w:right="33"/>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8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Micron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6,313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4,912</w:t>
            </w:r>
          </w:p>
        </w:tc>
        <w:tc>
          <w:tcPr>
            <w:tcW w:w="128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7"/>
        </w:trPr>
        <w:tc>
          <w:tcPr>
            <w:tcW w:w="13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427"/>
        </w:trPr>
        <w:tc>
          <w:tcPr>
            <w:tcW w:w="1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53"/>
              <w:spacing w:after="0"/>
              <w:rPr>
                <w:sz w:val="20"/>
                <w:szCs w:val="20"/>
                <w:color w:val="auto"/>
              </w:rPr>
            </w:pPr>
            <w:r>
              <w:rPr>
                <w:rFonts w:ascii="Arial" w:cs="Arial" w:eastAsia="Arial" w:hAnsi="Arial"/>
                <w:sz w:val="18"/>
                <w:szCs w:val="18"/>
                <w:color w:val="auto"/>
              </w:rPr>
              <w:t>S-7</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8"/>
        </w:trPr>
        <w:tc>
          <w:tcPr>
            <w:tcW w:w="132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083"/>
        </w:trPr>
        <w:tc>
          <w:tcPr>
            <w:tcW w:w="1340" w:type="dxa"/>
            <w:vAlign w:val="bottom"/>
            <w:tcBorders>
              <w:top w:val="single" w:sz="8" w:color="auto"/>
              <w:left w:val="single" w:sz="8" w:color="auto"/>
            </w:tcBorders>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6"/>
              </w:rPr>
              <w:t>As of</w:t>
            </w:r>
          </w:p>
        </w:tc>
        <w:tc>
          <w:tcPr>
            <w:tcW w:w="5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spacing w:after="0"/>
              <w:rPr>
                <w:sz w:val="24"/>
                <w:szCs w:val="24"/>
                <w:color w:val="auto"/>
              </w:rPr>
            </w:pPr>
          </w:p>
        </w:tc>
      </w:tr>
      <w:tr>
        <w:trPr>
          <w:trHeight w:val="129"/>
        </w:trPr>
        <w:tc>
          <w:tcPr>
            <w:tcW w:w="1340" w:type="dxa"/>
            <w:vAlign w:val="bottom"/>
            <w:tcBorders>
              <w:left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August 29,</w:t>
            </w:r>
          </w:p>
        </w:tc>
        <w:tc>
          <w:tcPr>
            <w:tcW w:w="1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9"/>
              </w:rPr>
              <w:t>August 30,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9"/>
              </w:rPr>
              <w:t>August 31,</w:t>
            </w:r>
          </w:p>
        </w:tc>
        <w:tc>
          <w:tcPr>
            <w:tcW w:w="16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February 27,</w:t>
            </w:r>
          </w:p>
        </w:tc>
        <w:tc>
          <w:tcPr>
            <w:tcW w:w="1480" w:type="dxa"/>
            <w:vAlign w:val="bottom"/>
            <w:tcBorders>
              <w:right w:val="single" w:sz="8" w:color="auto"/>
            </w:tcBorders>
            <w:gridSpan w:val="2"/>
          </w:tcPr>
          <w:p>
            <w:pPr>
              <w:spacing w:after="0"/>
              <w:rPr>
                <w:sz w:val="11"/>
                <w:szCs w:val="11"/>
                <w:color w:val="auto"/>
              </w:rPr>
            </w:pPr>
          </w:p>
        </w:tc>
      </w:tr>
      <w:tr>
        <w:trPr>
          <w:trHeight w:val="161"/>
        </w:trPr>
        <w:tc>
          <w:tcPr>
            <w:tcW w:w="5140" w:type="dxa"/>
            <w:vAlign w:val="bottom"/>
            <w:tcBorders>
              <w:left w:val="single" w:sz="8" w:color="auto"/>
            </w:tcBorders>
            <w:gridSpan w:val="2"/>
          </w:tcPr>
          <w:p>
            <w:pPr>
              <w:ind w:left="1320"/>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r>
      <w:tr>
        <w:trPr>
          <w:trHeight w:val="210"/>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5"/>
              </w:rPr>
              <w:t>Cash and equivalents and short-term investments</w:t>
            </w:r>
          </w:p>
        </w:tc>
        <w:tc>
          <w:tcPr>
            <w:tcW w:w="110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7,955</w:t>
            </w:r>
          </w:p>
        </w:tc>
        <w:tc>
          <w:tcPr>
            <w:tcW w:w="32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6,802</w:t>
            </w:r>
          </w:p>
        </w:tc>
        <w:tc>
          <w:tcPr>
            <w:tcW w:w="360" w:type="dxa"/>
            <w:vAlign w:val="bottom"/>
            <w:gridSpan w:val="3"/>
          </w:tcPr>
          <w:p>
            <w:pPr>
              <w:jc w:val="right"/>
              <w:ind w:right="3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5,428</w:t>
            </w:r>
          </w:p>
        </w:tc>
        <w:tc>
          <w:tcPr>
            <w:tcW w:w="36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7,481</w:t>
            </w:r>
          </w:p>
        </w:tc>
        <w:tc>
          <w:tcPr>
            <w:tcW w:w="1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49,648</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Current debt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Micron shareholders' equity</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37,023</w:t>
            </w:r>
          </w:p>
        </w:tc>
        <w:tc>
          <w:tcPr>
            <w:tcW w:w="1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spacing w:after="0"/>
              <w:rPr>
                <w:sz w:val="18"/>
                <w:szCs w:val="18"/>
                <w:color w:val="auto"/>
              </w:rPr>
            </w:pPr>
          </w:p>
        </w:tc>
      </w:tr>
      <w:tr>
        <w:trPr>
          <w:trHeight w:val="226"/>
        </w:trPr>
        <w:tc>
          <w:tcPr>
            <w:tcW w:w="1340" w:type="dxa"/>
            <w:vAlign w:val="bottom"/>
            <w:tcBorders>
              <w:left w:val="single" w:sz="8" w:color="auto"/>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00" w:type="dxa"/>
            <w:vAlign w:val="bottom"/>
            <w:gridSpan w:val="2"/>
          </w:tcPr>
          <w:p>
            <w:pPr>
              <w:jc w:val="right"/>
              <w:ind w:right="433"/>
              <w:spacing w:after="0"/>
              <w:rPr>
                <w:sz w:val="20"/>
                <w:szCs w:val="20"/>
                <w:color w:val="auto"/>
              </w:rPr>
            </w:pPr>
            <w:r>
              <w:rPr>
                <w:rFonts w:ascii="Arial" w:cs="Arial" w:eastAsia="Arial" w:hAnsi="Arial"/>
                <w:sz w:val="18"/>
                <w:szCs w:val="18"/>
                <w:color w:val="auto"/>
              </w:rPr>
              <w:t>S-8</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-1681480</wp:posOffset>
            </wp:positionV>
            <wp:extent cx="54603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460365" cy="137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-1407160</wp:posOffset>
            </wp:positionV>
            <wp:extent cx="546036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460365" cy="137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-1132840</wp:posOffset>
            </wp:positionV>
            <wp:extent cx="546036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460365" cy="137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-858520</wp:posOffset>
            </wp:positionV>
            <wp:extent cx="546036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460365" cy="13716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80" w:firstLine="351"/>
        <w:spacing w:after="0" w:line="298"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In considering whether to purchase the notes, you should carefully consider all the information contained or incorporated by reference in this prospectus supplement and the accompanying prospectus. In particular, you should carefully consider the risk factors in our Quarterly Report on Form 10-Q for the </w:t>
      </w:r>
      <w:hyperlink r:id="rId18">
        <w:r>
          <w:rPr>
            <w:rFonts w:ascii="Arial" w:cs="Arial" w:eastAsia="Arial" w:hAnsi="Arial"/>
            <w:sz w:val="16"/>
            <w:szCs w:val="16"/>
            <w:i w:val="1"/>
            <w:iCs w:val="1"/>
            <w:u w:val="single" w:color="auto"/>
            <w:color w:val="0000EE"/>
          </w:rPr>
          <w:t>quarter ended February 27, 2020</w:t>
        </w:r>
        <w:r>
          <w:rPr>
            <w:rFonts w:ascii="Arial" w:cs="Arial" w:eastAsia="Arial" w:hAnsi="Arial"/>
            <w:sz w:val="16"/>
            <w:szCs w:val="16"/>
            <w:i w:val="1"/>
            <w:iCs w:val="1"/>
            <w:color w:val="0000EE"/>
          </w:rPr>
          <w:t xml:space="preserve"> </w:t>
        </w:r>
      </w:hyperlink>
      <w:r>
        <w:rPr>
          <w:rFonts w:ascii="Arial" w:cs="Arial" w:eastAsia="Arial" w:hAnsi="Arial"/>
          <w:sz w:val="16"/>
          <w:szCs w:val="16"/>
          <w:i w:val="1"/>
          <w:iCs w:val="1"/>
          <w:color w:val="000000"/>
        </w:rPr>
        <w:t>as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well as the risk factors described below, which are not exhaustive. In this section, references to "Micron," "us," "we," or</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"our" refer only to Micron Technology, Inc. and not to any of its subsidiaries.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We hereby incorporate by reference the risk factors in Item 1A of our Quarterly Report on Form 10-Q for the fiscal quarter ended February 27, 2020.</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COVID-19</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effects of the COVID-19 outbreak could adversely affect our business, results of operations, and financial condition.</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effects of the public health crisis caused by the COVID-19 outbreak and the measures being taken to limit COVID-19's spread are uncertain and difficult to predict, but may include:</w:t>
      </w:r>
    </w:p>
    <w:p>
      <w:pPr>
        <w:spacing w:after="0" w:line="199" w:lineRule="exact"/>
        <w:rPr>
          <w:sz w:val="20"/>
          <w:szCs w:val="20"/>
          <w:color w:val="auto"/>
        </w:rPr>
      </w:pPr>
    </w:p>
    <w:p>
      <w:pPr>
        <w:ind w:left="1080" w:right="4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decrease in short-term and/or long-term demand and/or pricing for our products, and a global economic recession or depression that could further reduce demand and/or pricing for our products, resulting from actions taken by governments, businesses, and/or the general public in an effort to limit exposure to and spreading of COVID-19, such as travel restrictions, quarantines, and business shutdowns or slowdowns;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80" w:hanging="532"/>
        <w:spacing w:after="0" w:line="291"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reductions in production levels, R&amp;D activities, product development, technology transitions, yield enhancement activities, and qualification activities with our customers resulting from our efforts to mitigate the impact of COVID-19 through social-distancing measures we have enacted at our locations around the world in an effort to protect our employees' and contractors' health and well-being, including working from home, limiting the number of meeting attendees, reducing the number of people in our sites at any one time, quarantines of team members, contractors or vendors who are at risk of contracting, or have contracted, COVID-19, and suspending team member and vendor travel ("Social Distancing Measures");</w:t>
      </w:r>
    </w:p>
    <w:p>
      <w:pPr>
        <w:spacing w:after="0" w:line="187" w:lineRule="exact"/>
        <w:rPr>
          <w:rFonts w:ascii="Arial" w:cs="Arial" w:eastAsia="Arial" w:hAnsi="Arial"/>
          <w:sz w:val="16"/>
          <w:szCs w:val="16"/>
          <w:color w:val="auto"/>
        </w:rPr>
      </w:pPr>
    </w:p>
    <w:p>
      <w:pPr>
        <w:ind w:left="1620" w:right="10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Social Distancing Measures, enhanced cleaning measures and the increased use of personal protective equipment at our sites;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increased costs of transportation, raw materials or other inputs necessary for the operation of our business;</w:t>
      </w:r>
    </w:p>
    <w:p>
      <w:pPr>
        <w:spacing w:after="0" w:line="238" w:lineRule="exact"/>
        <w:rPr>
          <w:rFonts w:ascii="Arial" w:cs="Arial" w:eastAsia="Arial" w:hAnsi="Arial"/>
          <w:sz w:val="18"/>
          <w:szCs w:val="18"/>
          <w:color w:val="auto"/>
        </w:rPr>
      </w:pPr>
    </w:p>
    <w:p>
      <w:pPr>
        <w:ind w:left="1620" w:right="300" w:hanging="532"/>
        <w:spacing w:after="0" w:line="331"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reductions in or cessation of operations at any site or in any jurisdiction resulting from government restrictions on movement and/or business operations or our failure to prevent and/or adequately mitigate spread of COVID-19 at one or more of our sites; and</w:t>
      </w:r>
    </w:p>
    <w:p>
      <w:pPr>
        <w:spacing w:after="0" w:line="154" w:lineRule="exact"/>
        <w:rPr>
          <w:rFonts w:ascii="Arial" w:cs="Arial" w:eastAsia="Arial" w:hAnsi="Arial"/>
          <w:sz w:val="16"/>
          <w:szCs w:val="16"/>
          <w:color w:val="auto"/>
        </w:rPr>
      </w:pPr>
    </w:p>
    <w:p>
      <w:pPr>
        <w:ind w:left="1620" w:hanging="532"/>
        <w:spacing w:after="0" w:line="259"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inability to continue or resume construction projects due to delays in obtaining materials, equipment, labor, engineering services, government permits or any other essential aspect of projects, which could impact our ability to introduce new technologies, reduce costs or meet customer demand;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and result in a higher rate of losses on our accounts receivables due to credit defaults; and</w:t>
      </w:r>
    </w:p>
    <w:p>
      <w:pPr>
        <w:spacing w:after="0" w:line="220" w:lineRule="exact"/>
        <w:rPr>
          <w:rFonts w:ascii="Arial" w:cs="Arial" w:eastAsia="Arial" w:hAnsi="Arial"/>
          <w:sz w:val="18"/>
          <w:szCs w:val="18"/>
          <w:color w:val="auto"/>
        </w:rPr>
      </w:pPr>
    </w:p>
    <w:p>
      <w:pPr>
        <w:ind w:left="1080" w:right="560" w:hanging="532"/>
        <w:spacing w:after="0" w:line="33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Disruptions to our supply chain in connection with the sourcing and transportation of materials, equipment and engineering support, and services from or in geographic areas that have been impacted by COVID-19 and by efforts to contain the spread of COVID-19.</w:t>
      </w:r>
    </w:p>
    <w:p>
      <w:pPr>
        <w:spacing w:after="0" w:line="14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resumption of normal business operations after such interruptions may be delayed or constrained by lingering effects of COVID-19 on our team members, contractors, suppliers, third-party service providers, and/or customers.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legal exposure, or financial condition. A sustained, prolonged or recurring outbreak could exacerbate the adverse impact of such measures.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97" w:lineRule="exact"/>
        <w:rPr>
          <w:sz w:val="20"/>
          <w:szCs w:val="20"/>
          <w:color w:val="auto"/>
        </w:rPr>
      </w:pPr>
    </w:p>
    <w:p>
      <w:pPr>
        <w:ind w:right="140" w:firstLine="351"/>
        <w:spacing w:after="0" w:line="314" w:lineRule="auto"/>
        <w:rPr>
          <w:sz w:val="20"/>
          <w:szCs w:val="20"/>
          <w:color w:val="auto"/>
        </w:rPr>
      </w:pPr>
      <w:r>
        <w:rPr>
          <w:rFonts w:ascii="Arial" w:cs="Arial" w:eastAsia="Arial" w:hAnsi="Arial"/>
          <w:sz w:val="15"/>
          <w:szCs w:val="15"/>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5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Despite current indebtedness levels, we are able to incur substantially more debt. This could further exacerbate the risks described herein.</w:t>
      </w:r>
    </w:p>
    <w:p>
      <w:pPr>
        <w:spacing w:after="0" w:line="2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and our subsidiaries are able to incur substantial additional indebtedness in the future, including secured indebtedness, and the terms of the indenture governing the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with any insolvency, liquidation, reorganization, dissolution or other winding up of us. These payment priorities may have the effect of reducing the amount of proceeds paid to you. If we incur any additional indebtedness that ranks pari passu with the notes, the holders of that debt will be entitled to share ratably with you in 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pacing w:after="0" w:line="166"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b w:val="1"/>
          <w:bCs w:val="1"/>
          <w:i w:val="1"/>
          <w:iCs w:val="1"/>
          <w:color w:val="auto"/>
        </w:rPr>
        <w:t>The indenture governing the notes will contain negative covenants that may have a limited effect but these covenants may still restrict the operation of our business.</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indenture governing the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Notes—Certain Covenants." In light of these exceptions, holders of the notes may be structurally or contractually subordinated to new lenders or other creditors.</w:t>
      </w:r>
    </w:p>
    <w:p>
      <w:pPr>
        <w:spacing w:after="0" w:line="173"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Despite the limited effect of the covenants in the indenture governing the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the notes does not have cross-acceleration or cross-default provisions.</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notes are not required to be guaranteed by any of our subsidiaries. Accordingly, claims of holders of the notes generally will be structurally subordinated to the claims of creditors of our subsidiaries, including trade creditors. The indenture governing the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available to us may not be sufficient to pay amounts due on the notes. As of February 27, 2020,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$6.0 billion, all of which will be structurally senior to the notes with respect to claims on the assets and cash flows of our subsidiaries.</w:t>
      </w:r>
    </w:p>
    <w:p>
      <w:pPr>
        <w:spacing w:after="0" w:line="166"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86"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the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69"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60" w:lineRule="exact"/>
        <w:rPr>
          <w:sz w:val="20"/>
          <w:szCs w:val="20"/>
          <w:color w:val="auto"/>
        </w:rPr>
      </w:pPr>
    </w:p>
    <w:p>
      <w:pPr>
        <w:ind w:right="380" w:firstLine="395"/>
        <w:spacing w:after="0" w:line="268"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an active trading market may not develop for the notes.</w:t>
      </w:r>
    </w:p>
    <w:p>
      <w:pPr>
        <w:spacing w:after="0" w:line="186"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 of any trading market for the notes. The liquidity of any market for the notes will depend on a number of factors, including: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66" w:lineRule="exact"/>
        <w:rPr>
          <w:sz w:val="20"/>
          <w:szCs w:val="20"/>
          <w:color w:val="auto"/>
        </w:rPr>
      </w:pPr>
    </w:p>
    <w:p>
      <w:pPr>
        <w:ind w:right="240" w:firstLine="395"/>
        <w:spacing w:after="0" w:line="268"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the notes, which would violate the terms of such indenture.</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Upon the occurrence of a Change of Control Triggering Event (as defined in the indenture governing the notes), holders of the notes will have the right to require us to purchase such notes at a price equal to 101% of the principal amount, plus accrued and unpaid interest, if any, to but excluding the date of purchase as described in "Description of the Notes—Repurchase of Notes upon a Change of Control Triggering Event." The indentures governing our existing convertible senior notes and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as required under the indenture would result in a default under such indenture, which could have material adverse consequences for us and the holders of the notes. See "Description of the Notes—Repurchase of Notes upon a Change of Control Triggering Event."</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225"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Upon the occurrence of a Change of Control Triggering Event, you will have the right to require us to purchase the notes as provided in the indenture governing the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that the net proceeds of the offering, after deducting underwriter discount and other estimated offering expenses, will be approximately</w:t>
      </w:r>
    </w:p>
    <w:p>
      <w:pPr>
        <w:spacing w:after="0" w:line="38" w:lineRule="exact"/>
        <w:rPr>
          <w:sz w:val="20"/>
          <w:szCs w:val="20"/>
          <w:color w:val="auto"/>
        </w:rPr>
      </w:pPr>
    </w:p>
    <w:p>
      <w:pPr>
        <w:ind w:left="620" w:hanging="61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1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this offering to repay a portion of the outstanding borrowings under our existing revolving credit facility. Amounts borrowed under the revolving credit facility bear interest at a rate equal to LIBOR plus 1.25% based on our current corporate credit rating and leverage ratio, which interest rate as of April 20, 2020 was 2.18% per annum. Borrowings under our revolving credit facility mature on July 3, 2023 and may be repaid at any time without penalty and may be reborrowed prior to maturity. The portion of the outstanding amount under our existing revolving credit facility that we intend to repay from the net proceeds of this offering was borrowed as a precautionary measure in order to increase our cash position and preserve financial flexibility in light of current uncertainty in the global markets resulting from COVID-19.</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a summary of our consolidated cash, cash equivalents, short-term investments and long-term marketable investments and capitalization as of February 27, 2020:</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hanging="532"/>
        <w:spacing w:after="0" w:line="303"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 an as adjusted basis to give effect to (i) the borrowing of $2.5 billion in aggregate principal amount under our revolving credit facility on March 13, 2020 as if such borrowing had occurred on February 27, 2020; (ii) the issuance of the notes offered by this prospectus supplement as if the offering had occurred on February 27, 2020; and (iii) the application of the net proceeds therefrom as described in "Use of Proceeds" to</w:t>
      </w:r>
    </w:p>
    <w:p>
      <w:pPr>
        <w:spacing w:after="0" w:line="1"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repay $</w:t>
      </w:r>
      <w:r>
        <w:rPr>
          <w:rFonts w:ascii="Arial" w:cs="Arial" w:eastAsia="Arial" w:hAnsi="Arial"/>
          <w:sz w:val="16"/>
          <w:szCs w:val="16"/>
          <w:color w:val="auto"/>
        </w:rPr>
        <w:t>in aggregate principal amount of the outstanding borrowings under our existing revolving credit facility.</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table should be read in conjunction with our consolidated financial statements incorporated by reference in this prospectus supplement.</w:t>
      </w:r>
    </w:p>
    <w:p>
      <w:pPr>
        <w:spacing w:after="0" w:line="29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7"/>
              </w:rPr>
              <w:t>As of February 27, 2020</w:t>
            </w:r>
          </w:p>
        </w:tc>
      </w:tr>
      <w:tr>
        <w:trPr>
          <w:trHeight w:val="142"/>
        </w:trPr>
        <w:tc>
          <w:tcPr>
            <w:tcW w:w="2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3"/>
                <w:szCs w:val="13"/>
                <w:b w:val="1"/>
                <w:bCs w:val="1"/>
                <w:color w:val="auto"/>
              </w:rPr>
              <w:t>Actual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As Adjusted</w:t>
            </w:r>
          </w:p>
        </w:tc>
        <w:tc>
          <w:tcPr>
            <w:tcW w:w="160" w:type="dxa"/>
            <w:vAlign w:val="bottom"/>
          </w:tcPr>
          <w:p>
            <w:pPr>
              <w:spacing w:after="0"/>
              <w:rPr>
                <w:sz w:val="12"/>
                <w:szCs w:val="12"/>
                <w:color w:val="auto"/>
              </w:rPr>
            </w:pPr>
          </w:p>
        </w:tc>
      </w:tr>
      <w:tr>
        <w:trPr>
          <w:trHeight w:val="142"/>
        </w:trPr>
        <w:tc>
          <w:tcPr>
            <w:tcW w:w="2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(dollars</w:t>
            </w:r>
          </w:p>
        </w:tc>
        <w:tc>
          <w:tcPr>
            <w:tcW w:w="1040" w:type="dxa"/>
            <w:vAlign w:val="bottom"/>
            <w:gridSpan w:val="3"/>
          </w:tcPr>
          <w:p>
            <w:pPr>
              <w:jc w:val="right"/>
              <w:ind w:right="212"/>
              <w:spacing w:after="0" w:line="142" w:lineRule="exact"/>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2"/>
                <w:szCs w:val="12"/>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7,118</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marketable investments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586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w:t>
            </w:r>
          </w:p>
        </w:tc>
      </w:tr>
      <w:tr>
        <w:trPr>
          <w:trHeight w:val="209"/>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Cash and equivalents, short-term investments and long-term marketable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8,067</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debt: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Finance lease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153</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Micron Memory Japan, G.K. creditor payments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Term Loan A Credit Facility</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2.125% Convertible Senior Notes due 2033(1)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r>
      <w:tr>
        <w:trPr>
          <w:trHeight w:val="210"/>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Total current debt and finance lease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 and finance lease obligations, excluding current portion: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080" w:type="dxa"/>
            <w:vAlign w:val="bottom"/>
            <w:gridSpan w:val="2"/>
          </w:tcPr>
          <w:p>
            <w:pPr>
              <w:ind w:left="740"/>
              <w:spacing w:after="0"/>
              <w:rPr>
                <w:sz w:val="20"/>
                <w:szCs w:val="20"/>
                <w:color w:val="auto"/>
              </w:rPr>
            </w:pPr>
            <w:r>
              <w:rPr>
                <w:rFonts w:ascii="Arial" w:cs="Arial" w:eastAsia="Arial" w:hAnsi="Arial"/>
                <w:sz w:val="18"/>
                <w:szCs w:val="18"/>
                <w:color w:val="auto"/>
              </w:rPr>
              <w:t>% senior notes due 20  offered hereby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Term Loan A Credit Facility</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1,186</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1,186</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4.640% senior notes due 2024</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4.975% senior notes due 2026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4.185% senior notes due 2027</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895</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895</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5.327% senior notes due 2029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w:t>
            </w:r>
          </w:p>
        </w:tc>
      </w:tr>
      <w:tr>
        <w:trPr>
          <w:trHeight w:val="216"/>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4.663% senior notes due 2030</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845</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845</w:t>
            </w:r>
          </w:p>
        </w:tc>
      </w:tr>
      <w:tr>
        <w:trPr>
          <w:trHeight w:val="21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3.125% convertible senior notes due 2032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r>
      <w:tr>
        <w:trPr>
          <w:trHeight w:val="210"/>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Total long-term debt and finance lease obligations, excluding current portion</w:t>
            </w: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Total Micron shareholders' equity</w:t>
            </w:r>
          </w:p>
        </w:tc>
        <w:tc>
          <w:tcPr>
            <w:tcW w:w="14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8"/>
                <w:szCs w:val="18"/>
                <w:color w:val="auto"/>
              </w:rPr>
              <w:t>37,023</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37,023</w:t>
            </w:r>
          </w:p>
        </w:tc>
      </w:tr>
      <w:tr>
        <w:trPr>
          <w:trHeight w:val="20"/>
        </w:trPr>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42,309</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4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60" w:hanging="549"/>
        <w:spacing w:after="0" w:line="259"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27, 2020, we provided the holders of our 2.125% convertible senior notes due 2033 with written notice that we will redeem the remaining aggregate principal balance of such notes on May 5, 2020. The redemption price will equal the $15 million principal amount of the convertible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54" w:lineRule="auto"/>
        <w:rPr>
          <w:sz w:val="20"/>
          <w:szCs w:val="20"/>
          <w:color w:val="auto"/>
        </w:rPr>
      </w:pPr>
      <w:r>
        <w:rPr>
          <w:rFonts w:ascii="Arial" w:cs="Arial" w:eastAsia="Arial" w:hAnsi="Arial"/>
          <w:sz w:val="18"/>
          <w:szCs w:val="18"/>
          <w:color w:val="auto"/>
        </w:rPr>
        <w:t>notes, plus accrued and unpaid interest. The holders of such convertible notes may elect to convert their notes any time before the close of business on May 4, 2020. The applicable conversion rate of the convertible notes is 91.4808 shares of common stock per $1,000 principal amount. We notified the holders of such convertible notes that we will settle any such convertible notes converted entirely in cash. If all the holders of such convertible notes elect to convert their notes, we would be required to pay approximately $61 million in the aggregate, based on an assumed common stock price of $43.40 per share, which was the closing price of our common stock on April 20, 2020.</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notes will be issued under a base indenture (the "Base Indenture"), dated as of February 6, 2019, between Micron Technology, Inc. and U.S. Bank</w:t>
      </w:r>
    </w:p>
    <w:p>
      <w:pPr>
        <w:spacing w:after="0" w:line="38"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i w:val="1"/>
          <w:iCs w:val="1"/>
          <w:color w:val="auto"/>
        </w:rPr>
        <w:t>National Association, as trustee (the "Trustee"), as supplemented by a supplemental indenture, to be dated , 2020, with respect to the notes (the "Supplemental Indenture" and, together with the Base Indenture, the "Indenture").</w:t>
      </w:r>
    </w:p>
    <w:p>
      <w:pPr>
        <w:spacing w:after="0" w:line="193"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The registered holder of a note will be treated as the owner of such note for all purposes. Only registered holders will have rights under the Indenture.</w:t>
      </w:r>
    </w:p>
    <w:p>
      <w:pPr>
        <w:spacing w:after="0" w:line="248" w:lineRule="exact"/>
        <w:rPr>
          <w:sz w:val="20"/>
          <w:szCs w:val="20"/>
          <w:color w:val="auto"/>
        </w:rPr>
      </w:pPr>
    </w:p>
    <w:p>
      <w:pPr>
        <w:ind w:right="280" w:firstLine="351"/>
        <w:spacing w:after="0" w:line="331" w:lineRule="auto"/>
        <w:rPr>
          <w:sz w:val="20"/>
          <w:szCs w:val="20"/>
          <w:color w:val="auto"/>
        </w:rPr>
      </w:pPr>
      <w:r>
        <w:rPr>
          <w:rFonts w:ascii="Arial" w:cs="Arial" w:eastAsia="Arial" w:hAnsi="Arial"/>
          <w:sz w:val="16"/>
          <w:szCs w:val="16"/>
          <w:i w:val="1"/>
          <w:iCs w:val="1"/>
          <w:color w:val="auto"/>
        </w:rPr>
        <w:t>The definition of certain terms used in this description are summarized under the subheading "—Certain Definitions." In this description, references to "Micron," "us," "we," "our" or the "Company" refer only to Micron Technology, Inc. and not to any of its subsidiaries.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240"/>
          </w:cols>
          <w:pgMar w:left="320" w:top="131" w:right="339" w:bottom="1440" w:gutter="0" w:footer="0" w:header="0"/>
        </w:sectPr>
      </w:pP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aggregate principal amount of notes. The notes will mature 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 Interest on the notes will accrue at the rate of</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ectPr>
          <w:pgSz w:w="11900" w:h="16838" w:orient="portrait"/>
          <w:cols w:equalWidth="0" w:num="5">
            <w:col w:w="1420" w:space="540"/>
            <w:col w:w="4360" w:space="520"/>
            <w:col w:w="280" w:space="160"/>
            <w:col w:w="3260" w:space="340"/>
            <w:col w:w="360"/>
          </w:cols>
          <w:pgMar w:left="320" w:top="131" w:right="339" w:bottom="1440" w:gutter="0" w:footer="0" w:header="0"/>
          <w:type w:val="continuous"/>
        </w:sectPr>
      </w:pPr>
    </w:p>
    <w:p>
      <w:pPr>
        <w:spacing w:after="0"/>
        <w:rPr>
          <w:sz w:val="20"/>
          <w:szCs w:val="20"/>
          <w:color w:val="auto"/>
        </w:rPr>
      </w:pPr>
      <w:r>
        <w:rPr>
          <w:rFonts w:ascii="Arial" w:cs="Arial" w:eastAsia="Arial" w:hAnsi="Arial"/>
          <w:sz w:val="15"/>
          <w:szCs w:val="15"/>
          <w:color w:val="auto"/>
        </w:rPr>
        <w:t>per annum.</w:t>
      </w:r>
    </w:p>
    <w:p>
      <w:pPr>
        <w:sectPr>
          <w:pgSz w:w="11900" w:h="16838" w:orient="portrait"/>
          <w:cols w:equalWidth="0" w:num="1">
            <w:col w:w="11240"/>
          </w:cols>
          <w:pgMar w:left="320" w:top="131" w:right="339" w:bottom="1440" w:gutter="0" w:footer="0" w:header="0"/>
          <w:type w:val="continuous"/>
        </w:sectPr>
      </w:pPr>
    </w:p>
    <w:p>
      <w:pPr>
        <w:spacing w:after="0" w:line="253"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will be senior unsecured obligations and will rank on the same basis with all of our other senior unsecured indebtedness from time to time outstanding. The Indenture does not limit the aggregate principal amount of securities that may be issued under the Indenture. Without the consent of the holders, we may increase the aggregate principal amount of the notes in the future on the same terms and conditions (except for issuance date, price and, in some cases, the initial interest payment date) as the notes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The notes will be issued in the form of one or more fully registered global securities in minimum denominations of $2,000 and integral multiples of $1,000 in excess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31" w:lineRule="exact"/>
        <w:rPr>
          <w:sz w:val="20"/>
          <w:szCs w:val="20"/>
          <w:color w:val="auto"/>
        </w:rPr>
      </w:pPr>
    </w:p>
    <w:p>
      <w:pPr>
        <w:ind w:right="120" w:firstLine="348"/>
        <w:spacing w:after="0" w:line="285" w:lineRule="auto"/>
        <w:rPr>
          <w:sz w:val="20"/>
          <w:szCs w:val="20"/>
          <w:color w:val="auto"/>
        </w:rPr>
      </w:pPr>
      <w:r>
        <w:rPr>
          <w:rFonts w:ascii="Arial" w:cs="Arial" w:eastAsia="Arial" w:hAnsi="Arial"/>
          <w:sz w:val="16"/>
          <w:szCs w:val="16"/>
          <w:color w:val="auto"/>
        </w:rPr>
        <w:t>The notes will accrue interest at a rate of % per annum. Interest on the notes will accrue from , 2020, or from the most recent interest payment date to which interest has been paid or provided for, to, but excluding, the relevant interest payment date. The Company will make interest payments on the</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notes semi-annually in arrears on and of each year, beginning on , 2020, to the Person in whose name such notes are registered at the close of business on the immediately preceding or , as applicable.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an interest payment date for the notes falls on a day that is not a Business Day, the interest payment shall be postponed to the next succeeding Business Day as if made on the date such payment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 due, and no interest on such payment shall accrue for the period from and after such interest payment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Except as otherwise described below, the notes will be redeemable in whole at any time or in part from time to time, at the Company's option, at a redemption price as calculated by the Company equal to the greater of:</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52" w:lineRule="exact"/>
        <w:rPr>
          <w:rFonts w:ascii="Arial" w:cs="Arial" w:eastAsia="Arial" w:hAnsi="Arial"/>
          <w:sz w:val="18"/>
          <w:szCs w:val="18"/>
          <w:color w:val="auto"/>
        </w:rPr>
      </w:pPr>
    </w:p>
    <w:p>
      <w:pPr>
        <w:jc w:val="both"/>
        <w:ind w:left="1080" w:right="80" w:hanging="532"/>
        <w:spacing w:after="0" w:line="304" w:lineRule="auto"/>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of principal and interest thereon (exclusive of interest accrued to the date of redemption), discounted to the date of redemption on a semi-annual basis (assuming a 360-day year consisting of twelve 30-day months) at the</w:t>
      </w:r>
    </w:p>
    <w:p>
      <w:pPr>
        <w:spacing w:after="0" w:line="1" w:lineRule="exact"/>
        <w:rPr>
          <w:sz w:val="20"/>
          <w:szCs w:val="20"/>
          <w:color w:val="auto"/>
        </w:rPr>
      </w:pPr>
    </w:p>
    <w:p>
      <w:pPr>
        <w:ind w:left="1080"/>
        <w:spacing w:after="0"/>
        <w:tabs>
          <w:tab w:leader="none" w:pos="3620" w:val="left"/>
        </w:tabs>
        <w:rPr>
          <w:sz w:val="20"/>
          <w:szCs w:val="20"/>
          <w:color w:val="auto"/>
        </w:rPr>
      </w:pPr>
      <w:r>
        <w:rPr>
          <w:rFonts w:ascii="Arial" w:cs="Arial" w:eastAsia="Arial" w:hAnsi="Arial"/>
          <w:sz w:val="18"/>
          <w:szCs w:val="18"/>
          <w:color w:val="auto"/>
        </w:rPr>
        <w:t>then current Treasury Rate plus</w:t>
      </w:r>
      <w:r>
        <w:rPr>
          <w:sz w:val="20"/>
          <w:szCs w:val="20"/>
          <w:color w:val="auto"/>
        </w:rPr>
        <w:tab/>
      </w:r>
      <w:r>
        <w:rPr>
          <w:rFonts w:ascii="Arial" w:cs="Arial" w:eastAsia="Arial" w:hAnsi="Arial"/>
          <w:sz w:val="15"/>
          <w:szCs w:val="15"/>
          <w:color w:val="auto"/>
        </w:rPr>
        <w:t>basis points,</w:t>
      </w:r>
    </w:p>
    <w:p>
      <w:pPr>
        <w:spacing w:after="0" w:line="219"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will prepare and send, or cause to be sent, a notice of redemption to each holder of notes to be redeemed (with a copy to the Trustee) at least 30 and not more than 60 calendar days prior to the date fixed for redemption. On and after a redemption date, interest will cease to accrue on the notes called for redemption (unless the Company defaults in the payment of the redemption price and accrued interest). On or before a redemption date, the Company will deposit with a paying agent (or the Trustee) money sufficient to pay the redemption price of and accrued interest on the notes to be redeemed on that date. If less than all of the notes are to be redeemed, the notes to be redeemed shall be selected by the Trustee pro rata or by lot or by a method the Trustee deems to be fair and appropriate and, in respect of global notes, in accordance with the procedures of The Depository Trust Company ("DTC"). Any redemption or notice of redemption may, at the Company's discretion, be subject to one or more conditions precedent.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Company is not required to make any mandatory redemption or sinking fund payments with respect to the notes. However, under certain circumstances, the Company may be required to offer to purchase the notes as described under the caption "—Repurchase of Notes upon a Change of Control Triggering Event." The Company may at any time and from time to time purchase notes in the open market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the Company;</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structurally subordinated to any indebtedness and other liabilities of the Company's Subsidiaries.</w:t>
      </w:r>
    </w:p>
    <w:p>
      <w:pPr>
        <w:spacing w:after="0" w:line="225"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Notes upon a Change of Control Triggering Event</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Not later than 60 days following a Change of Control Triggering Event, unless the Company has exercised its right to redeem all of the notes as described under "—Optional Redemption," the Company will make an Offer to Purchase all of the outstanding notes at a purchase price equal to 101% of the principal amount thereof plus accrued and unpaid interest, if any, to, but excluding, the date of purchase.</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69"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20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will not be required to make an Offer to Purchase following a Change of Control Triggering Event with respect to the notes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7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If holders of not less than 90% in aggregate principal amount of the outstanding notes validly tender and do not withdraw such notes in a change of control offer and the Company, or any third party approved in writing by the Company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Factors—Risks Related to the Notes—Upon a Change of Control Triggering Event, we may not have the funds necessary to finance the change of control offer required by the indenture governing the notes, which would violate the terms of the indenture."</w:t>
      </w:r>
    </w:p>
    <w:p>
      <w:pPr>
        <w:spacing w:after="0" w:line="17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phrase "all or substantially all," as used with respect to the assets of the Company in the definition of "Change of Control" and in the covenant summarized below under "—Certain Covenants—Consolidation,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69"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"—Certain Covenants—Limitation on Liens" and "—Certain Covenants—Limitation on Sale and Lease-Back Transactions." Such restrictions in the Indenture can be waived with respect to the notes only with the consent of the holders of a majority in principal amount of the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73" w:lineRule="exact"/>
        <w:rPr>
          <w:sz w:val="20"/>
          <w:szCs w:val="20"/>
          <w:color w:val="auto"/>
        </w:rPr>
      </w:pPr>
    </w:p>
    <w:p>
      <w:pPr>
        <w:ind w:right="540" w:firstLine="348"/>
        <w:spacing w:after="0" w:line="331" w:lineRule="auto"/>
        <w:rPr>
          <w:sz w:val="20"/>
          <w:szCs w:val="20"/>
          <w:color w:val="auto"/>
        </w:rPr>
      </w:pPr>
      <w:r>
        <w:rPr>
          <w:rFonts w:ascii="Arial" w:cs="Arial" w:eastAsia="Arial" w:hAnsi="Arial"/>
          <w:sz w:val="16"/>
          <w:szCs w:val="16"/>
          <w:color w:val="auto"/>
        </w:rPr>
        <w:t>The provisions under the Indenture relating to the Company's obligation to make an offer to repurchase the notes as a result of a Change of Control Triggering Event may be waived or modified with the written consent of the holders of a majority in principal amount of the notes.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the notes generally will be able to exchange their notes for other notes with the same total principal amount and the same terms.</w:t>
      </w:r>
    </w:p>
    <w:p>
      <w:pPr>
        <w:spacing w:after="0" w:line="24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18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the Company elects to redeem the notes or makes an Offer to Purchase, neither the Company nor the Trustee will be required to:</w:t>
      </w:r>
    </w:p>
    <w:p>
      <w:pPr>
        <w:spacing w:after="0" w:line="239" w:lineRule="exact"/>
        <w:rPr>
          <w:sz w:val="20"/>
          <w:szCs w:val="20"/>
          <w:color w:val="auto"/>
        </w:rPr>
      </w:pPr>
    </w:p>
    <w:p>
      <w:pPr>
        <w:ind w:left="1080" w:right="6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207"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or exchange of any note so selected for redemption or subject to purchase in such Offer to Purchase, except for any portion not to be redeemed or subject to purchase; or</w:t>
      </w:r>
    </w:p>
    <w:p>
      <w:pPr>
        <w:spacing w:after="0" w:line="212"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will initially designate the Trustee as the sole paying agent for the notes. At any time, the Company may designate additional paying agents or rescind the designation of any paying agents. However, the Company is required to maintain a paying agent in each place of payment for the notes at all times.</w:t>
      </w:r>
    </w:p>
    <w:p>
      <w:pPr>
        <w:spacing w:after="0" w:line="19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80" w:firstLine="348"/>
        <w:spacing w:after="0" w:line="317" w:lineRule="auto"/>
        <w:rPr>
          <w:sz w:val="20"/>
          <w:szCs w:val="20"/>
          <w:color w:val="auto"/>
        </w:rPr>
      </w:pPr>
      <w:r>
        <w:rPr>
          <w:rFonts w:ascii="Arial" w:cs="Arial" w:eastAsia="Arial" w:hAnsi="Arial"/>
          <w:sz w:val="15"/>
          <w:szCs w:val="15"/>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5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Notwithstanding the foregoing,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7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76" w:lineRule="exact"/>
        <w:rPr>
          <w:sz w:val="20"/>
          <w:szCs w:val="20"/>
          <w:color w:val="auto"/>
        </w:rPr>
      </w:pPr>
    </w:p>
    <w:p>
      <w:pPr>
        <w:jc w:val="both"/>
        <w:ind w:right="340" w:firstLine="341"/>
        <w:spacing w:after="0" w:line="259" w:lineRule="auto"/>
        <w:rPr>
          <w:sz w:val="20"/>
          <w:szCs w:val="20"/>
          <w:color w:val="auto"/>
        </w:rPr>
      </w:pPr>
      <w:r>
        <w:rPr>
          <w:rFonts w:ascii="Arial" w:cs="Arial" w:eastAsia="Arial" w:hAnsi="Arial"/>
          <w:sz w:val="18"/>
          <w:szCs w:val="18"/>
          <w:color w:val="auto"/>
        </w:rPr>
        <w:t>Any Lien created for the benefit of the holders of the notes pursuant to the first paragraph under this covenant may provide by its terms that such Lien shall be automatically and unconditionally released and discharged upon the release and discharge of the Lien that gave rise to the obligation to secure the notes.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will not, and will not permit any of its Restricted Subsidiaries, to enter into any Sale and Lease-Back Transaction with respect to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Principal Property owned by the Company or any Restricted Subsidiary, whether now owned or hereafter acquired, unless:</w:t>
      </w:r>
    </w:p>
    <w:p>
      <w:pPr>
        <w:spacing w:after="0" w:line="23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199"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210"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21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"—Limitation on Liens" above; or</w:t>
      </w:r>
    </w:p>
    <w:p>
      <w:pPr>
        <w:spacing w:after="0" w:line="207"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6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186" w:lineRule="exact"/>
        <w:rPr>
          <w:sz w:val="20"/>
          <w:szCs w:val="20"/>
          <w:color w:val="auto"/>
        </w:rPr>
      </w:pPr>
    </w:p>
    <w:p>
      <w:pPr>
        <w:ind w:right="180" w:firstLine="359"/>
        <w:spacing w:after="0" w:line="331" w:lineRule="auto"/>
        <w:tabs>
          <w:tab w:leader="none" w:pos="6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40" w:lineRule="exact"/>
        <w:rPr>
          <w:rFonts w:ascii="Arial" w:cs="Arial" w:eastAsia="Arial" w:hAnsi="Arial"/>
          <w:sz w:val="16"/>
          <w:szCs w:val="16"/>
          <w:color w:val="auto"/>
        </w:rPr>
      </w:pPr>
    </w:p>
    <w:p>
      <w:pPr>
        <w:ind w:right="260" w:firstLine="359"/>
        <w:spacing w:after="0" w:line="268"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Financial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5" w:lineRule="exact"/>
        <w:rPr>
          <w:sz w:val="20"/>
          <w:szCs w:val="20"/>
          <w:color w:val="auto"/>
        </w:rPr>
      </w:pPr>
    </w:p>
    <w:p>
      <w:pPr>
        <w:ind w:firstLine="351"/>
        <w:spacing w:after="0" w:line="304" w:lineRule="auto"/>
        <w:rPr>
          <w:sz w:val="20"/>
          <w:szCs w:val="20"/>
          <w:color w:val="auto"/>
        </w:rPr>
      </w:pPr>
      <w:r>
        <w:rPr>
          <w:rFonts w:ascii="Arial" w:cs="Arial" w:eastAsia="Arial" w:hAnsi="Arial"/>
          <w:sz w:val="15"/>
          <w:szCs w:val="15"/>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"—Certain Covenants—Limitation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"—Certain Covenants—Limitation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"—Certain Covenants—Limitation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time, at which time the entire drawn outstanding amount of such revolving credit Indebtedness will be deemed to be incurred and secured by any relevant Liens at such time.</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66" w:lineRule="exact"/>
        <w:rPr>
          <w:sz w:val="20"/>
          <w:szCs w:val="20"/>
          <w:color w:val="auto"/>
        </w:rPr>
      </w:pPr>
    </w:p>
    <w:p>
      <w:pPr>
        <w:ind w:right="140" w:firstLine="351"/>
        <w:spacing w:after="0" w:line="309" w:lineRule="auto"/>
        <w:rPr>
          <w:sz w:val="20"/>
          <w:szCs w:val="20"/>
          <w:color w:val="auto"/>
        </w:rPr>
      </w:pPr>
      <w:r>
        <w:rPr>
          <w:rFonts w:ascii="Arial" w:cs="Arial" w:eastAsia="Arial" w:hAnsi="Arial"/>
          <w:sz w:val="15"/>
          <w:szCs w:val="15"/>
          <w:color w:val="auto"/>
        </w:rPr>
        <w:t>"Below Investment Grade Rating Event"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is rated Investment Grade by two or more of the Rating Agencies.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of Directors" means the board of directors of the Company or any committee thereof duly authorized to act on behalf of such board.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means:</w:t>
      </w:r>
    </w:p>
    <w:p>
      <w:pPr>
        <w:spacing w:after="0" w:line="225" w:lineRule="exact"/>
        <w:rPr>
          <w:sz w:val="20"/>
          <w:szCs w:val="20"/>
          <w:color w:val="auto"/>
        </w:rPr>
      </w:pPr>
    </w:p>
    <w:p>
      <w:pPr>
        <w:ind w:firstLine="359"/>
        <w:spacing w:after="0" w:line="286" w:lineRule="auto"/>
        <w:tabs>
          <w:tab w:leader="none" w:pos="6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9"/>
        <w:spacing w:after="0" w:line="323" w:lineRule="auto"/>
        <w:tabs>
          <w:tab w:leader="none" w:pos="6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51" w:lineRule="exact"/>
        <w:rPr>
          <w:rFonts w:ascii="Arial" w:cs="Arial" w:eastAsia="Arial" w:hAnsi="Arial"/>
          <w:sz w:val="15"/>
          <w:szCs w:val="15"/>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"Comparable Treasury Issue" means the United States Treasury security selected by a Reference Treasury Dealer (as defined below) as having an actual or</w:t>
      </w:r>
    </w:p>
    <w:p>
      <w:pPr>
        <w:spacing w:after="0" w:line="50"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interpolated maturity comparable to the period from the redemption date to , 20 , that would be utilized, at the time of selection and in accordance with customary financial practice, in pricing new issues of corporate debt securities of comparable maturity to the period from the redemption date to , 20 .</w:t>
      </w:r>
    </w:p>
    <w:p>
      <w:pPr>
        <w:spacing w:after="0" w:line="146"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"Comparable Treasury Price"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4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7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86"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"Existing Credit Facility" means that certain Credit Agreement, dated as of July 3, 2018 (as the same has been and may be amended, restated, modified or supplemented from time to time), by and among the Company, JPMorgan Chase Bank, N.A., as administrative agent and collateral agent, and the other agents party thereto and each financial institution party from time to time thereto.</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9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240" w:hanging="341"/>
        <w:spacing w:after="0"/>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that does not require the current payment of interest;</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ind w:left="540" w:right="560" w:firstLine="359"/>
        <w:spacing w:after="0" w:line="259" w:lineRule="auto"/>
        <w:tabs>
          <w:tab w:leader="none" w:pos="12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"Issue Date" means the date of original issuance of the notes under the Indenture.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"Legal Holiday" means a Saturday, a Sunday or a day on which commercial banking institutions or the corporate trust office are not required to be open in the State of New York or the place of payment.</w:t>
      </w:r>
    </w:p>
    <w:p>
      <w:pPr>
        <w:spacing w:after="0" w:line="186" w:lineRule="exact"/>
        <w:rPr>
          <w:sz w:val="20"/>
          <w:szCs w:val="20"/>
          <w:color w:val="auto"/>
        </w:rPr>
      </w:pPr>
    </w:p>
    <w:p>
      <w:pPr>
        <w:ind w:right="320" w:firstLine="351"/>
        <w:spacing w:after="0" w:line="369" w:lineRule="auto"/>
        <w:rPr>
          <w:sz w:val="20"/>
          <w:szCs w:val="20"/>
          <w:color w:val="auto"/>
        </w:rPr>
      </w:pPr>
      <w:r>
        <w:rPr>
          <w:rFonts w:ascii="Arial" w:cs="Arial" w:eastAsia="Arial" w:hAnsi="Arial"/>
          <w:sz w:val="15"/>
          <w:szCs w:val="15"/>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225"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"Permitted Liens" means:</w:t>
      </w:r>
    </w:p>
    <w:p>
      <w:pPr>
        <w:spacing w:after="0" w:line="239" w:lineRule="exact"/>
        <w:rPr>
          <w:sz w:val="20"/>
          <w:szCs w:val="20"/>
          <w:color w:val="auto"/>
        </w:rPr>
      </w:pPr>
    </w:p>
    <w:p>
      <w:pPr>
        <w:ind w:left="1080" w:right="4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 including the Existing Credit Facility;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23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87" w:lineRule="exact"/>
        <w:rPr>
          <w:rFonts w:ascii="Arial" w:cs="Arial" w:eastAsia="Arial" w:hAnsi="Arial"/>
          <w:sz w:val="16"/>
          <w:szCs w:val="16"/>
          <w:color w:val="auto"/>
        </w:rPr>
      </w:pPr>
    </w:p>
    <w:p>
      <w:pPr>
        <w:ind w:left="1080" w:right="40" w:hanging="532"/>
        <w:spacing w:after="0" w:line="290"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198" w:lineRule="exact"/>
        <w:rPr>
          <w:rFonts w:ascii="Arial" w:cs="Arial" w:eastAsia="Arial" w:hAnsi="Arial"/>
          <w:sz w:val="16"/>
          <w:szCs w:val="16"/>
          <w:color w:val="auto"/>
        </w:rPr>
      </w:pPr>
    </w:p>
    <w:p>
      <w:pPr>
        <w:ind w:left="1080" w:right="20" w:hanging="532"/>
        <w:spacing w:after="0" w:line="312"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171" w:lineRule="exact"/>
        <w:rPr>
          <w:rFonts w:ascii="Arial" w:cs="Arial" w:eastAsia="Arial" w:hAnsi="Arial"/>
          <w:sz w:val="15"/>
          <w:szCs w:val="15"/>
          <w:color w:val="auto"/>
        </w:rPr>
      </w:pPr>
    </w:p>
    <w:p>
      <w:pPr>
        <w:ind w:left="1080" w:right="6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the construction or maintenance of Principal Property), and Liens in connection with legal proceedings;</w:t>
      </w:r>
    </w:p>
    <w:p>
      <w:pPr>
        <w:spacing w:after="0" w:line="239" w:lineRule="exact"/>
        <w:rPr>
          <w:sz w:val="20"/>
          <w:szCs w:val="20"/>
          <w:color w:val="auto"/>
        </w:rPr>
      </w:pPr>
    </w:p>
    <w:p>
      <w:pPr>
        <w:ind w:left="1080" w:right="2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212" w:lineRule="exact"/>
        <w:rPr>
          <w:rFonts w:ascii="Arial" w:cs="Arial" w:eastAsia="Arial" w:hAnsi="Arial"/>
          <w:sz w:val="18"/>
          <w:szCs w:val="18"/>
          <w:color w:val="auto"/>
        </w:rPr>
      </w:pPr>
    </w:p>
    <w:p>
      <w:pPr>
        <w:ind w:left="1080" w:right="220" w:hanging="532"/>
        <w:spacing w:after="0" w:line="29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87" w:lineRule="exact"/>
        <w:rPr>
          <w:rFonts w:ascii="Arial" w:cs="Arial" w:eastAsia="Arial" w:hAnsi="Arial"/>
          <w:sz w:val="16"/>
          <w:szCs w:val="16"/>
          <w:color w:val="auto"/>
        </w:rPr>
      </w:pPr>
    </w:p>
    <w:p>
      <w:pPr>
        <w:ind w:left="1080" w:right="16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79" w:lineRule="exact"/>
        <w:rPr>
          <w:rFonts w:ascii="Arial" w:cs="Arial" w:eastAsia="Arial" w:hAnsi="Arial"/>
          <w:sz w:val="16"/>
          <w:szCs w:val="16"/>
          <w:color w:val="auto"/>
        </w:rPr>
      </w:pPr>
    </w:p>
    <w:p>
      <w:pPr>
        <w:ind w:left="1080" w:right="220" w:hanging="532"/>
        <w:spacing w:after="0" w:line="369"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144" w:lineRule="exact"/>
        <w:rPr>
          <w:rFonts w:ascii="Arial" w:cs="Arial" w:eastAsia="Arial" w:hAnsi="Arial"/>
          <w:sz w:val="15"/>
          <w:szCs w:val="15"/>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Liens created in connection with the acquisition of assets or a project financed with, and created to secure a Nonrecourse Obligation; and</w:t>
      </w:r>
    </w:p>
    <w:p>
      <w:pPr>
        <w:spacing w:after="0" w:line="261" w:lineRule="exact"/>
        <w:rPr>
          <w:rFonts w:ascii="Arial" w:cs="Arial" w:eastAsia="Arial" w:hAnsi="Arial"/>
          <w:sz w:val="16"/>
          <w:szCs w:val="16"/>
          <w:color w:val="auto"/>
        </w:rPr>
      </w:pPr>
    </w:p>
    <w:p>
      <w:pPr>
        <w:ind w:left="1080" w:hanging="532"/>
        <w:spacing w:after="0" w:line="25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20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color w:val="auto"/>
        </w:rPr>
        <w:t>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4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6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"Reference Treasury Dealer" means at least two primary U.S. Government securities dealers selected by the Company, which may include any of Citigroup Global Markets Inc., Credit Suisse Securities (USA) LLC or Morgan Stanley &amp; Co. LLC, and each of their respective successors and affiliates. If any of the foregoing shall cease to be a primary U.S. Government securities dealer, the Company will substitute another nationally recognized investment banking firm that is a primary U.S. Government securities dealer.</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"Reference Treasury Dealer Quotations"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6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6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94" w:lineRule="exact"/>
        <w:rPr>
          <w:sz w:val="20"/>
          <w:szCs w:val="20"/>
          <w:color w:val="auto"/>
        </w:rPr>
      </w:pPr>
    </w:p>
    <w:p>
      <w:pPr>
        <w:jc w:val="both"/>
        <w:ind w:right="80" w:firstLine="351"/>
        <w:spacing w:after="0" w:line="331" w:lineRule="auto"/>
        <w:rPr>
          <w:sz w:val="20"/>
          <w:szCs w:val="20"/>
          <w:color w:val="auto"/>
        </w:rPr>
      </w:pPr>
      <w:r>
        <w:rPr>
          <w:rFonts w:ascii="Arial" w:cs="Arial" w:eastAsia="Arial" w:hAnsi="Arial"/>
          <w:sz w:val="16"/>
          <w:szCs w:val="16"/>
          <w:color w:val="auto"/>
        </w:rPr>
        <w:t>"Treasury Rate" means, with respect to any redemption date, the rate per annum equal to the semi-annual equivalent yield to maturity (computed as of the third business day immediately preceding that redemption date) of the Comparable Treasury Issue, assuming a price for the Comparable Treasury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 (expressed as a percentage of its principal amount) equal to the Comparable Treasury Price for that redemption date.</w:t>
      </w:r>
    </w:p>
    <w:p>
      <w:pPr>
        <w:spacing w:after="0" w:line="225" w:lineRule="exact"/>
        <w:rPr>
          <w:sz w:val="20"/>
          <w:szCs w:val="20"/>
          <w:color w:val="auto"/>
        </w:rPr>
      </w:pPr>
    </w:p>
    <w:p>
      <w:pPr>
        <w:ind w:right="520" w:firstLine="351"/>
        <w:spacing w:after="0" w:line="331" w:lineRule="auto"/>
        <w:rPr>
          <w:sz w:val="20"/>
          <w:szCs w:val="20"/>
          <w:color w:val="auto"/>
        </w:rPr>
      </w:pPr>
      <w:r>
        <w:rPr>
          <w:rFonts w:ascii="Arial" w:cs="Arial" w:eastAsia="Arial" w:hAnsi="Arial"/>
          <w:sz w:val="16"/>
          <w:szCs w:val="16"/>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will be an event of default under the Indenture for the notes:</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default in the payment of any interest upon any note when it becomes due and payable, and continuance of that default for a period of 30 days;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when due and payable;</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in connection with a Change of Control Triggering Event for 30 calendar days;</w:t>
      </w:r>
    </w:p>
    <w:p>
      <w:pPr>
        <w:spacing w:after="0" w:line="199"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as provided in the Indenture;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225" w:lineRule="exact"/>
        <w:rPr>
          <w:sz w:val="20"/>
          <w:szCs w:val="20"/>
          <w:color w:val="auto"/>
        </w:rPr>
      </w:pPr>
    </w:p>
    <w:p>
      <w:pPr>
        <w:ind w:right="880" w:firstLine="348"/>
        <w:spacing w:after="0" w:line="268" w:lineRule="auto"/>
        <w:rPr>
          <w:sz w:val="20"/>
          <w:szCs w:val="20"/>
          <w:color w:val="auto"/>
        </w:rPr>
      </w:pPr>
      <w:r>
        <w:rPr>
          <w:rFonts w:ascii="Arial" w:cs="Arial" w:eastAsia="Arial" w:hAnsi="Arial"/>
          <w:sz w:val="18"/>
          <w:szCs w:val="18"/>
          <w:color w:val="auto"/>
        </w:rPr>
        <w:t>The occurrence of certain events of default or an acceleration under the Indenture may constitute an event of default under certain of our other indebtedness outstanding from time to time.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an event of default with respect to the notes at the time outstanding occurs and is continuing, then the Trustee or the holders of not less than 25% in principal amount of the outstanding notes may, by a notice in writing to the Company (and to the Trustee if given by the holders), declare to be due and payable immediately the principal of and accrued and unpaid interest, if any, on all notes. In the case of an event of default resulting from certain events of bankruptcy, insolvency or reorganization, the principal of and accrued and unpaid interest, if any, on all outstanding notes will become and be immediately due and payable without any declaration or other act on the part of the Trustee or any holder of the outstanding notes. At any time after a declaration of acceleration with respect to the notes has been made, but before a judgment or decree for payment of the money due has been obtained by the Trustee, the holders of a majority in principal amount of the outstanding notes may rescind and annul the acceleration if all events of default, other than the non-payment of the principal and interest with respect to the notes which have become due solely by such declaration of acceleration, have been cured or waived as provided in the Indenture and the Trustee's fees and expenses have been paid in full.</w:t>
      </w:r>
    </w:p>
    <w:p>
      <w:pPr>
        <w:spacing w:after="0" w:line="173"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No holder of any note will have any right to institute any proceeding, judicial or otherwise, with respect to the indenture or for the appointment of a receiver or trustee, or for any remedy under the indenture, unless:</w:t>
      </w:r>
    </w:p>
    <w:p>
      <w:pPr>
        <w:spacing w:after="0" w:line="186" w:lineRule="exact"/>
        <w:rPr>
          <w:sz w:val="20"/>
          <w:szCs w:val="20"/>
          <w:color w:val="auto"/>
        </w:rPr>
      </w:pPr>
    </w:p>
    <w:p>
      <w:pPr>
        <w:ind w:left="1240" w:hanging="34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the notes; and</w:t>
      </w:r>
    </w:p>
    <w:p>
      <w:pPr>
        <w:spacing w:after="0" w:line="225" w:lineRule="exact"/>
        <w:rPr>
          <w:rFonts w:ascii="Arial" w:cs="Arial" w:eastAsia="Arial" w:hAnsi="Arial"/>
          <w:sz w:val="18"/>
          <w:szCs w:val="18"/>
          <w:color w:val="auto"/>
        </w:rPr>
      </w:pPr>
    </w:p>
    <w:p>
      <w:pPr>
        <w:ind w:left="540" w:firstLine="359"/>
        <w:spacing w:after="0" w:line="306" w:lineRule="auto"/>
        <w:tabs>
          <w:tab w:leader="none" w:pos="122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holders of not less than 25% in principal amount of the outstanding notes have made written request, and offered reasonable indemnity, to the Trustee to institute the proceeding as Trustee, and after receipt of such request the Trustee has not received from the holders of a majority in principal amount of the outstanding notes a direction inconsistent with that request and has failed to institute the proceeding within 60 days.</w:t>
      </w:r>
    </w:p>
    <w:p>
      <w:pPr>
        <w:spacing w:after="0" w:line="160"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6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The Indenture provides that the Trustee may withhold notice to the holders of the notes of any default or event of default (except in payment on any notes) with respect to the notes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or the Trustee may amend or supplement the Indenture or the notes without the consent of the holders of the outstanding notes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3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the notes;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guarantees with respect to the notes or secure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notes as permitted by the Indenture;</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and to add to or change any of the provisions of the indenture as shall be necessary to provide for or facilitate the administration of the trusts under the Indenture by more than one trustee;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conform any provision of the Indenture, insofar as it relates to the notes, to the description of the notes in this "Description of the Notes."</w:t>
      </w:r>
    </w:p>
    <w:p>
      <w:pPr>
        <w:spacing w:after="0" w:line="248"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In addition, the Company may modify and amend the Indenture as to all other matters with the consent of the holders of at least a majority in principal amount of the outstanding notes affected by the modifications or amendments, provided however that the Company may not make any modification or amendment without the consent of the holders of each affected note then outstanding if that amendment:</w:t>
      </w:r>
    </w:p>
    <w:p>
      <w:pPr>
        <w:spacing w:after="0" w:line="174"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the notes by the holders of at least a majority in principal amount of the outstanding notes and a waiver of the payment default that resulted from such acceleration) or</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notes may on behalf of the holders of all notes waive the Company's compliance with provisions of the Indenture. The holders of a majority in principal amount of the outstanding notes may on behalf of the holders of all notes waive any past default under the Indenture with respect to the notes and its consequences, except a default in the payment of the principal of, any premium or any interest on any note; provided, however, that the holders of a majority in principal amount of the outstanding notes may rescind an acceleration and its consequences, including any related payment default that resulted from the acceleration.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Notes and Certain Covenants in Certain Circumstances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the Company may be discharged from any and all obligations in respect of the notes (except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including to register the transfer or exchange of notes, to replace stolen, lost or mutilated notes,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accountants to pay and discharge each installment of principal and interest on the notes on the stated maturity of those payments in accordance with the terms of the Indenture and those notes.</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98" w:lineRule="exact"/>
        <w:rPr>
          <w:sz w:val="20"/>
          <w:szCs w:val="20"/>
          <w:color w:val="auto"/>
        </w:rPr>
      </w:pPr>
    </w:p>
    <w:p>
      <w:pPr>
        <w:ind w:left="360"/>
        <w:spacing w:after="0"/>
        <w:tabs>
          <w:tab w:leader="none" w:pos="2920" w:val="left"/>
        </w:tabs>
        <w:rPr>
          <w:sz w:val="20"/>
          <w:szCs w:val="20"/>
          <w:color w:val="auto"/>
        </w:rPr>
      </w:pPr>
      <w:r>
        <w:rPr>
          <w:rFonts w:ascii="Arial" w:cs="Arial" w:eastAsia="Arial" w:hAnsi="Arial"/>
          <w:sz w:val="18"/>
          <w:szCs w:val="18"/>
          <w:i w:val="1"/>
          <w:iCs w:val="1"/>
          <w:color w:val="auto"/>
        </w:rPr>
        <w:t>Defeasance of Certain Covenants.</w:t>
      </w:r>
      <w:r>
        <w:rPr>
          <w:sz w:val="20"/>
          <w:szCs w:val="20"/>
          <w:color w:val="auto"/>
        </w:rPr>
        <w:tab/>
      </w:r>
      <w:r>
        <w:rPr>
          <w:rFonts w:ascii="Arial" w:cs="Arial" w:eastAsia="Arial" w:hAnsi="Arial"/>
          <w:sz w:val="16"/>
          <w:szCs w:val="16"/>
          <w:color w:val="auto"/>
        </w:rPr>
        <w:t>The Indenture provides that, upon compliance with certain conditions:</w:t>
      </w:r>
    </w:p>
    <w:p>
      <w:pPr>
        <w:spacing w:after="0" w:line="225" w:lineRule="exact"/>
        <w:rPr>
          <w:sz w:val="20"/>
          <w:szCs w:val="20"/>
          <w:color w:val="auto"/>
        </w:rPr>
      </w:pPr>
    </w:p>
    <w:p>
      <w:pPr>
        <w:ind w:left="540" w:right="120" w:firstLine="359"/>
        <w:spacing w:after="0" w:line="268" w:lineRule="auto"/>
        <w:tabs>
          <w:tab w:leader="none" w:pos="12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"—Certain Covenants" and "—Repurchase of Notes upon a Change of Control Triggering Event" and certain other covenants set forth in the Indenture; and</w:t>
      </w:r>
    </w:p>
    <w:p>
      <w:pPr>
        <w:spacing w:after="0" w:line="185" w:lineRule="exact"/>
        <w:rPr>
          <w:rFonts w:ascii="Arial" w:cs="Arial" w:eastAsia="Arial" w:hAnsi="Arial"/>
          <w:sz w:val="18"/>
          <w:szCs w:val="18"/>
          <w:color w:val="auto"/>
        </w:rPr>
      </w:pPr>
    </w:p>
    <w:p>
      <w:pPr>
        <w:ind w:left="540" w:right="740" w:firstLine="359"/>
        <w:spacing w:after="0" w:line="268" w:lineRule="auto"/>
        <w:tabs>
          <w:tab w:leader="none" w:pos="12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540" w:firstLine="359"/>
        <w:spacing w:after="0" w:line="256" w:lineRule="auto"/>
        <w:tabs>
          <w:tab w:leader="none" w:pos="12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on the stated maturity of those payments in accordance with the terms of the Indenture and those notes; and</w:t>
      </w:r>
    </w:p>
    <w:p>
      <w:pPr>
        <w:spacing w:after="0" w:line="196" w:lineRule="exact"/>
        <w:rPr>
          <w:rFonts w:ascii="Arial" w:cs="Arial" w:eastAsia="Arial" w:hAnsi="Arial"/>
          <w:sz w:val="18"/>
          <w:szCs w:val="18"/>
          <w:color w:val="auto"/>
        </w:rPr>
      </w:pPr>
    </w:p>
    <w:p>
      <w:pPr>
        <w:ind w:left="540" w:right="220" w:firstLine="359"/>
        <w:spacing w:after="0" w:line="256" w:lineRule="auto"/>
        <w:tabs>
          <w:tab w:leader="none" w:pos="12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delivering to the Trustee an opinion of counsel stating that the holders of the notes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Covenant Defeasance and Events of Default. </w:t>
      </w:r>
      <w:r>
        <w:rPr>
          <w:rFonts w:ascii="Arial" w:cs="Arial" w:eastAsia="Arial" w:hAnsi="Arial"/>
          <w:sz w:val="16"/>
          <w:szCs w:val="16"/>
          <w:color w:val="auto"/>
        </w:rPr>
        <w:t>In the event the Company exercises its option to effect covenant defeasance with respect to the notes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are declared due and payable because of the occurrence of any event of default, the amount of money and/or U.S. Government Obligations on deposit with the Trustee should be sufficient to pay amounts due on the notes at the time of their stated maturity but may not be sufficient to pay amounts due on the notes at the time of the acceleration resulting from the event of default. However, the Company shall remain liable for those payments.</w:t>
      </w:r>
    </w:p>
    <w:p>
      <w:pPr>
        <w:spacing w:after="0" w:line="16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has the right at any time to satisfy and discharge its obligations, other than certain specified obligations, under all notes under the Indenture by depositing in trust with the Trustee money and/or U.S. Government Obligations. The Company's exercise of this right is subject to certain conditions including that either (1) all notes under the Indenture (subject to certain exceptions) have been delivered to the Trustee for cancellation or (2) all notes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such deposit is sufficient (as determined by the Company), for the purpose of paying and discharging each installment of principal of and interest on all the notes on the dates such installments of principal or interest are due, all the obligations of the Company under the Indenture with respect to such notes will be discharged and terminated except as otherwise provided in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 Denomination and Delivery of Notes</w:t>
      </w:r>
    </w:p>
    <w:p>
      <w:pPr>
        <w:spacing w:after="0" w:line="231" w:lineRule="exact"/>
        <w:rPr>
          <w:sz w:val="20"/>
          <w:szCs w:val="20"/>
          <w:color w:val="auto"/>
        </w:rPr>
      </w:pPr>
    </w:p>
    <w:p>
      <w:pPr>
        <w:ind w:right="260" w:firstLine="348"/>
        <w:spacing w:after="0" w:line="331" w:lineRule="auto"/>
        <w:rPr>
          <w:sz w:val="20"/>
          <w:szCs w:val="20"/>
          <w:color w:val="auto"/>
        </w:rPr>
      </w:pPr>
      <w:r>
        <w:rPr>
          <w:rFonts w:ascii="Arial" w:cs="Arial" w:eastAsia="Arial" w:hAnsi="Arial"/>
          <w:sz w:val="16"/>
          <w:szCs w:val="16"/>
          <w:color w:val="auto"/>
        </w:rPr>
        <w:t>The notes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14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Neither the Trustee nor the Company is required (i) to issue, register the transfer of or exchange any note for a period of 15 days before the sending of a notice of redemption of notes to be redeemed or the making of an Offer to Purchase, (ii) to register the transfer of or exchange any note so selected for redemption or subject to purchase in an Offer to Purchase in whole or in part, except, in the case of a partial redemption or purchase, that portion of any of the notes not being redeemed or purchased, or (iii) if a redemption or a purchase pursuant to an Offer to Purchase with respect to the notes is to occur after a regular record date but on or before the corresponding interest payment date applicable to the notes, to register the transfer or exchange of any note on or after the regular record date and before the date of such redemption or purchase.</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225"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4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239" w:lineRule="exact"/>
        <w:rPr>
          <w:sz w:val="20"/>
          <w:szCs w:val="20"/>
          <w:color w:val="auto"/>
        </w:rPr>
      </w:pPr>
    </w:p>
    <w:p>
      <w:pPr>
        <w:ind w:left="1080" w:right="1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underwriters with portions of the principal amount of the global notes; and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94"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4" w:lineRule="exact"/>
        <w:rPr>
          <w:sz w:val="20"/>
          <w:szCs w:val="20"/>
          <w:color w:val="auto"/>
        </w:rPr>
      </w:pPr>
    </w:p>
    <w:p>
      <w:pPr>
        <w:ind w:right="160" w:firstLine="351"/>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174" w:lineRule="exact"/>
        <w:rPr>
          <w:sz w:val="20"/>
          <w:szCs w:val="20"/>
          <w:color w:val="auto"/>
        </w:rPr>
      </w:pPr>
    </w:p>
    <w:p>
      <w:pPr>
        <w:ind w:left="1080" w:hanging="532"/>
        <w:spacing w:after="0" w:line="331"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351"/>
        <w:spacing w:after="0" w:line="288" w:lineRule="auto"/>
        <w:rPr>
          <w:sz w:val="20"/>
          <w:szCs w:val="20"/>
          <w:color w:val="auto"/>
        </w:rPr>
      </w:pPr>
      <w:r>
        <w:rPr>
          <w:rFonts w:ascii="Arial" w:cs="Arial" w:eastAsia="Arial" w:hAnsi="Arial"/>
          <w:sz w:val="16"/>
          <w:szCs w:val="16"/>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78"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4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66"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 global note will be able to transfer such interest except in accordance with DTC's applicable procedures and the applicable procedures of its direct and indirect participants.</w:t>
      </w:r>
    </w:p>
    <w:p>
      <w:pPr>
        <w:spacing w:after="0" w:line="186" w:lineRule="exact"/>
        <w:rPr>
          <w:sz w:val="20"/>
          <w:szCs w:val="20"/>
          <w:color w:val="auto"/>
        </w:rPr>
      </w:pPr>
    </w:p>
    <w:p>
      <w:pPr>
        <w:ind w:right="40" w:firstLine="348"/>
        <w:spacing w:after="0" w:line="331" w:lineRule="auto"/>
        <w:rPr>
          <w:sz w:val="20"/>
          <w:szCs w:val="20"/>
          <w:color w:val="auto"/>
        </w:rPr>
      </w:pPr>
      <w:r>
        <w:rPr>
          <w:rFonts w:ascii="Arial" w:cs="Arial" w:eastAsia="Arial" w:hAnsi="Arial"/>
          <w:sz w:val="16"/>
          <w:szCs w:val="16"/>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4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jc w:val="both"/>
        <w:ind w:right="180" w:firstLine="351"/>
        <w:spacing w:after="0" w:line="335" w:lineRule="auto"/>
        <w:rPr>
          <w:sz w:val="20"/>
          <w:szCs w:val="20"/>
          <w:color w:val="auto"/>
        </w:rPr>
      </w:pPr>
      <w:r>
        <w:rPr>
          <w:rFonts w:ascii="Arial" w:cs="Arial" w:eastAsia="Arial" w:hAnsi="Arial"/>
          <w:sz w:val="15"/>
          <w:szCs w:val="15"/>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225" w:lineRule="exact"/>
        <w:rPr>
          <w:sz w:val="20"/>
          <w:szCs w:val="20"/>
          <w:color w:val="auto"/>
        </w:rPr>
      </w:pPr>
    </w:p>
    <w:p>
      <w:pPr>
        <w:ind w:right="20" w:firstLine="348"/>
        <w:spacing w:after="0" w:line="331" w:lineRule="auto"/>
        <w:rPr>
          <w:sz w:val="20"/>
          <w:szCs w:val="20"/>
          <w:color w:val="auto"/>
        </w:rPr>
      </w:pPr>
      <w:r>
        <w:rPr>
          <w:rFonts w:ascii="Arial" w:cs="Arial" w:eastAsia="Arial" w:hAnsi="Arial"/>
          <w:sz w:val="16"/>
          <w:szCs w:val="16"/>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154"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31" w:lineRule="exact"/>
        <w:rPr>
          <w:sz w:val="20"/>
          <w:szCs w:val="20"/>
          <w:color w:val="auto"/>
        </w:rPr>
      </w:pPr>
    </w:p>
    <w:p>
      <w:pPr>
        <w:ind w:right="360" w:firstLine="351"/>
        <w:spacing w:after="0" w:line="323" w:lineRule="auto"/>
        <w:rPr>
          <w:sz w:val="20"/>
          <w:szCs w:val="20"/>
          <w:color w:val="auto"/>
        </w:rPr>
      </w:pPr>
      <w:r>
        <w:rPr>
          <w:rFonts w:ascii="Arial" w:cs="Arial" w:eastAsia="Arial" w:hAnsi="Arial"/>
          <w:sz w:val="15"/>
          <w:szCs w:val="15"/>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law will govern the Indenture and the notes.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Indenture provides that the Company, the Trustee and the holders of the notes (by their acceptance of the notes) irrevocably waive, to the fullest extent permitted by applicable law, any and all right to trial by jury in any legal proceeding arising out of or relating to the Indenture, the notes or the transactions contemplated thereby.</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(by their acceptance of the notes)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(by their acceptance of the notes)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31"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U.S. Bank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14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If an event of default occurs under the Indenture with respect to the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only after those holders have offered (and, if requested, provided) the Trustee indemnity or security satisfactory to it.</w:t>
      </w:r>
    </w:p>
    <w:p>
      <w:pPr>
        <w:spacing w:after="0" w:line="142"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This section is a discussion of the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74"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summary generally applies only to beneficial owners of the notes that purchase their notes in this offering for an amount equal to the issue price of the notes,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summary does not describe the effects of any other U.S. federal tax laws such as the Medicare contribution tax on net investment income or estate and gift tax laws or the effects of any applicable non-U.S., state or local laws.</w:t>
      </w:r>
    </w:p>
    <w:p>
      <w:pPr>
        <w:spacing w:after="0" w:line="18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69"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 "non-U.S.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may be required to make payments to holders of the notes in addition to payments of principal and stated interest. We believe there is only a remote possibility that we would be 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U.S.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general, if the terms of a debt instrument entitle a holder to receive payments (other than fixed periodic interest) that exceed the issue price of the instrument by more than a statutorily defined de minimis amount, the U.S. holder will be required to include such excess in income as "original issue discount" over the term of the instrument, irrespective of the U.S. holder's regular method of tax accounting. We expect, and the discussion below assumes, that the notes will not be issued with original issue discount for U.S. federal income tax purposes.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U.S. holder generally will recognize taxable gain or loss if the holder disposes of a note in a sale, exchange, redemption, retirement or other taxable disposition, including discharges and certain legal defeasances of the notes within one year of maturity or redemption, as described under "Description of the Notes—Defeasance of Notes and Certain Covenants in Certain Circumstances—Legal Defeasance" and "Description of the Notes—Satisfaction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the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Subject to the discussion below under "—Income or gains effectively connected with a U.S. trade or business," payments of interest to non-U.S. holders are generally subject to U.S. federal income tax at a rate of 30% (or a reduced or zero rate under the terms of an applicable income tax treaty between the United States and the non-U.S. holder's country of residence), collected by means of withholding by the payer. Payments of interest on the notes to most non-U.S. holders, however, will qualify as "portfolio interest," and thus will be exempt from U.S. federal income tax, including withholding of such tax, if the non-U.S. holders certify their nonresident status as described below, subject to the discussions below under "—Legislation and guidance relating to foreign accounts" and "—Backup withholding and information reporting". The portfolio interest exemption will not apply to payments of interest to a non-U.S. holder that:</w:t>
      </w:r>
    </w:p>
    <w:p>
      <w:pPr>
        <w:spacing w:after="0" w:line="214" w:lineRule="exact"/>
        <w:rPr>
          <w:sz w:val="20"/>
          <w:szCs w:val="20"/>
          <w:color w:val="auto"/>
        </w:rPr>
      </w:pPr>
    </w:p>
    <w:p>
      <w:pPr>
        <w:ind w:left="1080" w:right="1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 or</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186"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In general, a foreign corporation is a controlled foreign corporation if more than 50% of its stock (by vote or value) is owned, actually or constructively, by one or more U.S. persons that each owns, actually or constructively, at least 10% of the corporation's stock (by vote or value).</w:t>
      </w:r>
    </w:p>
    <w:p>
      <w:pPr>
        <w:spacing w:after="0" w:line="14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Subject to the discussion below under "—Backup withholding and information reporting," non-U.S. holders generally will not be subject to U.S. federal income or withholding tax on any gain realized on the sale, exchange, redemption, retirement or other disposition of notes (other than with respect to payments attributable to accrued but unpaid interest, which will be taxed as described under "—Taxation of interest" above). This general rule, however, is subject to several exceptions. For example, the gain would be subject to U.S. federal income tax if:</w:t>
      </w:r>
    </w:p>
    <w:p>
      <w:pPr>
        <w:spacing w:after="0" w:line="180" w:lineRule="exact"/>
        <w:rPr>
          <w:sz w:val="20"/>
          <w:szCs w:val="20"/>
          <w:color w:val="auto"/>
        </w:rPr>
      </w:pPr>
    </w:p>
    <w:p>
      <w:pPr>
        <w:jc w:val="both"/>
        <w:ind w:left="1080" w:right="360" w:hanging="532"/>
        <w:spacing w:after="0" w:line="335" w:lineRule="auto"/>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"—Income or gains effectively connected with a U.S. trade or business;" or</w:t>
      </w:r>
    </w:p>
    <w:p>
      <w:pPr>
        <w:spacing w:after="0" w:line="155" w:lineRule="exact"/>
        <w:rPr>
          <w:rFonts w:ascii="Arial" w:cs="Arial" w:eastAsia="Arial" w:hAnsi="Arial"/>
          <w:sz w:val="15"/>
          <w:szCs w:val="15"/>
          <w:color w:val="auto"/>
        </w:rPr>
      </w:pPr>
    </w:p>
    <w:p>
      <w:pPr>
        <w:ind w:left="1080" w:right="20" w:hanging="532"/>
        <w:spacing w:after="0" w:line="25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225" w:lineRule="exact"/>
        <w:rPr>
          <w:sz w:val="20"/>
          <w:szCs w:val="20"/>
          <w:color w:val="auto"/>
        </w:rPr>
      </w:pPr>
    </w:p>
    <w:p>
      <w:pPr>
        <w:ind w:right="20" w:firstLine="348"/>
        <w:spacing w:after="0" w:line="307" w:lineRule="auto"/>
        <w:rPr>
          <w:sz w:val="20"/>
          <w:szCs w:val="20"/>
          <w:color w:val="auto"/>
        </w:rPr>
      </w:pPr>
      <w:r>
        <w:rPr>
          <w:rFonts w:ascii="Arial" w:cs="Arial" w:eastAsia="Arial" w:hAnsi="Arial"/>
          <w:sz w:val="15"/>
          <w:szCs w:val="15"/>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disposition of the notes is effectively connected with a U.S. trade or business conducted by the non-U.S. holder, then the income or gain will be subject to U.S. federal income tax on a net income basis at the regular graduated rates and generally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of the notes paid by brokers to their customers. This reporting regime is reinforced by "backup withholding" rules, which require the payer to withhold from payments subject to information reporting if the recipient has failed to provide a correct taxpayer identification number to the payer, furnished an incorrect identification number, or repeatedly failed to report interest or dividends on tax returns. The backup withholding rate is currently 24%.</w:t>
      </w:r>
    </w:p>
    <w:p>
      <w:pPr>
        <w:spacing w:after="0" w:line="201" w:lineRule="exact"/>
        <w:rPr>
          <w:sz w:val="20"/>
          <w:szCs w:val="20"/>
          <w:color w:val="auto"/>
        </w:rPr>
      </w:pPr>
    </w:p>
    <w:p>
      <w:pPr>
        <w:ind w:right="340" w:firstLine="351"/>
        <w:spacing w:after="0" w:line="254" w:lineRule="auto"/>
        <w:rPr>
          <w:sz w:val="20"/>
          <w:szCs w:val="20"/>
          <w:color w:val="auto"/>
        </w:rPr>
      </w:pPr>
      <w:r>
        <w:rPr>
          <w:rFonts w:ascii="Arial" w:cs="Arial" w:eastAsia="Arial" w:hAnsi="Arial"/>
          <w:sz w:val="18"/>
          <w:szCs w:val="18"/>
          <w:color w:val="auto"/>
        </w:rPr>
        <w:t>Payments of interest to U.S. holders generally will be subject to information reporting, and generally will be subject to backup withholding, unless the holder (1) is an exempt payee, such as a corporation, or (2) provides the payer with a correct taxpayer identification number and complies with applicable certification requirements. Payments made to U.S. holders by a broker upon a sale or other disposition of notes will generally be subject to information reporting and backup withholding. If the sale is made through a foreign office of a foreign broker, however, the sale will generally not be subject to either information reporting or backup withholding. This exception may not apply if the foreign broker is owned or controlled by U.S. persons, or is engaged in a U.S. trade or business.</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must report annually to the IRS the interest paid to each non-U.S. holder and the tax withheld, if any, with respect to such interest, including any tax withheld pursuant to the rules described under "Non-U.S. Holders—Taxation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amounts withheld from a payment to a U.S. holder or non-U.S. holder of notes under the backup withholding rules generally can be credited against any U.S. federal income tax liability of the holder, provided the required information is timely furnished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and Guidance Relating to Foreign Accounts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as defined in the Code and applicable regulations. "Foreign financial institution" is defined to include, in addition to banks and traditional financial institutions, entities such as investment funds and certain holding companies. FATCA generally imposes a U.S. federal withholding tax of 30% on U.S. source interest income on a note and the gross proceeds of a disposition of a note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 (CONFLICTS OF INTEREST)</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Citigroup Global Markets Inc., Credit Suisse Securities (USA) LLC and Morgan Stanley &amp; Co. LLC are acting as representatives, has severally agreed to purchase, and we have agreed to sell to that underwriter, the aggregate principal amount of notes set forth opposite the underwriter's name in the following table:</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Principal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61"/>
        </w:trPr>
        <w:tc>
          <w:tcPr>
            <w:tcW w:w="6940" w:type="dxa"/>
            <w:vAlign w:val="bottom"/>
            <w:gridSpan w:val="3"/>
          </w:tcPr>
          <w:p>
            <w:pPr>
              <w:spacing w:after="0"/>
              <w:rPr>
                <w:sz w:val="20"/>
                <w:szCs w:val="20"/>
                <w:color w:val="auto"/>
              </w:rPr>
            </w:pPr>
            <w:r>
              <w:rPr>
                <w:rFonts w:ascii="Arial" w:cs="Arial" w:eastAsia="Arial" w:hAnsi="Arial"/>
                <w:sz w:val="13"/>
                <w:szCs w:val="13"/>
                <w:b w:val="1"/>
                <w:bCs w:val="1"/>
                <w:color w:val="auto"/>
              </w:rPr>
              <w:t>Underwriter</w:t>
            </w:r>
          </w:p>
        </w:tc>
        <w:tc>
          <w:tcPr>
            <w:tcW w:w="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760" w:type="dxa"/>
            <w:vAlign w:val="bottom"/>
            <w:gridSpan w:val="2"/>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17"/>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6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to offer the notes directly to the public at the public offering price set forth on the cover page of this prospectus supplement and</w:t>
      </w:r>
    </w:p>
    <w:p>
      <w:pPr>
        <w:spacing w:after="0" w:line="38"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some of the notes to dealers at the public offering price less a concession not to exceed % of the principal amount of the notes. The underwriters may allow, and any such dealer may reallow, a concession not to exceed % of the principal amount of the notes. After the initial offering of the notes to the public, the representatives may change the public offering price and other selling terms.</w:t>
      </w:r>
    </w:p>
    <w:p>
      <w:pPr>
        <w:spacing w:after="0" w:line="19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 and in total).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3"/>
          </w:tcPr>
          <w:p>
            <w:pPr>
              <w:ind w:left="100"/>
              <w:spacing w:after="0"/>
              <w:rPr>
                <w:sz w:val="20"/>
                <w:szCs w:val="20"/>
                <w:color w:val="auto"/>
              </w:rPr>
            </w:pPr>
            <w:r>
              <w:rPr>
                <w:rFonts w:ascii="Arial" w:cs="Arial" w:eastAsia="Arial" w:hAnsi="Arial"/>
                <w:sz w:val="13"/>
                <w:szCs w:val="13"/>
                <w:b w:val="1"/>
                <w:bCs w:val="1"/>
                <w:color w:val="auto"/>
              </w:rPr>
              <w:t>Paid by Micron</w:t>
            </w:r>
          </w:p>
        </w:tc>
      </w:tr>
      <w:tr>
        <w:trPr>
          <w:trHeight w:val="161"/>
        </w:trPr>
        <w:tc>
          <w:tcPr>
            <w:tcW w:w="17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7"/>
              </w:rPr>
              <w:t>Technology, Inc.</w:t>
            </w:r>
          </w:p>
        </w:tc>
        <w:tc>
          <w:tcPr>
            <w:tcW w:w="1480" w:type="dxa"/>
            <w:vAlign w:val="bottom"/>
            <w:gridSpan w:val="2"/>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r>
      <w:tr>
        <w:trPr>
          <w:trHeight w:val="222"/>
        </w:trPr>
        <w:tc>
          <w:tcPr>
            <w:tcW w:w="170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94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7"/>
        </w:trPr>
        <w:tc>
          <w:tcPr>
            <w:tcW w:w="8220" w:type="dxa"/>
            <w:vAlign w:val="bottom"/>
            <w:gridSpan w:val="2"/>
          </w:tcPr>
          <w:p>
            <w:pPr>
              <w:ind w:left="360"/>
              <w:spacing w:after="0"/>
              <w:rPr>
                <w:sz w:val="20"/>
                <w:szCs w:val="20"/>
                <w:color w:val="auto"/>
              </w:rPr>
            </w:pPr>
            <w:r>
              <w:rPr>
                <w:rFonts w:ascii="Arial" w:cs="Arial" w:eastAsia="Arial" w:hAnsi="Arial"/>
                <w:sz w:val="18"/>
                <w:szCs w:val="18"/>
                <w:color w:val="auto"/>
                <w:w w:val="90"/>
              </w:rPr>
              <w:t>We estimate that our total expenses for this offering, other than underwriting discount, will be approximately $</w:t>
            </w:r>
          </w:p>
        </w:tc>
        <w:tc>
          <w:tcPr>
            <w:tcW w:w="80" w:type="dxa"/>
            <w:vAlign w:val="bottom"/>
          </w:tcPr>
          <w:p>
            <w:pPr>
              <w:spacing w:after="0"/>
              <w:rPr>
                <w:sz w:val="24"/>
                <w:szCs w:val="24"/>
                <w:color w:val="auto"/>
              </w:rPr>
            </w:pPr>
          </w:p>
        </w:tc>
        <w:tc>
          <w:tcPr>
            <w:tcW w:w="2580" w:type="dxa"/>
            <w:vAlign w:val="bottom"/>
            <w:gridSpan w:val="3"/>
          </w:tcPr>
          <w:p>
            <w:pPr>
              <w:ind w:left="400"/>
              <w:spacing w:after="0"/>
              <w:rPr>
                <w:sz w:val="20"/>
                <w:szCs w:val="20"/>
                <w:color w:val="auto"/>
              </w:rPr>
            </w:pPr>
            <w:r>
              <w:rPr>
                <w:rFonts w:ascii="Arial" w:cs="Arial" w:eastAsia="Arial" w:hAnsi="Arial"/>
                <w:sz w:val="18"/>
                <w:szCs w:val="18"/>
                <w:color w:val="auto"/>
                <w:w w:val="89"/>
              </w:rPr>
              <w:t>million. The underwriters have</w:t>
            </w: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agreed to reimburse us for certain expenses incurred in connection with this offering.</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6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Certain of the underwriters and/or their affiliates may hold positions in certain of our outstanding notes and/or may be agents and/or lenders in our credit facility. For example, certain affiliates of Citigroup Global Markets Inc., Credit Suisse Securities (USA) LLC and Morgan Stanley &amp; Co. LLC are lenders under the revolving credit facility, and affiliates of Citigroup Global Markets Inc. and Credit Suisse Securities (USA) LLC are lenders under the Term Loan A Credit Facility. See "Use of Proceeds."</w:t>
      </w:r>
    </w:p>
    <w:p>
      <w:pPr>
        <w:spacing w:after="0" w:line="197" w:lineRule="exact"/>
        <w:rPr>
          <w:sz w:val="20"/>
          <w:szCs w:val="20"/>
          <w:color w:val="auto"/>
        </w:rPr>
      </w:pPr>
    </w:p>
    <w:p>
      <w:pPr>
        <w:ind w:right="160" w:firstLine="341"/>
        <w:spacing w:after="0" w:line="254" w:lineRule="auto"/>
        <w:rPr>
          <w:sz w:val="20"/>
          <w:szCs w:val="20"/>
          <w:color w:val="auto"/>
        </w:rPr>
      </w:pPr>
      <w:r>
        <w:rPr>
          <w:rFonts w:ascii="Arial" w:cs="Arial" w:eastAsia="Arial" w:hAnsi="Arial"/>
          <w:sz w:val="18"/>
          <w:szCs w:val="18"/>
          <w:color w:val="auto"/>
        </w:rPr>
        <w:t>Affiliates of certain underwriters will receive at least 5% of the net offering proceeds in connection with the repayment of a portion of the outstanding borrowings under our revolving credit facility. See "Use of Proceeds." Accordingly, this offering is made in compliance with the requirements of FINRA Rule 5121. Because the notes offered hereby have an investment grade rating, the appointment of a qualified independent underwriter will not be necessary. The underwriters subject to FINRA Rule 5121 will not confirm sales of the securities to any account over which they exercise discretionary authority without the prior written approval of the customer.</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Bank National Association serves as the trustee for the indenture governing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6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This prospectus supplement, the accompanying prospectus and any other material in relation to the notes described herein are being distributed only to, and are directed only at persons outside the United Kingdom or, if in the United Kingdom, persons who are "qualified investors" (as defined in Regulation (EU) 2017/1129) who are (i) persons having professional experience in matters relating to investments falling within Article 19(5) of the Financial Services and Markets Act 2000 (Financial Promotion) Order 2005 (the "Order"), or (ii) high net worth entities falling within Article 49(2)(a) to (d) of the Order or</w:t>
      </w:r>
    </w:p>
    <w:p>
      <w:pPr>
        <w:spacing w:after="0" w:line="3" w:lineRule="exact"/>
        <w:rPr>
          <w:sz w:val="20"/>
          <w:szCs w:val="20"/>
          <w:color w:val="auto"/>
        </w:rPr>
      </w:pPr>
    </w:p>
    <w:p>
      <w:pPr>
        <w:ind w:right="80" w:firstLine="8"/>
        <w:spacing w:after="0" w:line="290" w:lineRule="auto"/>
        <w:tabs>
          <w:tab w:leader="none" w:pos="307"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persons to whom it would otherwise be lawful to distribute them, all such persons together being referred to as "Relevant Persons." The notes are only available to, and any investment activity or invitation, offer or agreement to subscribe for, purchase or otherwise acquire such notes will be engaged in only with, Relevant Persons. This prospectus supplement, the accompanying prospectus and their contents should not be distributed, published or reproduced (in whole or in part) or disclosed by any recipients to any other person in the United Kingdom. Any person in the United Kingdom that is not a Relevant Person should not act or rely on this prospectus supplement and/or the accompanying prospectus or any of their contents. The notes are not being offered to the public in the United Kingdom. In addition, in the United Kingdom, the notes may not be offered other than by an underwriter that:</w:t>
      </w:r>
    </w:p>
    <w:p>
      <w:pPr>
        <w:spacing w:after="0" w:line="185" w:lineRule="exact"/>
        <w:rPr>
          <w:rFonts w:ascii="Arial" w:cs="Arial" w:eastAsia="Arial" w:hAnsi="Arial"/>
          <w:sz w:val="16"/>
          <w:szCs w:val="16"/>
          <w:color w:val="auto"/>
        </w:rPr>
      </w:pPr>
    </w:p>
    <w:p>
      <w:pPr>
        <w:ind w:left="1080" w:right="100" w:hanging="532"/>
        <w:spacing w:after="0" w:line="306" w:lineRule="auto"/>
        <w:tabs>
          <w:tab w:leader="none" w:pos="10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has only communicated or caused to be communicated and will only communicate or cause to be communicated an invitation or inducement to engage in investment activity (within the meaning of section 21 of the Financial Services and Market Act 2000 (as amended, the "FSMA")) received by it in connection with the issue or sale of the notes in circumstances in which Section 21(1) of the FSMA does not apply to us; and</w:t>
      </w:r>
    </w:p>
    <w:p>
      <w:pPr>
        <w:spacing w:after="0" w:line="187" w:lineRule="exact"/>
        <w:rPr>
          <w:rFonts w:ascii="Arial" w:cs="Arial" w:eastAsia="Arial" w:hAnsi="Arial"/>
          <w:sz w:val="16"/>
          <w:szCs w:val="16"/>
          <w:color w:val="auto"/>
        </w:rPr>
      </w:pPr>
    </w:p>
    <w:p>
      <w:pPr>
        <w:ind w:left="1080" w:right="60" w:hanging="532"/>
        <w:spacing w:after="0" w:line="268"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has complied and will comply with all applicable provisions of the FSMA with respect to anything done by it in relation to the notes in, from or otherwise involving the United Kingdom.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disposed of only to persons outside Hong Kong or only to "professional investors" as defined in the SFO and any rules made thereunder.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investor desiring to acquire the notes must be aware that the notes may not be Transferred to any other person unless such person is a QII.</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section:</w:t>
      </w:r>
    </w:p>
    <w:p>
      <w:pPr>
        <w:spacing w:after="0" w:line="239" w:lineRule="exact"/>
        <w:rPr>
          <w:sz w:val="20"/>
          <w:szCs w:val="20"/>
          <w:color w:val="auto"/>
        </w:rPr>
      </w:pPr>
    </w:p>
    <w:p>
      <w:pPr>
        <w:ind w:left="1080" w:right="480" w:hanging="532"/>
        <w:spacing w:after="0" w:line="33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167" w:lineRule="exact"/>
        <w:rPr>
          <w:rFonts w:ascii="Arial" w:cs="Arial" w:eastAsia="Arial" w:hAnsi="Arial"/>
          <w:sz w:val="16"/>
          <w:szCs w:val="16"/>
          <w:color w:val="auto"/>
        </w:rPr>
      </w:pPr>
    </w:p>
    <w:p>
      <w:pPr>
        <w:ind w:left="1080" w:right="80" w:hanging="532"/>
        <w:spacing w:after="0" w:line="369"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"Resident of Japan" means any person resident in Japan, including any corporation or other entity organized under the laws of Japan.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210" w:lineRule="exact"/>
        <w:rPr>
          <w:sz w:val="20"/>
          <w:szCs w:val="20"/>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39" w:lineRule="exact"/>
        <w:rPr>
          <w:sz w:val="20"/>
          <w:szCs w:val="20"/>
          <w:color w:val="auto"/>
        </w:rPr>
      </w:pPr>
    </w:p>
    <w:p>
      <w:pPr>
        <w:ind w:left="1080" w:right="160" w:hanging="532"/>
        <w:spacing w:after="0" w:line="33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6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21" w:lineRule="exact"/>
        <w:rPr>
          <w:sz w:val="20"/>
          <w:szCs w:val="20"/>
          <w:color w:val="auto"/>
        </w:rPr>
      </w:pPr>
    </w:p>
    <w:p>
      <w:pPr>
        <w:ind w:left="1620" w:right="1060" w:hanging="532"/>
        <w:spacing w:after="0" w:line="268"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620" w:right="540" w:hanging="532"/>
        <w:spacing w:after="0" w:line="268"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Securities and Futures Act Product Classification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VALIDITY OF SECURITIES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Simpson Thacher &amp; Bartlett LLP, Palo Alto, California, is acting as counsel to the underwriters.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29, 2019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 xml:space="preserve">We file annual, quarterly and current reports, proxy statements and other information with the SEC. The SEC maintains an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any document we file electronically with the SEC, including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which this prospectus supplement and the accompanying prospectus form a part, including the exhibits and schedules to the registration statement.</w:t>
      </w:r>
    </w:p>
    <w:p>
      <w:pPr>
        <w:spacing w:after="0" w:line="142"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contained herein shall be deemed to incorporate information furnished to, but not filed with, the SEC, including under Item 2.02 or Item 7.01 of any Current Report on Form 8-K:</w:t>
      </w:r>
    </w:p>
    <w:p>
      <w:pPr>
        <w:spacing w:after="0" w:line="185"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our Annual Report on Form 10-K for the year ended August 29, 2019;</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82">
        <w:r>
          <w:rPr>
            <w:rFonts w:ascii="Arial" w:cs="Arial" w:eastAsia="Arial" w:hAnsi="Arial"/>
            <w:sz w:val="18"/>
            <w:szCs w:val="18"/>
            <w:u w:val="single" w:color="auto"/>
            <w:color w:val="0000EE"/>
          </w:rPr>
          <w:t>November 28,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February 27, 2020;</w:t>
        </w:r>
      </w:hyperlink>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Information specifically incorporated by reference into our Annual Report on Form 10-K for the fiscal year ended </w:t>
      </w:r>
      <w:hyperlink r:id="rId81">
        <w:r>
          <w:rPr>
            <w:rFonts w:ascii="Arial" w:cs="Arial" w:eastAsia="Arial" w:hAnsi="Arial"/>
            <w:sz w:val="18"/>
            <w:szCs w:val="18"/>
            <w:u w:val="single" w:color="auto"/>
            <w:color w:val="0000EE"/>
          </w:rPr>
          <w:t>August 29,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Definitive Proxy Statement on Schedule 14A, filed with the SEC on </w:t>
      </w:r>
      <w:hyperlink r:id="rId83">
        <w:r>
          <w:rPr>
            <w:rFonts w:ascii="Arial" w:cs="Arial" w:eastAsia="Arial" w:hAnsi="Arial"/>
            <w:sz w:val="18"/>
            <w:szCs w:val="18"/>
            <w:u w:val="single" w:color="auto"/>
            <w:color w:val="0000EE"/>
          </w:rPr>
          <w:t>December 9, 2019</w:t>
        </w:r>
      </w:hyperlink>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84">
        <w:r>
          <w:rPr>
            <w:rFonts w:ascii="Arial" w:cs="Arial" w:eastAsia="Arial" w:hAnsi="Arial"/>
            <w:sz w:val="18"/>
            <w:szCs w:val="18"/>
            <w:u w:val="single" w:color="auto"/>
            <w:color w:val="0000EE"/>
          </w:rPr>
          <w:t>October 17, 2019</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EE"/>
          </w:rPr>
          <w:t>November 1, 2019</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EE"/>
          </w:rPr>
          <w:t>December 11, 2019</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EE"/>
          </w:rPr>
          <w:t>January 23,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by that Form 8-K/A filed on </w:t>
      </w:r>
      <w:hyperlink r:id="rId88">
        <w:r>
          <w:rPr>
            <w:rFonts w:ascii="Arial" w:cs="Arial" w:eastAsia="Arial" w:hAnsi="Arial"/>
            <w:sz w:val="18"/>
            <w:szCs w:val="18"/>
            <w:u w:val="single" w:color="auto"/>
            <w:color w:val="0000EE"/>
          </w:rPr>
          <w:t>January 23, 2020</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EE"/>
          </w:rPr>
          <w:t>March 12, 2020</w:t>
        </w:r>
      </w:hyperlink>
      <w:r>
        <w:rPr>
          <w:rFonts w:ascii="Arial" w:cs="Arial" w:eastAsia="Arial" w:hAnsi="Arial"/>
          <w:sz w:val="18"/>
          <w:szCs w:val="18"/>
          <w:color w:val="auto"/>
        </w:rPr>
        <w:t xml:space="preserve">, and </w:t>
      </w:r>
      <w:hyperlink r:id="rId90">
        <w:r>
          <w:rPr>
            <w:rFonts w:ascii="Arial" w:cs="Arial" w:eastAsia="Arial" w:hAnsi="Arial"/>
            <w:sz w:val="18"/>
            <w:szCs w:val="18"/>
            <w:u w:val="single" w:color="auto"/>
            <w:color w:val="0000EE"/>
          </w:rPr>
          <w:t>March 13, 2020.</w:t>
        </w:r>
      </w:hyperlink>
    </w:p>
    <w:p>
      <w:pPr>
        <w:spacing w:after="0" w:line="186"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6"/>
          <w:szCs w:val="16"/>
          <w:color w:val="auto"/>
        </w:rPr>
        <w:t xml:space="preserve">You may request a copy of these filings at no cost by contacting our Investor Relations department by visiting our Web site at </w:t>
      </w:r>
      <w:r>
        <w:rPr>
          <w:rFonts w:ascii="Arial" w:cs="Arial" w:eastAsia="Arial" w:hAnsi="Arial"/>
          <w:sz w:val="16"/>
          <w:szCs w:val="16"/>
          <w:i w:val="1"/>
          <w:iCs w:val="1"/>
          <w:color w:val="auto"/>
        </w:rPr>
        <w:t>www.micron.com</w:t>
      </w:r>
      <w:r>
        <w:rPr>
          <w:rFonts w:ascii="Arial" w:cs="Arial" w:eastAsia="Arial" w:hAnsi="Arial"/>
          <w:sz w:val="16"/>
          <w:szCs w:val="16"/>
          <w:color w:val="auto"/>
        </w:rPr>
        <w:t>, by calling</w:t>
      </w:r>
    </w:p>
    <w:p>
      <w:pPr>
        <w:spacing w:after="0" w:line="38" w:lineRule="exact"/>
        <w:rPr>
          <w:rFonts w:ascii="Arial" w:cs="Arial" w:eastAsia="Arial" w:hAnsi="Arial"/>
          <w:sz w:val="18"/>
          <w:szCs w:val="18"/>
          <w:color w:val="auto"/>
        </w:rPr>
      </w:pPr>
    </w:p>
    <w:p>
      <w:pPr>
        <w:ind w:right="240" w:firstLine="8"/>
        <w:spacing w:after="0" w:line="323"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368-4000, by writing to Investor Relations, Micron Technology, Inc., Mail Stop 407, 8000 South Federal Way, P.O. Box 6, Boise, ID 83707-0006. The information contained or incorporated in our website is not part of this prospectus supplement or the accompanying prospectus.</w:t>
      </w:r>
    </w:p>
    <w:p>
      <w:pPr>
        <w:spacing w:after="0" w:line="14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151765</wp:posOffset>
            </wp:positionV>
            <wp:extent cx="3634740" cy="10115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363474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142240</wp:posOffset>
            </wp:positionV>
            <wp:extent cx="1868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86" w:lineRule="exact"/>
        <w:rPr>
          <w:sz w:val="20"/>
          <w:szCs w:val="20"/>
          <w:color w:val="auto"/>
        </w:rPr>
      </w:pPr>
    </w:p>
    <w:p>
      <w:pPr>
        <w:jc w:val="both"/>
        <w:ind w:right="420" w:firstLine="351"/>
        <w:spacing w:after="0" w:line="256"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115570</wp:posOffset>
            </wp:positionV>
            <wp:extent cx="18688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40" w:firstLine="351"/>
        <w:spacing w:after="0" w:line="239" w:lineRule="auto"/>
        <w:rPr>
          <w:sz w:val="20"/>
          <w:szCs w:val="20"/>
          <w:color w:val="auto"/>
        </w:rPr>
      </w:pPr>
      <w:r>
        <w:rPr>
          <w:rFonts w:ascii="Arial" w:cs="Arial" w:eastAsia="Arial" w:hAnsi="Arial"/>
          <w:sz w:val="22"/>
          <w:szCs w:val="22"/>
          <w:b w:val="1"/>
          <w:bCs w:val="1"/>
          <w:color w:val="auto"/>
        </w:rPr>
        <w:t>INVESTING IN OUR SECURITIES INVOLVES RISKS. SEE THE "RISK FACTORS" INCORPORATED BY REFERENCE IN THIS PROSPECTUS AND ANY SIMILAR SECTION CONTAINED IN OR INCORPORATED BY REFERENCE IN THE APPLICABLE PROSPECTUS SUPPLEMENT CONCERNING FACTORS YOU SHOULD CONSIDER BEFORE INVESTING IN OUR SECURITIES.</w:t>
      </w:r>
    </w:p>
    <w:p>
      <w:pPr>
        <w:spacing w:after="0" w:line="19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9, 2017, the last reported sale price of our common stock on NASDAQ was $40.96 per share.</w:t>
      </w:r>
    </w:p>
    <w:p>
      <w:pPr>
        <w:spacing w:after="0" w:line="180"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620" w:type="dxa"/>
            <w:vAlign w:val="bottom"/>
            <w:vMerge w:val="restart"/>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ABOUT THIS PROSPECTUS</w:t>
              </w:r>
            </w:hyperlink>
          </w:p>
        </w:tc>
        <w:tc>
          <w:tcPr>
            <w:tcW w:w="3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201"/>
        </w:trPr>
        <w:tc>
          <w:tcPr>
            <w:tcW w:w="8620" w:type="dxa"/>
            <w:vAlign w:val="bottom"/>
            <w:vMerge w:val="continue"/>
          </w:tcPr>
          <w:p>
            <w:pPr>
              <w:spacing w:after="0"/>
              <w:rPr>
                <w:sz w:val="17"/>
                <w:szCs w:val="17"/>
                <w:color w:val="auto"/>
              </w:rPr>
            </w:pPr>
          </w:p>
        </w:tc>
        <w:tc>
          <w:tcPr>
            <w:tcW w:w="34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WHERE YOU CAN FIND MORE INFORMATION; INCORPORATION BY REFERENCE</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THE COMPANY</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RISK FACTORS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USE OF PROCEEDS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RATIO OF EARNINGS TO FIXED CHARGES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DESCRIPTION OF SECURITIES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8</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PLAN OF DISTRIBUTION</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9</w:t>
              </w:r>
            </w:hyperlink>
          </w:p>
        </w:tc>
        <w:tc>
          <w:tcPr>
            <w:tcW w:w="0" w:type="dxa"/>
            <w:vAlign w:val="bottom"/>
          </w:tcPr>
          <w:p>
            <w:pPr>
              <w:spacing w:after="0"/>
              <w:rPr>
                <w:sz w:val="1"/>
                <w:szCs w:val="1"/>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LEGAL MATTERS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222"/>
        </w:trPr>
        <w:tc>
          <w:tcPr>
            <w:tcW w:w="862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EXPERTS</w:t>
              </w:r>
            </w:hyperlink>
          </w:p>
        </w:tc>
        <w:tc>
          <w:tcPr>
            <w:tcW w:w="360" w:type="dxa"/>
            <w:vAlign w:val="bottom"/>
            <w:gridSpan w:val="2"/>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3"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81" w:lineRule="exact"/>
        <w:rPr>
          <w:sz w:val="20"/>
          <w:szCs w:val="20"/>
          <w:color w:val="auto"/>
        </w:rPr>
      </w:pPr>
    </w:p>
    <w:p>
      <w:pPr>
        <w:ind w:right="60" w:firstLine="348"/>
        <w:spacing w:after="0" w:line="331" w:lineRule="auto"/>
        <w:rPr>
          <w:sz w:val="20"/>
          <w:szCs w:val="20"/>
          <w:color w:val="auto"/>
        </w:rPr>
      </w:pPr>
      <w:r>
        <w:rPr>
          <w:rFonts w:ascii="Arial" w:cs="Arial" w:eastAsia="Arial" w:hAnsi="Arial"/>
          <w:sz w:val="16"/>
          <w:szCs w:val="16"/>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web site address is www.micron.com. The information on our web site, however, is not, and should not be deemed to be, a part of this prospectus.</w:t>
      </w:r>
    </w:p>
    <w:p>
      <w:pPr>
        <w:spacing w:after="0" w:line="248"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20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6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240" w:hanging="532"/>
        <w:spacing w:after="0" w:line="268" w:lineRule="auto"/>
        <w:tabs>
          <w:tab w:leader="none" w:pos="1080" w:val="left"/>
        </w:tabs>
        <w:numPr>
          <w:ilvl w:val="0"/>
          <w:numId w:val="44"/>
        </w:numPr>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Our Annual Report on Form 10-K for the fiscal year ended September 1, 2016 (as updated by the Current Report on Form 8-K filed with the</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SEC on October 10, 2017).</w:t>
        </w:r>
      </w:hyperlink>
    </w:p>
    <w:p>
      <w:pPr>
        <w:spacing w:after="0" w:line="21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Our Quarterly Reports </w:t>
      </w:r>
      <w:hyperlink r:id="rId99">
        <w:r>
          <w:rPr>
            <w:rFonts w:ascii="Arial" w:cs="Arial" w:eastAsia="Arial" w:hAnsi="Arial"/>
            <w:sz w:val="18"/>
            <w:szCs w:val="18"/>
            <w:u w:val="single" w:color="auto"/>
            <w:color w:val="0000EE"/>
          </w:rPr>
          <w:t xml:space="preserve">on Form 10-Q for the quarters ended December 1, 2016, </w:t>
        </w:r>
      </w:hyperlink>
      <w:hyperlink r:id="rId100">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2, 2017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1">
        <w:r>
          <w:rPr>
            <w:rFonts w:ascii="Arial" w:cs="Arial" w:eastAsia="Arial" w:hAnsi="Arial"/>
            <w:sz w:val="18"/>
            <w:szCs w:val="18"/>
            <w:u w:val="single" w:color="auto"/>
            <w:color w:val="0000EE"/>
          </w:rPr>
          <w:t>June 1, 2017.</w:t>
        </w:r>
      </w:hyperlink>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4"/>
        </w:numPr>
        <w:rPr>
          <w:rFonts w:ascii="Arial" w:cs="Arial" w:eastAsia="Arial" w:hAnsi="Arial"/>
          <w:sz w:val="18"/>
          <w:szCs w:val="18"/>
          <w:u w:val="single" w:color="auto"/>
          <w:color w:val="0000EE"/>
        </w:rPr>
      </w:pPr>
      <w:r>
        <w:rPr>
          <w:rFonts w:ascii="Arial" w:cs="Arial" w:eastAsia="Arial" w:hAnsi="Arial"/>
          <w:sz w:val="18"/>
          <w:szCs w:val="18"/>
          <w:color w:val="auto"/>
        </w:rPr>
        <w:t xml:space="preserve">Information specifically incorporated by reference into our Annual Report </w:t>
      </w:r>
      <w:hyperlink r:id="rId102">
        <w:r>
          <w:rPr>
            <w:rFonts w:ascii="Arial" w:cs="Arial" w:eastAsia="Arial" w:hAnsi="Arial"/>
            <w:sz w:val="18"/>
            <w:szCs w:val="18"/>
            <w:u w:val="single" w:color="auto"/>
            <w:color w:val="0000EE"/>
          </w:rPr>
          <w:t>on Form 10-K for the fiscal year ended September 1,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w:t>
      </w:r>
      <w:hyperlink r:id="rId103">
        <w:r>
          <w:rPr>
            <w:rFonts w:ascii="Arial" w:cs="Arial" w:eastAsia="Arial" w:hAnsi="Arial"/>
            <w:sz w:val="18"/>
            <w:szCs w:val="18"/>
            <w:u w:val="single" w:color="auto"/>
            <w:color w:val="0000EE"/>
          </w:rPr>
          <w:t>Definitive Proxy Statement on Schedule 14A filed on December 8, 2016.</w:t>
        </w:r>
      </w:hyperlink>
    </w:p>
    <w:p>
      <w:pPr>
        <w:spacing w:after="0" w:line="18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9" w:lineRule="auto"/>
        <w:tabs>
          <w:tab w:leader="none" w:pos="1080" w:val="left"/>
        </w:tabs>
        <w:numPr>
          <w:ilvl w:val="0"/>
          <w:numId w:val="45"/>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105">
        <w:r>
          <w:rPr>
            <w:rFonts w:ascii="Arial" w:cs="Arial" w:eastAsia="Arial" w:hAnsi="Arial"/>
            <w:sz w:val="18"/>
            <w:szCs w:val="18"/>
            <w:u w:val="single" w:color="auto"/>
            <w:color w:val="0000EE"/>
          </w:rPr>
          <w:t>September 2, 2016</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EE"/>
          </w:rPr>
          <w:t xml:space="preserve">October 11, 2016, </w:t>
        </w:r>
      </w:hyperlink>
      <w:hyperlink r:id="rId107">
        <w:r>
          <w:rPr>
            <w:rFonts w:ascii="Arial" w:cs="Arial" w:eastAsia="Arial" w:hAnsi="Arial"/>
            <w:sz w:val="18"/>
            <w:szCs w:val="18"/>
            <w:u w:val="single" w:color="auto"/>
            <w:color w:val="auto"/>
          </w:rPr>
          <w:t xml:space="preserve">October </w:t>
        </w:r>
        <w:r>
          <w:rPr>
            <w:rFonts w:ascii="Arial" w:cs="Arial" w:eastAsia="Arial" w:hAnsi="Arial"/>
            <w:sz w:val="18"/>
            <w:szCs w:val="18"/>
            <w:u w:val="single" w:color="auto"/>
            <w:color w:val="0000EE"/>
          </w:rPr>
          <w:t>24, 2016</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October 27, 2016</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November 9, 2016, November 18, 2016</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December 6, 2016, January 19, 2017, February 3,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February 16,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27, 2017, April 10,</w:t>
        </w:r>
      </w:hyperlink>
      <w:r>
        <w:rPr>
          <w:rFonts w:ascii="Arial" w:cs="Arial" w:eastAsia="Arial" w:hAnsi="Arial"/>
          <w:sz w:val="18"/>
          <w:szCs w:val="18"/>
          <w:color w:val="0000EE"/>
        </w:rPr>
        <w:t xml:space="preserve"> </w:t>
      </w:r>
      <w:hyperlink r:id="rId109">
        <w:r>
          <w:rPr>
            <w:rFonts w:ascii="Arial" w:cs="Arial" w:eastAsia="Arial" w:hAnsi="Arial"/>
            <w:sz w:val="18"/>
            <w:szCs w:val="18"/>
            <w:u w:val="single" w:color="auto"/>
            <w:color w:val="0000EE"/>
          </w:rPr>
          <w:t>2017</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0">
        <w:r>
          <w:rPr>
            <w:rFonts w:ascii="Arial" w:cs="Arial" w:eastAsia="Arial" w:hAnsi="Arial"/>
            <w:sz w:val="18"/>
            <w:szCs w:val="18"/>
            <w:u w:val="single" w:color="auto"/>
            <w:color w:val="0000EE"/>
          </w:rPr>
          <w:t>April 28, 2017</w:t>
        </w:r>
      </w:hyperlink>
      <w:hyperlink r:id="rId10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1">
        <w:r>
          <w:rPr>
            <w:rFonts w:ascii="Arial" w:cs="Arial" w:eastAsia="Arial" w:hAnsi="Arial"/>
            <w:sz w:val="18"/>
            <w:szCs w:val="18"/>
            <w:u w:val="single" w:color="auto"/>
            <w:color w:val="0000EE"/>
          </w:rPr>
          <w:t>May 17, 2017</w:t>
        </w:r>
      </w:hyperlink>
      <w:hyperlink r:id="rId10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2">
        <w:r>
          <w:rPr>
            <w:rFonts w:ascii="Arial" w:cs="Arial" w:eastAsia="Arial" w:hAnsi="Arial"/>
            <w:sz w:val="18"/>
            <w:szCs w:val="18"/>
            <w:u w:val="single" w:color="auto"/>
            <w:color w:val="0000EE"/>
          </w:rPr>
          <w:t>June 28, 2017</w:t>
        </w:r>
      </w:hyperlink>
      <w:hyperlink r:id="rId10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3">
        <w:r>
          <w:rPr>
            <w:rFonts w:ascii="Arial" w:cs="Arial" w:eastAsia="Arial" w:hAnsi="Arial"/>
            <w:sz w:val="18"/>
            <w:szCs w:val="18"/>
            <w:u w:val="single" w:color="auto"/>
            <w:color w:val="0000EE"/>
          </w:rPr>
          <w:t xml:space="preserve">July 27, 2017 </w:t>
        </w:r>
      </w:hyperlink>
      <w:hyperlink r:id="rId109">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98">
        <w:r>
          <w:rPr>
            <w:rFonts w:ascii="Arial" w:cs="Arial" w:eastAsia="Arial" w:hAnsi="Arial"/>
            <w:sz w:val="18"/>
            <w:szCs w:val="18"/>
            <w:u w:val="single" w:color="auto"/>
            <w:color w:val="0000EE"/>
          </w:rPr>
          <w:t>October 10, 2017.</w:t>
        </w:r>
      </w:hyperlink>
    </w:p>
    <w:p>
      <w:pPr>
        <w:spacing w:after="0" w:line="220" w:lineRule="exact"/>
        <w:rPr>
          <w:rFonts w:ascii="Arial" w:cs="Arial" w:eastAsia="Arial" w:hAnsi="Arial"/>
          <w:sz w:val="18"/>
          <w:szCs w:val="18"/>
          <w:color w:val="0000EE"/>
        </w:rPr>
      </w:pPr>
    </w:p>
    <w:p>
      <w:pPr>
        <w:ind w:left="1080" w:right="2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5"/>
        </w:numPr>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The description of our common stock purchase rights contained in our registration statement on Form 8-A, filed with the SEC on July 22, 2016,</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including any subsequently filed amendments and reports updating such description.</w:t>
        </w:r>
      </w:hyperlink>
    </w:p>
    <w:p>
      <w:pPr>
        <w:spacing w:after="0" w:line="186" w:lineRule="exact"/>
        <w:rPr>
          <w:rFonts w:ascii="Arial" w:cs="Arial" w:eastAsia="Arial" w:hAnsi="Arial"/>
          <w:sz w:val="18"/>
          <w:szCs w:val="18"/>
          <w:color w:val="auto"/>
        </w:rPr>
      </w:pPr>
    </w:p>
    <w:p>
      <w:pPr>
        <w:ind w:right="120" w:firstLine="341"/>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94" w:lineRule="exact"/>
        <w:rPr>
          <w:rFonts w:ascii="Arial" w:cs="Arial" w:eastAsia="Arial" w:hAnsi="Arial"/>
          <w:sz w:val="18"/>
          <w:szCs w:val="18"/>
          <w:color w:val="auto"/>
        </w:rPr>
      </w:pPr>
    </w:p>
    <w:p>
      <w:pPr>
        <w:ind w:right="600" w:firstLine="344"/>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Micron Technology, Inc.</w:t>
      </w:r>
    </w:p>
    <w:p>
      <w:pPr>
        <w:spacing w:after="0" w:line="15"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8000 South Federal Way</w:t>
      </w:r>
    </w:p>
    <w:p>
      <w:pPr>
        <w:spacing w:after="0" w:line="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Boise, Idaho 83716-9632</w:t>
      </w:r>
    </w:p>
    <w:p>
      <w:pPr>
        <w:spacing w:after="0" w:line="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(208) 368-4000</w:t>
      </w:r>
    </w:p>
    <w:p>
      <w:pPr>
        <w:spacing w:after="0" w:line="219" w:lineRule="exact"/>
        <w:rPr>
          <w:rFonts w:ascii="Arial" w:cs="Arial" w:eastAsia="Arial" w:hAnsi="Arial"/>
          <w:sz w:val="18"/>
          <w:szCs w:val="18"/>
          <w:color w:val="auto"/>
        </w:rPr>
      </w:pPr>
    </w:p>
    <w:p>
      <w:pPr>
        <w:ind w:right="66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rFonts w:ascii="Arial" w:cs="Arial" w:eastAsia="Arial" w:hAnsi="Arial"/>
          <w:sz w:val="18"/>
          <w:szCs w:val="18"/>
          <w:color w:val="auto"/>
        </w:rPr>
      </w:pPr>
    </w:p>
    <w:p>
      <w:pPr>
        <w:ind w:firstLine="348"/>
        <w:spacing w:after="0" w:line="268"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w:t>
      </w:r>
    </w:p>
    <w:p>
      <w:pPr>
        <w:spacing w:after="0" w:line="166"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Micron, a Delaware corporation, was originally incorporated in 1978. Our executive offices are located at 8000 South Federal Way, Boise, Idaho 83716-9632 and our telephone number is (208) 368-4000. Our common stock is currently listed on NASDAQ under the symbol "MU."</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historical ratios of earnings to fixed charges for Micron and its consolidated subsidiaries for the periods indicated.</w:t>
      </w:r>
    </w:p>
    <w:p>
      <w:pPr>
        <w:spacing w:after="0" w:line="200" w:lineRule="exact"/>
        <w:rPr>
          <w:sz w:val="20"/>
          <w:szCs w:val="20"/>
          <w:color w:val="auto"/>
        </w:rPr>
      </w:pPr>
    </w:p>
    <w:p>
      <w:pPr>
        <w:spacing w:after="0" w:line="25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3"/>
              </w:rPr>
              <w:t>Fiscal Year</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Nine Months</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3"/>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Ended June 1,</w:t>
            </w: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charges(1)</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7.4x</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8.3x</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6.2x</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08"/>
        </w:trPr>
        <w:tc>
          <w:tcPr>
            <w:tcW w:w="238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line="254"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income (loss) of equity method investees and noncontrolling interests plus "fixed charges." Fixed charges consist of interest expense (net of capitalized portion), capitalized interest, amortization of debt discount and the portion of rental expense representative of interest expense. Earnings before fixed charges were inadequate to cover total fixed charges by $311 million and $752 million for fiscal years 2016 and 2012, respectively.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debt securities, which may be senior or subordinated, and which may be convertible into our common stock or be non-convertible;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units.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offered securities from time to time:</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financial statements incorporated in this prospectus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4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160020</wp:posOffset>
            </wp:positionV>
            <wp:extent cx="4397375" cy="12433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439737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83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24"/>
          <w:szCs w:val="24"/>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160020</wp:posOffset>
            </wp:positionV>
            <wp:extent cx="18688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1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151765</wp:posOffset>
            </wp:positionV>
            <wp:extent cx="18688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0139"/>
          </w:cols>
          <w:pgMar w:left="320" w:top="131" w:right="1440" w:bottom="1440" w:gutter="0" w:footer="0" w:header="0"/>
        </w:sectPr>
      </w:pPr>
    </w:p>
    <w:p>
      <w:pPr>
        <w:spacing w:after="0" w:line="341" w:lineRule="exact"/>
        <w:rPr>
          <w:sz w:val="20"/>
          <w:szCs w:val="20"/>
          <w:color w:val="auto"/>
        </w:rPr>
      </w:pPr>
    </w:p>
    <w:p>
      <w:pPr>
        <w:ind w:left="1860"/>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370205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387350</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556895</wp:posOffset>
            </wp:positionV>
            <wp:extent cx="7136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Morgan Stanley</w:t>
      </w:r>
    </w:p>
    <w:p>
      <w:pPr>
        <w:sectPr>
          <w:pgSz w:w="11900" w:h="16838" w:orient="portrait"/>
          <w:cols w:equalWidth="0" w:num="3">
            <w:col w:w="3980" w:space="720"/>
            <w:col w:w="2200" w:space="720"/>
            <w:col w:w="2519"/>
          </w:cols>
          <w:pgMar w:left="320" w:top="131" w:right="1440" w:bottom="1440" w:gutter="0" w:footer="0" w:header="0"/>
          <w:type w:val="continuous"/>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2"/>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lowerRoman"/>
      <w:start w:val="3"/>
    </w:lvl>
    <w:lvl w:ilvl="1">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lowerRoman"/>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208"/>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jpe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10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jpe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8" Type="http://schemas.openxmlformats.org/officeDocument/2006/relationships/hyperlink" Target="http://www.sec.gov/Archives/edgar/data/723125/000072312520000034/0000723125-20-000034-index.htm" TargetMode="External"/><Relationship Id="rId81" Type="http://schemas.openxmlformats.org/officeDocument/2006/relationships/hyperlink" Target="http://www.sec.gov/Archives/edgar/data/723125/000072312519000094/a2019q4.htm" TargetMode="External"/><Relationship Id="rId82" Type="http://schemas.openxmlformats.org/officeDocument/2006/relationships/hyperlink" Target="http://www.sec.gov/Archives/edgar/data/723125/000072312519000174/0000723125-19-000174-index.htm" TargetMode="External"/><Relationship Id="rId83" Type="http://schemas.openxmlformats.org/officeDocument/2006/relationships/hyperlink" Target="http://www.sec.gov/Archives/edgar/data/723125/000104746919006745/a2240268zdef14a.htm" TargetMode="External"/><Relationship Id="rId84" Type="http://schemas.openxmlformats.org/officeDocument/2006/relationships/hyperlink" Target="http://www.sec.gov/Archives/edgar/data/723125/000072312519000091/a20208-kmarosvaricao.htm" TargetMode="External"/><Relationship Id="rId85" Type="http://schemas.openxmlformats.org/officeDocument/2006/relationships/hyperlink" Target="http://www.sec.gov/Archives/edgar/data/723125/000072312519000146/a20198-kimftclosing.htm" TargetMode="External"/><Relationship Id="rId86" Type="http://schemas.openxmlformats.org/officeDocument/2006/relationships/hyperlink" Target="http://www.sec.gov/Archives/edgar/data//723125/000072312519000165/a20198-kbyrneresignati.htm" TargetMode="External"/><Relationship Id="rId87" Type="http://schemas.openxmlformats.org/officeDocument/2006/relationships/hyperlink" Target="http://www.sec.gov/Archives/edgar/data/723125/000072312520000007/0000723125-20-000007-index.htm" TargetMode="External"/><Relationship Id="rId88" Type="http://schemas.openxmlformats.org/officeDocument/2006/relationships/hyperlink" Target="http://www.sec.gov/Archives/edgar/data/723125/000072312520000012/0000723125-20-000012-index.htm" TargetMode="External"/><Relationship Id="rId89" Type="http://schemas.openxmlformats.org/officeDocument/2006/relationships/hyperlink" Target="http://www.sec.gov/Archives/edgar/data/723125/000072312520000020/0000723125-20-000020-index.htm" TargetMode="External"/><Relationship Id="rId90" Type="http://schemas.openxmlformats.org/officeDocument/2006/relationships/hyperlink" Target="http://www.sec.gov/Archives/edgar/data/723125/000072312520000022/0000723125-20-000022-index.htm" TargetMode="External"/><Relationship Id="rId98" Type="http://schemas.openxmlformats.org/officeDocument/2006/relationships/hyperlink" Target="http://www.sec.gov/Archives/edgar/data/723125/000110465917061554/a17-18241_38k.htm" TargetMode="External"/><Relationship Id="rId99" Type="http://schemas.openxmlformats.org/officeDocument/2006/relationships/hyperlink" Target="http://www.sec.gov/Archives/edgar/data/723125/000072312517000005/a2017q1.htm" TargetMode="External"/><Relationship Id="rId100" Type="http://schemas.openxmlformats.org/officeDocument/2006/relationships/hyperlink" Target="http://www.sec.gov/Archives/edgar/data/723125/000072312517000037/a2017q2.htm" TargetMode="External"/><Relationship Id="rId101" Type="http://schemas.openxmlformats.org/officeDocument/2006/relationships/hyperlink" Target="http://www.sec.gov/Archives/edgar/data/723125/000072312517000085/a2017q3.htm" TargetMode="External"/><Relationship Id="rId102" Type="http://schemas.openxmlformats.org/officeDocument/2006/relationships/hyperlink" Target="http://www.sec.gov/Archives/edgar/data/723125/000072312516000269/a2016q4.htm" TargetMode="External"/><Relationship Id="rId103" Type="http://schemas.openxmlformats.org/officeDocument/2006/relationships/hyperlink" Target="http://www.sec.gov/Archives/edgar/data/723125/000072312516000296/a2016definitiveproxy.htm" TargetMode="External"/><Relationship Id="rId105" Type="http://schemas.openxmlformats.org/officeDocument/2006/relationships/hyperlink" Target="http://www.sec.gov/Archives/edgar/data/723125/000072312516000214/a20168-kofficerdeparture.htm" TargetMode="External"/><Relationship Id="rId106" Type="http://schemas.openxmlformats.org/officeDocument/2006/relationships/hyperlink" Target="http://www.sec.gov/Archives/edgar/data/723125/000072312516000231/a20168-k101116.htm" TargetMode="External"/><Relationship Id="rId107" Type="http://schemas.openxmlformats.org/officeDocument/2006/relationships/hyperlink" Target="http://www.sec.gov/Archives/edgar/data/723125/000072312516000259/a20168-k102116.htm" TargetMode="External"/><Relationship Id="rId108" Type="http://schemas.openxmlformats.org/officeDocument/2006/relationships/hyperlink" Target="http://www.sec.gov/Archives/edgar/data/723125/000072312516000265/a20168-k10272016.htm" TargetMode="External"/><Relationship Id="rId109" Type="http://schemas.openxmlformats.org/officeDocument/2006/relationships/hyperlink" Target="http://www.sec.gov/Archives/edgar/data/723125/000072312517000045/a20178-k04102017pressrelea.htm" TargetMode="External"/><Relationship Id="rId110" Type="http://schemas.openxmlformats.org/officeDocument/2006/relationships/hyperlink" Target="http://www.sec.gov/Archives/edgar/data/723125/000072312517000053/a20178-kmehrotraceo.htm" TargetMode="External"/><Relationship Id="rId111" Type="http://schemas.openxmlformats.org/officeDocument/2006/relationships/hyperlink" Target="http://www.sec.gov/Archives/edgar/data/723125/000072312517000060/a20178-k10b5x105162017.htm" TargetMode="External"/><Relationship Id="rId112" Type="http://schemas.openxmlformats.org/officeDocument/2006/relationships/hyperlink" Target="http://www.sec.gov/Archives/edgar/data/723125/000072312517000076/a20178-kofficerchange.htm" TargetMode="External"/><Relationship Id="rId113" Type="http://schemas.openxmlformats.org/officeDocument/2006/relationships/hyperlink" Target="http://www.sec.gov/Archives/edgar/data/723125/000072312517000092/a20178-kdurcanamendedandre.htm" TargetMode="External"/><Relationship Id="rId114" Type="http://schemas.openxmlformats.org/officeDocument/2006/relationships/hyperlink" Target="http://www.sec.gov/Archives/edgar/data/723125/000072312516000208/a8-arights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2020-04-21T07:48:14Z</dcterms:created>
  <dcterms:modified xsi:type="dcterms:W3CDTF">2020-04-21T07:48:14Z</dcterms:modified>
</cp:coreProperties>
</file>