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MEHROTRA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8000 S. FEDERAL WAY</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MICRON TECHNOLOGY INC</w:t>
              </w:r>
            </w:hyperlink>
            <w:r>
              <w:rPr/>
              <w:t xml:space="preserve"> [ </w:t>
            </w:r>
            <w:r>
              <w:rPr>
                <w:rFonts w:ascii="Times;serif" w:hAnsi="Times;serif"/>
                <w:color w:val="0000FF"/>
                <w:sz w:val="24"/>
                <w:shd w:fill="FFFFFF" w:val="clear"/>
              </w:rPr>
              <w:t>MU</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CEO and President</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92"/>
        <w:gridCol w:w="1149"/>
        <w:gridCol w:w="987"/>
        <w:gridCol w:w="94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702,437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72.66</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695,437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68,322</w:t>
            </w:r>
            <w:r>
              <w:rPr>
                <w:rFonts w:ascii="Times;serif" w:hAnsi="Times;serif"/>
                <w:color w:val="008000"/>
                <w:position w:val="7"/>
                <w:sz w:val="16"/>
                <w:sz w:val="20"/>
                <w:shd w:fill="FFFFFF" w:val="clear"/>
              </w:rPr>
              <w:t>(3)</w:t>
            </w:r>
            <w:r>
              <w:rPr/>
              <w:t xml:space="preserve"> </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763,759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68,322</w:t>
            </w:r>
            <w:r>
              <w:rPr>
                <w:rFonts w:ascii="Times;serif" w:hAnsi="Times;serif"/>
                <w:color w:val="008000"/>
                <w:position w:val="7"/>
                <w:sz w:val="16"/>
                <w:sz w:val="20"/>
                <w:shd w:fill="FFFFFF" w:val="clear"/>
              </w:rPr>
              <w:t>(3)</w:t>
            </w:r>
            <w:r>
              <w:rPr/>
              <w:t xml:space="preserve"> </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532,935</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GRAT</w:t>
            </w:r>
            <w:r>
              <w:rPr>
                <w:rFonts w:ascii="Times;serif" w:hAnsi="Times;serif"/>
                <w:color w:val="008000"/>
                <w:position w:val="7"/>
                <w:sz w:val="16"/>
                <w:sz w:val="20"/>
                <w:shd w:fill="FFFFFF" w:val="clear"/>
              </w:rPr>
              <w:t>(4)</w:t>
            </w:r>
            <w:r>
              <w:rPr/>
              <w:t xml:space="preserve"> </w:t>
            </w:r>
          </w:p>
        </w:tc>
      </w:tr>
    </w:tbl>
    <w:tbl>
      <w:tblPr>
        <w:tblW w:w="12284"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461,284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Non-qualified Stock Option exercise and stock sale reported on this Form 4 were effected automatically pursuant to a Rule 10b5-1 trading plan adopted by the Reporting Person on May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$72.08 to $73.075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transferred from a grantor retained annuity trust to a revocable trust. All trusts are for the benefit of the reporting person and his family.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Grantor retained annuity trusts are for the benefit of the Reporting Person and his family.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Non-qualified Stock Options vested in 2018, 2019, 2020, and 2021.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 Lan Bui,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42654" TargetMode="External"/><Relationship Id="rId4" Type="http://schemas.openxmlformats.org/officeDocument/2006/relationships/hyperlink" Target="http://www.sec.gov/cgi-bin/browse-edgar?action=getcompany&amp;CIK=000072312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763</Words>
  <Characters>4085</Characters>
  <CharactersWithSpaces>4754</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