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40"/>
        </w:trPr>
        <w:tc>
          <w:tcPr>
            <w:tcW w:w="33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360" w:type="dxa"/>
            <w:vAlign w:val="bottom"/>
            <w:tcBorders>
              <w:top w:val="single" w:sz="8" w:color="auto"/>
              <w:bottom w:val="single" w:sz="8" w:color="auto"/>
            </w:tcBorders>
          </w:tcPr>
          <w:p>
            <w:pPr>
              <w:spacing w:after="0"/>
              <w:rPr>
                <w:sz w:val="3"/>
                <w:szCs w:val="3"/>
                <w:color w:val="auto"/>
              </w:rPr>
            </w:pPr>
          </w:p>
        </w:tc>
        <w:tc>
          <w:tcPr>
            <w:tcW w:w="900" w:type="dxa"/>
            <w:vAlign w:val="bottom"/>
            <w:tcBorders>
              <w:top w:val="single" w:sz="8" w:color="auto"/>
              <w:bottom w:val="single" w:sz="8" w:color="auto"/>
            </w:tcBorders>
          </w:tcPr>
          <w:p>
            <w:pPr>
              <w:spacing w:after="0"/>
              <w:rPr>
                <w:sz w:val="3"/>
                <w:szCs w:val="3"/>
                <w:color w:val="auto"/>
              </w:rPr>
            </w:pPr>
          </w:p>
        </w:tc>
        <w:tc>
          <w:tcPr>
            <w:tcW w:w="380" w:type="dxa"/>
            <w:vAlign w:val="bottom"/>
            <w:tcBorders>
              <w:top w:val="single" w:sz="8" w:color="auto"/>
              <w:bottom w:val="single" w:sz="8" w:color="auto"/>
            </w:tcBorders>
          </w:tcPr>
          <w:p>
            <w:pPr>
              <w:spacing w:after="0"/>
              <w:rPr>
                <w:sz w:val="3"/>
                <w:szCs w:val="3"/>
                <w:color w:val="auto"/>
              </w:rPr>
            </w:pPr>
          </w:p>
        </w:tc>
        <w:tc>
          <w:tcPr>
            <w:tcW w:w="4900" w:type="dxa"/>
            <w:vAlign w:val="bottom"/>
            <w:tcBorders>
              <w:top w:val="single" w:sz="8" w:color="auto"/>
              <w:bottom w:val="single" w:sz="8" w:color="auto"/>
            </w:tcBorders>
          </w:tcPr>
          <w:p>
            <w:pPr>
              <w:spacing w:after="0"/>
              <w:rPr>
                <w:sz w:val="3"/>
                <w:szCs w:val="3"/>
                <w:color w:val="auto"/>
              </w:rPr>
            </w:pPr>
          </w:p>
        </w:tc>
      </w:tr>
      <w:tr>
        <w:trPr>
          <w:trHeight w:val="164"/>
        </w:trPr>
        <w:tc>
          <w:tcPr>
            <w:tcW w:w="3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540" w:type="dxa"/>
            <w:vAlign w:val="bottom"/>
            <w:gridSpan w:val="4"/>
          </w:tcPr>
          <w:p>
            <w:pPr>
              <w:jc w:val="center"/>
              <w:ind w:right="4821"/>
              <w:spacing w:after="0" w:line="164" w:lineRule="exact"/>
              <w:rPr>
                <w:sz w:val="20"/>
                <w:szCs w:val="20"/>
                <w:color w:val="auto"/>
              </w:rPr>
            </w:pPr>
            <w:r>
              <w:rPr>
                <w:rFonts w:ascii="Arial" w:cs="Arial" w:eastAsia="Arial" w:hAnsi="Arial"/>
                <w:sz w:val="19"/>
                <w:szCs w:val="19"/>
                <w:b w:val="1"/>
                <w:bCs w:val="1"/>
                <w:color w:val="auto"/>
                <w:w w:val="98"/>
              </w:rPr>
              <w:t>UNITED STATES</w:t>
            </w:r>
          </w:p>
        </w:tc>
      </w:tr>
      <w:tr>
        <w:trPr>
          <w:trHeight w:val="222"/>
        </w:trPr>
        <w:tc>
          <w:tcPr>
            <w:tcW w:w="3300" w:type="dxa"/>
            <w:vAlign w:val="bottom"/>
          </w:tcPr>
          <w:p>
            <w:pPr>
              <w:spacing w:after="0"/>
              <w:rPr>
                <w:sz w:val="19"/>
                <w:szCs w:val="19"/>
                <w:color w:val="auto"/>
              </w:rPr>
            </w:pPr>
          </w:p>
        </w:tc>
        <w:tc>
          <w:tcPr>
            <w:tcW w:w="8140" w:type="dxa"/>
            <w:vAlign w:val="bottom"/>
            <w:gridSpan w:val="5"/>
          </w:tcPr>
          <w:p>
            <w:pPr>
              <w:jc w:val="center"/>
              <w:ind w:right="3241"/>
              <w:spacing w:after="0"/>
              <w:rPr>
                <w:sz w:val="20"/>
                <w:szCs w:val="20"/>
                <w:color w:val="auto"/>
              </w:rPr>
            </w:pPr>
            <w:r>
              <w:rPr>
                <w:rFonts w:ascii="Arial" w:cs="Arial" w:eastAsia="Arial" w:hAnsi="Arial"/>
                <w:sz w:val="19"/>
                <w:szCs w:val="19"/>
                <w:b w:val="1"/>
                <w:bCs w:val="1"/>
                <w:color w:val="auto"/>
              </w:rPr>
              <w:t>SECURITIES AND EXCHANGE COMMISSION</w:t>
            </w:r>
          </w:p>
        </w:tc>
      </w:tr>
      <w:tr>
        <w:trPr>
          <w:trHeight w:val="205"/>
        </w:trPr>
        <w:tc>
          <w:tcPr>
            <w:tcW w:w="33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540" w:type="dxa"/>
            <w:vAlign w:val="bottom"/>
            <w:gridSpan w:val="4"/>
          </w:tcPr>
          <w:p>
            <w:pPr>
              <w:jc w:val="center"/>
              <w:ind w:right="4821"/>
              <w:spacing w:after="0"/>
              <w:rPr>
                <w:sz w:val="20"/>
                <w:szCs w:val="20"/>
                <w:color w:val="auto"/>
              </w:rPr>
            </w:pPr>
            <w:r>
              <w:rPr>
                <w:rFonts w:ascii="Arial" w:cs="Arial" w:eastAsia="Arial" w:hAnsi="Arial"/>
                <w:sz w:val="16"/>
                <w:szCs w:val="16"/>
                <w:b w:val="1"/>
                <w:bCs w:val="1"/>
                <w:color w:val="auto"/>
                <w:w w:val="90"/>
              </w:rPr>
              <w:t>Washington, D.C. 20549</w:t>
            </w:r>
          </w:p>
        </w:tc>
      </w:tr>
      <w:tr>
        <w:trPr>
          <w:trHeight w:val="380"/>
        </w:trPr>
        <w:tc>
          <w:tcPr>
            <w:tcW w:w="3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180" w:type="dxa"/>
            <w:vAlign w:val="bottom"/>
            <w:gridSpan w:val="3"/>
          </w:tcPr>
          <w:p>
            <w:pPr>
              <w:jc w:val="center"/>
              <w:ind w:right="5201"/>
              <w:spacing w:after="0"/>
              <w:rPr>
                <w:sz w:val="20"/>
                <w:szCs w:val="20"/>
                <w:color w:val="auto"/>
              </w:rPr>
            </w:pPr>
            <w:r>
              <w:rPr>
                <w:rFonts w:ascii="Arial" w:cs="Arial" w:eastAsia="Arial" w:hAnsi="Arial"/>
                <w:sz w:val="19"/>
                <w:szCs w:val="19"/>
                <w:b w:val="1"/>
                <w:bCs w:val="1"/>
                <w:color w:val="auto"/>
                <w:w w:val="99"/>
              </w:rPr>
              <w:t>FORM S-8</w:t>
            </w:r>
          </w:p>
        </w:tc>
      </w:tr>
      <w:tr>
        <w:trPr>
          <w:trHeight w:val="226"/>
        </w:trPr>
        <w:tc>
          <w:tcPr>
            <w:tcW w:w="3300" w:type="dxa"/>
            <w:vAlign w:val="bottom"/>
          </w:tcPr>
          <w:p>
            <w:pPr>
              <w:spacing w:after="0"/>
              <w:rPr>
                <w:sz w:val="19"/>
                <w:szCs w:val="19"/>
                <w:color w:val="auto"/>
              </w:rPr>
            </w:pPr>
          </w:p>
        </w:tc>
        <w:tc>
          <w:tcPr>
            <w:tcW w:w="8140" w:type="dxa"/>
            <w:vAlign w:val="bottom"/>
            <w:gridSpan w:val="5"/>
          </w:tcPr>
          <w:p>
            <w:pPr>
              <w:jc w:val="center"/>
              <w:ind w:right="3221"/>
              <w:spacing w:after="0"/>
              <w:rPr>
                <w:sz w:val="20"/>
                <w:szCs w:val="20"/>
                <w:color w:val="auto"/>
              </w:rPr>
            </w:pPr>
            <w:r>
              <w:rPr>
                <w:rFonts w:ascii="Arial" w:cs="Arial" w:eastAsia="Arial" w:hAnsi="Arial"/>
                <w:sz w:val="19"/>
                <w:szCs w:val="19"/>
                <w:b w:val="1"/>
                <w:bCs w:val="1"/>
                <w:color w:val="auto"/>
              </w:rPr>
              <w:t>REGISTRATION STATEMENT</w:t>
            </w:r>
          </w:p>
        </w:tc>
      </w:tr>
      <w:tr>
        <w:trPr>
          <w:trHeight w:val="190"/>
        </w:trPr>
        <w:tc>
          <w:tcPr>
            <w:tcW w:w="33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180" w:type="dxa"/>
            <w:vAlign w:val="bottom"/>
            <w:gridSpan w:val="3"/>
          </w:tcPr>
          <w:p>
            <w:pPr>
              <w:jc w:val="center"/>
              <w:ind w:right="5201"/>
              <w:spacing w:after="0"/>
              <w:rPr>
                <w:sz w:val="20"/>
                <w:szCs w:val="20"/>
                <w:color w:val="auto"/>
              </w:rPr>
            </w:pPr>
            <w:r>
              <w:rPr>
                <w:rFonts w:ascii="Arial" w:cs="Arial" w:eastAsia="Arial" w:hAnsi="Arial"/>
                <w:sz w:val="16"/>
                <w:szCs w:val="16"/>
                <w:b w:val="1"/>
                <w:bCs w:val="1"/>
                <w:i w:val="1"/>
                <w:iCs w:val="1"/>
                <w:color w:val="auto"/>
                <w:w w:val="90"/>
              </w:rPr>
              <w:t>Under</w:t>
            </w:r>
          </w:p>
        </w:tc>
      </w:tr>
      <w:tr>
        <w:trPr>
          <w:trHeight w:val="178"/>
        </w:trPr>
        <w:tc>
          <w:tcPr>
            <w:tcW w:w="3300" w:type="dxa"/>
            <w:vAlign w:val="bottom"/>
          </w:tcPr>
          <w:p>
            <w:pPr>
              <w:spacing w:after="0"/>
              <w:rPr>
                <w:sz w:val="15"/>
                <w:szCs w:val="15"/>
                <w:color w:val="auto"/>
              </w:rPr>
            </w:pPr>
          </w:p>
        </w:tc>
        <w:tc>
          <w:tcPr>
            <w:tcW w:w="8140" w:type="dxa"/>
            <w:vAlign w:val="bottom"/>
            <w:gridSpan w:val="5"/>
          </w:tcPr>
          <w:p>
            <w:pPr>
              <w:jc w:val="center"/>
              <w:ind w:right="3221"/>
              <w:spacing w:after="0" w:line="178" w:lineRule="exact"/>
              <w:rPr>
                <w:sz w:val="20"/>
                <w:szCs w:val="20"/>
                <w:color w:val="auto"/>
              </w:rPr>
            </w:pPr>
            <w:r>
              <w:rPr>
                <w:rFonts w:ascii="Arial" w:cs="Arial" w:eastAsia="Arial" w:hAnsi="Arial"/>
                <w:sz w:val="16"/>
                <w:szCs w:val="16"/>
                <w:b w:val="1"/>
                <w:bCs w:val="1"/>
                <w:i w:val="1"/>
                <w:iCs w:val="1"/>
                <w:color w:val="auto"/>
                <w:w w:val="86"/>
              </w:rPr>
              <w:t>The Securities Act of 1933</w:t>
            </w:r>
          </w:p>
        </w:tc>
      </w:tr>
      <w:tr>
        <w:trPr>
          <w:trHeight w:val="222"/>
        </w:trPr>
        <w:tc>
          <w:tcPr>
            <w:tcW w:w="3300" w:type="dxa"/>
            <w:vAlign w:val="bottom"/>
          </w:tcPr>
          <w:p>
            <w:pPr>
              <w:spacing w:after="0"/>
              <w:rPr>
                <w:sz w:val="19"/>
                <w:szCs w:val="19"/>
                <w:color w:val="auto"/>
              </w:rPr>
            </w:pPr>
          </w:p>
        </w:tc>
        <w:tc>
          <w:tcPr>
            <w:tcW w:w="8140" w:type="dxa"/>
            <w:vAlign w:val="bottom"/>
            <w:gridSpan w:val="5"/>
          </w:tcPr>
          <w:p>
            <w:pPr>
              <w:jc w:val="center"/>
              <w:ind w:right="3221"/>
              <w:spacing w:after="0"/>
              <w:rPr>
                <w:sz w:val="20"/>
                <w:szCs w:val="20"/>
                <w:color w:val="auto"/>
              </w:rPr>
            </w:pPr>
            <w:r>
              <w:rPr>
                <w:rFonts w:ascii="Arial" w:cs="Arial" w:eastAsia="Arial" w:hAnsi="Arial"/>
                <w:sz w:val="19"/>
                <w:szCs w:val="19"/>
                <w:b w:val="1"/>
                <w:bCs w:val="1"/>
                <w:color w:val="auto"/>
              </w:rPr>
              <w:t>MICRON TECHNOLOGY, INC.</w:t>
            </w:r>
          </w:p>
        </w:tc>
      </w:tr>
      <w:tr>
        <w:trPr>
          <w:trHeight w:val="205"/>
        </w:trPr>
        <w:tc>
          <w:tcPr>
            <w:tcW w:w="3300" w:type="dxa"/>
            <w:vAlign w:val="bottom"/>
          </w:tcPr>
          <w:p>
            <w:pPr>
              <w:spacing w:after="0"/>
              <w:rPr>
                <w:sz w:val="17"/>
                <w:szCs w:val="17"/>
                <w:color w:val="auto"/>
              </w:rPr>
            </w:pPr>
          </w:p>
        </w:tc>
        <w:tc>
          <w:tcPr>
            <w:tcW w:w="8140" w:type="dxa"/>
            <w:vAlign w:val="bottom"/>
            <w:gridSpan w:val="5"/>
          </w:tcPr>
          <w:p>
            <w:pPr>
              <w:jc w:val="center"/>
              <w:ind w:right="3241"/>
              <w:spacing w:after="0"/>
              <w:rPr>
                <w:sz w:val="20"/>
                <w:szCs w:val="20"/>
                <w:color w:val="auto"/>
              </w:rPr>
            </w:pPr>
            <w:r>
              <w:rPr>
                <w:rFonts w:ascii="Arial" w:cs="Arial" w:eastAsia="Arial" w:hAnsi="Arial"/>
                <w:sz w:val="16"/>
                <w:szCs w:val="16"/>
                <w:b w:val="1"/>
                <w:bCs w:val="1"/>
                <w:color w:val="auto"/>
                <w:w w:val="88"/>
              </w:rPr>
              <w:t>(Exact name of registrant as specified in its charter)</w:t>
            </w:r>
          </w:p>
        </w:tc>
      </w:tr>
      <w:tr>
        <w:trPr>
          <w:trHeight w:val="365"/>
        </w:trPr>
        <w:tc>
          <w:tcPr>
            <w:tcW w:w="3300" w:type="dxa"/>
            <w:vAlign w:val="bottom"/>
          </w:tcPr>
          <w:p>
            <w:pPr>
              <w:jc w:val="center"/>
              <w:ind w:left="421"/>
              <w:spacing w:after="0"/>
              <w:rPr>
                <w:sz w:val="20"/>
                <w:szCs w:val="20"/>
                <w:color w:val="auto"/>
              </w:rPr>
            </w:pPr>
            <w:r>
              <w:rPr>
                <w:rFonts w:ascii="Arial" w:cs="Arial" w:eastAsia="Arial" w:hAnsi="Arial"/>
                <w:sz w:val="16"/>
                <w:szCs w:val="16"/>
                <w:b w:val="1"/>
                <w:bCs w:val="1"/>
                <w:color w:val="auto"/>
                <w:w w:val="91"/>
              </w:rPr>
              <w:t>Delaware</w:t>
            </w:r>
          </w:p>
        </w:tc>
        <w:tc>
          <w:tcPr>
            <w:tcW w:w="8140" w:type="dxa"/>
            <w:vAlign w:val="bottom"/>
            <w:gridSpan w:val="5"/>
          </w:tcPr>
          <w:p>
            <w:pPr>
              <w:jc w:val="center"/>
              <w:ind w:left="4216"/>
              <w:spacing w:after="0"/>
              <w:rPr>
                <w:sz w:val="20"/>
                <w:szCs w:val="20"/>
                <w:color w:val="auto"/>
              </w:rPr>
            </w:pPr>
            <w:r>
              <w:rPr>
                <w:rFonts w:ascii="Arial" w:cs="Arial" w:eastAsia="Arial" w:hAnsi="Arial"/>
                <w:sz w:val="16"/>
                <w:szCs w:val="16"/>
                <w:b w:val="1"/>
                <w:bCs w:val="1"/>
                <w:color w:val="auto"/>
                <w:w w:val="88"/>
              </w:rPr>
              <w:t>75-1618004</w:t>
            </w:r>
          </w:p>
        </w:tc>
      </w:tr>
      <w:tr>
        <w:trPr>
          <w:trHeight w:val="190"/>
        </w:trPr>
        <w:tc>
          <w:tcPr>
            <w:tcW w:w="3300" w:type="dxa"/>
            <w:vAlign w:val="bottom"/>
          </w:tcPr>
          <w:p>
            <w:pPr>
              <w:jc w:val="center"/>
              <w:ind w:left="441"/>
              <w:spacing w:after="0"/>
              <w:rPr>
                <w:sz w:val="20"/>
                <w:szCs w:val="20"/>
                <w:color w:val="auto"/>
              </w:rPr>
            </w:pPr>
            <w:r>
              <w:rPr>
                <w:rFonts w:ascii="Arial" w:cs="Arial" w:eastAsia="Arial" w:hAnsi="Arial"/>
                <w:sz w:val="16"/>
                <w:szCs w:val="16"/>
                <w:b w:val="1"/>
                <w:bCs w:val="1"/>
                <w:color w:val="auto"/>
                <w:w w:val="90"/>
              </w:rPr>
              <w:t>(State or other jurisdiction of</w:t>
            </w:r>
          </w:p>
        </w:tc>
        <w:tc>
          <w:tcPr>
            <w:tcW w:w="1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900" w:type="dxa"/>
            <w:vAlign w:val="bottom"/>
          </w:tcPr>
          <w:p>
            <w:pPr>
              <w:jc w:val="center"/>
              <w:ind w:left="1001"/>
              <w:spacing w:after="0"/>
              <w:rPr>
                <w:sz w:val="20"/>
                <w:szCs w:val="20"/>
                <w:color w:val="auto"/>
              </w:rPr>
            </w:pPr>
            <w:r>
              <w:rPr>
                <w:rFonts w:ascii="Arial" w:cs="Arial" w:eastAsia="Arial" w:hAnsi="Arial"/>
                <w:sz w:val="16"/>
                <w:szCs w:val="16"/>
                <w:b w:val="1"/>
                <w:bCs w:val="1"/>
                <w:color w:val="auto"/>
                <w:w w:val="92"/>
              </w:rPr>
              <w:t>(I.R.S. Employer</w:t>
            </w:r>
          </w:p>
        </w:tc>
      </w:tr>
      <w:tr>
        <w:trPr>
          <w:trHeight w:val="190"/>
        </w:trPr>
        <w:tc>
          <w:tcPr>
            <w:tcW w:w="3300" w:type="dxa"/>
            <w:vAlign w:val="bottom"/>
          </w:tcPr>
          <w:p>
            <w:pPr>
              <w:jc w:val="center"/>
              <w:ind w:left="421"/>
              <w:spacing w:after="0"/>
              <w:rPr>
                <w:sz w:val="20"/>
                <w:szCs w:val="20"/>
                <w:color w:val="auto"/>
              </w:rPr>
            </w:pPr>
            <w:r>
              <w:rPr>
                <w:rFonts w:ascii="Arial" w:cs="Arial" w:eastAsia="Arial" w:hAnsi="Arial"/>
                <w:sz w:val="16"/>
                <w:szCs w:val="16"/>
                <w:b w:val="1"/>
                <w:bCs w:val="1"/>
                <w:color w:val="auto"/>
                <w:w w:val="91"/>
              </w:rPr>
              <w:t>incorporation or organization)</w:t>
            </w:r>
          </w:p>
        </w:tc>
        <w:tc>
          <w:tcPr>
            <w:tcW w:w="1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900" w:type="dxa"/>
            <w:vAlign w:val="bottom"/>
          </w:tcPr>
          <w:p>
            <w:pPr>
              <w:jc w:val="center"/>
              <w:ind w:left="1001"/>
              <w:spacing w:after="0"/>
              <w:rPr>
                <w:sz w:val="20"/>
                <w:szCs w:val="20"/>
                <w:color w:val="auto"/>
              </w:rPr>
            </w:pPr>
            <w:r>
              <w:rPr>
                <w:rFonts w:ascii="Arial" w:cs="Arial" w:eastAsia="Arial" w:hAnsi="Arial"/>
                <w:sz w:val="16"/>
                <w:szCs w:val="16"/>
                <w:b w:val="1"/>
                <w:bCs w:val="1"/>
                <w:color w:val="auto"/>
                <w:w w:val="93"/>
              </w:rPr>
              <w:t>Identification Number)</w:t>
            </w:r>
          </w:p>
        </w:tc>
      </w:tr>
      <w:tr>
        <w:trPr>
          <w:trHeight w:val="190"/>
        </w:trPr>
        <w:tc>
          <w:tcPr>
            <w:tcW w:w="3300" w:type="dxa"/>
            <w:vAlign w:val="bottom"/>
          </w:tcPr>
          <w:p>
            <w:pPr>
              <w:spacing w:after="0"/>
              <w:rPr>
                <w:sz w:val="16"/>
                <w:szCs w:val="16"/>
                <w:color w:val="auto"/>
              </w:rPr>
            </w:pPr>
          </w:p>
        </w:tc>
        <w:tc>
          <w:tcPr>
            <w:tcW w:w="8140" w:type="dxa"/>
            <w:vAlign w:val="bottom"/>
            <w:gridSpan w:val="5"/>
          </w:tcPr>
          <w:p>
            <w:pPr>
              <w:jc w:val="center"/>
              <w:ind w:right="3241"/>
              <w:spacing w:after="0"/>
              <w:rPr>
                <w:sz w:val="20"/>
                <w:szCs w:val="20"/>
                <w:color w:val="auto"/>
              </w:rPr>
            </w:pPr>
            <w:r>
              <w:rPr>
                <w:rFonts w:ascii="Arial" w:cs="Arial" w:eastAsia="Arial" w:hAnsi="Arial"/>
                <w:sz w:val="16"/>
                <w:szCs w:val="16"/>
                <w:b w:val="1"/>
                <w:bCs w:val="1"/>
                <w:color w:val="auto"/>
                <w:w w:val="90"/>
              </w:rPr>
              <w:t>8000 South Federal Way</w:t>
            </w:r>
          </w:p>
        </w:tc>
      </w:tr>
      <w:tr>
        <w:trPr>
          <w:trHeight w:val="190"/>
        </w:trPr>
        <w:tc>
          <w:tcPr>
            <w:tcW w:w="3300" w:type="dxa"/>
            <w:vAlign w:val="bottom"/>
          </w:tcPr>
          <w:p>
            <w:pPr>
              <w:spacing w:after="0"/>
              <w:rPr>
                <w:sz w:val="16"/>
                <w:szCs w:val="16"/>
                <w:color w:val="auto"/>
              </w:rPr>
            </w:pPr>
          </w:p>
        </w:tc>
        <w:tc>
          <w:tcPr>
            <w:tcW w:w="8140" w:type="dxa"/>
            <w:vAlign w:val="bottom"/>
            <w:gridSpan w:val="5"/>
          </w:tcPr>
          <w:p>
            <w:pPr>
              <w:jc w:val="center"/>
              <w:ind w:right="3241"/>
              <w:spacing w:after="0"/>
              <w:rPr>
                <w:sz w:val="20"/>
                <w:szCs w:val="20"/>
                <w:color w:val="auto"/>
              </w:rPr>
            </w:pPr>
            <w:r>
              <w:rPr>
                <w:rFonts w:ascii="Arial" w:cs="Arial" w:eastAsia="Arial" w:hAnsi="Arial"/>
                <w:sz w:val="16"/>
                <w:szCs w:val="16"/>
                <w:b w:val="1"/>
                <w:bCs w:val="1"/>
                <w:color w:val="auto"/>
                <w:w w:val="88"/>
              </w:rPr>
              <w:t>P.O. Box 6, Boise Idaho 83707-0006</w:t>
            </w:r>
          </w:p>
        </w:tc>
      </w:tr>
      <w:tr>
        <w:trPr>
          <w:trHeight w:val="205"/>
        </w:trPr>
        <w:tc>
          <w:tcPr>
            <w:tcW w:w="3300" w:type="dxa"/>
            <w:vAlign w:val="bottom"/>
          </w:tcPr>
          <w:p>
            <w:pPr>
              <w:spacing w:after="0"/>
              <w:rPr>
                <w:sz w:val="17"/>
                <w:szCs w:val="17"/>
                <w:color w:val="auto"/>
              </w:rPr>
            </w:pPr>
          </w:p>
        </w:tc>
        <w:tc>
          <w:tcPr>
            <w:tcW w:w="8140" w:type="dxa"/>
            <w:vAlign w:val="bottom"/>
            <w:gridSpan w:val="5"/>
          </w:tcPr>
          <w:p>
            <w:pPr>
              <w:jc w:val="center"/>
              <w:ind w:right="3241"/>
              <w:spacing w:after="0"/>
              <w:rPr>
                <w:sz w:val="20"/>
                <w:szCs w:val="20"/>
                <w:color w:val="auto"/>
              </w:rPr>
            </w:pPr>
            <w:r>
              <w:rPr>
                <w:rFonts w:ascii="Arial" w:cs="Arial" w:eastAsia="Arial" w:hAnsi="Arial"/>
                <w:sz w:val="16"/>
                <w:szCs w:val="16"/>
                <w:b w:val="1"/>
                <w:bCs w:val="1"/>
                <w:color w:val="auto"/>
                <w:w w:val="87"/>
              </w:rPr>
              <w:t>(Address of principal executive offices)</w:t>
            </w:r>
          </w:p>
        </w:tc>
      </w:tr>
      <w:tr>
        <w:trPr>
          <w:trHeight w:val="404"/>
        </w:trPr>
        <w:tc>
          <w:tcPr>
            <w:tcW w:w="3300" w:type="dxa"/>
            <w:vAlign w:val="bottom"/>
          </w:tcPr>
          <w:p>
            <w:pPr>
              <w:spacing w:after="0"/>
              <w:rPr>
                <w:sz w:val="24"/>
                <w:szCs w:val="24"/>
                <w:color w:val="auto"/>
              </w:rPr>
            </w:pPr>
          </w:p>
        </w:tc>
        <w:tc>
          <w:tcPr>
            <w:tcW w:w="8140" w:type="dxa"/>
            <w:vAlign w:val="bottom"/>
            <w:gridSpan w:val="5"/>
          </w:tcPr>
          <w:p>
            <w:pPr>
              <w:jc w:val="center"/>
              <w:ind w:right="3221"/>
              <w:spacing w:after="0"/>
              <w:rPr>
                <w:sz w:val="20"/>
                <w:szCs w:val="20"/>
                <w:color w:val="auto"/>
              </w:rPr>
            </w:pPr>
            <w:r>
              <w:rPr>
                <w:rFonts w:ascii="Arial" w:cs="Arial" w:eastAsia="Arial" w:hAnsi="Arial"/>
                <w:sz w:val="19"/>
                <w:szCs w:val="19"/>
                <w:b w:val="1"/>
                <w:bCs w:val="1"/>
                <w:color w:val="auto"/>
                <w:w w:val="90"/>
              </w:rPr>
              <w:t>Micron Technology, Inc.</w:t>
            </w:r>
          </w:p>
        </w:tc>
      </w:tr>
      <w:tr>
        <w:trPr>
          <w:trHeight w:val="247"/>
        </w:trPr>
        <w:tc>
          <w:tcPr>
            <w:tcW w:w="3300" w:type="dxa"/>
            <w:vAlign w:val="bottom"/>
          </w:tcPr>
          <w:p>
            <w:pPr>
              <w:spacing w:after="0"/>
              <w:rPr>
                <w:sz w:val="21"/>
                <w:szCs w:val="21"/>
                <w:color w:val="auto"/>
              </w:rPr>
            </w:pPr>
          </w:p>
        </w:tc>
        <w:tc>
          <w:tcPr>
            <w:tcW w:w="8140" w:type="dxa"/>
            <w:vAlign w:val="bottom"/>
            <w:gridSpan w:val="5"/>
          </w:tcPr>
          <w:p>
            <w:pPr>
              <w:jc w:val="center"/>
              <w:ind w:right="3241"/>
              <w:spacing w:after="0"/>
              <w:rPr>
                <w:sz w:val="20"/>
                <w:szCs w:val="20"/>
                <w:color w:val="auto"/>
              </w:rPr>
            </w:pPr>
            <w:r>
              <w:rPr>
                <w:rFonts w:ascii="Arial" w:cs="Arial" w:eastAsia="Arial" w:hAnsi="Arial"/>
                <w:sz w:val="19"/>
                <w:szCs w:val="19"/>
                <w:b w:val="1"/>
                <w:bCs w:val="1"/>
                <w:color w:val="auto"/>
                <w:w w:val="91"/>
              </w:rPr>
              <w:t>2004 Equity Incentive Plan</w:t>
            </w:r>
          </w:p>
        </w:tc>
      </w:tr>
      <w:tr>
        <w:trPr>
          <w:trHeight w:val="394"/>
        </w:trPr>
        <w:tc>
          <w:tcPr>
            <w:tcW w:w="3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540" w:type="dxa"/>
            <w:vAlign w:val="bottom"/>
            <w:gridSpan w:val="4"/>
          </w:tcPr>
          <w:p>
            <w:pPr>
              <w:jc w:val="center"/>
              <w:ind w:right="4821"/>
              <w:spacing w:after="0"/>
              <w:rPr>
                <w:sz w:val="20"/>
                <w:szCs w:val="20"/>
                <w:color w:val="auto"/>
              </w:rPr>
            </w:pPr>
            <w:r>
              <w:rPr>
                <w:rFonts w:ascii="Arial" w:cs="Arial" w:eastAsia="Arial" w:hAnsi="Arial"/>
                <w:sz w:val="16"/>
                <w:szCs w:val="16"/>
                <w:color w:val="auto"/>
                <w:w w:val="93"/>
              </w:rPr>
              <w:t>(Full title of the plan)</w:t>
            </w:r>
          </w:p>
        </w:tc>
      </w:tr>
      <w:tr>
        <w:trPr>
          <w:trHeight w:val="389"/>
        </w:trPr>
        <w:tc>
          <w:tcPr>
            <w:tcW w:w="3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540" w:type="dxa"/>
            <w:vAlign w:val="bottom"/>
            <w:gridSpan w:val="4"/>
          </w:tcPr>
          <w:p>
            <w:pPr>
              <w:jc w:val="center"/>
              <w:ind w:right="4821"/>
              <w:spacing w:after="0"/>
              <w:rPr>
                <w:sz w:val="20"/>
                <w:szCs w:val="20"/>
                <w:color w:val="auto"/>
              </w:rPr>
            </w:pPr>
            <w:r>
              <w:rPr>
                <w:rFonts w:ascii="Arial" w:cs="Arial" w:eastAsia="Arial" w:hAnsi="Arial"/>
                <w:sz w:val="16"/>
                <w:szCs w:val="16"/>
                <w:b w:val="1"/>
                <w:bCs w:val="1"/>
                <w:color w:val="auto"/>
                <w:w w:val="95"/>
              </w:rPr>
              <w:t>D. Mark Durcan</w:t>
            </w:r>
          </w:p>
        </w:tc>
      </w:tr>
      <w:tr>
        <w:trPr>
          <w:trHeight w:val="190"/>
        </w:trPr>
        <w:tc>
          <w:tcPr>
            <w:tcW w:w="3300" w:type="dxa"/>
            <w:vAlign w:val="bottom"/>
          </w:tcPr>
          <w:p>
            <w:pPr>
              <w:spacing w:after="0"/>
              <w:rPr>
                <w:sz w:val="16"/>
                <w:szCs w:val="16"/>
                <w:color w:val="auto"/>
              </w:rPr>
            </w:pPr>
          </w:p>
        </w:tc>
        <w:tc>
          <w:tcPr>
            <w:tcW w:w="8140" w:type="dxa"/>
            <w:vAlign w:val="bottom"/>
            <w:gridSpan w:val="5"/>
          </w:tcPr>
          <w:p>
            <w:pPr>
              <w:jc w:val="center"/>
              <w:ind w:right="3221"/>
              <w:spacing w:after="0"/>
              <w:rPr>
                <w:sz w:val="20"/>
                <w:szCs w:val="20"/>
                <w:color w:val="auto"/>
              </w:rPr>
            </w:pPr>
            <w:r>
              <w:rPr>
                <w:rFonts w:ascii="Arial" w:cs="Arial" w:eastAsia="Arial" w:hAnsi="Arial"/>
                <w:sz w:val="16"/>
                <w:szCs w:val="16"/>
                <w:b w:val="1"/>
                <w:bCs w:val="1"/>
                <w:color w:val="auto"/>
                <w:w w:val="90"/>
              </w:rPr>
              <w:t>President and Chief Operating Officer</w:t>
            </w:r>
          </w:p>
        </w:tc>
      </w:tr>
      <w:tr>
        <w:trPr>
          <w:trHeight w:val="190"/>
        </w:trPr>
        <w:tc>
          <w:tcPr>
            <w:tcW w:w="33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540" w:type="dxa"/>
            <w:vAlign w:val="bottom"/>
            <w:gridSpan w:val="4"/>
          </w:tcPr>
          <w:p>
            <w:pPr>
              <w:jc w:val="center"/>
              <w:ind w:right="4821"/>
              <w:spacing w:after="0"/>
              <w:rPr>
                <w:sz w:val="20"/>
                <w:szCs w:val="20"/>
                <w:color w:val="auto"/>
              </w:rPr>
            </w:pPr>
            <w:r>
              <w:rPr>
                <w:rFonts w:ascii="Arial" w:cs="Arial" w:eastAsia="Arial" w:hAnsi="Arial"/>
                <w:sz w:val="16"/>
                <w:szCs w:val="16"/>
                <w:b w:val="1"/>
                <w:bCs w:val="1"/>
                <w:color w:val="auto"/>
                <w:w w:val="89"/>
              </w:rPr>
              <w:t>Micron Technology, Inc.</w:t>
            </w:r>
          </w:p>
        </w:tc>
      </w:tr>
      <w:tr>
        <w:trPr>
          <w:trHeight w:val="190"/>
        </w:trPr>
        <w:tc>
          <w:tcPr>
            <w:tcW w:w="3300" w:type="dxa"/>
            <w:vAlign w:val="bottom"/>
          </w:tcPr>
          <w:p>
            <w:pPr>
              <w:spacing w:after="0"/>
              <w:rPr>
                <w:sz w:val="16"/>
                <w:szCs w:val="16"/>
                <w:color w:val="auto"/>
              </w:rPr>
            </w:pPr>
          </w:p>
        </w:tc>
        <w:tc>
          <w:tcPr>
            <w:tcW w:w="8140" w:type="dxa"/>
            <w:vAlign w:val="bottom"/>
            <w:gridSpan w:val="5"/>
          </w:tcPr>
          <w:p>
            <w:pPr>
              <w:jc w:val="center"/>
              <w:ind w:right="3241"/>
              <w:spacing w:after="0"/>
              <w:rPr>
                <w:sz w:val="20"/>
                <w:szCs w:val="20"/>
                <w:color w:val="auto"/>
              </w:rPr>
            </w:pPr>
            <w:r>
              <w:rPr>
                <w:rFonts w:ascii="Arial" w:cs="Arial" w:eastAsia="Arial" w:hAnsi="Arial"/>
                <w:sz w:val="16"/>
                <w:szCs w:val="16"/>
                <w:b w:val="1"/>
                <w:bCs w:val="1"/>
                <w:color w:val="auto"/>
                <w:w w:val="90"/>
              </w:rPr>
              <w:t>8000 South Federal Way</w:t>
            </w:r>
          </w:p>
        </w:tc>
      </w:tr>
      <w:tr>
        <w:trPr>
          <w:trHeight w:val="171"/>
        </w:trPr>
        <w:tc>
          <w:tcPr>
            <w:tcW w:w="3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40" w:type="dxa"/>
            <w:vAlign w:val="bottom"/>
            <w:tcBorders>
              <w:bottom w:val="single" w:sz="8" w:color="auto"/>
            </w:tcBorders>
            <w:gridSpan w:val="3"/>
          </w:tcPr>
          <w:p>
            <w:pPr>
              <w:jc w:val="center"/>
              <w:spacing w:after="0" w:line="171" w:lineRule="exact"/>
              <w:rPr>
                <w:sz w:val="20"/>
                <w:szCs w:val="20"/>
                <w:color w:val="auto"/>
              </w:rPr>
            </w:pPr>
            <w:r>
              <w:rPr>
                <w:rFonts w:ascii="Arial" w:cs="Arial" w:eastAsia="Arial" w:hAnsi="Arial"/>
                <w:sz w:val="16"/>
                <w:szCs w:val="16"/>
                <w:b w:val="1"/>
                <w:bCs w:val="1"/>
                <w:color w:val="auto"/>
                <w:w w:val="88"/>
              </w:rPr>
              <w:t>Boise, Idaho 83716-9632</w:t>
            </w:r>
          </w:p>
        </w:tc>
        <w:tc>
          <w:tcPr>
            <w:tcW w:w="4900" w:type="dxa"/>
            <w:vAlign w:val="bottom"/>
          </w:tcPr>
          <w:p>
            <w:pPr>
              <w:spacing w:after="0"/>
              <w:rPr>
                <w:sz w:val="14"/>
                <w:szCs w:val="14"/>
                <w:color w:val="auto"/>
              </w:rPr>
            </w:pPr>
          </w:p>
        </w:tc>
      </w:tr>
      <w:tr>
        <w:trPr>
          <w:trHeight w:val="204"/>
        </w:trPr>
        <w:tc>
          <w:tcPr>
            <w:tcW w:w="3300" w:type="dxa"/>
            <w:vAlign w:val="bottom"/>
          </w:tcPr>
          <w:p>
            <w:pPr>
              <w:spacing w:after="0"/>
              <w:rPr>
                <w:sz w:val="17"/>
                <w:szCs w:val="17"/>
                <w:color w:val="auto"/>
              </w:rPr>
            </w:pPr>
          </w:p>
        </w:tc>
        <w:tc>
          <w:tcPr>
            <w:tcW w:w="8140" w:type="dxa"/>
            <w:vAlign w:val="bottom"/>
            <w:gridSpan w:val="5"/>
          </w:tcPr>
          <w:p>
            <w:pPr>
              <w:jc w:val="center"/>
              <w:ind w:right="3241"/>
              <w:spacing w:after="0"/>
              <w:rPr>
                <w:sz w:val="20"/>
                <w:szCs w:val="20"/>
                <w:color w:val="auto"/>
              </w:rPr>
            </w:pPr>
            <w:r>
              <w:rPr>
                <w:rFonts w:ascii="Arial" w:cs="Arial" w:eastAsia="Arial" w:hAnsi="Arial"/>
                <w:sz w:val="16"/>
                <w:szCs w:val="16"/>
                <w:color w:val="auto"/>
                <w:w w:val="88"/>
              </w:rPr>
              <w:t>(Name and address of agent for service)</w:t>
            </w:r>
          </w:p>
        </w:tc>
      </w:tr>
      <w:tr>
        <w:trPr>
          <w:trHeight w:val="370"/>
        </w:trPr>
        <w:tc>
          <w:tcPr>
            <w:tcW w:w="3300" w:type="dxa"/>
            <w:vAlign w:val="bottom"/>
          </w:tcPr>
          <w:p>
            <w:pPr>
              <w:spacing w:after="0"/>
              <w:rPr>
                <w:sz w:val="24"/>
                <w:szCs w:val="24"/>
                <w:color w:val="auto"/>
              </w:rPr>
            </w:pPr>
          </w:p>
        </w:tc>
        <w:tc>
          <w:tcPr>
            <w:tcW w:w="1960" w:type="dxa"/>
            <w:vAlign w:val="bottom"/>
            <w:gridSpan w:val="2"/>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208-368-4000</w:t>
            </w:r>
          </w:p>
        </w:tc>
        <w:tc>
          <w:tcPr>
            <w:tcW w:w="38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204"/>
        </w:trPr>
        <w:tc>
          <w:tcPr>
            <w:tcW w:w="3300" w:type="dxa"/>
            <w:vAlign w:val="bottom"/>
          </w:tcPr>
          <w:p>
            <w:pPr>
              <w:spacing w:after="0"/>
              <w:rPr>
                <w:sz w:val="17"/>
                <w:szCs w:val="17"/>
                <w:color w:val="auto"/>
              </w:rPr>
            </w:pPr>
          </w:p>
        </w:tc>
        <w:tc>
          <w:tcPr>
            <w:tcW w:w="8140" w:type="dxa"/>
            <w:vAlign w:val="bottom"/>
            <w:gridSpan w:val="5"/>
          </w:tcPr>
          <w:p>
            <w:pPr>
              <w:jc w:val="center"/>
              <w:ind w:right="3241"/>
              <w:spacing w:after="0"/>
              <w:rPr>
                <w:sz w:val="20"/>
                <w:szCs w:val="20"/>
                <w:color w:val="auto"/>
              </w:rPr>
            </w:pPr>
            <w:r>
              <w:rPr>
                <w:rFonts w:ascii="Arial" w:cs="Arial" w:eastAsia="Arial" w:hAnsi="Arial"/>
                <w:sz w:val="16"/>
                <w:szCs w:val="16"/>
                <w:color w:val="auto"/>
                <w:w w:val="89"/>
              </w:rPr>
              <w:t>(Telephone number, including area code, of agent for service)</w:t>
            </w:r>
          </w:p>
        </w:tc>
      </w:tr>
    </w:tbl>
    <w:p>
      <w:pPr>
        <w:spacing w:after="0" w:line="19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CALCULATION OF REGISTRATION FEE</w:t>
      </w:r>
    </w:p>
    <w:p>
      <w:pPr>
        <w:spacing w:after="0" w:line="21" w:lineRule="exact"/>
        <w:rPr>
          <w:sz w:val="24"/>
          <w:szCs w:val="24"/>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580" w:type="dxa"/>
            <w:vAlign w:val="bottom"/>
            <w:tcBorders>
              <w:top w:val="single" w:sz="8" w:color="auto"/>
            </w:tcBorders>
          </w:tcPr>
          <w:p>
            <w:pPr>
              <w:spacing w:after="0"/>
              <w:rPr>
                <w:sz w:val="14"/>
                <w:szCs w:val="14"/>
                <w:color w:val="auto"/>
              </w:rPr>
            </w:pPr>
          </w:p>
        </w:tc>
        <w:tc>
          <w:tcPr>
            <w:tcW w:w="2220" w:type="dxa"/>
            <w:vAlign w:val="bottom"/>
            <w:tcBorders>
              <w:top w:val="single" w:sz="8" w:color="auto"/>
            </w:tcBorders>
          </w:tcPr>
          <w:p>
            <w:pPr>
              <w:spacing w:after="0"/>
              <w:rPr>
                <w:sz w:val="14"/>
                <w:szCs w:val="14"/>
                <w:color w:val="auto"/>
              </w:rPr>
            </w:pPr>
          </w:p>
        </w:tc>
        <w:tc>
          <w:tcPr>
            <w:tcW w:w="206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jc w:val="center"/>
              <w:spacing w:after="0" w:line="167" w:lineRule="exact"/>
              <w:rPr>
                <w:sz w:val="20"/>
                <w:szCs w:val="20"/>
                <w:color w:val="auto"/>
              </w:rPr>
            </w:pPr>
            <w:r>
              <w:rPr>
                <w:rFonts w:ascii="Arial" w:cs="Arial" w:eastAsia="Arial" w:hAnsi="Arial"/>
                <w:sz w:val="16"/>
                <w:szCs w:val="16"/>
                <w:b w:val="1"/>
                <w:bCs w:val="1"/>
                <w:color w:val="auto"/>
                <w:w w:val="88"/>
              </w:rPr>
              <w:t>Proposed maximum</w:t>
            </w:r>
          </w:p>
        </w:tc>
        <w:tc>
          <w:tcPr>
            <w:tcW w:w="1980" w:type="dxa"/>
            <w:vAlign w:val="bottom"/>
            <w:tcBorders>
              <w:top w:val="single" w:sz="8" w:color="auto"/>
            </w:tcBorders>
          </w:tcPr>
          <w:p>
            <w:pPr>
              <w:spacing w:after="0"/>
              <w:rPr>
                <w:sz w:val="14"/>
                <w:szCs w:val="14"/>
                <w:color w:val="auto"/>
              </w:rPr>
            </w:pPr>
          </w:p>
        </w:tc>
      </w:tr>
      <w:tr>
        <w:trPr>
          <w:trHeight w:val="190"/>
        </w:trPr>
        <w:tc>
          <w:tcPr>
            <w:tcW w:w="20" w:type="dxa"/>
            <w:vAlign w:val="bottom"/>
          </w:tcPr>
          <w:p>
            <w:pPr>
              <w:spacing w:after="0"/>
              <w:rPr>
                <w:sz w:val="16"/>
                <w:szCs w:val="16"/>
                <w:color w:val="auto"/>
              </w:rPr>
            </w:pPr>
          </w:p>
        </w:tc>
        <w:tc>
          <w:tcPr>
            <w:tcW w:w="3580" w:type="dxa"/>
            <w:vAlign w:val="bottom"/>
          </w:tcPr>
          <w:p>
            <w:pPr>
              <w:jc w:val="center"/>
              <w:spacing w:after="0"/>
              <w:rPr>
                <w:sz w:val="20"/>
                <w:szCs w:val="20"/>
                <w:color w:val="auto"/>
              </w:rPr>
            </w:pPr>
            <w:r>
              <w:rPr>
                <w:rFonts w:ascii="Arial" w:cs="Arial" w:eastAsia="Arial" w:hAnsi="Arial"/>
                <w:sz w:val="16"/>
                <w:szCs w:val="16"/>
                <w:b w:val="1"/>
                <w:bCs w:val="1"/>
                <w:color w:val="auto"/>
                <w:w w:val="91"/>
              </w:rPr>
              <w:t>Title of</w:t>
            </w:r>
          </w:p>
        </w:tc>
        <w:tc>
          <w:tcPr>
            <w:tcW w:w="2220" w:type="dxa"/>
            <w:vAlign w:val="bottom"/>
          </w:tcPr>
          <w:p>
            <w:pPr>
              <w:spacing w:after="0"/>
              <w:rPr>
                <w:sz w:val="16"/>
                <w:szCs w:val="16"/>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88"/>
              </w:rPr>
              <w:t>Proposed maximum</w:t>
            </w: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88"/>
              </w:rPr>
              <w:t>aggregate offering</w:t>
            </w:r>
          </w:p>
        </w:tc>
        <w:tc>
          <w:tcPr>
            <w:tcW w:w="198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securities to be registered</w:t>
            </w:r>
          </w:p>
        </w:tc>
        <w:tc>
          <w:tcPr>
            <w:tcW w:w="2220" w:type="dxa"/>
            <w:vAlign w:val="bottom"/>
            <w:tcBorders>
              <w:bottom w:val="single" w:sz="8" w:color="auto"/>
            </w:tcBorders>
          </w:tcPr>
          <w:p>
            <w:pPr>
              <w:jc w:val="center"/>
              <w:ind w:left="41"/>
              <w:spacing w:after="0"/>
              <w:rPr>
                <w:sz w:val="20"/>
                <w:szCs w:val="20"/>
                <w:color w:val="auto"/>
              </w:rPr>
            </w:pPr>
            <w:r>
              <w:rPr>
                <w:rFonts w:ascii="Arial" w:cs="Arial" w:eastAsia="Arial" w:hAnsi="Arial"/>
                <w:sz w:val="16"/>
                <w:szCs w:val="16"/>
                <w:b w:val="1"/>
                <w:bCs w:val="1"/>
                <w:color w:val="auto"/>
                <w:w w:val="89"/>
              </w:rPr>
              <w:t>Amount to be registered (1)</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offering price per share (2)</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price (2)</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Amount of registration fee</w:t>
            </w:r>
          </w:p>
        </w:tc>
      </w:tr>
      <w:tr>
        <w:trPr>
          <w:trHeight w:val="177"/>
        </w:trPr>
        <w:tc>
          <w:tcPr>
            <w:tcW w:w="20" w:type="dxa"/>
            <w:vAlign w:val="bottom"/>
          </w:tcPr>
          <w:p>
            <w:pPr>
              <w:spacing w:after="0"/>
              <w:rPr>
                <w:sz w:val="15"/>
                <w:szCs w:val="15"/>
                <w:color w:val="auto"/>
              </w:rPr>
            </w:pPr>
          </w:p>
        </w:tc>
        <w:tc>
          <w:tcPr>
            <w:tcW w:w="3580" w:type="dxa"/>
            <w:vAlign w:val="bottom"/>
          </w:tcPr>
          <w:p>
            <w:pPr>
              <w:spacing w:after="0" w:line="178" w:lineRule="exact"/>
              <w:rPr>
                <w:sz w:val="20"/>
                <w:szCs w:val="20"/>
                <w:color w:val="auto"/>
              </w:rPr>
            </w:pPr>
            <w:r>
              <w:rPr>
                <w:rFonts w:ascii="Arial" w:cs="Arial" w:eastAsia="Arial" w:hAnsi="Arial"/>
                <w:sz w:val="16"/>
                <w:szCs w:val="16"/>
                <w:color w:val="auto"/>
                <w:w w:val="93"/>
              </w:rPr>
              <w:t>Common Stock $.10 par value per share, to be issued</w:t>
            </w:r>
          </w:p>
        </w:tc>
        <w:tc>
          <w:tcPr>
            <w:tcW w:w="22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90"/>
        </w:trPr>
        <w:tc>
          <w:tcPr>
            <w:tcW w:w="3600" w:type="dxa"/>
            <w:vAlign w:val="bottom"/>
            <w:gridSpan w:val="2"/>
          </w:tcPr>
          <w:p>
            <w:pPr>
              <w:spacing w:after="0"/>
              <w:rPr>
                <w:sz w:val="20"/>
                <w:szCs w:val="20"/>
                <w:color w:val="auto"/>
              </w:rPr>
            </w:pPr>
            <w:r>
              <w:rPr>
                <w:rFonts w:ascii="Arial" w:cs="Arial" w:eastAsia="Arial" w:hAnsi="Arial"/>
                <w:sz w:val="16"/>
                <w:szCs w:val="16"/>
                <w:color w:val="auto"/>
              </w:rPr>
              <w:t>pursuant to the</w:t>
            </w:r>
          </w:p>
        </w:tc>
        <w:tc>
          <w:tcPr>
            <w:tcW w:w="22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980" w:type="dxa"/>
            <w:vAlign w:val="bottom"/>
          </w:tcPr>
          <w:p>
            <w:pPr>
              <w:spacing w:after="0"/>
              <w:rPr>
                <w:sz w:val="16"/>
                <w:szCs w:val="16"/>
                <w:color w:val="auto"/>
              </w:rPr>
            </w:pPr>
          </w:p>
        </w:tc>
      </w:tr>
      <w:tr>
        <w:trPr>
          <w:trHeight w:val="201"/>
        </w:trPr>
        <w:tc>
          <w:tcPr>
            <w:tcW w:w="3600" w:type="dxa"/>
            <w:vAlign w:val="bottom"/>
            <w:gridSpan w:val="2"/>
          </w:tcPr>
          <w:p>
            <w:pPr>
              <w:spacing w:after="0"/>
              <w:rPr>
                <w:sz w:val="20"/>
                <w:szCs w:val="20"/>
                <w:color w:val="auto"/>
              </w:rPr>
            </w:pPr>
            <w:r>
              <w:rPr>
                <w:rFonts w:ascii="Arial" w:cs="Arial" w:eastAsia="Arial" w:hAnsi="Arial"/>
                <w:sz w:val="16"/>
                <w:szCs w:val="16"/>
                <w:color w:val="auto"/>
                <w:w w:val="98"/>
              </w:rPr>
              <w:t>Micron Technology, Inc. 2004 Equity Incentive Plan</w:t>
            </w:r>
          </w:p>
        </w:tc>
        <w:tc>
          <w:tcPr>
            <w:tcW w:w="2220" w:type="dxa"/>
            <w:vAlign w:val="bottom"/>
          </w:tcPr>
          <w:p>
            <w:pPr>
              <w:jc w:val="right"/>
              <w:ind w:right="621"/>
              <w:spacing w:after="0"/>
              <w:rPr>
                <w:sz w:val="20"/>
                <w:szCs w:val="20"/>
                <w:color w:val="auto"/>
              </w:rPr>
            </w:pPr>
            <w:r>
              <w:rPr>
                <w:rFonts w:ascii="Arial" w:cs="Arial" w:eastAsia="Arial" w:hAnsi="Arial"/>
                <w:sz w:val="16"/>
                <w:szCs w:val="16"/>
                <w:color w:val="auto"/>
              </w:rPr>
              <w:t>20,000,000</w:t>
            </w:r>
          </w:p>
        </w:tc>
        <w:tc>
          <w:tcPr>
            <w:tcW w:w="2060" w:type="dxa"/>
            <w:vAlign w:val="bottom"/>
          </w:tcPr>
          <w:p>
            <w:pPr>
              <w:jc w:val="center"/>
              <w:spacing w:after="0"/>
              <w:rPr>
                <w:sz w:val="20"/>
                <w:szCs w:val="20"/>
                <w:color w:val="auto"/>
              </w:rPr>
            </w:pPr>
            <w:r>
              <w:rPr>
                <w:rFonts w:ascii="Arial" w:cs="Arial" w:eastAsia="Arial" w:hAnsi="Arial"/>
                <w:sz w:val="16"/>
                <w:szCs w:val="16"/>
                <w:color w:val="auto"/>
                <w:w w:val="89"/>
              </w:rPr>
              <w:t>$8.14</w:t>
            </w:r>
          </w:p>
        </w:tc>
        <w:tc>
          <w:tcPr>
            <w:tcW w:w="1580" w:type="dxa"/>
            <w:vAlign w:val="bottom"/>
          </w:tcPr>
          <w:p>
            <w:pPr>
              <w:jc w:val="right"/>
              <w:ind w:right="241"/>
              <w:spacing w:after="0"/>
              <w:rPr>
                <w:sz w:val="20"/>
                <w:szCs w:val="20"/>
                <w:color w:val="auto"/>
              </w:rPr>
            </w:pPr>
            <w:r>
              <w:rPr>
                <w:rFonts w:ascii="Arial" w:cs="Arial" w:eastAsia="Arial" w:hAnsi="Arial"/>
                <w:sz w:val="16"/>
                <w:szCs w:val="16"/>
                <w:color w:val="auto"/>
              </w:rPr>
              <w:t>$162,800,000</w:t>
            </w:r>
          </w:p>
        </w:tc>
        <w:tc>
          <w:tcPr>
            <w:tcW w:w="1980" w:type="dxa"/>
            <w:vAlign w:val="bottom"/>
          </w:tcPr>
          <w:p>
            <w:pPr>
              <w:jc w:val="right"/>
              <w:ind w:right="521"/>
              <w:spacing w:after="0"/>
              <w:rPr>
                <w:sz w:val="20"/>
                <w:szCs w:val="20"/>
                <w:color w:val="auto"/>
              </w:rPr>
            </w:pPr>
            <w:r>
              <w:rPr>
                <w:rFonts w:ascii="Arial" w:cs="Arial" w:eastAsia="Arial" w:hAnsi="Arial"/>
                <w:sz w:val="16"/>
                <w:szCs w:val="16"/>
                <w:color w:val="auto"/>
              </w:rPr>
              <w:t>$18,657.00</w:t>
            </w:r>
          </w:p>
        </w:tc>
      </w:tr>
    </w:tbl>
    <w:p>
      <w:pPr>
        <w:jc w:val="both"/>
        <w:ind w:left="280" w:right="20" w:hanging="264"/>
        <w:spacing w:after="0" w:line="251" w:lineRule="auto"/>
        <w:tabs>
          <w:tab w:leader="none" w:pos="280"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416 under the Securities Act of 1933, (the “Securities Act”), to the extent additional shares of the Registrant’s Common Stock may be issued or issuable as a result of a stock split, stock dividend or other distribution declared at any time by the Board of Directors while this Registration Statement is in effect, this Registration Statement is hereby declared to cover all of such additional Common Stock.</w:t>
      </w:r>
    </w:p>
    <w:p>
      <w:pPr>
        <w:spacing w:after="0" w:line="195" w:lineRule="exact"/>
        <w:rPr>
          <w:rFonts w:ascii="Arial" w:cs="Arial" w:eastAsia="Arial" w:hAnsi="Arial"/>
          <w:sz w:val="16"/>
          <w:szCs w:val="16"/>
          <w:color w:val="auto"/>
        </w:rPr>
      </w:pPr>
    </w:p>
    <w:p>
      <w:pPr>
        <w:ind w:left="280" w:right="20" w:hanging="264"/>
        <w:spacing w:after="0" w:line="304" w:lineRule="auto"/>
        <w:tabs>
          <w:tab w:leader="none" w:pos="280" w:val="left"/>
        </w:tabs>
        <w:numPr>
          <w:ilvl w:val="0"/>
          <w:numId w:val="1"/>
        </w:numPr>
        <w:rPr>
          <w:rFonts w:ascii="Arial" w:cs="Arial" w:eastAsia="Arial" w:hAnsi="Arial"/>
          <w:sz w:val="15"/>
          <w:szCs w:val="15"/>
          <w:color w:val="auto"/>
        </w:rPr>
      </w:pPr>
      <w:r>
        <w:rPr>
          <w:rFonts w:ascii="Arial" w:cs="Arial" w:eastAsia="Arial" w:hAnsi="Arial"/>
          <w:sz w:val="15"/>
          <w:szCs w:val="15"/>
          <w:color w:val="auto"/>
        </w:rPr>
        <w:t>Estimated in accordance with Rules 457(c) and 457(h) under the Securities Act, solely for the purpose of calculating the registration fee on the basis of $8.14 per share, which is the average of the high and low price of the Company’s Common Stock as reported on the Nasdaq Global Select Market on February 14,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7268210" cy="20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642" w:right="21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6"/>
          <w:szCs w:val="16"/>
          <w:b w:val="1"/>
          <w:bCs w:val="1"/>
          <w:color w:val="auto"/>
        </w:rPr>
        <w:t>PART I</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INFORMATION REQUIRED IN THE SECTION 10(a) PROSPECTUS</w:t>
      </w:r>
    </w:p>
    <w:p>
      <w:pPr>
        <w:spacing w:after="0" w:line="224" w:lineRule="exact"/>
        <w:rPr>
          <w:sz w:val="20"/>
          <w:szCs w:val="20"/>
          <w:color w:val="auto"/>
        </w:rPr>
      </w:pPr>
    </w:p>
    <w:p>
      <w:pPr>
        <w:ind w:right="180" w:firstLine="570"/>
        <w:spacing w:after="0" w:line="304" w:lineRule="auto"/>
        <w:rPr>
          <w:sz w:val="20"/>
          <w:szCs w:val="20"/>
          <w:color w:val="auto"/>
        </w:rPr>
      </w:pPr>
      <w:r>
        <w:rPr>
          <w:rFonts w:ascii="Arial" w:cs="Arial" w:eastAsia="Arial" w:hAnsi="Arial"/>
          <w:sz w:val="15"/>
          <w:szCs w:val="15"/>
          <w:color w:val="auto"/>
        </w:rPr>
        <w:t>The documents containing the information specified in Part I of Form S-8 are not required to be filed with the Securities and Exchange Commission either as part of this Registration Statement or as a prospectus or prospectus supplements pursuant to the Note to Part I of Form S-8 and Rule 424 under the Securities Act.</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PART II</w:t>
      </w:r>
    </w:p>
    <w:p>
      <w:pPr>
        <w:spacing w:after="0" w:line="220" w:lineRule="exact"/>
        <w:rPr>
          <w:sz w:val="20"/>
          <w:szCs w:val="20"/>
          <w:color w:val="auto"/>
        </w:rPr>
      </w:pPr>
    </w:p>
    <w:p>
      <w:pPr>
        <w:ind w:left="3260"/>
        <w:spacing w:after="0"/>
        <w:rPr>
          <w:sz w:val="20"/>
          <w:szCs w:val="20"/>
          <w:color w:val="auto"/>
        </w:rPr>
      </w:pPr>
      <w:r>
        <w:rPr>
          <w:rFonts w:ascii="Arial" w:cs="Arial" w:eastAsia="Arial" w:hAnsi="Arial"/>
          <w:sz w:val="16"/>
          <w:szCs w:val="16"/>
          <w:b w:val="1"/>
          <w:bCs w:val="1"/>
          <w:color w:val="auto"/>
        </w:rPr>
        <w:t>INFORMATION REQUIRED IN THE REGISTRATION STATEMENT</w:t>
      </w:r>
    </w:p>
    <w:p>
      <w:pPr>
        <w:spacing w:after="0" w:line="220" w:lineRule="exact"/>
        <w:rPr>
          <w:sz w:val="20"/>
          <w:szCs w:val="20"/>
          <w:color w:val="auto"/>
        </w:rPr>
      </w:pPr>
    </w:p>
    <w:p>
      <w:pPr>
        <w:spacing w:after="0"/>
        <w:tabs>
          <w:tab w:leader="none" w:pos="680"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4"/>
          <w:szCs w:val="14"/>
          <w:b w:val="1"/>
          <w:bCs w:val="1"/>
          <w:color w:val="auto"/>
        </w:rPr>
        <w:t>Incorporation of Documents by Reference.</w:t>
      </w:r>
    </w:p>
    <w:p>
      <w:pPr>
        <w:spacing w:after="0" w:line="224" w:lineRule="exact"/>
        <w:rPr>
          <w:sz w:val="20"/>
          <w:szCs w:val="20"/>
          <w:color w:val="auto"/>
        </w:rPr>
      </w:pPr>
    </w:p>
    <w:p>
      <w:pPr>
        <w:ind w:left="560"/>
        <w:spacing w:after="0"/>
        <w:rPr>
          <w:sz w:val="20"/>
          <w:szCs w:val="20"/>
          <w:color w:val="auto"/>
        </w:rPr>
      </w:pPr>
      <w:r>
        <w:rPr>
          <w:rFonts w:ascii="Arial" w:cs="Arial" w:eastAsia="Arial" w:hAnsi="Arial"/>
          <w:sz w:val="15"/>
          <w:szCs w:val="15"/>
          <w:color w:val="auto"/>
        </w:rPr>
        <w:t>The following documents filed by the Company with the Securities and Exchange Commission are incorporated by reference in this Registration Statement:</w:t>
      </w:r>
    </w:p>
    <w:p>
      <w:pPr>
        <w:spacing w:after="0" w:line="255" w:lineRule="exact"/>
        <w:rPr>
          <w:sz w:val="20"/>
          <w:szCs w:val="20"/>
          <w:color w:val="auto"/>
        </w:rPr>
      </w:pPr>
    </w:p>
    <w:p>
      <w:pPr>
        <w:ind w:right="320" w:firstLine="280"/>
        <w:spacing w:after="0" w:line="270" w:lineRule="auto"/>
        <w:tabs>
          <w:tab w:leader="none" w:pos="651"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Company’s latest Annual Report on Form 10-K for the year ended September 1, 2011, filed pursuant to Section 13(a) of the Securities Exchange Act of 1934, as amended (the “Exchange Act”) (File No. 1-10658).</w:t>
      </w:r>
    </w:p>
    <w:p>
      <w:pPr>
        <w:spacing w:after="0" w:line="203" w:lineRule="exact"/>
        <w:rPr>
          <w:rFonts w:ascii="Arial" w:cs="Arial" w:eastAsia="Arial" w:hAnsi="Arial"/>
          <w:sz w:val="16"/>
          <w:szCs w:val="16"/>
          <w:color w:val="auto"/>
        </w:rPr>
      </w:pPr>
    </w:p>
    <w:p>
      <w:pPr>
        <w:ind w:left="660" w:hanging="380"/>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Company’s Quarterly Report on Form 10-Q for the quarterly period ended December 1, 2011, filed with the Commission on January 10, 2012.</w:t>
      </w:r>
    </w:p>
    <w:p>
      <w:pPr>
        <w:spacing w:after="0" w:line="243" w:lineRule="exact"/>
        <w:rPr>
          <w:rFonts w:ascii="Arial" w:cs="Arial" w:eastAsia="Arial" w:hAnsi="Arial"/>
          <w:sz w:val="16"/>
          <w:szCs w:val="16"/>
          <w:color w:val="auto"/>
        </w:rPr>
      </w:pPr>
    </w:p>
    <w:p>
      <w:pPr>
        <w:ind w:left="640" w:hanging="360"/>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Company's Current Reports on Form 8-K dated October 14, 2011, November 16, 2011, January 24, 2012 and February 9, 2012.</w:t>
      </w:r>
    </w:p>
    <w:p>
      <w:pPr>
        <w:spacing w:after="0" w:line="243" w:lineRule="exact"/>
        <w:rPr>
          <w:rFonts w:ascii="Arial" w:cs="Arial" w:eastAsia="Arial" w:hAnsi="Arial"/>
          <w:sz w:val="16"/>
          <w:szCs w:val="16"/>
          <w:color w:val="auto"/>
        </w:rPr>
      </w:pPr>
    </w:p>
    <w:p>
      <w:pPr>
        <w:ind w:right="140" w:firstLine="280"/>
        <w:spacing w:after="0" w:line="343" w:lineRule="auto"/>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description of the Company’s Common Stock contained in the Company’s Registration Statement on Form 8-A, filed November 9, 1990, pursuant to Section 12(b) of the Exchange Act (File No. 1-10658), including any amendment or report filed with the Securities and Exchange Commission for the purpose of updating such description.</w:t>
      </w:r>
    </w:p>
    <w:p>
      <w:pPr>
        <w:spacing w:after="0" w:line="134" w:lineRule="exact"/>
        <w:rPr>
          <w:sz w:val="20"/>
          <w:szCs w:val="20"/>
          <w:color w:val="auto"/>
        </w:rPr>
      </w:pPr>
    </w:p>
    <w:p>
      <w:pPr>
        <w:jc w:val="both"/>
        <w:ind w:firstLine="570"/>
        <w:spacing w:after="0" w:line="284" w:lineRule="auto"/>
        <w:rPr>
          <w:sz w:val="20"/>
          <w:szCs w:val="20"/>
          <w:color w:val="auto"/>
        </w:rPr>
      </w:pPr>
      <w:r>
        <w:rPr>
          <w:rFonts w:ascii="Arial" w:cs="Arial" w:eastAsia="Arial" w:hAnsi="Arial"/>
          <w:sz w:val="15"/>
          <w:szCs w:val="15"/>
          <w:color w:val="auto"/>
        </w:rPr>
        <w:t>All reports and other documents filed by the Company pursuant to Sections 13(a), 13(c), 14 and 15(d) of the Exchange Act after the date of this Registration Statement and prior to the filing of a post-effective amendment which indicates that all securities offered have been sold or which deregisters all securities then remaining unsold, shall be deemed to be incorporated by reference in this Registration Statement and to be part hereof from the date of filing such documents.</w:t>
      </w:r>
    </w:p>
    <w:p>
      <w:pPr>
        <w:spacing w:after="0" w:line="168" w:lineRule="exact"/>
        <w:rPr>
          <w:sz w:val="20"/>
          <w:szCs w:val="20"/>
          <w:color w:val="auto"/>
        </w:rPr>
      </w:pPr>
    </w:p>
    <w:p>
      <w:pPr>
        <w:spacing w:after="0"/>
        <w:tabs>
          <w:tab w:leader="none" w:pos="68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4"/>
          <w:szCs w:val="14"/>
          <w:b w:val="1"/>
          <w:bCs w:val="1"/>
          <w:color w:val="auto"/>
        </w:rPr>
        <w:t>Description of Securities.</w:t>
      </w:r>
    </w:p>
    <w:p>
      <w:pPr>
        <w:spacing w:after="0" w:line="22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20"/>
          </w:cols>
          <w:pgMar w:left="240" w:top="254" w:right="239" w:bottom="1440" w:gutter="0" w:footer="0" w:header="0"/>
        </w:sectPr>
      </w:pPr>
    </w:p>
    <w:bookmarkStart w:id="2" w:name="page3"/>
    <w:bookmarkEnd w:id="2"/>
    <w:p>
      <w:pPr>
        <w:spacing w:after="0"/>
        <w:tabs>
          <w:tab w:leader="none" w:pos="680" w:val="left"/>
        </w:tabs>
        <w:rPr>
          <w:sz w:val="20"/>
          <w:szCs w:val="20"/>
          <w:color w:val="auto"/>
        </w:rPr>
      </w:pPr>
      <w:r>
        <w:rPr>
          <w:rFonts w:ascii="Arial" w:cs="Arial" w:eastAsia="Arial" w:hAnsi="Arial"/>
          <w:sz w:val="16"/>
          <w:szCs w:val="16"/>
          <w:b w:val="1"/>
          <w:bCs w:val="1"/>
          <w:color w:val="auto"/>
        </w:rPr>
        <w:t>Item 5.</w:t>
      </w:r>
      <w:r>
        <w:rPr>
          <w:sz w:val="20"/>
          <w:szCs w:val="20"/>
          <w:color w:val="auto"/>
        </w:rPr>
        <w:tab/>
      </w:r>
      <w:r>
        <w:rPr>
          <w:rFonts w:ascii="Arial" w:cs="Arial" w:eastAsia="Arial" w:hAnsi="Arial"/>
          <w:sz w:val="14"/>
          <w:szCs w:val="14"/>
          <w:b w:val="1"/>
          <w:bCs w:val="1"/>
          <w:color w:val="auto"/>
        </w:rPr>
        <w:t>Interests of Named Experts and Counsel.</w:t>
      </w:r>
    </w:p>
    <w:p>
      <w:pPr>
        <w:spacing w:after="0" w:line="22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Not applicable.</w:t>
      </w:r>
    </w:p>
    <w:p>
      <w:pPr>
        <w:spacing w:after="0" w:line="216" w:lineRule="exact"/>
        <w:rPr>
          <w:sz w:val="20"/>
          <w:szCs w:val="20"/>
          <w:color w:val="auto"/>
        </w:rPr>
      </w:pPr>
    </w:p>
    <w:p>
      <w:pPr>
        <w:spacing w:after="0"/>
        <w:tabs>
          <w:tab w:leader="none" w:pos="680" w:val="left"/>
        </w:tabs>
        <w:rPr>
          <w:sz w:val="20"/>
          <w:szCs w:val="20"/>
          <w:color w:val="auto"/>
        </w:rPr>
      </w:pPr>
      <w:r>
        <w:rPr>
          <w:rFonts w:ascii="Arial" w:cs="Arial" w:eastAsia="Arial" w:hAnsi="Arial"/>
          <w:sz w:val="16"/>
          <w:szCs w:val="16"/>
          <w:b w:val="1"/>
          <w:bCs w:val="1"/>
          <w:color w:val="auto"/>
        </w:rPr>
        <w:t>Item 6.</w:t>
      </w:r>
      <w:r>
        <w:rPr>
          <w:sz w:val="20"/>
          <w:szCs w:val="20"/>
          <w:color w:val="auto"/>
        </w:rPr>
        <w:tab/>
      </w:r>
      <w:r>
        <w:rPr>
          <w:rFonts w:ascii="Arial" w:cs="Arial" w:eastAsia="Arial" w:hAnsi="Arial"/>
          <w:sz w:val="14"/>
          <w:szCs w:val="14"/>
          <w:b w:val="1"/>
          <w:bCs w:val="1"/>
          <w:color w:val="auto"/>
        </w:rPr>
        <w:t>Indemnification of Directors and Officers.</w:t>
      </w:r>
    </w:p>
    <w:p>
      <w:pPr>
        <w:spacing w:after="0" w:line="224" w:lineRule="exact"/>
        <w:rPr>
          <w:sz w:val="20"/>
          <w:szCs w:val="20"/>
          <w:color w:val="auto"/>
        </w:rPr>
      </w:pPr>
    </w:p>
    <w:p>
      <w:pPr>
        <w:ind w:firstLine="570"/>
        <w:spacing w:after="0" w:line="274" w:lineRule="auto"/>
        <w:rPr>
          <w:sz w:val="20"/>
          <w:szCs w:val="20"/>
          <w:color w:val="auto"/>
        </w:rPr>
      </w:pPr>
      <w:r>
        <w:rPr>
          <w:rFonts w:ascii="Arial" w:cs="Arial" w:eastAsia="Arial" w:hAnsi="Arial"/>
          <w:sz w:val="15"/>
          <w:szCs w:val="15"/>
          <w:color w:val="auto"/>
        </w:rPr>
        <w:t>Section 145 of the Delaware General Corporation Law authorizes a court to award, or a corporation’s board of directors or stockholders to grant, indemnification to directors, officers, employees and agents in terms sufficiently broad to permit such indemnification under certain circumstances for liabilities (including reimbursement for expenses incurred) arising under the Securities Act and for liabilities arising from other state and federal causes of action. Section 10 of the Company’s Certificate of Incorporation and Article VII of the Company’s Bylaws provide for the mandatory indemnification of its officers, directors, employees and agents to the extent permitted by Delaware General Corporation Law. The Company has entered into agreements with its officers, directors and certain key employees implementing such indemnification.</w:t>
      </w:r>
    </w:p>
    <w:p>
      <w:pPr>
        <w:spacing w:after="0" w:line="175" w:lineRule="exact"/>
        <w:rPr>
          <w:sz w:val="20"/>
          <w:szCs w:val="20"/>
          <w:color w:val="auto"/>
        </w:rPr>
      </w:pPr>
    </w:p>
    <w:p>
      <w:pPr>
        <w:spacing w:after="0"/>
        <w:tabs>
          <w:tab w:leader="none" w:pos="680" w:val="left"/>
        </w:tabs>
        <w:rPr>
          <w:sz w:val="20"/>
          <w:szCs w:val="20"/>
          <w:color w:val="auto"/>
        </w:rPr>
      </w:pPr>
      <w:r>
        <w:rPr>
          <w:rFonts w:ascii="Arial" w:cs="Arial" w:eastAsia="Arial" w:hAnsi="Arial"/>
          <w:sz w:val="16"/>
          <w:szCs w:val="16"/>
          <w:b w:val="1"/>
          <w:bCs w:val="1"/>
          <w:color w:val="auto"/>
        </w:rPr>
        <w:t>Item 7.</w:t>
      </w:r>
      <w:r>
        <w:rPr>
          <w:sz w:val="20"/>
          <w:szCs w:val="20"/>
          <w:color w:val="auto"/>
        </w:rPr>
        <w:tab/>
      </w:r>
      <w:r>
        <w:rPr>
          <w:rFonts w:ascii="Arial" w:cs="Arial" w:eastAsia="Arial" w:hAnsi="Arial"/>
          <w:sz w:val="14"/>
          <w:szCs w:val="14"/>
          <w:b w:val="1"/>
          <w:bCs w:val="1"/>
          <w:color w:val="auto"/>
        </w:rPr>
        <w:t>Exemption from Registration Claimed.</w:t>
      </w:r>
    </w:p>
    <w:p>
      <w:pPr>
        <w:spacing w:after="0" w:line="22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Not applicable.</w:t>
      </w:r>
    </w:p>
    <w:p>
      <w:pPr>
        <w:spacing w:after="0" w:line="216" w:lineRule="exact"/>
        <w:rPr>
          <w:sz w:val="20"/>
          <w:szCs w:val="20"/>
          <w:color w:val="auto"/>
        </w:rPr>
      </w:pPr>
    </w:p>
    <w:p>
      <w:pPr>
        <w:spacing w:after="0"/>
        <w:tabs>
          <w:tab w:leader="none" w:pos="680" w:val="left"/>
        </w:tabs>
        <w:rPr>
          <w:sz w:val="20"/>
          <w:szCs w:val="20"/>
          <w:color w:val="auto"/>
        </w:rPr>
      </w:pPr>
      <w:r>
        <w:rPr>
          <w:rFonts w:ascii="Arial" w:cs="Arial" w:eastAsia="Arial" w:hAnsi="Arial"/>
          <w:sz w:val="16"/>
          <w:szCs w:val="16"/>
          <w:b w:val="1"/>
          <w:bCs w:val="1"/>
          <w:color w:val="auto"/>
        </w:rPr>
        <w:t>Item 8.</w:t>
      </w:r>
      <w:r>
        <w:rPr>
          <w:sz w:val="20"/>
          <w:szCs w:val="20"/>
          <w:color w:val="auto"/>
        </w:rPr>
        <w:tab/>
      </w:r>
      <w:r>
        <w:rPr>
          <w:rFonts w:ascii="Arial" w:cs="Arial" w:eastAsia="Arial" w:hAnsi="Arial"/>
          <w:sz w:val="14"/>
          <w:szCs w:val="14"/>
          <w:b w:val="1"/>
          <w:bCs w:val="1"/>
          <w:color w:val="auto"/>
        </w:rPr>
        <w:t>Exhibits.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Exhibit</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791845"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91845" cy="15240"/>
                    </a:xfrm>
                    <a:prstGeom prst="rect">
                      <a:avLst/>
                    </a:prstGeom>
                    <a:noFill/>
                  </pic:spPr>
                </pic:pic>
              </a:graphicData>
            </a:graphic>
          </wp:anchor>
        </w:drawing>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60" w:type="dxa"/>
            <w:vAlign w:val="bottom"/>
          </w:tcPr>
          <w:p>
            <w:pPr>
              <w:spacing w:after="0"/>
              <w:rPr>
                <w:sz w:val="20"/>
                <w:szCs w:val="20"/>
                <w:color w:val="auto"/>
              </w:rPr>
            </w:pPr>
            <w:r>
              <w:rPr>
                <w:rFonts w:ascii="Arial" w:cs="Arial" w:eastAsia="Arial" w:hAnsi="Arial"/>
                <w:sz w:val="16"/>
                <w:szCs w:val="16"/>
                <w:color w:val="auto"/>
              </w:rPr>
              <w:t>4.1</w:t>
            </w:r>
          </w:p>
        </w:tc>
        <w:tc>
          <w:tcPr>
            <w:tcW w:w="2420" w:type="dxa"/>
            <w:vAlign w:val="bottom"/>
          </w:tcPr>
          <w:p>
            <w:pPr>
              <w:ind w:left="480"/>
              <w:spacing w:after="0"/>
              <w:rPr>
                <w:sz w:val="20"/>
                <w:szCs w:val="20"/>
                <w:color w:val="auto"/>
              </w:rPr>
            </w:pPr>
            <w:r>
              <w:rPr>
                <w:rFonts w:ascii="Arial" w:cs="Arial" w:eastAsia="Arial" w:hAnsi="Arial"/>
                <w:sz w:val="16"/>
                <w:szCs w:val="16"/>
                <w:color w:val="auto"/>
                <w:w w:val="91"/>
              </w:rPr>
              <w:t>Micron Technology, Inc. 2004</w:t>
            </w:r>
          </w:p>
        </w:tc>
        <w:tc>
          <w:tcPr>
            <w:tcW w:w="2780" w:type="dxa"/>
            <w:vAlign w:val="bottom"/>
          </w:tcPr>
          <w:p>
            <w:pPr>
              <w:ind w:left="20"/>
              <w:spacing w:after="0"/>
              <w:rPr>
                <w:sz w:val="20"/>
                <w:szCs w:val="20"/>
                <w:color w:val="auto"/>
              </w:rPr>
            </w:pPr>
            <w:r>
              <w:rPr>
                <w:rFonts w:ascii="Arial" w:cs="Arial" w:eastAsia="Arial" w:hAnsi="Arial"/>
                <w:sz w:val="16"/>
                <w:szCs w:val="16"/>
                <w:color w:val="auto"/>
              </w:rPr>
              <w:t>Equity Incentive Plan.</w:t>
            </w:r>
          </w:p>
        </w:tc>
      </w:tr>
      <w:tr>
        <w:trPr>
          <w:trHeight w:val="380"/>
        </w:trPr>
        <w:tc>
          <w:tcPr>
            <w:tcW w:w="760" w:type="dxa"/>
            <w:vAlign w:val="bottom"/>
          </w:tcPr>
          <w:p>
            <w:pPr>
              <w:spacing w:after="0"/>
              <w:rPr>
                <w:sz w:val="20"/>
                <w:szCs w:val="20"/>
                <w:color w:val="auto"/>
              </w:rPr>
            </w:pPr>
            <w:r>
              <w:rPr>
                <w:rFonts w:ascii="Arial" w:cs="Arial" w:eastAsia="Arial" w:hAnsi="Arial"/>
                <w:sz w:val="16"/>
                <w:szCs w:val="16"/>
                <w:color w:val="auto"/>
              </w:rPr>
              <w:t>4.2*</w:t>
            </w:r>
          </w:p>
        </w:tc>
        <w:tc>
          <w:tcPr>
            <w:tcW w:w="2420" w:type="dxa"/>
            <w:vAlign w:val="bottom"/>
          </w:tcPr>
          <w:p>
            <w:pPr>
              <w:ind w:left="480"/>
              <w:spacing w:after="0"/>
              <w:rPr>
                <w:sz w:val="20"/>
                <w:szCs w:val="20"/>
                <w:color w:val="auto"/>
              </w:rPr>
            </w:pPr>
            <w:r>
              <w:rPr>
                <w:rFonts w:ascii="Arial" w:cs="Arial" w:eastAsia="Arial" w:hAnsi="Arial"/>
                <w:sz w:val="16"/>
                <w:szCs w:val="16"/>
                <w:color w:val="auto"/>
                <w:w w:val="91"/>
              </w:rPr>
              <w:t>Micron Technology, Inc. 2004</w:t>
            </w:r>
          </w:p>
        </w:tc>
        <w:tc>
          <w:tcPr>
            <w:tcW w:w="2780" w:type="dxa"/>
            <w:vAlign w:val="bottom"/>
          </w:tcPr>
          <w:p>
            <w:pPr>
              <w:ind w:left="20"/>
              <w:spacing w:after="0"/>
              <w:rPr>
                <w:sz w:val="20"/>
                <w:szCs w:val="20"/>
                <w:color w:val="auto"/>
              </w:rPr>
            </w:pPr>
            <w:r>
              <w:rPr>
                <w:rFonts w:ascii="Arial" w:cs="Arial" w:eastAsia="Arial" w:hAnsi="Arial"/>
                <w:sz w:val="16"/>
                <w:szCs w:val="16"/>
                <w:color w:val="auto"/>
                <w:w w:val="90"/>
              </w:rPr>
              <w:t>Equity Incentive Plan Forms of Agreement.</w:t>
            </w:r>
          </w:p>
        </w:tc>
      </w:tr>
      <w:tr>
        <w:trPr>
          <w:trHeight w:val="380"/>
        </w:trPr>
        <w:tc>
          <w:tcPr>
            <w:tcW w:w="760" w:type="dxa"/>
            <w:vAlign w:val="bottom"/>
          </w:tcPr>
          <w:p>
            <w:pPr>
              <w:spacing w:after="0"/>
              <w:rPr>
                <w:sz w:val="20"/>
                <w:szCs w:val="20"/>
                <w:color w:val="auto"/>
              </w:rPr>
            </w:pPr>
            <w:r>
              <w:rPr>
                <w:rFonts w:ascii="Arial" w:cs="Arial" w:eastAsia="Arial" w:hAnsi="Arial"/>
                <w:sz w:val="16"/>
                <w:szCs w:val="16"/>
                <w:color w:val="auto"/>
              </w:rPr>
              <w:t>5.1</w:t>
            </w:r>
          </w:p>
        </w:tc>
        <w:tc>
          <w:tcPr>
            <w:tcW w:w="2420" w:type="dxa"/>
            <w:vAlign w:val="bottom"/>
          </w:tcPr>
          <w:p>
            <w:pPr>
              <w:ind w:left="480"/>
              <w:spacing w:after="0"/>
              <w:rPr>
                <w:sz w:val="20"/>
                <w:szCs w:val="20"/>
                <w:color w:val="auto"/>
              </w:rPr>
            </w:pPr>
            <w:r>
              <w:rPr>
                <w:rFonts w:ascii="Arial" w:cs="Arial" w:eastAsia="Arial" w:hAnsi="Arial"/>
                <w:sz w:val="16"/>
                <w:szCs w:val="16"/>
                <w:color w:val="auto"/>
              </w:rPr>
              <w:t>Opinion of Counsel.</w:t>
            </w:r>
          </w:p>
        </w:tc>
        <w:tc>
          <w:tcPr>
            <w:tcW w:w="2780" w:type="dxa"/>
            <w:vAlign w:val="bottom"/>
          </w:tcPr>
          <w:p>
            <w:pPr>
              <w:spacing w:after="0"/>
              <w:rPr>
                <w:sz w:val="24"/>
                <w:szCs w:val="24"/>
                <w:color w:val="auto"/>
              </w:rPr>
            </w:pPr>
          </w:p>
        </w:tc>
      </w:tr>
      <w:tr>
        <w:trPr>
          <w:trHeight w:val="380"/>
        </w:trPr>
        <w:tc>
          <w:tcPr>
            <w:tcW w:w="760" w:type="dxa"/>
            <w:vAlign w:val="bottom"/>
          </w:tcPr>
          <w:p>
            <w:pPr>
              <w:spacing w:after="0"/>
              <w:rPr>
                <w:sz w:val="20"/>
                <w:szCs w:val="20"/>
                <w:color w:val="auto"/>
              </w:rPr>
            </w:pPr>
            <w:r>
              <w:rPr>
                <w:rFonts w:ascii="Arial" w:cs="Arial" w:eastAsia="Arial" w:hAnsi="Arial"/>
                <w:sz w:val="16"/>
                <w:szCs w:val="16"/>
                <w:color w:val="auto"/>
              </w:rPr>
              <w:t>23.1</w:t>
            </w:r>
          </w:p>
        </w:tc>
        <w:tc>
          <w:tcPr>
            <w:tcW w:w="5200" w:type="dxa"/>
            <w:vAlign w:val="bottom"/>
            <w:gridSpan w:val="2"/>
          </w:tcPr>
          <w:p>
            <w:pPr>
              <w:ind w:left="480"/>
              <w:spacing w:after="0"/>
              <w:rPr>
                <w:sz w:val="20"/>
                <w:szCs w:val="20"/>
                <w:color w:val="auto"/>
              </w:rPr>
            </w:pPr>
            <w:r>
              <w:rPr>
                <w:rFonts w:ascii="Arial" w:cs="Arial" w:eastAsia="Arial" w:hAnsi="Arial"/>
                <w:sz w:val="16"/>
                <w:szCs w:val="16"/>
                <w:color w:val="auto"/>
              </w:rPr>
              <w:t>Consent of Independent Registered Public Accounting Firm.</w:t>
            </w:r>
          </w:p>
        </w:tc>
      </w:tr>
      <w:tr>
        <w:trPr>
          <w:trHeight w:val="380"/>
        </w:trPr>
        <w:tc>
          <w:tcPr>
            <w:tcW w:w="760" w:type="dxa"/>
            <w:vAlign w:val="bottom"/>
          </w:tcPr>
          <w:p>
            <w:pPr>
              <w:spacing w:after="0"/>
              <w:rPr>
                <w:sz w:val="20"/>
                <w:szCs w:val="20"/>
                <w:color w:val="auto"/>
              </w:rPr>
            </w:pPr>
            <w:r>
              <w:rPr>
                <w:rFonts w:ascii="Arial" w:cs="Arial" w:eastAsia="Arial" w:hAnsi="Arial"/>
                <w:sz w:val="16"/>
                <w:szCs w:val="16"/>
                <w:color w:val="auto"/>
              </w:rPr>
              <w:t>23.2</w:t>
            </w:r>
          </w:p>
        </w:tc>
        <w:tc>
          <w:tcPr>
            <w:tcW w:w="5200" w:type="dxa"/>
            <w:vAlign w:val="bottom"/>
            <w:gridSpan w:val="2"/>
          </w:tcPr>
          <w:p>
            <w:pPr>
              <w:ind w:left="480"/>
              <w:spacing w:after="0"/>
              <w:rPr>
                <w:sz w:val="20"/>
                <w:szCs w:val="20"/>
                <w:color w:val="auto"/>
              </w:rPr>
            </w:pPr>
            <w:r>
              <w:rPr>
                <w:rFonts w:ascii="Arial" w:cs="Arial" w:eastAsia="Arial" w:hAnsi="Arial"/>
                <w:sz w:val="16"/>
                <w:szCs w:val="16"/>
                <w:color w:val="auto"/>
              </w:rPr>
              <w:t>Consent of Independent Registered Public Accounting Firm.</w:t>
            </w:r>
          </w:p>
        </w:tc>
      </w:tr>
      <w:tr>
        <w:trPr>
          <w:trHeight w:val="380"/>
        </w:trPr>
        <w:tc>
          <w:tcPr>
            <w:tcW w:w="760" w:type="dxa"/>
            <w:vAlign w:val="bottom"/>
          </w:tcPr>
          <w:p>
            <w:pPr>
              <w:spacing w:after="0"/>
              <w:rPr>
                <w:sz w:val="20"/>
                <w:szCs w:val="20"/>
                <w:color w:val="auto"/>
              </w:rPr>
            </w:pPr>
            <w:r>
              <w:rPr>
                <w:rFonts w:ascii="Arial" w:cs="Arial" w:eastAsia="Arial" w:hAnsi="Arial"/>
                <w:sz w:val="16"/>
                <w:szCs w:val="16"/>
                <w:color w:val="auto"/>
              </w:rPr>
              <w:t>23.3</w:t>
            </w:r>
          </w:p>
        </w:tc>
        <w:tc>
          <w:tcPr>
            <w:tcW w:w="5200" w:type="dxa"/>
            <w:vAlign w:val="bottom"/>
            <w:gridSpan w:val="2"/>
          </w:tcPr>
          <w:p>
            <w:pPr>
              <w:ind w:left="480"/>
              <w:spacing w:after="0"/>
              <w:rPr>
                <w:sz w:val="20"/>
                <w:szCs w:val="20"/>
                <w:color w:val="auto"/>
              </w:rPr>
            </w:pPr>
            <w:r>
              <w:rPr>
                <w:rFonts w:ascii="Arial" w:cs="Arial" w:eastAsia="Arial" w:hAnsi="Arial"/>
                <w:sz w:val="16"/>
                <w:szCs w:val="16"/>
                <w:color w:val="auto"/>
              </w:rPr>
              <w:t>Consent of Counsel (contained in Exhibit 5.1).</w:t>
            </w:r>
          </w:p>
        </w:tc>
      </w:tr>
      <w:tr>
        <w:trPr>
          <w:trHeight w:val="380"/>
        </w:trPr>
        <w:tc>
          <w:tcPr>
            <w:tcW w:w="760" w:type="dxa"/>
            <w:vAlign w:val="bottom"/>
          </w:tcPr>
          <w:p>
            <w:pPr>
              <w:spacing w:after="0"/>
              <w:rPr>
                <w:sz w:val="20"/>
                <w:szCs w:val="20"/>
                <w:color w:val="auto"/>
              </w:rPr>
            </w:pPr>
            <w:r>
              <w:rPr>
                <w:rFonts w:ascii="Arial" w:cs="Arial" w:eastAsia="Arial" w:hAnsi="Arial"/>
                <w:sz w:val="16"/>
                <w:szCs w:val="16"/>
                <w:color w:val="auto"/>
              </w:rPr>
              <w:t>24.1</w:t>
            </w:r>
          </w:p>
        </w:tc>
        <w:tc>
          <w:tcPr>
            <w:tcW w:w="5200" w:type="dxa"/>
            <w:vAlign w:val="bottom"/>
            <w:gridSpan w:val="2"/>
          </w:tcPr>
          <w:p>
            <w:pPr>
              <w:ind w:left="480"/>
              <w:spacing w:after="0"/>
              <w:rPr>
                <w:sz w:val="20"/>
                <w:szCs w:val="20"/>
                <w:color w:val="auto"/>
              </w:rPr>
            </w:pPr>
            <w:r>
              <w:rPr>
                <w:rFonts w:ascii="Arial" w:cs="Arial" w:eastAsia="Arial" w:hAnsi="Arial"/>
                <w:sz w:val="16"/>
                <w:szCs w:val="16"/>
                <w:color w:val="auto"/>
              </w:rPr>
              <w:t>Power of Attorney (included on signature page).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219710</wp:posOffset>
            </wp:positionV>
            <wp:extent cx="60325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3250" cy="7620"/>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 Incorporated by reference to Registration Statement on Form S-8 (Registration No. 333-148357)</w:t>
      </w:r>
    </w:p>
    <w:p>
      <w:pPr>
        <w:spacing w:after="0" w:line="216" w:lineRule="exact"/>
        <w:rPr>
          <w:sz w:val="20"/>
          <w:szCs w:val="20"/>
          <w:color w:val="auto"/>
        </w:rPr>
      </w:pPr>
    </w:p>
    <w:p>
      <w:pPr>
        <w:spacing w:after="0"/>
        <w:tabs>
          <w:tab w:leader="none" w:pos="680" w:val="left"/>
        </w:tabs>
        <w:rPr>
          <w:sz w:val="20"/>
          <w:szCs w:val="20"/>
          <w:color w:val="auto"/>
        </w:rPr>
      </w:pPr>
      <w:r>
        <w:rPr>
          <w:rFonts w:ascii="Arial" w:cs="Arial" w:eastAsia="Arial" w:hAnsi="Arial"/>
          <w:sz w:val="16"/>
          <w:szCs w:val="16"/>
          <w:b w:val="1"/>
          <w:bCs w:val="1"/>
          <w:color w:val="auto"/>
        </w:rPr>
        <w:t>Item 9.</w:t>
      </w:r>
      <w:r>
        <w:rPr>
          <w:sz w:val="20"/>
          <w:szCs w:val="20"/>
          <w:color w:val="auto"/>
        </w:rPr>
        <w:tab/>
      </w:r>
      <w:r>
        <w:rPr>
          <w:rFonts w:ascii="Arial" w:cs="Arial" w:eastAsia="Arial" w:hAnsi="Arial"/>
          <w:sz w:val="14"/>
          <w:szCs w:val="14"/>
          <w:b w:val="1"/>
          <w:bCs w:val="1"/>
          <w:color w:val="auto"/>
        </w:rPr>
        <w:t>Undertakings.</w:t>
      </w:r>
    </w:p>
    <w:p>
      <w:pPr>
        <w:spacing w:after="0" w:line="224" w:lineRule="exact"/>
        <w:rPr>
          <w:sz w:val="20"/>
          <w:szCs w:val="20"/>
          <w:color w:val="auto"/>
        </w:rPr>
      </w:pPr>
    </w:p>
    <w:p>
      <w:pPr>
        <w:ind w:left="500" w:hanging="220"/>
        <w:spacing w:after="0"/>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undersigned Company hereby undertakes:</w:t>
      </w:r>
    </w:p>
    <w:p>
      <w:pPr>
        <w:spacing w:after="0" w:line="219" w:lineRule="exact"/>
        <w:rPr>
          <w:rFonts w:ascii="Arial" w:cs="Arial" w:eastAsia="Arial" w:hAnsi="Arial"/>
          <w:sz w:val="16"/>
          <w:szCs w:val="16"/>
          <w:color w:val="auto"/>
        </w:rPr>
      </w:pPr>
    </w:p>
    <w:p>
      <w:pPr>
        <w:ind w:left="1360" w:hanging="225"/>
        <w:spacing w:after="0"/>
        <w:tabs>
          <w:tab w:leader="none" w:pos="1360" w:val="left"/>
        </w:tabs>
        <w:numPr>
          <w:ilvl w:val="1"/>
          <w:numId w:val="3"/>
        </w:numPr>
        <w:rPr>
          <w:rFonts w:ascii="Arial" w:cs="Arial" w:eastAsia="Arial" w:hAnsi="Arial"/>
          <w:sz w:val="16"/>
          <w:szCs w:val="16"/>
          <w:color w:val="auto"/>
        </w:rPr>
      </w:pPr>
      <w:r>
        <w:rPr>
          <w:rFonts w:ascii="Arial" w:cs="Arial" w:eastAsia="Arial" w:hAnsi="Arial"/>
          <w:sz w:val="16"/>
          <w:szCs w:val="16"/>
          <w:color w:val="auto"/>
        </w:rPr>
        <w:t>To file, during any period in which offers or sales are being made, a post-effective amendment to this Registration Statement:</w:t>
      </w: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380"/>
          </w:cols>
          <w:pgMar w:left="240" w:top="681" w:right="279" w:bottom="1440" w:gutter="0" w:footer="0" w:header="0"/>
        </w:sectPr>
      </w:pPr>
    </w:p>
    <w:bookmarkStart w:id="3" w:name="page4"/>
    <w:bookmarkEnd w:id="3"/>
    <w:p>
      <w:pPr>
        <w:ind w:left="1900" w:hanging="195"/>
        <w:spacing w:after="0"/>
        <w:tabs>
          <w:tab w:leader="none" w:pos="1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include any prospectus required by section 10(a)(3) of the Securities Act;</w:t>
      </w:r>
    </w:p>
    <w:p>
      <w:pPr>
        <w:spacing w:after="0" w:line="219" w:lineRule="exact"/>
        <w:rPr>
          <w:rFonts w:ascii="Arial" w:cs="Arial" w:eastAsia="Arial" w:hAnsi="Arial"/>
          <w:sz w:val="16"/>
          <w:szCs w:val="16"/>
          <w:color w:val="auto"/>
        </w:rPr>
      </w:pPr>
    </w:p>
    <w:p>
      <w:pPr>
        <w:ind w:firstLine="1705"/>
        <w:spacing w:after="0" w:line="252" w:lineRule="auto"/>
        <w:tabs>
          <w:tab w:leader="none" w:pos="1943"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94" w:lineRule="exact"/>
        <w:rPr>
          <w:rFonts w:ascii="Arial" w:cs="Arial" w:eastAsia="Arial" w:hAnsi="Arial"/>
          <w:sz w:val="16"/>
          <w:szCs w:val="16"/>
          <w:color w:val="auto"/>
        </w:rPr>
      </w:pPr>
    </w:p>
    <w:p>
      <w:pPr>
        <w:ind w:right="280" w:firstLine="1705"/>
        <w:spacing w:after="0" w:line="270" w:lineRule="auto"/>
        <w:tabs>
          <w:tab w:leader="none" w:pos="1987"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180" w:lineRule="exact"/>
        <w:rPr>
          <w:sz w:val="20"/>
          <w:szCs w:val="20"/>
          <w:color w:val="auto"/>
        </w:rPr>
      </w:pPr>
    </w:p>
    <w:p>
      <w:pPr>
        <w:ind w:right="40" w:firstLine="1140"/>
        <w:spacing w:after="0" w:line="259" w:lineRule="auto"/>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paragraphs (a)(1)(i) and (a)(1)(ii) do not apply if the information required to be included in a post-effective amendment by those</w:t>
      </w:r>
      <w:r>
        <w:rPr>
          <w:rFonts w:ascii="Arial" w:cs="Arial" w:eastAsia="Arial" w:hAnsi="Arial"/>
          <w:sz w:val="16"/>
          <w:szCs w:val="16"/>
          <w:i w:val="1"/>
          <w:iCs w:val="1"/>
          <w:color w:val="auto"/>
        </w:rPr>
        <w:t xml:space="preserve"> </w:t>
      </w:r>
      <w:r>
        <w:rPr>
          <w:rFonts w:ascii="Arial" w:cs="Arial" w:eastAsia="Arial" w:hAnsi="Arial"/>
          <w:sz w:val="16"/>
          <w:szCs w:val="16"/>
          <w:color w:val="auto"/>
        </w:rPr>
        <w:t>paragraphs is contained in reports filed with or furnished to the Securities and Exchange Commission by the Company pursuant to Section 13 or Section 15(d) of the Exchange Act that are incorporated by reference in the Registration Statement.</w:t>
      </w:r>
    </w:p>
    <w:p>
      <w:pPr>
        <w:spacing w:after="0" w:line="188" w:lineRule="exact"/>
        <w:rPr>
          <w:sz w:val="20"/>
          <w:szCs w:val="20"/>
          <w:color w:val="auto"/>
        </w:rPr>
      </w:pPr>
    </w:p>
    <w:p>
      <w:pPr>
        <w:ind w:right="420" w:firstLine="1135"/>
        <w:spacing w:after="0" w:line="343" w:lineRule="auto"/>
        <w:tabs>
          <w:tab w:leader="none" w:pos="1362" w:val="left"/>
        </w:tabs>
        <w:numPr>
          <w:ilvl w:val="1"/>
          <w:numId w:val="5"/>
        </w:numPr>
        <w:rPr>
          <w:rFonts w:ascii="Arial" w:cs="Arial" w:eastAsia="Arial" w:hAnsi="Arial"/>
          <w:sz w:val="14"/>
          <w:szCs w:val="14"/>
          <w:color w:val="auto"/>
        </w:rPr>
      </w:pPr>
      <w:r>
        <w:rPr>
          <w:rFonts w:ascii="Arial" w:cs="Arial" w:eastAsia="Arial" w:hAnsi="Arial"/>
          <w:sz w:val="14"/>
          <w:szCs w:val="14"/>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33" w:lineRule="exact"/>
        <w:rPr>
          <w:rFonts w:ascii="Arial" w:cs="Arial" w:eastAsia="Arial" w:hAnsi="Arial"/>
          <w:sz w:val="14"/>
          <w:szCs w:val="14"/>
          <w:color w:val="auto"/>
        </w:rPr>
      </w:pPr>
    </w:p>
    <w:p>
      <w:pPr>
        <w:ind w:left="1360" w:hanging="225"/>
        <w:spacing w:after="0"/>
        <w:tabs>
          <w:tab w:leader="none" w:pos="1360" w:val="left"/>
        </w:tabs>
        <w:numPr>
          <w:ilvl w:val="1"/>
          <w:numId w:val="5"/>
        </w:numPr>
        <w:rPr>
          <w:rFonts w:ascii="Arial" w:cs="Arial" w:eastAsia="Arial" w:hAnsi="Arial"/>
          <w:sz w:val="14"/>
          <w:szCs w:val="14"/>
          <w:color w:val="auto"/>
        </w:rPr>
      </w:pPr>
      <w:r>
        <w:rPr>
          <w:rFonts w:ascii="Arial" w:cs="Arial" w:eastAsia="Arial" w:hAnsi="Arial"/>
          <w:sz w:val="14"/>
          <w:szCs w:val="14"/>
          <w:color w:val="auto"/>
        </w:rPr>
        <w:t>To remove from registration by means of a post-effective amendment any of the securities being registered which remain unsold at the termination of the</w:t>
      </w:r>
    </w:p>
    <w:p>
      <w:pPr>
        <w:spacing w:after="0" w:line="40"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offering.</w:t>
      </w:r>
    </w:p>
    <w:p>
      <w:pPr>
        <w:spacing w:after="0" w:line="208" w:lineRule="exact"/>
        <w:rPr>
          <w:rFonts w:ascii="Arial" w:cs="Arial" w:eastAsia="Arial" w:hAnsi="Arial"/>
          <w:sz w:val="14"/>
          <w:szCs w:val="14"/>
          <w:color w:val="auto"/>
        </w:rPr>
      </w:pPr>
    </w:p>
    <w:p>
      <w:pPr>
        <w:ind w:right="200" w:firstLine="280"/>
        <w:spacing w:after="0" w:line="255" w:lineRule="auto"/>
        <w:tabs>
          <w:tab w:leader="none" w:pos="506"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undersigned Company hereby undertakes that, for the purpose of determining any liability under the Securities Act, each filing of the Company’s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92" w:lineRule="exact"/>
        <w:rPr>
          <w:rFonts w:ascii="Arial" w:cs="Arial" w:eastAsia="Arial" w:hAnsi="Arial"/>
          <w:sz w:val="16"/>
          <w:szCs w:val="16"/>
          <w:color w:val="auto"/>
        </w:rPr>
      </w:pPr>
    </w:p>
    <w:p>
      <w:pPr>
        <w:ind w:right="120" w:firstLine="280"/>
        <w:spacing w:after="0" w:line="255" w:lineRule="auto"/>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Company pursuant to the foregoing provisions, or otherwise, the Company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Company of expenses incurred or paid by a</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20"/>
          </w:cols>
          <w:pgMar w:left="240" w:top="471" w:right="239" w:bottom="1440" w:gutter="0" w:footer="0" w:header="0"/>
        </w:sectPr>
      </w:pPr>
    </w:p>
    <w:bookmarkStart w:id="4" w:name="page5"/>
    <w:bookmarkEnd w:id="4"/>
    <w:p>
      <w:pPr>
        <w:spacing w:after="0" w:line="255" w:lineRule="auto"/>
        <w:rPr>
          <w:sz w:val="20"/>
          <w:szCs w:val="20"/>
          <w:color w:val="auto"/>
        </w:rPr>
      </w:pPr>
      <w:r>
        <w:rPr>
          <w:rFonts w:ascii="Arial" w:cs="Arial" w:eastAsia="Arial" w:hAnsi="Arial"/>
          <w:sz w:val="16"/>
          <w:szCs w:val="16"/>
          <w:color w:val="auto"/>
        </w:rPr>
        <w:t>director, officer or controlling person of the Company in the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320"/>
          </w:cols>
          <w:pgMar w:left="240" w:top="47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SIGNATURES</w:t>
      </w:r>
    </w:p>
    <w:p>
      <w:pPr>
        <w:spacing w:after="0" w:line="224" w:lineRule="exact"/>
        <w:rPr>
          <w:sz w:val="20"/>
          <w:szCs w:val="20"/>
          <w:color w:val="auto"/>
        </w:rPr>
      </w:pPr>
    </w:p>
    <w:p>
      <w:pPr>
        <w:ind w:firstLine="570"/>
        <w:spacing w:after="0" w:line="259" w:lineRule="auto"/>
        <w:rPr>
          <w:sz w:val="20"/>
          <w:szCs w:val="20"/>
          <w:color w:val="auto"/>
        </w:rPr>
      </w:pPr>
      <w:r>
        <w:rPr>
          <w:rFonts w:ascii="Arial" w:cs="Arial" w:eastAsia="Arial" w:hAnsi="Arial"/>
          <w:sz w:val="16"/>
          <w:szCs w:val="16"/>
          <w:color w:val="auto"/>
        </w:rPr>
        <w:t>Pursuant to the requirements of the Securities Act, the Company certifies that it has reasonable grounds to believe that it meets all of the requirements for filing on Form S-8 and has duly caused this Registration Statement to be signed on its behalf by the undersigned, thereunto duly authorized, in the City of Boise, State of Idaho, on this 17th day of February 2012.</w:t>
      </w:r>
    </w:p>
    <w:p>
      <w:pPr>
        <w:spacing w:after="0" w:line="188" w:lineRule="exact"/>
        <w:rPr>
          <w:sz w:val="20"/>
          <w:szCs w:val="20"/>
          <w:color w:val="auto"/>
        </w:rPr>
      </w:pPr>
    </w:p>
    <w:p>
      <w:pPr>
        <w:ind w:left="5120"/>
        <w:spacing w:after="0"/>
        <w:rPr>
          <w:sz w:val="20"/>
          <w:szCs w:val="20"/>
          <w:color w:val="auto"/>
        </w:rPr>
      </w:pPr>
      <w:r>
        <w:rPr>
          <w:rFonts w:ascii="Arial" w:cs="Arial" w:eastAsia="Arial" w:hAnsi="Arial"/>
          <w:sz w:val="16"/>
          <w:szCs w:val="16"/>
          <w:color w:val="auto"/>
        </w:rPr>
        <w:t>MICRON TECHNOLOGY, INC.</w:t>
      </w:r>
    </w:p>
    <w:p>
      <w:pPr>
        <w:spacing w:after="0" w:line="196" w:lineRule="exact"/>
        <w:rPr>
          <w:sz w:val="20"/>
          <w:szCs w:val="20"/>
          <w:color w:val="auto"/>
        </w:rPr>
      </w:pPr>
    </w:p>
    <w:p>
      <w:pPr>
        <w:ind w:left="5160"/>
        <w:spacing w:after="0"/>
        <w:rPr>
          <w:sz w:val="20"/>
          <w:szCs w:val="20"/>
          <w:color w:val="auto"/>
        </w:rPr>
      </w:pPr>
      <w:r>
        <w:rPr>
          <w:rFonts w:ascii="Arial" w:cs="Arial" w:eastAsia="Arial" w:hAnsi="Arial"/>
          <w:sz w:val="16"/>
          <w:szCs w:val="16"/>
          <w:i w:val="1"/>
          <w:iCs w:val="1"/>
          <w:color w:val="auto"/>
        </w:rPr>
        <w:t>/s/ Ronald C.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3280410</wp:posOffset>
            </wp:positionH>
            <wp:positionV relativeFrom="paragraph">
              <wp:posOffset>-10160</wp:posOffset>
            </wp:positionV>
            <wp:extent cx="150876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08760" cy="7620"/>
                    </a:xfrm>
                    <a:prstGeom prst="rect">
                      <a:avLst/>
                    </a:prstGeom>
                    <a:noFill/>
                  </pic:spPr>
                </pic:pic>
              </a:graphicData>
            </a:graphic>
          </wp:anchor>
        </w:drawing>
      </w:r>
    </w:p>
    <w:p>
      <w:pPr>
        <w:ind w:left="5120"/>
        <w:spacing w:after="0"/>
        <w:tabs>
          <w:tab w:leader="none" w:pos="5580" w:val="left"/>
        </w:tabs>
        <w:rPr>
          <w:sz w:val="20"/>
          <w:szCs w:val="20"/>
          <w:color w:val="auto"/>
        </w:rPr>
      </w:pPr>
      <w:r>
        <w:rPr>
          <w:rFonts w:ascii="Arial" w:cs="Arial" w:eastAsia="Arial" w:hAnsi="Arial"/>
          <w:sz w:val="16"/>
          <w:szCs w:val="16"/>
          <w:color w:val="auto"/>
        </w:rPr>
        <w:t>By:</w:t>
        <w:tab/>
        <w:t>Ronald C. Foster</w:t>
      </w:r>
    </w:p>
    <w:p>
      <w:pPr>
        <w:spacing w:after="0" w:line="6" w:lineRule="exact"/>
        <w:rPr>
          <w:sz w:val="20"/>
          <w:szCs w:val="20"/>
          <w:color w:val="auto"/>
        </w:rPr>
      </w:pPr>
    </w:p>
    <w:p>
      <w:pPr>
        <w:ind w:left="5120"/>
        <w:spacing w:after="0"/>
        <w:rPr>
          <w:sz w:val="20"/>
          <w:szCs w:val="20"/>
          <w:color w:val="auto"/>
        </w:rPr>
      </w:pPr>
      <w:r>
        <w:rPr>
          <w:rFonts w:ascii="Arial" w:cs="Arial" w:eastAsia="Arial" w:hAnsi="Arial"/>
          <w:sz w:val="16"/>
          <w:szCs w:val="16"/>
          <w:color w:val="auto"/>
        </w:rPr>
        <w:t>Chief Financial Officer and</w:t>
      </w:r>
    </w:p>
    <w:p>
      <w:pPr>
        <w:spacing w:after="0" w:line="6" w:lineRule="exact"/>
        <w:rPr>
          <w:sz w:val="20"/>
          <w:szCs w:val="20"/>
          <w:color w:val="auto"/>
        </w:rPr>
      </w:pPr>
    </w:p>
    <w:p>
      <w:pPr>
        <w:ind w:left="5120"/>
        <w:spacing w:after="0"/>
        <w:rPr>
          <w:sz w:val="20"/>
          <w:szCs w:val="20"/>
          <w:color w:val="auto"/>
        </w:rPr>
      </w:pPr>
      <w:r>
        <w:rPr>
          <w:rFonts w:ascii="Arial" w:cs="Arial" w:eastAsia="Arial" w:hAnsi="Arial"/>
          <w:sz w:val="16"/>
          <w:szCs w:val="16"/>
          <w:color w:val="auto"/>
        </w:rPr>
        <w:t>Vice President of Finance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u w:val="single" w:color="auto"/>
          <w:color w:val="auto"/>
        </w:rPr>
        <w:t>POWER OF ATTORNEY</w:t>
      </w:r>
    </w:p>
    <w:p>
      <w:pPr>
        <w:spacing w:after="0" w:line="200" w:lineRule="exact"/>
        <w:rPr>
          <w:sz w:val="20"/>
          <w:szCs w:val="20"/>
          <w:color w:val="auto"/>
        </w:rPr>
      </w:pPr>
    </w:p>
    <w:p>
      <w:pPr>
        <w:spacing w:after="0" w:line="238" w:lineRule="exact"/>
        <w:rPr>
          <w:sz w:val="20"/>
          <w:szCs w:val="20"/>
          <w:color w:val="auto"/>
        </w:rPr>
      </w:pPr>
    </w:p>
    <w:p>
      <w:pPr>
        <w:ind w:right="180" w:firstLine="570"/>
        <w:spacing w:after="0" w:line="255" w:lineRule="auto"/>
        <w:rPr>
          <w:sz w:val="20"/>
          <w:szCs w:val="20"/>
          <w:color w:val="auto"/>
        </w:rPr>
      </w:pPr>
      <w:r>
        <w:rPr>
          <w:rFonts w:ascii="Arial" w:cs="Arial" w:eastAsia="Arial" w:hAnsi="Arial"/>
          <w:sz w:val="16"/>
          <w:szCs w:val="16"/>
          <w:color w:val="auto"/>
        </w:rPr>
        <w:t>Each person whose signature appears below constitutes and appoints D. Mark Durcan and Ronald C. Foster, jointly and severally, his attorneys-in-fact, each with the power of substitution, for him in any and all capacities, to sign any amendments (including post-effective amendments) to this Registration Statement on Form S-8,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92" w:lineRule="exact"/>
        <w:rPr>
          <w:sz w:val="20"/>
          <w:szCs w:val="20"/>
          <w:color w:val="auto"/>
        </w:rPr>
      </w:pPr>
    </w:p>
    <w:p>
      <w:pPr>
        <w:ind w:right="60" w:firstLine="570"/>
        <w:spacing w:after="0" w:line="270" w:lineRule="auto"/>
        <w:rPr>
          <w:sz w:val="20"/>
          <w:szCs w:val="20"/>
          <w:color w:val="auto"/>
        </w:rPr>
      </w:pPr>
      <w:r>
        <w:rPr>
          <w:rFonts w:ascii="Arial" w:cs="Arial" w:eastAsia="Arial" w:hAnsi="Arial"/>
          <w:sz w:val="16"/>
          <w:szCs w:val="16"/>
          <w:color w:val="auto"/>
        </w:rPr>
        <w:t>Pursuant to the requirements of the Securities Act of 1933, as amended, this Registration Statement has been signed by the following persons in the capacities indicated on February 17, 2012.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jc w:val="center"/>
              <w:ind w:right="840"/>
              <w:spacing w:after="0"/>
              <w:rPr>
                <w:sz w:val="20"/>
                <w:szCs w:val="20"/>
                <w:color w:val="auto"/>
              </w:rPr>
            </w:pPr>
            <w:r>
              <w:rPr>
                <w:rFonts w:ascii="Arial" w:cs="Arial" w:eastAsia="Arial" w:hAnsi="Arial"/>
                <w:sz w:val="16"/>
                <w:szCs w:val="16"/>
                <w:b w:val="1"/>
                <w:bCs w:val="1"/>
                <w:color w:val="auto"/>
                <w:w w:val="89"/>
              </w:rPr>
              <w:t>Signature</w:t>
            </w:r>
          </w:p>
        </w:tc>
        <w:tc>
          <w:tcPr>
            <w:tcW w:w="4140" w:type="dxa"/>
            <w:vAlign w:val="bottom"/>
            <w:tcBorders>
              <w:bottom w:val="single" w:sz="8" w:color="auto"/>
            </w:tcBorders>
          </w:tcPr>
          <w:p>
            <w:pPr>
              <w:ind w:left="2280"/>
              <w:spacing w:after="0"/>
              <w:rPr>
                <w:sz w:val="20"/>
                <w:szCs w:val="20"/>
                <w:color w:val="auto"/>
              </w:rPr>
            </w:pPr>
            <w:r>
              <w:rPr>
                <w:rFonts w:ascii="Arial" w:cs="Arial" w:eastAsia="Arial" w:hAnsi="Arial"/>
                <w:sz w:val="16"/>
                <w:szCs w:val="16"/>
                <w:b w:val="1"/>
                <w:bCs w:val="1"/>
                <w:color w:val="auto"/>
              </w:rPr>
              <w:t>Title</w:t>
            </w:r>
          </w:p>
        </w:tc>
        <w:tc>
          <w:tcPr>
            <w:tcW w:w="2860" w:type="dxa"/>
            <w:vAlign w:val="bottom"/>
            <w:tcBorders>
              <w:bottom w:val="single" w:sz="8" w:color="auto"/>
            </w:tcBorders>
          </w:tcPr>
          <w:p>
            <w:pPr>
              <w:ind w:left="1380"/>
              <w:spacing w:after="0"/>
              <w:rPr>
                <w:sz w:val="20"/>
                <w:szCs w:val="20"/>
                <w:color w:val="auto"/>
              </w:rPr>
            </w:pPr>
            <w:r>
              <w:rPr>
                <w:rFonts w:ascii="Arial" w:cs="Arial" w:eastAsia="Arial" w:hAnsi="Arial"/>
                <w:sz w:val="16"/>
                <w:szCs w:val="16"/>
                <w:b w:val="1"/>
                <w:bCs w:val="1"/>
                <w:color w:val="auto"/>
              </w:rPr>
              <w:t>Date</w:t>
            </w:r>
          </w:p>
        </w:tc>
        <w:tc>
          <w:tcPr>
            <w:tcW w:w="1500" w:type="dxa"/>
            <w:vAlign w:val="bottom"/>
          </w:tcPr>
          <w:p>
            <w:pPr>
              <w:spacing w:after="0"/>
              <w:rPr>
                <w:sz w:val="18"/>
                <w:szCs w:val="18"/>
                <w:color w:val="auto"/>
              </w:rPr>
            </w:pPr>
          </w:p>
        </w:tc>
      </w:tr>
      <w:tr>
        <w:trPr>
          <w:trHeight w:val="344"/>
        </w:trPr>
        <w:tc>
          <w:tcPr>
            <w:tcW w:w="1240" w:type="dxa"/>
            <w:vAlign w:val="bottom"/>
            <w:tcBorders>
              <w:bottom w:val="single" w:sz="8" w:color="auto"/>
            </w:tcBorders>
            <w:gridSpan w:val="4"/>
          </w:tcPr>
          <w:p>
            <w:pPr>
              <w:spacing w:after="0"/>
              <w:rPr>
                <w:sz w:val="20"/>
                <w:szCs w:val="20"/>
                <w:color w:val="auto"/>
              </w:rPr>
            </w:pPr>
            <w:r>
              <w:rPr>
                <w:rFonts w:ascii="Arial" w:cs="Arial" w:eastAsia="Arial" w:hAnsi="Arial"/>
                <w:sz w:val="16"/>
                <w:szCs w:val="16"/>
                <w:i w:val="1"/>
                <w:iCs w:val="1"/>
                <w:color w:val="auto"/>
                <w:w w:val="91"/>
              </w:rPr>
              <w:t>/s/ D. Mark Durcan</w:t>
            </w:r>
          </w:p>
        </w:tc>
        <w:tc>
          <w:tcPr>
            <w:tcW w:w="1700" w:type="dxa"/>
            <w:vAlign w:val="bottom"/>
            <w:gridSpan w:val="4"/>
          </w:tcPr>
          <w:p>
            <w:pPr>
              <w:spacing w:after="0"/>
              <w:rPr>
                <w:sz w:val="24"/>
                <w:szCs w:val="24"/>
                <w:color w:val="auto"/>
              </w:rPr>
            </w:pPr>
          </w:p>
        </w:tc>
        <w:tc>
          <w:tcPr>
            <w:tcW w:w="4140" w:type="dxa"/>
            <w:vAlign w:val="bottom"/>
          </w:tcPr>
          <w:p>
            <w:pPr>
              <w:ind w:left="520"/>
              <w:spacing w:after="0"/>
              <w:rPr>
                <w:sz w:val="20"/>
                <w:szCs w:val="20"/>
                <w:color w:val="auto"/>
              </w:rPr>
            </w:pPr>
            <w:r>
              <w:rPr>
                <w:rFonts w:ascii="Arial" w:cs="Arial" w:eastAsia="Arial" w:hAnsi="Arial"/>
                <w:sz w:val="16"/>
                <w:szCs w:val="16"/>
                <w:color w:val="auto"/>
              </w:rPr>
              <w:t>Chief Executive Officer and Director</w:t>
            </w:r>
          </w:p>
        </w:tc>
        <w:tc>
          <w:tcPr>
            <w:tcW w:w="2860" w:type="dxa"/>
            <w:vAlign w:val="bottom"/>
          </w:tcPr>
          <w:p>
            <w:pPr>
              <w:ind w:left="200"/>
              <w:spacing w:after="0"/>
              <w:rPr>
                <w:sz w:val="20"/>
                <w:szCs w:val="20"/>
                <w:color w:val="auto"/>
              </w:rPr>
            </w:pPr>
            <w:r>
              <w:rPr>
                <w:rFonts w:ascii="Arial" w:cs="Arial" w:eastAsia="Arial" w:hAnsi="Arial"/>
                <w:sz w:val="16"/>
                <w:szCs w:val="16"/>
                <w:color w:val="auto"/>
              </w:rPr>
              <w:t>February 17, 2012</w:t>
            </w:r>
          </w:p>
        </w:tc>
        <w:tc>
          <w:tcPr>
            <w:tcW w:w="1500" w:type="dxa"/>
            <w:vAlign w:val="bottom"/>
          </w:tcPr>
          <w:p>
            <w:pPr>
              <w:spacing w:after="0"/>
              <w:rPr>
                <w:sz w:val="24"/>
                <w:szCs w:val="24"/>
                <w:color w:val="auto"/>
              </w:rPr>
            </w:pPr>
          </w:p>
        </w:tc>
      </w:tr>
      <w:tr>
        <w:trPr>
          <w:trHeight w:val="204"/>
        </w:trPr>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80" w:type="dxa"/>
            <w:vAlign w:val="bottom"/>
            <w:gridSpan w:val="6"/>
          </w:tcPr>
          <w:p>
            <w:pPr>
              <w:jc w:val="center"/>
              <w:ind w:right="640"/>
              <w:spacing w:after="0"/>
              <w:rPr>
                <w:sz w:val="20"/>
                <w:szCs w:val="20"/>
                <w:color w:val="auto"/>
              </w:rPr>
            </w:pPr>
            <w:r>
              <w:rPr>
                <w:rFonts w:ascii="Arial" w:cs="Arial" w:eastAsia="Arial" w:hAnsi="Arial"/>
                <w:sz w:val="16"/>
                <w:szCs w:val="16"/>
                <w:color w:val="auto"/>
                <w:w w:val="94"/>
              </w:rPr>
              <w:t>D. Mark Durcan</w:t>
            </w:r>
          </w:p>
        </w:tc>
        <w:tc>
          <w:tcPr>
            <w:tcW w:w="4140" w:type="dxa"/>
            <w:vAlign w:val="bottom"/>
          </w:tcPr>
          <w:p>
            <w:pPr>
              <w:ind w:left="560"/>
              <w:spacing w:after="0"/>
              <w:rPr>
                <w:sz w:val="20"/>
                <w:szCs w:val="20"/>
                <w:color w:val="auto"/>
              </w:rPr>
            </w:pPr>
            <w:r>
              <w:rPr>
                <w:rFonts w:ascii="Arial" w:cs="Arial" w:eastAsia="Arial" w:hAnsi="Arial"/>
                <w:sz w:val="16"/>
                <w:szCs w:val="16"/>
                <w:color w:val="auto"/>
              </w:rPr>
              <w:t>(Principal Executive Officer)</w:t>
            </w:r>
          </w:p>
        </w:tc>
        <w:tc>
          <w:tcPr>
            <w:tcW w:w="28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346"/>
        </w:trPr>
        <w:tc>
          <w:tcPr>
            <w:tcW w:w="1280" w:type="dxa"/>
            <w:vAlign w:val="bottom"/>
            <w:tcBorders>
              <w:bottom w:val="single" w:sz="8" w:color="auto"/>
            </w:tcBorders>
            <w:gridSpan w:val="5"/>
          </w:tcPr>
          <w:p>
            <w:pPr>
              <w:spacing w:after="0"/>
              <w:rPr>
                <w:sz w:val="20"/>
                <w:szCs w:val="20"/>
                <w:color w:val="auto"/>
              </w:rPr>
            </w:pPr>
            <w:r>
              <w:rPr>
                <w:rFonts w:ascii="Arial" w:cs="Arial" w:eastAsia="Arial" w:hAnsi="Arial"/>
                <w:sz w:val="16"/>
                <w:szCs w:val="16"/>
                <w:i w:val="1"/>
                <w:iCs w:val="1"/>
                <w:color w:val="auto"/>
                <w:w w:val="88"/>
              </w:rPr>
              <w:t>/s/ Ronald C. Foster</w:t>
            </w:r>
          </w:p>
        </w:tc>
        <w:tc>
          <w:tcPr>
            <w:tcW w:w="1660" w:type="dxa"/>
            <w:vAlign w:val="bottom"/>
            <w:gridSpan w:val="3"/>
          </w:tcPr>
          <w:p>
            <w:pPr>
              <w:spacing w:after="0"/>
              <w:rPr>
                <w:sz w:val="24"/>
                <w:szCs w:val="24"/>
                <w:color w:val="auto"/>
              </w:rPr>
            </w:pPr>
          </w:p>
        </w:tc>
        <w:tc>
          <w:tcPr>
            <w:tcW w:w="4140" w:type="dxa"/>
            <w:vAlign w:val="bottom"/>
          </w:tcPr>
          <w:p>
            <w:pPr>
              <w:ind w:left="520"/>
              <w:spacing w:after="0"/>
              <w:rPr>
                <w:sz w:val="20"/>
                <w:szCs w:val="20"/>
                <w:color w:val="auto"/>
              </w:rPr>
            </w:pPr>
            <w:r>
              <w:rPr>
                <w:rFonts w:ascii="Arial" w:cs="Arial" w:eastAsia="Arial" w:hAnsi="Arial"/>
                <w:sz w:val="16"/>
                <w:szCs w:val="16"/>
                <w:color w:val="auto"/>
                <w:w w:val="95"/>
              </w:rPr>
              <w:t>Vice President of Finance and Chief Financial Officer</w:t>
            </w:r>
          </w:p>
        </w:tc>
        <w:tc>
          <w:tcPr>
            <w:tcW w:w="2860" w:type="dxa"/>
            <w:vAlign w:val="bottom"/>
          </w:tcPr>
          <w:p>
            <w:pPr>
              <w:ind w:left="200"/>
              <w:spacing w:after="0"/>
              <w:rPr>
                <w:sz w:val="20"/>
                <w:szCs w:val="20"/>
                <w:color w:val="auto"/>
              </w:rPr>
            </w:pPr>
            <w:r>
              <w:rPr>
                <w:rFonts w:ascii="Arial" w:cs="Arial" w:eastAsia="Arial" w:hAnsi="Arial"/>
                <w:sz w:val="16"/>
                <w:szCs w:val="16"/>
                <w:color w:val="auto"/>
              </w:rPr>
              <w:t>February 17, 2012</w:t>
            </w:r>
          </w:p>
        </w:tc>
        <w:tc>
          <w:tcPr>
            <w:tcW w:w="1500" w:type="dxa"/>
            <w:vAlign w:val="bottom"/>
          </w:tcPr>
          <w:p>
            <w:pPr>
              <w:spacing w:after="0"/>
              <w:rPr>
                <w:sz w:val="24"/>
                <w:szCs w:val="24"/>
                <w:color w:val="auto"/>
              </w:rPr>
            </w:pPr>
          </w:p>
        </w:tc>
      </w:tr>
      <w:tr>
        <w:trPr>
          <w:trHeight w:val="193"/>
        </w:trPr>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780" w:type="dxa"/>
            <w:vAlign w:val="bottom"/>
            <w:gridSpan w:val="6"/>
          </w:tcPr>
          <w:p>
            <w:pPr>
              <w:jc w:val="center"/>
              <w:ind w:right="640"/>
              <w:spacing w:after="0"/>
              <w:rPr>
                <w:sz w:val="20"/>
                <w:szCs w:val="20"/>
                <w:color w:val="auto"/>
              </w:rPr>
            </w:pPr>
            <w:r>
              <w:rPr>
                <w:rFonts w:ascii="Arial" w:cs="Arial" w:eastAsia="Arial" w:hAnsi="Arial"/>
                <w:sz w:val="16"/>
                <w:szCs w:val="16"/>
                <w:color w:val="auto"/>
                <w:w w:val="87"/>
              </w:rPr>
              <w:t>Ronald C. Foster</w:t>
            </w:r>
          </w:p>
        </w:tc>
        <w:tc>
          <w:tcPr>
            <w:tcW w:w="4140" w:type="dxa"/>
            <w:vAlign w:val="bottom"/>
          </w:tcPr>
          <w:p>
            <w:pPr>
              <w:ind w:left="520"/>
              <w:spacing w:after="0"/>
              <w:rPr>
                <w:sz w:val="20"/>
                <w:szCs w:val="20"/>
                <w:color w:val="auto"/>
              </w:rPr>
            </w:pPr>
            <w:r>
              <w:rPr>
                <w:rFonts w:ascii="Arial" w:cs="Arial" w:eastAsia="Arial" w:hAnsi="Arial"/>
                <w:sz w:val="16"/>
                <w:szCs w:val="16"/>
                <w:color w:val="auto"/>
              </w:rPr>
              <w:t>(Principal Financial Officer and Principal</w:t>
            </w:r>
          </w:p>
        </w:tc>
        <w:tc>
          <w:tcPr>
            <w:tcW w:w="28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01"/>
        </w:trPr>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140" w:type="dxa"/>
            <w:vAlign w:val="bottom"/>
          </w:tcPr>
          <w:p>
            <w:pPr>
              <w:ind w:left="520"/>
              <w:spacing w:after="0"/>
              <w:rPr>
                <w:sz w:val="20"/>
                <w:szCs w:val="20"/>
                <w:color w:val="auto"/>
              </w:rPr>
            </w:pPr>
            <w:r>
              <w:rPr>
                <w:rFonts w:ascii="Arial" w:cs="Arial" w:eastAsia="Arial" w:hAnsi="Arial"/>
                <w:sz w:val="16"/>
                <w:szCs w:val="16"/>
                <w:color w:val="auto"/>
              </w:rPr>
              <w:t>Accounting Officer)</w:t>
            </w:r>
          </w:p>
        </w:tc>
        <w:tc>
          <w:tcPr>
            <w:tcW w:w="28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346"/>
        </w:trPr>
        <w:tc>
          <w:tcPr>
            <w:tcW w:w="2940" w:type="dxa"/>
            <w:vAlign w:val="bottom"/>
            <w:gridSpan w:val="8"/>
          </w:tcPr>
          <w:p>
            <w:pPr>
              <w:spacing w:after="0"/>
              <w:rPr>
                <w:sz w:val="20"/>
                <w:szCs w:val="20"/>
                <w:color w:val="auto"/>
              </w:rPr>
            </w:pPr>
            <w:r>
              <w:rPr>
                <w:rFonts w:ascii="Arial" w:cs="Arial" w:eastAsia="Arial" w:hAnsi="Arial"/>
                <w:sz w:val="16"/>
                <w:szCs w:val="16"/>
                <w:i w:val="1"/>
                <w:iCs w:val="1"/>
                <w:color w:val="auto"/>
              </w:rPr>
              <w:t>/s/ Robert E. Switz</w:t>
            </w:r>
          </w:p>
        </w:tc>
        <w:tc>
          <w:tcPr>
            <w:tcW w:w="4140" w:type="dxa"/>
            <w:vAlign w:val="bottom"/>
          </w:tcPr>
          <w:p>
            <w:pPr>
              <w:ind w:left="520"/>
              <w:spacing w:after="0"/>
              <w:rPr>
                <w:sz w:val="20"/>
                <w:szCs w:val="20"/>
                <w:color w:val="auto"/>
              </w:rPr>
            </w:pPr>
            <w:r>
              <w:rPr>
                <w:rFonts w:ascii="Arial" w:cs="Arial" w:eastAsia="Arial" w:hAnsi="Arial"/>
                <w:sz w:val="16"/>
                <w:szCs w:val="16"/>
                <w:color w:val="auto"/>
              </w:rPr>
              <w:t>Chairman of the Board of Directors</w:t>
            </w:r>
          </w:p>
        </w:tc>
        <w:tc>
          <w:tcPr>
            <w:tcW w:w="2860" w:type="dxa"/>
            <w:vAlign w:val="bottom"/>
          </w:tcPr>
          <w:p>
            <w:pPr>
              <w:ind w:left="200"/>
              <w:spacing w:after="0"/>
              <w:rPr>
                <w:sz w:val="20"/>
                <w:szCs w:val="20"/>
                <w:color w:val="auto"/>
              </w:rPr>
            </w:pPr>
            <w:r>
              <w:rPr>
                <w:rFonts w:ascii="Arial" w:cs="Arial" w:eastAsia="Arial" w:hAnsi="Arial"/>
                <w:sz w:val="16"/>
                <w:szCs w:val="16"/>
                <w:color w:val="auto"/>
              </w:rPr>
              <w:t>February 17, 2012</w:t>
            </w:r>
          </w:p>
        </w:tc>
        <w:tc>
          <w:tcPr>
            <w:tcW w:w="1500" w:type="dxa"/>
            <w:vAlign w:val="bottom"/>
          </w:tcPr>
          <w:p>
            <w:pPr>
              <w:spacing w:after="0"/>
              <w:rPr>
                <w:sz w:val="24"/>
                <w:szCs w:val="24"/>
                <w:color w:val="auto"/>
              </w:rPr>
            </w:pPr>
          </w:p>
        </w:tc>
      </w:tr>
      <w:tr>
        <w:trPr>
          <w:trHeight w:val="204"/>
        </w:trPr>
        <w:tc>
          <w:tcPr>
            <w:tcW w:w="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720" w:type="dxa"/>
            <w:vAlign w:val="bottom"/>
            <w:gridSpan w:val="5"/>
          </w:tcPr>
          <w:p>
            <w:pPr>
              <w:jc w:val="center"/>
              <w:ind w:right="700"/>
              <w:spacing w:after="0"/>
              <w:rPr>
                <w:sz w:val="20"/>
                <w:szCs w:val="20"/>
                <w:color w:val="auto"/>
              </w:rPr>
            </w:pPr>
            <w:r>
              <w:rPr>
                <w:rFonts w:ascii="Arial" w:cs="Arial" w:eastAsia="Arial" w:hAnsi="Arial"/>
                <w:sz w:val="16"/>
                <w:szCs w:val="16"/>
                <w:color w:val="auto"/>
                <w:w w:val="92"/>
              </w:rPr>
              <w:t>Robert E. Switz</w:t>
            </w:r>
          </w:p>
        </w:tc>
        <w:tc>
          <w:tcPr>
            <w:tcW w:w="414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346"/>
        </w:trPr>
        <w:tc>
          <w:tcPr>
            <w:tcW w:w="2940" w:type="dxa"/>
            <w:vAlign w:val="bottom"/>
            <w:gridSpan w:val="8"/>
          </w:tcPr>
          <w:p>
            <w:pPr>
              <w:spacing w:after="0"/>
              <w:rPr>
                <w:sz w:val="20"/>
                <w:szCs w:val="20"/>
                <w:color w:val="auto"/>
              </w:rPr>
            </w:pPr>
            <w:r>
              <w:rPr>
                <w:rFonts w:ascii="Arial" w:cs="Arial" w:eastAsia="Arial" w:hAnsi="Arial"/>
                <w:sz w:val="16"/>
                <w:szCs w:val="16"/>
                <w:i w:val="1"/>
                <w:iCs w:val="1"/>
                <w:color w:val="auto"/>
              </w:rPr>
              <w:t>/s/ Robert L. Bailey</w:t>
            </w:r>
          </w:p>
        </w:tc>
        <w:tc>
          <w:tcPr>
            <w:tcW w:w="4140" w:type="dxa"/>
            <w:vAlign w:val="bottom"/>
          </w:tcPr>
          <w:p>
            <w:pPr>
              <w:ind w:left="520"/>
              <w:spacing w:after="0"/>
              <w:rPr>
                <w:sz w:val="20"/>
                <w:szCs w:val="20"/>
                <w:color w:val="auto"/>
              </w:rPr>
            </w:pPr>
            <w:r>
              <w:rPr>
                <w:rFonts w:ascii="Arial" w:cs="Arial" w:eastAsia="Arial" w:hAnsi="Arial"/>
                <w:sz w:val="16"/>
                <w:szCs w:val="16"/>
                <w:color w:val="auto"/>
              </w:rPr>
              <w:t>Director</w:t>
            </w:r>
          </w:p>
        </w:tc>
        <w:tc>
          <w:tcPr>
            <w:tcW w:w="2860" w:type="dxa"/>
            <w:vAlign w:val="bottom"/>
          </w:tcPr>
          <w:p>
            <w:pPr>
              <w:ind w:left="200"/>
              <w:spacing w:after="0"/>
              <w:rPr>
                <w:sz w:val="20"/>
                <w:szCs w:val="20"/>
                <w:color w:val="auto"/>
              </w:rPr>
            </w:pPr>
            <w:r>
              <w:rPr>
                <w:rFonts w:ascii="Arial" w:cs="Arial" w:eastAsia="Arial" w:hAnsi="Arial"/>
                <w:sz w:val="16"/>
                <w:szCs w:val="16"/>
                <w:color w:val="auto"/>
              </w:rPr>
              <w:t>February 17, 2012</w:t>
            </w:r>
          </w:p>
        </w:tc>
        <w:tc>
          <w:tcPr>
            <w:tcW w:w="1500" w:type="dxa"/>
            <w:vAlign w:val="bottom"/>
          </w:tcPr>
          <w:p>
            <w:pPr>
              <w:spacing w:after="0"/>
              <w:rPr>
                <w:sz w:val="24"/>
                <w:szCs w:val="24"/>
                <w:color w:val="auto"/>
              </w:rPr>
            </w:pPr>
          </w:p>
        </w:tc>
      </w:tr>
      <w:tr>
        <w:trPr>
          <w:trHeight w:val="204"/>
        </w:trPr>
        <w:tc>
          <w:tcPr>
            <w:tcW w:w="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720" w:type="dxa"/>
            <w:vAlign w:val="bottom"/>
            <w:gridSpan w:val="5"/>
          </w:tcPr>
          <w:p>
            <w:pPr>
              <w:jc w:val="center"/>
              <w:ind w:right="660"/>
              <w:spacing w:after="0"/>
              <w:rPr>
                <w:sz w:val="20"/>
                <w:szCs w:val="20"/>
                <w:color w:val="auto"/>
              </w:rPr>
            </w:pPr>
            <w:r>
              <w:rPr>
                <w:rFonts w:ascii="Arial" w:cs="Arial" w:eastAsia="Arial" w:hAnsi="Arial"/>
                <w:sz w:val="16"/>
                <w:szCs w:val="16"/>
                <w:color w:val="auto"/>
                <w:w w:val="93"/>
              </w:rPr>
              <w:t>Robert L. Bailey</w:t>
            </w:r>
          </w:p>
        </w:tc>
        <w:tc>
          <w:tcPr>
            <w:tcW w:w="414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346"/>
        </w:trPr>
        <w:tc>
          <w:tcPr>
            <w:tcW w:w="2940" w:type="dxa"/>
            <w:vAlign w:val="bottom"/>
            <w:gridSpan w:val="8"/>
          </w:tcPr>
          <w:p>
            <w:pPr>
              <w:spacing w:after="0"/>
              <w:rPr>
                <w:sz w:val="20"/>
                <w:szCs w:val="20"/>
                <w:color w:val="auto"/>
              </w:rPr>
            </w:pPr>
            <w:r>
              <w:rPr>
                <w:rFonts w:ascii="Arial" w:cs="Arial" w:eastAsia="Arial" w:hAnsi="Arial"/>
                <w:sz w:val="16"/>
                <w:szCs w:val="16"/>
                <w:i w:val="1"/>
                <w:iCs w:val="1"/>
                <w:color w:val="auto"/>
              </w:rPr>
              <w:t>/s/ Patrick J. Byrne</w:t>
            </w:r>
          </w:p>
        </w:tc>
        <w:tc>
          <w:tcPr>
            <w:tcW w:w="4140" w:type="dxa"/>
            <w:vAlign w:val="bottom"/>
          </w:tcPr>
          <w:p>
            <w:pPr>
              <w:ind w:left="520"/>
              <w:spacing w:after="0"/>
              <w:rPr>
                <w:sz w:val="20"/>
                <w:szCs w:val="20"/>
                <w:color w:val="auto"/>
              </w:rPr>
            </w:pPr>
            <w:r>
              <w:rPr>
                <w:rFonts w:ascii="Arial" w:cs="Arial" w:eastAsia="Arial" w:hAnsi="Arial"/>
                <w:sz w:val="16"/>
                <w:szCs w:val="16"/>
                <w:color w:val="auto"/>
              </w:rPr>
              <w:t>Director</w:t>
            </w:r>
          </w:p>
        </w:tc>
        <w:tc>
          <w:tcPr>
            <w:tcW w:w="2860" w:type="dxa"/>
            <w:vAlign w:val="bottom"/>
          </w:tcPr>
          <w:p>
            <w:pPr>
              <w:ind w:left="200"/>
              <w:spacing w:after="0"/>
              <w:rPr>
                <w:sz w:val="20"/>
                <w:szCs w:val="20"/>
                <w:color w:val="auto"/>
              </w:rPr>
            </w:pPr>
            <w:r>
              <w:rPr>
                <w:rFonts w:ascii="Arial" w:cs="Arial" w:eastAsia="Arial" w:hAnsi="Arial"/>
                <w:sz w:val="16"/>
                <w:szCs w:val="16"/>
                <w:color w:val="auto"/>
              </w:rPr>
              <w:t>February 17, 2012</w:t>
            </w:r>
          </w:p>
        </w:tc>
        <w:tc>
          <w:tcPr>
            <w:tcW w:w="1500" w:type="dxa"/>
            <w:vAlign w:val="bottom"/>
          </w:tcPr>
          <w:p>
            <w:pPr>
              <w:spacing w:after="0"/>
              <w:rPr>
                <w:sz w:val="24"/>
                <w:szCs w:val="24"/>
                <w:color w:val="auto"/>
              </w:rPr>
            </w:pPr>
          </w:p>
        </w:tc>
      </w:tr>
      <w:tr>
        <w:trPr>
          <w:trHeight w:val="204"/>
        </w:trPr>
        <w:tc>
          <w:tcPr>
            <w:tcW w:w="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700" w:type="dxa"/>
            <w:vAlign w:val="bottom"/>
            <w:gridSpan w:val="4"/>
          </w:tcPr>
          <w:p>
            <w:pPr>
              <w:jc w:val="center"/>
              <w:ind w:right="680"/>
              <w:spacing w:after="0"/>
              <w:rPr>
                <w:sz w:val="20"/>
                <w:szCs w:val="20"/>
                <w:color w:val="auto"/>
              </w:rPr>
            </w:pPr>
            <w:r>
              <w:rPr>
                <w:rFonts w:ascii="Arial" w:cs="Arial" w:eastAsia="Arial" w:hAnsi="Arial"/>
                <w:sz w:val="16"/>
                <w:szCs w:val="16"/>
                <w:color w:val="auto"/>
                <w:w w:val="91"/>
              </w:rPr>
              <w:t>Patrick J. Byrne</w:t>
            </w:r>
          </w:p>
        </w:tc>
        <w:tc>
          <w:tcPr>
            <w:tcW w:w="414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346"/>
        </w:trPr>
        <w:tc>
          <w:tcPr>
            <w:tcW w:w="2940" w:type="dxa"/>
            <w:vAlign w:val="bottom"/>
            <w:gridSpan w:val="8"/>
          </w:tcPr>
          <w:p>
            <w:pPr>
              <w:spacing w:after="0"/>
              <w:rPr>
                <w:sz w:val="20"/>
                <w:szCs w:val="20"/>
                <w:color w:val="auto"/>
              </w:rPr>
            </w:pPr>
            <w:r>
              <w:rPr>
                <w:rFonts w:ascii="Arial" w:cs="Arial" w:eastAsia="Arial" w:hAnsi="Arial"/>
                <w:sz w:val="16"/>
                <w:szCs w:val="16"/>
                <w:i w:val="1"/>
                <w:iCs w:val="1"/>
                <w:color w:val="auto"/>
              </w:rPr>
              <w:t>/s/ Mercedes Johnson</w:t>
            </w:r>
          </w:p>
        </w:tc>
        <w:tc>
          <w:tcPr>
            <w:tcW w:w="4140" w:type="dxa"/>
            <w:vAlign w:val="bottom"/>
          </w:tcPr>
          <w:p>
            <w:pPr>
              <w:ind w:left="520"/>
              <w:spacing w:after="0"/>
              <w:rPr>
                <w:sz w:val="20"/>
                <w:szCs w:val="20"/>
                <w:color w:val="auto"/>
              </w:rPr>
            </w:pPr>
            <w:r>
              <w:rPr>
                <w:rFonts w:ascii="Arial" w:cs="Arial" w:eastAsia="Arial" w:hAnsi="Arial"/>
                <w:sz w:val="16"/>
                <w:szCs w:val="16"/>
                <w:color w:val="auto"/>
              </w:rPr>
              <w:t>Director</w:t>
            </w:r>
          </w:p>
        </w:tc>
        <w:tc>
          <w:tcPr>
            <w:tcW w:w="2860" w:type="dxa"/>
            <w:vAlign w:val="bottom"/>
          </w:tcPr>
          <w:p>
            <w:pPr>
              <w:ind w:left="200"/>
              <w:spacing w:after="0"/>
              <w:rPr>
                <w:sz w:val="20"/>
                <w:szCs w:val="20"/>
                <w:color w:val="auto"/>
              </w:rPr>
            </w:pPr>
            <w:r>
              <w:rPr>
                <w:rFonts w:ascii="Arial" w:cs="Arial" w:eastAsia="Arial" w:hAnsi="Arial"/>
                <w:sz w:val="16"/>
                <w:szCs w:val="16"/>
                <w:color w:val="auto"/>
              </w:rPr>
              <w:t>February 17, 2012</w:t>
            </w:r>
          </w:p>
        </w:tc>
        <w:tc>
          <w:tcPr>
            <w:tcW w:w="1500" w:type="dxa"/>
            <w:vAlign w:val="bottom"/>
          </w:tcPr>
          <w:p>
            <w:pPr>
              <w:spacing w:after="0"/>
              <w:rPr>
                <w:sz w:val="24"/>
                <w:szCs w:val="24"/>
                <w:color w:val="auto"/>
              </w:rPr>
            </w:pPr>
          </w:p>
        </w:tc>
      </w:tr>
      <w:tr>
        <w:trPr>
          <w:trHeight w:val="20"/>
        </w:trPr>
        <w:tc>
          <w:tcPr>
            <w:tcW w:w="40" w:type="dxa"/>
            <w:vAlign w:val="bottom"/>
            <w:shd w:val="clear" w:color="auto" w:fill="000000"/>
          </w:tcPr>
          <w:p>
            <w:pPr>
              <w:spacing w:after="0" w:line="20" w:lineRule="exact"/>
              <w:rPr>
                <w:sz w:val="1"/>
                <w:szCs w:val="1"/>
                <w:color w:val="auto"/>
              </w:rPr>
            </w:pPr>
          </w:p>
        </w:tc>
        <w:tc>
          <w:tcPr>
            <w:tcW w:w="1320" w:type="dxa"/>
            <w:vAlign w:val="bottom"/>
            <w:gridSpan w:val="5"/>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2900" w:type="dxa"/>
            <w:vAlign w:val="bottom"/>
            <w:gridSpan w:val="7"/>
          </w:tcPr>
          <w:p>
            <w:pPr>
              <w:jc w:val="center"/>
              <w:ind w:left="401"/>
              <w:spacing w:after="0"/>
              <w:rPr>
                <w:sz w:val="20"/>
                <w:szCs w:val="20"/>
                <w:color w:val="auto"/>
              </w:rPr>
            </w:pPr>
            <w:r>
              <w:rPr>
                <w:rFonts w:ascii="Arial" w:cs="Arial" w:eastAsia="Arial" w:hAnsi="Arial"/>
                <w:sz w:val="16"/>
                <w:szCs w:val="16"/>
                <w:color w:val="auto"/>
                <w:w w:val="87"/>
              </w:rPr>
              <w:t>Mercedes Johnson</w:t>
            </w:r>
          </w:p>
        </w:tc>
        <w:tc>
          <w:tcPr>
            <w:tcW w:w="414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346"/>
        </w:trPr>
        <w:tc>
          <w:tcPr>
            <w:tcW w:w="2940" w:type="dxa"/>
            <w:vAlign w:val="bottom"/>
            <w:gridSpan w:val="8"/>
          </w:tcPr>
          <w:p>
            <w:pPr>
              <w:spacing w:after="0"/>
              <w:rPr>
                <w:sz w:val="20"/>
                <w:szCs w:val="20"/>
                <w:color w:val="auto"/>
              </w:rPr>
            </w:pPr>
            <w:r>
              <w:rPr>
                <w:rFonts w:ascii="Arial" w:cs="Arial" w:eastAsia="Arial" w:hAnsi="Arial"/>
                <w:sz w:val="16"/>
                <w:szCs w:val="16"/>
                <w:i w:val="1"/>
                <w:iCs w:val="1"/>
                <w:color w:val="auto"/>
              </w:rPr>
              <w:t>/s/ Lawrence N. Mondry</w:t>
            </w:r>
          </w:p>
        </w:tc>
        <w:tc>
          <w:tcPr>
            <w:tcW w:w="4140" w:type="dxa"/>
            <w:vAlign w:val="bottom"/>
          </w:tcPr>
          <w:p>
            <w:pPr>
              <w:ind w:left="520"/>
              <w:spacing w:after="0"/>
              <w:rPr>
                <w:sz w:val="20"/>
                <w:szCs w:val="20"/>
                <w:color w:val="auto"/>
              </w:rPr>
            </w:pPr>
            <w:r>
              <w:rPr>
                <w:rFonts w:ascii="Arial" w:cs="Arial" w:eastAsia="Arial" w:hAnsi="Arial"/>
                <w:sz w:val="16"/>
                <w:szCs w:val="16"/>
                <w:color w:val="auto"/>
              </w:rPr>
              <w:t>Director</w:t>
            </w:r>
          </w:p>
        </w:tc>
        <w:tc>
          <w:tcPr>
            <w:tcW w:w="2860" w:type="dxa"/>
            <w:vAlign w:val="bottom"/>
          </w:tcPr>
          <w:p>
            <w:pPr>
              <w:ind w:left="200"/>
              <w:spacing w:after="0"/>
              <w:rPr>
                <w:sz w:val="20"/>
                <w:szCs w:val="20"/>
                <w:color w:val="auto"/>
              </w:rPr>
            </w:pPr>
            <w:r>
              <w:rPr>
                <w:rFonts w:ascii="Arial" w:cs="Arial" w:eastAsia="Arial" w:hAnsi="Arial"/>
                <w:sz w:val="16"/>
                <w:szCs w:val="16"/>
                <w:color w:val="auto"/>
              </w:rPr>
              <w:t>February 17, 2012</w:t>
            </w:r>
          </w:p>
        </w:tc>
        <w:tc>
          <w:tcPr>
            <w:tcW w:w="150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1480" w:type="dxa"/>
            <w:vAlign w:val="bottom"/>
            <w:gridSpan w:val="6"/>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2900" w:type="dxa"/>
            <w:vAlign w:val="bottom"/>
            <w:gridSpan w:val="7"/>
          </w:tcPr>
          <w:p>
            <w:pPr>
              <w:jc w:val="center"/>
              <w:ind w:left="401"/>
              <w:spacing w:after="0"/>
              <w:rPr>
                <w:sz w:val="20"/>
                <w:szCs w:val="20"/>
                <w:color w:val="auto"/>
              </w:rPr>
            </w:pPr>
            <w:r>
              <w:rPr>
                <w:rFonts w:ascii="Arial" w:cs="Arial" w:eastAsia="Arial" w:hAnsi="Arial"/>
                <w:sz w:val="16"/>
                <w:szCs w:val="16"/>
                <w:color w:val="auto"/>
                <w:w w:val="93"/>
              </w:rPr>
              <w:t>Lawrence N. Mondry</w:t>
            </w:r>
          </w:p>
        </w:tc>
        <w:tc>
          <w:tcPr>
            <w:tcW w:w="414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938"/>
        </w:trPr>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140" w:type="dxa"/>
            <w:vAlign w:val="bottom"/>
          </w:tcPr>
          <w:p>
            <w:pPr>
              <w:ind w:left="2740"/>
              <w:spacing w:after="0"/>
              <w:rPr>
                <w:sz w:val="20"/>
                <w:szCs w:val="20"/>
                <w:color w:val="auto"/>
              </w:rPr>
            </w:pPr>
            <w:r>
              <w:rPr>
                <w:rFonts w:ascii="Arial" w:cs="Arial" w:eastAsia="Arial" w:hAnsi="Arial"/>
                <w:sz w:val="16"/>
                <w:szCs w:val="16"/>
                <w:color w:val="auto"/>
              </w:rPr>
              <w:t>6</w:t>
            </w:r>
          </w:p>
        </w:tc>
        <w:tc>
          <w:tcPr>
            <w:tcW w:w="28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04"/>
        </w:trPr>
        <w:tc>
          <w:tcPr>
            <w:tcW w:w="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4140" w:type="dxa"/>
            <w:vAlign w:val="bottom"/>
            <w:tcBorders>
              <w:bottom w:val="single" w:sz="8" w:color="808080"/>
            </w:tcBorders>
          </w:tcPr>
          <w:p>
            <w:pPr>
              <w:spacing w:after="0"/>
              <w:rPr>
                <w:sz w:val="9"/>
                <w:szCs w:val="9"/>
                <w:color w:val="auto"/>
              </w:rPr>
            </w:pPr>
          </w:p>
        </w:tc>
        <w:tc>
          <w:tcPr>
            <w:tcW w:w="286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-13335</wp:posOffset>
            </wp:positionV>
            <wp:extent cx="1270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wp:posOffset>
            </wp:positionV>
            <wp:extent cx="1270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681" w:right="2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5"/>
        </w:trPr>
        <w:tc>
          <w:tcPr>
            <w:tcW w:w="1380" w:type="dxa"/>
            <w:vAlign w:val="bottom"/>
          </w:tcPr>
          <w:p>
            <w:pPr>
              <w:spacing w:after="0"/>
              <w:rPr>
                <w:sz w:val="17"/>
                <w:szCs w:val="17"/>
                <w:color w:val="auto"/>
              </w:rPr>
            </w:pPr>
          </w:p>
        </w:tc>
        <w:tc>
          <w:tcPr>
            <w:tcW w:w="4940" w:type="dxa"/>
            <w:vAlign w:val="bottom"/>
          </w:tcPr>
          <w:p>
            <w:pPr>
              <w:ind w:left="3720"/>
              <w:spacing w:after="0"/>
              <w:rPr>
                <w:sz w:val="20"/>
                <w:szCs w:val="20"/>
                <w:color w:val="auto"/>
              </w:rPr>
            </w:pPr>
            <w:r>
              <w:rPr>
                <w:rFonts w:ascii="Arial" w:cs="Arial" w:eastAsia="Arial" w:hAnsi="Arial"/>
                <w:sz w:val="16"/>
                <w:szCs w:val="16"/>
                <w:b w:val="1"/>
                <w:bCs w:val="1"/>
                <w:color w:val="auto"/>
              </w:rPr>
              <w:t>EXHIBIT INDEX</w:t>
            </w:r>
          </w:p>
        </w:tc>
      </w:tr>
      <w:tr>
        <w:trPr>
          <w:trHeight w:val="603"/>
        </w:trPr>
        <w:tc>
          <w:tcPr>
            <w:tcW w:w="1380" w:type="dxa"/>
            <w:vAlign w:val="bottom"/>
          </w:tcPr>
          <w:p>
            <w:pPr>
              <w:spacing w:after="0"/>
              <w:rPr>
                <w:sz w:val="20"/>
                <w:szCs w:val="20"/>
                <w:color w:val="auto"/>
              </w:rPr>
            </w:pPr>
            <w:r>
              <w:rPr>
                <w:rFonts w:ascii="Arial" w:cs="Arial" w:eastAsia="Arial" w:hAnsi="Arial"/>
                <w:sz w:val="16"/>
                <w:szCs w:val="16"/>
                <w:b w:val="1"/>
                <w:bCs w:val="1"/>
                <w:color w:val="auto"/>
              </w:rPr>
              <w:t>Exhibit</w:t>
            </w:r>
          </w:p>
        </w:tc>
        <w:tc>
          <w:tcPr>
            <w:tcW w:w="4940" w:type="dxa"/>
            <w:vAlign w:val="bottom"/>
          </w:tcPr>
          <w:p>
            <w:pPr>
              <w:spacing w:after="0"/>
              <w:rPr>
                <w:sz w:val="24"/>
                <w:szCs w:val="24"/>
                <w:color w:val="auto"/>
              </w:rPr>
            </w:pPr>
          </w:p>
        </w:tc>
      </w:tr>
      <w:tr>
        <w:trPr>
          <w:trHeight w:val="210"/>
        </w:trPr>
        <w:tc>
          <w:tcPr>
            <w:tcW w:w="13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Number</w:t>
            </w:r>
          </w:p>
        </w:tc>
        <w:tc>
          <w:tcPr>
            <w:tcW w:w="4940" w:type="dxa"/>
            <w:vAlign w:val="bottom"/>
          </w:tcPr>
          <w:p>
            <w:pPr>
              <w:spacing w:after="0"/>
              <w:rPr>
                <w:sz w:val="20"/>
                <w:szCs w:val="20"/>
                <w:color w:val="auto"/>
              </w:rPr>
            </w:pPr>
            <w:r>
              <w:rPr>
                <w:rFonts w:ascii="Arial" w:cs="Arial" w:eastAsia="Arial" w:hAnsi="Arial"/>
                <w:sz w:val="16"/>
                <w:szCs w:val="16"/>
                <w:b w:val="1"/>
                <w:bCs w:val="1"/>
                <w:color w:val="auto"/>
              </w:rPr>
              <w:t>Description</w:t>
            </w:r>
          </w:p>
        </w:tc>
      </w:tr>
      <w:tr>
        <w:trPr>
          <w:trHeight w:val="368"/>
        </w:trPr>
        <w:tc>
          <w:tcPr>
            <w:tcW w:w="1380" w:type="dxa"/>
            <w:vAlign w:val="bottom"/>
          </w:tcPr>
          <w:p>
            <w:pPr>
              <w:spacing w:after="0"/>
              <w:rPr>
                <w:sz w:val="20"/>
                <w:szCs w:val="20"/>
                <w:color w:val="auto"/>
              </w:rPr>
            </w:pPr>
            <w:r>
              <w:rPr>
                <w:rFonts w:ascii="Arial" w:cs="Arial" w:eastAsia="Arial" w:hAnsi="Arial"/>
                <w:sz w:val="16"/>
                <w:szCs w:val="16"/>
                <w:color w:val="auto"/>
              </w:rPr>
              <w:t>4.1</w:t>
            </w:r>
          </w:p>
        </w:tc>
        <w:tc>
          <w:tcPr>
            <w:tcW w:w="4940" w:type="dxa"/>
            <w:vAlign w:val="bottom"/>
          </w:tcPr>
          <w:p>
            <w:pPr>
              <w:spacing w:after="0"/>
              <w:rPr>
                <w:sz w:val="20"/>
                <w:szCs w:val="20"/>
                <w:color w:val="auto"/>
              </w:rPr>
            </w:pPr>
            <w:r>
              <w:rPr>
                <w:rFonts w:ascii="Arial" w:cs="Arial" w:eastAsia="Arial" w:hAnsi="Arial"/>
                <w:sz w:val="16"/>
                <w:szCs w:val="16"/>
                <w:color w:val="auto"/>
              </w:rPr>
              <w:t>Micron Technology, Inc. 2004 Equity Incentive Plan.</w:t>
            </w:r>
          </w:p>
        </w:tc>
      </w:tr>
      <w:tr>
        <w:trPr>
          <w:trHeight w:val="190"/>
        </w:trPr>
        <w:tc>
          <w:tcPr>
            <w:tcW w:w="1380" w:type="dxa"/>
            <w:vAlign w:val="bottom"/>
          </w:tcPr>
          <w:p>
            <w:pPr>
              <w:spacing w:after="0"/>
              <w:rPr>
                <w:sz w:val="20"/>
                <w:szCs w:val="20"/>
                <w:color w:val="auto"/>
              </w:rPr>
            </w:pPr>
            <w:r>
              <w:rPr>
                <w:rFonts w:ascii="Arial" w:cs="Arial" w:eastAsia="Arial" w:hAnsi="Arial"/>
                <w:sz w:val="16"/>
                <w:szCs w:val="16"/>
                <w:color w:val="auto"/>
              </w:rPr>
              <w:t>4.2*</w:t>
            </w:r>
          </w:p>
        </w:tc>
        <w:tc>
          <w:tcPr>
            <w:tcW w:w="4940" w:type="dxa"/>
            <w:vAlign w:val="bottom"/>
          </w:tcPr>
          <w:p>
            <w:pPr>
              <w:spacing w:after="0"/>
              <w:rPr>
                <w:sz w:val="20"/>
                <w:szCs w:val="20"/>
                <w:color w:val="auto"/>
              </w:rPr>
            </w:pPr>
            <w:r>
              <w:rPr>
                <w:rFonts w:ascii="Arial" w:cs="Arial" w:eastAsia="Arial" w:hAnsi="Arial"/>
                <w:sz w:val="16"/>
                <w:szCs w:val="16"/>
                <w:color w:val="auto"/>
                <w:w w:val="95"/>
              </w:rPr>
              <w:t>Micron Technology, Inc. 2004 Equity Incentive Plan Forms of Agreement</w:t>
            </w:r>
          </w:p>
        </w:tc>
      </w:tr>
      <w:tr>
        <w:trPr>
          <w:trHeight w:val="190"/>
        </w:trPr>
        <w:tc>
          <w:tcPr>
            <w:tcW w:w="1380" w:type="dxa"/>
            <w:vAlign w:val="bottom"/>
          </w:tcPr>
          <w:p>
            <w:pPr>
              <w:spacing w:after="0"/>
              <w:rPr>
                <w:sz w:val="20"/>
                <w:szCs w:val="20"/>
                <w:color w:val="auto"/>
              </w:rPr>
            </w:pPr>
            <w:r>
              <w:rPr>
                <w:rFonts w:ascii="Arial" w:cs="Arial" w:eastAsia="Arial" w:hAnsi="Arial"/>
                <w:sz w:val="16"/>
                <w:szCs w:val="16"/>
                <w:color w:val="auto"/>
              </w:rPr>
              <w:t>5.1</w:t>
            </w:r>
          </w:p>
        </w:tc>
        <w:tc>
          <w:tcPr>
            <w:tcW w:w="4940" w:type="dxa"/>
            <w:vAlign w:val="bottom"/>
          </w:tcPr>
          <w:p>
            <w:pPr>
              <w:spacing w:after="0"/>
              <w:rPr>
                <w:sz w:val="20"/>
                <w:szCs w:val="20"/>
                <w:color w:val="auto"/>
              </w:rPr>
            </w:pPr>
            <w:r>
              <w:rPr>
                <w:rFonts w:ascii="Arial" w:cs="Arial" w:eastAsia="Arial" w:hAnsi="Arial"/>
                <w:sz w:val="16"/>
                <w:szCs w:val="16"/>
                <w:color w:val="auto"/>
              </w:rPr>
              <w:t>Opinion of Counsel.</w:t>
            </w:r>
          </w:p>
        </w:tc>
      </w:tr>
      <w:tr>
        <w:trPr>
          <w:trHeight w:val="190"/>
        </w:trPr>
        <w:tc>
          <w:tcPr>
            <w:tcW w:w="1380" w:type="dxa"/>
            <w:vAlign w:val="bottom"/>
          </w:tcPr>
          <w:p>
            <w:pPr>
              <w:spacing w:after="0"/>
              <w:rPr>
                <w:sz w:val="20"/>
                <w:szCs w:val="20"/>
                <w:color w:val="auto"/>
              </w:rPr>
            </w:pPr>
            <w:r>
              <w:rPr>
                <w:rFonts w:ascii="Arial" w:cs="Arial" w:eastAsia="Arial" w:hAnsi="Arial"/>
                <w:sz w:val="16"/>
                <w:szCs w:val="16"/>
                <w:color w:val="auto"/>
              </w:rPr>
              <w:t>23.1</w:t>
            </w:r>
          </w:p>
        </w:tc>
        <w:tc>
          <w:tcPr>
            <w:tcW w:w="4940" w:type="dxa"/>
            <w:vAlign w:val="bottom"/>
          </w:tcPr>
          <w:p>
            <w:pPr>
              <w:spacing w:after="0"/>
              <w:rPr>
                <w:sz w:val="20"/>
                <w:szCs w:val="20"/>
                <w:color w:val="auto"/>
              </w:rPr>
            </w:pPr>
            <w:r>
              <w:rPr>
                <w:rFonts w:ascii="Arial" w:cs="Arial" w:eastAsia="Arial" w:hAnsi="Arial"/>
                <w:sz w:val="16"/>
                <w:szCs w:val="16"/>
                <w:color w:val="auto"/>
              </w:rPr>
              <w:t>Consent of Independent Registered Public Accounting Firm.</w:t>
            </w:r>
          </w:p>
        </w:tc>
      </w:tr>
      <w:tr>
        <w:trPr>
          <w:trHeight w:val="190"/>
        </w:trPr>
        <w:tc>
          <w:tcPr>
            <w:tcW w:w="1380" w:type="dxa"/>
            <w:vAlign w:val="bottom"/>
          </w:tcPr>
          <w:p>
            <w:pPr>
              <w:spacing w:after="0"/>
              <w:rPr>
                <w:sz w:val="20"/>
                <w:szCs w:val="20"/>
                <w:color w:val="auto"/>
              </w:rPr>
            </w:pPr>
            <w:r>
              <w:rPr>
                <w:rFonts w:ascii="Arial" w:cs="Arial" w:eastAsia="Arial" w:hAnsi="Arial"/>
                <w:sz w:val="16"/>
                <w:szCs w:val="16"/>
                <w:color w:val="auto"/>
              </w:rPr>
              <w:t>23.2</w:t>
            </w:r>
          </w:p>
        </w:tc>
        <w:tc>
          <w:tcPr>
            <w:tcW w:w="4940" w:type="dxa"/>
            <w:vAlign w:val="bottom"/>
          </w:tcPr>
          <w:p>
            <w:pPr>
              <w:spacing w:after="0"/>
              <w:rPr>
                <w:sz w:val="20"/>
                <w:szCs w:val="20"/>
                <w:color w:val="auto"/>
              </w:rPr>
            </w:pPr>
            <w:r>
              <w:rPr>
                <w:rFonts w:ascii="Arial" w:cs="Arial" w:eastAsia="Arial" w:hAnsi="Arial"/>
                <w:sz w:val="16"/>
                <w:szCs w:val="16"/>
                <w:color w:val="auto"/>
              </w:rPr>
              <w:t>Consent of Independent Registered Public Accounting Firm.</w:t>
            </w:r>
          </w:p>
        </w:tc>
      </w:tr>
      <w:tr>
        <w:trPr>
          <w:trHeight w:val="190"/>
        </w:trPr>
        <w:tc>
          <w:tcPr>
            <w:tcW w:w="1380" w:type="dxa"/>
            <w:vAlign w:val="bottom"/>
          </w:tcPr>
          <w:p>
            <w:pPr>
              <w:spacing w:after="0"/>
              <w:rPr>
                <w:sz w:val="20"/>
                <w:szCs w:val="20"/>
                <w:color w:val="auto"/>
              </w:rPr>
            </w:pPr>
            <w:r>
              <w:rPr>
                <w:rFonts w:ascii="Arial" w:cs="Arial" w:eastAsia="Arial" w:hAnsi="Arial"/>
                <w:sz w:val="16"/>
                <w:szCs w:val="16"/>
                <w:color w:val="auto"/>
              </w:rPr>
              <w:t>23.3</w:t>
            </w:r>
          </w:p>
        </w:tc>
        <w:tc>
          <w:tcPr>
            <w:tcW w:w="4940" w:type="dxa"/>
            <w:vAlign w:val="bottom"/>
          </w:tcPr>
          <w:p>
            <w:pPr>
              <w:spacing w:after="0"/>
              <w:rPr>
                <w:sz w:val="20"/>
                <w:szCs w:val="20"/>
                <w:color w:val="auto"/>
              </w:rPr>
            </w:pPr>
            <w:r>
              <w:rPr>
                <w:rFonts w:ascii="Arial" w:cs="Arial" w:eastAsia="Arial" w:hAnsi="Arial"/>
                <w:sz w:val="16"/>
                <w:szCs w:val="16"/>
                <w:color w:val="auto"/>
              </w:rPr>
              <w:t>Consent of Counsel (contained in Exhibit 5.1).</w:t>
            </w:r>
          </w:p>
        </w:tc>
      </w:tr>
      <w:tr>
        <w:trPr>
          <w:trHeight w:val="201"/>
        </w:trPr>
        <w:tc>
          <w:tcPr>
            <w:tcW w:w="1380" w:type="dxa"/>
            <w:vAlign w:val="bottom"/>
          </w:tcPr>
          <w:p>
            <w:pPr>
              <w:spacing w:after="0"/>
              <w:rPr>
                <w:sz w:val="20"/>
                <w:szCs w:val="20"/>
                <w:color w:val="auto"/>
              </w:rPr>
            </w:pPr>
            <w:r>
              <w:rPr>
                <w:rFonts w:ascii="Arial" w:cs="Arial" w:eastAsia="Arial" w:hAnsi="Arial"/>
                <w:sz w:val="16"/>
                <w:szCs w:val="16"/>
                <w:color w:val="auto"/>
              </w:rPr>
              <w:t>24.1</w:t>
            </w:r>
          </w:p>
        </w:tc>
        <w:tc>
          <w:tcPr>
            <w:tcW w:w="4940" w:type="dxa"/>
            <w:vAlign w:val="bottom"/>
          </w:tcPr>
          <w:p>
            <w:pPr>
              <w:spacing w:after="0"/>
              <w:rPr>
                <w:sz w:val="20"/>
                <w:szCs w:val="20"/>
                <w:color w:val="auto"/>
              </w:rPr>
            </w:pPr>
            <w:r>
              <w:rPr>
                <w:rFonts w:ascii="Arial" w:cs="Arial" w:eastAsia="Arial" w:hAnsi="Arial"/>
                <w:sz w:val="16"/>
                <w:szCs w:val="16"/>
                <w:color w:val="auto"/>
              </w:rPr>
              <w:t>Power of Attorney (included on signature page).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234950</wp:posOffset>
            </wp:positionV>
            <wp:extent cx="60325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3250" cy="7620"/>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auto"/>
        </w:rPr>
        <w:t>* Incorporated by reference to Registration Statement on Form S-8 (Registration No. 333-148357)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268210" cy="40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8210" cy="400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8025765</wp:posOffset>
            </wp:positionV>
            <wp:extent cx="726821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8210" cy="34290"/>
                    </a:xfrm>
                    <a:prstGeom prst="rect">
                      <a:avLst/>
                    </a:prstGeom>
                    <a:noFill/>
                  </pic:spPr>
                </pic:pic>
              </a:graphicData>
            </a:graphic>
          </wp:anchor>
        </w:drawing>
      </w:r>
    </w:p>
    <w:p>
      <w:pPr>
        <w:sectPr>
          <w:pgSz w:w="11900" w:h="16838" w:orient="portrait"/>
          <w:cols w:equalWidth="0" w:num="1">
            <w:col w:w="10219"/>
          </w:cols>
          <w:pgMar w:left="240" w:top="895" w:right="1440" w:bottom="1440" w:gutter="0" w:footer="0" w:header="0"/>
        </w:sectPr>
      </w:pPr>
    </w:p>
    <w:bookmarkStart w:id="8" w:name="page9"/>
    <w:bookmarkEnd w:id="8"/>
    <w:p>
      <w:pPr>
        <w:jc w:val="right"/>
        <w:spacing w:after="0"/>
        <w:rPr>
          <w:sz w:val="20"/>
          <w:szCs w:val="20"/>
          <w:color w:val="auto"/>
        </w:rPr>
      </w:pPr>
      <w:r>
        <w:rPr>
          <w:rFonts w:ascii="Arial" w:cs="Arial" w:eastAsia="Arial" w:hAnsi="Arial"/>
          <w:sz w:val="16"/>
          <w:szCs w:val="16"/>
          <w:b w:val="1"/>
          <w:bCs w:val="1"/>
          <w:color w:val="auto"/>
        </w:rPr>
        <w:t>EXHIBIT 4.1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MICRON TECHNOLOGY,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2004 EQUITY INCENTIVE PLAN</w:t>
      </w:r>
    </w:p>
    <w:p>
      <w:pPr>
        <w:spacing w:after="0" w:line="205" w:lineRule="exact"/>
        <w:rPr>
          <w:sz w:val="20"/>
          <w:szCs w:val="20"/>
          <w:color w:val="auto"/>
        </w:rPr>
      </w:pPr>
    </w:p>
    <w:p>
      <w:pPr>
        <w:ind w:left="5300"/>
        <w:spacing w:after="0"/>
        <w:rPr>
          <w:sz w:val="20"/>
          <w:szCs w:val="20"/>
          <w:color w:val="auto"/>
        </w:rPr>
      </w:pPr>
      <w:r>
        <w:rPr>
          <w:rFonts w:ascii="Arial" w:cs="Arial" w:eastAsia="Arial" w:hAnsi="Arial"/>
          <w:sz w:val="16"/>
          <w:szCs w:val="16"/>
          <w:b w:val="1"/>
          <w:bCs w:val="1"/>
          <w:color w:val="auto"/>
        </w:rPr>
        <w:t>ARTICLE 1</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6"/>
          <w:szCs w:val="16"/>
          <w:b w:val="1"/>
          <w:bCs w:val="1"/>
          <w:color w:val="auto"/>
        </w:rPr>
        <w:t>PURPOSE</w:t>
      </w:r>
    </w:p>
    <w:p>
      <w:pPr>
        <w:spacing w:after="0" w:line="209" w:lineRule="exact"/>
        <w:rPr>
          <w:sz w:val="20"/>
          <w:szCs w:val="20"/>
          <w:color w:val="auto"/>
        </w:rPr>
      </w:pPr>
    </w:p>
    <w:p>
      <w:pPr>
        <w:jc w:val="both"/>
        <w:ind w:firstLine="570"/>
        <w:spacing w:after="0" w:line="252"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i w:val="1"/>
          <w:iCs w:val="1"/>
          <w:color w:val="auto"/>
        </w:rPr>
        <w:t>GENERAL.</w:t>
      </w:r>
      <w:r>
        <w:rPr>
          <w:rFonts w:ascii="Arial" w:cs="Arial" w:eastAsia="Arial" w:hAnsi="Arial"/>
          <w:sz w:val="16"/>
          <w:szCs w:val="16"/>
          <w:color w:val="auto"/>
        </w:rPr>
        <w:t xml:space="preserve"> The purpose of the Micron Technology, Inc. 2004 Equity Incentive Plan (the “Plan”) is to promote the success, and enhance the value, of Micron Technology, Inc. (the “Company”), by linking the personal interests of employees, officers, directors and consultants of the Company or any Affiliate (as defined below) to those of Company stockholders and by providing such persons with an incentive for outstanding performance. The Plan is further intended to provide flexibility to the Company in its ability to motivate, attract, and retain the services of employees, officers, directors and consultants upon whose judgment, interest, and special effort the successful conduct of the Company’s operation is largely dependent. Accordingly, the Plan permits the grant of incentive awards from time to time to selected employees, officers, directors and consultants of the Company and its Affiliates.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DEFINITIONS</w:t>
      </w:r>
    </w:p>
    <w:p>
      <w:pPr>
        <w:spacing w:after="0" w:line="209" w:lineRule="exact"/>
        <w:rPr>
          <w:sz w:val="20"/>
          <w:szCs w:val="20"/>
          <w:color w:val="auto"/>
        </w:rPr>
      </w:pPr>
    </w:p>
    <w:p>
      <w:pPr>
        <w:jc w:val="both"/>
        <w:ind w:right="20" w:firstLine="570"/>
        <w:spacing w:after="0" w:line="259"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i w:val="1"/>
          <w:iCs w:val="1"/>
          <w:color w:val="auto"/>
        </w:rPr>
        <w:t>DEFINITIONS.</w:t>
      </w:r>
      <w:r>
        <w:rPr>
          <w:rFonts w:ascii="Arial" w:cs="Arial" w:eastAsia="Arial" w:hAnsi="Arial"/>
          <w:sz w:val="16"/>
          <w:szCs w:val="16"/>
          <w:color w:val="auto"/>
        </w:rPr>
        <w:t xml:space="preserve"> When a word or phrase appears in this Plan with the initial letter capitalized, and the word or phrase does not commence a sentence, the word or phrase shall generally be given the meaning ascribed to it in this Section or in Section 1.1 unless a clearly different meaning is required by the context. The following words and phrases shall have the following meanings:</w:t>
      </w:r>
    </w:p>
    <w:p>
      <w:pPr>
        <w:spacing w:after="0" w:line="188" w:lineRule="exact"/>
        <w:rPr>
          <w:sz w:val="20"/>
          <w:szCs w:val="20"/>
          <w:color w:val="auto"/>
        </w:rPr>
      </w:pPr>
    </w:p>
    <w:p>
      <w:pPr>
        <w:ind w:left="560" w:right="20" w:firstLine="575"/>
        <w:spacing w:after="0" w:line="270" w:lineRule="auto"/>
        <w:tabs>
          <w:tab w:leader="none" w:pos="1788" w:val="left"/>
        </w:tabs>
        <w:numPr>
          <w:ilvl w:val="0"/>
          <w:numId w:val="7"/>
        </w:numPr>
        <w:rPr>
          <w:rFonts w:ascii="Arial" w:cs="Arial" w:eastAsia="Arial" w:hAnsi="Arial"/>
          <w:sz w:val="16"/>
          <w:szCs w:val="16"/>
          <w:color w:val="auto"/>
        </w:rPr>
      </w:pPr>
      <w:r>
        <w:rPr>
          <w:rFonts w:ascii="Arial" w:cs="Arial" w:eastAsia="Arial" w:hAnsi="Arial"/>
          <w:sz w:val="16"/>
          <w:szCs w:val="16"/>
          <w:color w:val="auto"/>
        </w:rPr>
        <w:t>“Affiliate” means (i) any Subsidiary or Parent, or (ii) an entity that directly or through one or more intermediaries controls, is controlled by or is under common control with, the Company, as determined by the Committee.</w:t>
      </w:r>
    </w:p>
    <w:p>
      <w:pPr>
        <w:spacing w:after="0" w:line="179" w:lineRule="exact"/>
        <w:rPr>
          <w:rFonts w:ascii="Arial" w:cs="Arial" w:eastAsia="Arial" w:hAnsi="Arial"/>
          <w:sz w:val="16"/>
          <w:szCs w:val="16"/>
          <w:color w:val="auto"/>
        </w:rPr>
      </w:pPr>
    </w:p>
    <w:p>
      <w:pPr>
        <w:ind w:left="560" w:right="20" w:firstLine="575"/>
        <w:spacing w:after="0" w:line="270" w:lineRule="auto"/>
        <w:tabs>
          <w:tab w:leader="none" w:pos="1768" w:val="left"/>
        </w:tabs>
        <w:numPr>
          <w:ilvl w:val="0"/>
          <w:numId w:val="7"/>
        </w:numPr>
        <w:rPr>
          <w:rFonts w:ascii="Arial" w:cs="Arial" w:eastAsia="Arial" w:hAnsi="Arial"/>
          <w:sz w:val="16"/>
          <w:szCs w:val="16"/>
          <w:color w:val="auto"/>
        </w:rPr>
      </w:pPr>
      <w:r>
        <w:rPr>
          <w:rFonts w:ascii="Arial" w:cs="Arial" w:eastAsia="Arial" w:hAnsi="Arial"/>
          <w:sz w:val="16"/>
          <w:szCs w:val="16"/>
          <w:color w:val="auto"/>
        </w:rPr>
        <w:t>“Award” means any Option, Stock Appreciation Right, Restricted Stock Award, Restricted Stock Unit Award, Deferred Stock Unit Award, Performance Share, Dividend Equivalent Award, or Other Stock-Based Award granted to a Participant under the Plan.</w:t>
      </w:r>
    </w:p>
    <w:p>
      <w:pPr>
        <w:spacing w:after="0" w:line="179" w:lineRule="exact"/>
        <w:rPr>
          <w:rFonts w:ascii="Arial" w:cs="Arial" w:eastAsia="Arial" w:hAnsi="Arial"/>
          <w:sz w:val="16"/>
          <w:szCs w:val="16"/>
          <w:color w:val="auto"/>
        </w:rPr>
      </w:pPr>
    </w:p>
    <w:p>
      <w:pPr>
        <w:jc w:val="both"/>
        <w:ind w:left="560" w:firstLine="575"/>
        <w:spacing w:after="0" w:line="259" w:lineRule="auto"/>
        <w:tabs>
          <w:tab w:leader="none" w:pos="1876" w:val="left"/>
        </w:tabs>
        <w:numPr>
          <w:ilvl w:val="0"/>
          <w:numId w:val="7"/>
        </w:numPr>
        <w:rPr>
          <w:rFonts w:ascii="Arial" w:cs="Arial" w:eastAsia="Arial" w:hAnsi="Arial"/>
          <w:sz w:val="16"/>
          <w:szCs w:val="16"/>
          <w:color w:val="auto"/>
        </w:rPr>
      </w:pPr>
      <w:r>
        <w:rPr>
          <w:rFonts w:ascii="Arial" w:cs="Arial" w:eastAsia="Arial" w:hAnsi="Arial"/>
          <w:sz w:val="16"/>
          <w:szCs w:val="16"/>
          <w:color w:val="auto"/>
        </w:rPr>
        <w:t>“Award Certificate” means a written document, in such form as the Committee prescribes from time to time, setting forth the terms and conditions of an Award. Award Certificates may be in the form of individual award agreements or certificates or a program document describing the terms and provisions of an Awards or series of Awards under the Plan.</w:t>
      </w:r>
    </w:p>
    <w:p>
      <w:pPr>
        <w:spacing w:after="0" w:line="188" w:lineRule="exact"/>
        <w:rPr>
          <w:rFonts w:ascii="Arial" w:cs="Arial" w:eastAsia="Arial" w:hAnsi="Arial"/>
          <w:sz w:val="16"/>
          <w:szCs w:val="16"/>
          <w:color w:val="auto"/>
        </w:rPr>
      </w:pPr>
    </w:p>
    <w:p>
      <w:pPr>
        <w:ind w:left="1840" w:hanging="705"/>
        <w:spacing w:after="0"/>
        <w:tabs>
          <w:tab w:leader="none" w:pos="1840" w:val="left"/>
        </w:tabs>
        <w:numPr>
          <w:ilvl w:val="0"/>
          <w:numId w:val="7"/>
        </w:numPr>
        <w:rPr>
          <w:rFonts w:ascii="Arial" w:cs="Arial" w:eastAsia="Arial" w:hAnsi="Arial"/>
          <w:sz w:val="16"/>
          <w:szCs w:val="16"/>
          <w:color w:val="auto"/>
        </w:rPr>
      </w:pPr>
      <w:r>
        <w:rPr>
          <w:rFonts w:ascii="Arial" w:cs="Arial" w:eastAsia="Arial" w:hAnsi="Arial"/>
          <w:sz w:val="16"/>
          <w:szCs w:val="16"/>
          <w:color w:val="auto"/>
        </w:rPr>
        <w:t>“Board” means the Board of Directors of the Company.</w:t>
      </w:r>
    </w:p>
    <w:p>
      <w:pPr>
        <w:spacing w:after="0" w:line="219" w:lineRule="exact"/>
        <w:rPr>
          <w:rFonts w:ascii="Arial" w:cs="Arial" w:eastAsia="Arial" w:hAnsi="Arial"/>
          <w:sz w:val="16"/>
          <w:szCs w:val="16"/>
          <w:color w:val="auto"/>
        </w:rPr>
      </w:pPr>
    </w:p>
    <w:p>
      <w:pPr>
        <w:ind w:left="1820" w:hanging="685"/>
        <w:spacing w:after="0"/>
        <w:tabs>
          <w:tab w:leader="none" w:pos="182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“Change in Control” means and includes the occurrence of any one of the following events:</w:t>
      </w:r>
    </w:p>
    <w:p>
      <w:pPr>
        <w:spacing w:after="0" w:line="219" w:lineRule="exact"/>
        <w:rPr>
          <w:rFonts w:ascii="Arial" w:cs="Arial" w:eastAsia="Arial" w:hAnsi="Arial"/>
          <w:sz w:val="16"/>
          <w:szCs w:val="16"/>
          <w:color w:val="auto"/>
        </w:rPr>
      </w:pPr>
    </w:p>
    <w:p>
      <w:pPr>
        <w:jc w:val="both"/>
        <w:ind w:left="1140" w:firstLine="565"/>
        <w:spacing w:after="0" w:line="295" w:lineRule="auto"/>
        <w:tabs>
          <w:tab w:leader="none" w:pos="2352" w:val="left"/>
        </w:tabs>
        <w:numPr>
          <w:ilvl w:val="1"/>
          <w:numId w:val="7"/>
        </w:numPr>
        <w:rPr>
          <w:rFonts w:ascii="Arial" w:cs="Arial" w:eastAsia="Arial" w:hAnsi="Arial"/>
          <w:sz w:val="14"/>
          <w:szCs w:val="14"/>
          <w:color w:val="auto"/>
        </w:rPr>
      </w:pPr>
      <w:r>
        <w:rPr>
          <w:rFonts w:ascii="Arial" w:cs="Arial" w:eastAsia="Arial" w:hAnsi="Arial"/>
          <w:sz w:val="14"/>
          <w:szCs w:val="14"/>
          <w:color w:val="auto"/>
        </w:rPr>
        <w:t xml:space="preserve">individuals who, on the Effective Date, constitute the Board of Directors of the Company (the “Incumbent Directors”) cease for any reason to constitute at least a majority of such Board, provided that any person becoming a director after the Effective Date and whose election or nomination for election was approved by a vote of at least a majority of the Incumbent Directors then on the Board shall be an Incumbent Director;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no individual initially elected or nominated as a director of the Company as a result of an actual or threatened election contest with respect to the election or removal of directors (“Election Contest”) or other actual or threatened solicitation of proxies or consents by or on behalf of any Person other than the Board (“Proxy Contest”), including by reason of any agreement intended to avoid or settle any Election Contest or Proxy Contest, shall be deemed an Incumbent Director;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473075</wp:posOffset>
            </wp:positionV>
            <wp:extent cx="7268210"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551" w:right="219" w:bottom="1440" w:gutter="0" w:footer="0" w:header="0"/>
        </w:sectPr>
      </w:pPr>
    </w:p>
    <w:bookmarkStart w:id="9" w:name="page10"/>
    <w:bookmarkEnd w:id="9"/>
    <w:p>
      <w:pPr>
        <w:jc w:val="both"/>
        <w:ind w:left="5" w:firstLine="565"/>
        <w:spacing w:after="0" w:line="251" w:lineRule="auto"/>
        <w:tabs>
          <w:tab w:leader="none" w:pos="1229" w:val="left"/>
        </w:tabs>
        <w:numPr>
          <w:ilvl w:val="1"/>
          <w:numId w:val="8"/>
        </w:numPr>
        <w:rPr>
          <w:rFonts w:ascii="Arial" w:cs="Arial" w:eastAsia="Arial" w:hAnsi="Arial"/>
          <w:sz w:val="16"/>
          <w:szCs w:val="16"/>
          <w:color w:val="auto"/>
        </w:rPr>
      </w:pPr>
      <w:r>
        <w:rPr>
          <w:rFonts w:ascii="Arial" w:cs="Arial" w:eastAsia="Arial" w:hAnsi="Arial"/>
          <w:sz w:val="16"/>
          <w:szCs w:val="16"/>
          <w:color w:val="auto"/>
        </w:rPr>
        <w:t xml:space="preserve">any person is or becomes a “beneficial owner” (as defined in Rule 13d-3 under the 1934 Act), directly or indirectly, of either (A) 35% or more of the then-outstanding shares of common stock of the Company (“Company Common Stock”) or (B) securities of the Company representing 35% or more of the combined voting power of the Company’s then outstanding securities eligible to vote for the election of directors (the “Company Voting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for purposes of this subsection (ii), the following acquisitions shall not constitute a Change in Control: (w) an acquisition directly from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(x) an acquisition by the Company or a Subsidiary of the Company, (y) an acquisition by any employee benefit plan (or related trust) sponsored or maintained by the Company or any Subsidiary of the Company, or (z) an acquisition pursuant to a Non-Qualifying Transaction (as defined in subsection (iii) below); or</w:t>
      </w:r>
    </w:p>
    <w:p>
      <w:pPr>
        <w:spacing w:after="0" w:line="197" w:lineRule="exact"/>
        <w:rPr>
          <w:rFonts w:ascii="Arial" w:cs="Arial" w:eastAsia="Arial" w:hAnsi="Arial"/>
          <w:sz w:val="16"/>
          <w:szCs w:val="16"/>
          <w:color w:val="auto"/>
        </w:rPr>
      </w:pPr>
    </w:p>
    <w:p>
      <w:pPr>
        <w:jc w:val="both"/>
        <w:ind w:left="5" w:firstLine="565"/>
        <w:spacing w:after="0" w:line="267" w:lineRule="auto"/>
        <w:tabs>
          <w:tab w:leader="none" w:pos="1304" w:val="left"/>
        </w:tabs>
        <w:numPr>
          <w:ilvl w:val="1"/>
          <w:numId w:val="8"/>
        </w:numPr>
        <w:rPr>
          <w:rFonts w:ascii="Arial" w:cs="Arial" w:eastAsia="Arial" w:hAnsi="Arial"/>
          <w:sz w:val="15"/>
          <w:szCs w:val="15"/>
          <w:color w:val="auto"/>
        </w:rPr>
      </w:pPr>
      <w:r>
        <w:rPr>
          <w:rFonts w:ascii="Arial" w:cs="Arial" w:eastAsia="Arial" w:hAnsi="Arial"/>
          <w:sz w:val="15"/>
          <w:szCs w:val="15"/>
          <w:color w:val="auto"/>
        </w:rPr>
        <w:t>the consummation of a reorganization, merger, consolidation, statutory share exchange or similar form of corporate transaction involving the Company or a Subsidiary (a “Reorganization”), or the sale or other disposition of all or substantially all of the Company’s assets (a “Sale”) or the acquisition of assets or stock of another corporation (an “Acquisition”), unless immediately following such Reorganization, Sale or Acquisition: (A) all or substantially all of the individuals and entities who were the beneficial owners, respectively, of the outstanding Company Common Stock and outstanding Company Voting Securities immediately prior to such Reorganization, Sale or Acquisition beneficially own, directly or indirectly, more than 50% of, respectively, the then outstanding shares of common stock and the combined voting power of the then outstanding voting securities entitled to vote generally in the election of directors, as the case may be, of the corporation resulting from such Reorganization, Sale or Acquisition (including, without limitation, a corporation which as a result of such transaction owns the Company or all or substantially all of the Company’s assets or stock either directly or through one or more subsidiaries, the “Surviving Corporation”) in substantially the same proportions as their ownership, immediately prior to such Reorganization, Sale or Acquisition, of the outstanding Company Common Stock and the outstanding Company Voting Securities, as the case may be, and (B) no person (other than (x) the Company or any Subsidiary of the Company, (y) the Surviving Corporation or its ultimate parent corporation, or (z) any employee benefit plan or related trust) sponsored or maintained by any of the foregoing is the beneficial owner, directly or indirectly, of 35% or more of the total common stock or 35% or more of the total voting power of the outstanding voting securities eligible to elect directors of the Surviving Corporation, and (C) at least a majority of the members of the board of directors of the Surviving Corporation were Incumbent Directors at the time of the Board’s approval of the execution of the initial agreement providing for such Reorganization, Sale or Acquisition (any Reorganization, Sale or Acquisition which satisfies all of the criteria specified in (A), (B) and (C) above shall be deemed to be a “Non-Qualifying Transaction”); or</w:t>
      </w:r>
    </w:p>
    <w:p>
      <w:pPr>
        <w:spacing w:after="0" w:line="184" w:lineRule="exact"/>
        <w:rPr>
          <w:rFonts w:ascii="Arial" w:cs="Arial" w:eastAsia="Arial" w:hAnsi="Arial"/>
          <w:sz w:val="15"/>
          <w:szCs w:val="15"/>
          <w:color w:val="auto"/>
        </w:rPr>
      </w:pPr>
    </w:p>
    <w:p>
      <w:pPr>
        <w:ind w:left="1225" w:hanging="655"/>
        <w:spacing w:after="0"/>
        <w:tabs>
          <w:tab w:leader="none" w:pos="1225" w:val="left"/>
        </w:tabs>
        <w:numPr>
          <w:ilvl w:val="1"/>
          <w:numId w:val="8"/>
        </w:numPr>
        <w:rPr>
          <w:rFonts w:ascii="Arial" w:cs="Arial" w:eastAsia="Arial" w:hAnsi="Arial"/>
          <w:sz w:val="16"/>
          <w:szCs w:val="16"/>
          <w:color w:val="auto"/>
        </w:rPr>
      </w:pPr>
      <w:r>
        <w:rPr>
          <w:rFonts w:ascii="Arial" w:cs="Arial" w:eastAsia="Arial" w:hAnsi="Arial"/>
          <w:sz w:val="16"/>
          <w:szCs w:val="16"/>
          <w:color w:val="auto"/>
        </w:rPr>
        <w:t>approval by the stockholders of the Company of a complete liquidation or dissolution of the Company.</w:t>
      </w:r>
    </w:p>
    <w:p>
      <w:pPr>
        <w:spacing w:after="0" w:line="219" w:lineRule="exact"/>
        <w:rPr>
          <w:rFonts w:ascii="Arial" w:cs="Arial" w:eastAsia="Arial" w:hAnsi="Arial"/>
          <w:sz w:val="16"/>
          <w:szCs w:val="16"/>
          <w:color w:val="auto"/>
        </w:rPr>
      </w:pPr>
    </w:p>
    <w:p>
      <w:pPr>
        <w:jc w:val="both"/>
        <w:ind w:left="-575" w:firstLine="575"/>
        <w:spacing w:after="0" w:line="284" w:lineRule="auto"/>
        <w:tabs>
          <w:tab w:leader="none" w:pos="933" w:val="left"/>
        </w:tabs>
        <w:numPr>
          <w:ilvl w:val="0"/>
          <w:numId w:val="9"/>
        </w:numPr>
        <w:rPr>
          <w:rFonts w:ascii="Arial" w:cs="Arial" w:eastAsia="Arial" w:hAnsi="Arial"/>
          <w:sz w:val="15"/>
          <w:szCs w:val="15"/>
          <w:color w:val="auto"/>
        </w:rPr>
      </w:pPr>
      <w:r>
        <w:rPr>
          <w:rFonts w:ascii="Arial" w:cs="Arial" w:eastAsia="Arial" w:hAnsi="Arial"/>
          <w:sz w:val="15"/>
          <w:szCs w:val="15"/>
          <w:color w:val="auto"/>
        </w:rPr>
        <w:t>“Code” means the Internal Revenue Code of 1986, as amended from time to time, and includes a reference to the underlying final regulations. Reference to a specific Section of the Code or regulation thereunder shall include such Section or regulation, any valid regulation promulgated under such Section, and any comparable provision of any future law, legislation or regulation amending, supplementing or superseding such Section or regulation.</w:t>
      </w:r>
    </w:p>
    <w:p>
      <w:pPr>
        <w:spacing w:after="0" w:line="171" w:lineRule="exact"/>
        <w:rPr>
          <w:rFonts w:ascii="Arial" w:cs="Arial" w:eastAsia="Arial" w:hAnsi="Arial"/>
          <w:sz w:val="15"/>
          <w:szCs w:val="15"/>
          <w:color w:val="auto"/>
        </w:rPr>
      </w:pPr>
    </w:p>
    <w:p>
      <w:pPr>
        <w:ind w:left="625" w:hanging="625"/>
        <w:spacing w:after="0"/>
        <w:tabs>
          <w:tab w:leader="none" w:pos="625" w:val="left"/>
        </w:tabs>
        <w:numPr>
          <w:ilvl w:val="0"/>
          <w:numId w:val="9"/>
        </w:numPr>
        <w:rPr>
          <w:rFonts w:ascii="Arial" w:cs="Arial" w:eastAsia="Arial" w:hAnsi="Arial"/>
          <w:sz w:val="16"/>
          <w:szCs w:val="16"/>
          <w:color w:val="auto"/>
        </w:rPr>
      </w:pPr>
      <w:r>
        <w:rPr>
          <w:rFonts w:ascii="Arial" w:cs="Arial" w:eastAsia="Arial" w:hAnsi="Arial"/>
          <w:sz w:val="16"/>
          <w:szCs w:val="16"/>
          <w:color w:val="auto"/>
        </w:rPr>
        <w:t>“Committee” means the committee of the Board described in Article 4.</w:t>
      </w:r>
    </w:p>
    <w:p>
      <w:pPr>
        <w:spacing w:after="0" w:line="219" w:lineRule="exact"/>
        <w:rPr>
          <w:rFonts w:ascii="Arial" w:cs="Arial" w:eastAsia="Arial" w:hAnsi="Arial"/>
          <w:sz w:val="16"/>
          <w:szCs w:val="16"/>
          <w:color w:val="auto"/>
        </w:rPr>
      </w:pPr>
    </w:p>
    <w:p>
      <w:pPr>
        <w:ind w:left="625" w:hanging="625"/>
        <w:spacing w:after="0"/>
        <w:tabs>
          <w:tab w:leader="none" w:pos="625" w:val="left"/>
        </w:tabs>
        <w:numPr>
          <w:ilvl w:val="0"/>
          <w:numId w:val="9"/>
        </w:numPr>
        <w:rPr>
          <w:rFonts w:ascii="Arial" w:cs="Arial" w:eastAsia="Arial" w:hAnsi="Arial"/>
          <w:sz w:val="16"/>
          <w:szCs w:val="16"/>
          <w:color w:val="auto"/>
        </w:rPr>
      </w:pPr>
      <w:r>
        <w:rPr>
          <w:rFonts w:ascii="Arial" w:cs="Arial" w:eastAsia="Arial" w:hAnsi="Arial"/>
          <w:sz w:val="16"/>
          <w:szCs w:val="16"/>
          <w:color w:val="auto"/>
        </w:rPr>
        <w:t>“Company” means Micron Technology, Inc., a Delaware corporation, or any successor corporation.</w:t>
      </w:r>
    </w:p>
    <w:p>
      <w:pPr>
        <w:spacing w:after="0" w:line="219" w:lineRule="exact"/>
        <w:rPr>
          <w:rFonts w:ascii="Arial" w:cs="Arial" w:eastAsia="Arial" w:hAnsi="Arial"/>
          <w:sz w:val="16"/>
          <w:szCs w:val="16"/>
          <w:color w:val="auto"/>
        </w:rPr>
      </w:pPr>
    </w:p>
    <w:p>
      <w:pPr>
        <w:jc w:val="both"/>
        <w:ind w:left="-575" w:firstLine="575"/>
        <w:spacing w:after="0" w:line="270" w:lineRule="auto"/>
        <w:tabs>
          <w:tab w:leader="none" w:pos="583" w:val="left"/>
        </w:tabs>
        <w:numPr>
          <w:ilvl w:val="0"/>
          <w:numId w:val="9"/>
        </w:numPr>
        <w:rPr>
          <w:rFonts w:ascii="Arial" w:cs="Arial" w:eastAsia="Arial" w:hAnsi="Arial"/>
          <w:sz w:val="15"/>
          <w:szCs w:val="15"/>
          <w:color w:val="auto"/>
        </w:rPr>
      </w:pPr>
      <w:r>
        <w:rPr>
          <w:rFonts w:ascii="Arial" w:cs="Arial" w:eastAsia="Arial" w:hAnsi="Arial"/>
          <w:sz w:val="15"/>
          <w:szCs w:val="15"/>
          <w:color w:val="auto"/>
        </w:rPr>
        <w:t>“Continuous Status as a Participant” means the absence of any interruption or termination of service as an employee, officer, consultant or director of the Company or any Affiliate, as applicable; provided, however, that for purposes of an Incentive Stock Option, or a Stock Appreciation Right issued in tandem with an Incentive Stock Option, “Continuous Status as a Participant” means the absence of any interruption or termination of service as an employee of the Company or any Parent or Subsidiary, as applicable, pursuant to applicable tax regulations. Continuous Status as a Participant shall not be considered interrupted in the case of any leave of absence authorized in writing by the Company prior to its commencement; provided, however, that for purposes of Incentive Stock Options, no such leave may exceed 90 days, unless reemployment upon expiration of such leave is guaranteed by statute or contract. If reemployment upon expiration of a leave of absence approved by the Company is not so guaranteed, on the 91st day of such leave any Incentive Stock Option held by the Participant shall cease to be treated as an Incentive Stock Option and shall be treated for tax purposes as a Nonstatutory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482600</wp:posOffset>
            </wp:positionV>
            <wp:extent cx="7268210" cy="20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0305"/>
          </w:cols>
          <w:pgMar w:left="1375" w:top="471" w:right="219" w:bottom="1440" w:gutter="0" w:footer="0" w:header="0"/>
        </w:sectPr>
      </w:pPr>
    </w:p>
    <w:bookmarkStart w:id="10" w:name="page11"/>
    <w:bookmarkEnd w:id="10"/>
    <w:p>
      <w:pPr>
        <w:ind w:left="1320" w:hanging="745"/>
        <w:spacing w:after="0"/>
        <w:tabs>
          <w:tab w:leader="none" w:pos="13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“Covered Employee” means a covered employee as defined in Code Section 162(m)(3).</w:t>
      </w:r>
    </w:p>
    <w:p>
      <w:pPr>
        <w:spacing w:after="0" w:line="219" w:lineRule="exact"/>
        <w:rPr>
          <w:rFonts w:ascii="Arial" w:cs="Arial" w:eastAsia="Arial" w:hAnsi="Arial"/>
          <w:sz w:val="16"/>
          <w:szCs w:val="16"/>
          <w:color w:val="auto"/>
        </w:rPr>
      </w:pPr>
    </w:p>
    <w:p>
      <w:pPr>
        <w:jc w:val="both"/>
        <w:ind w:firstLine="575"/>
        <w:spacing w:after="0" w:line="293" w:lineRule="auto"/>
        <w:tabs>
          <w:tab w:leader="none" w:pos="1357" w:val="left"/>
        </w:tabs>
        <w:numPr>
          <w:ilvl w:val="0"/>
          <w:numId w:val="10"/>
        </w:numPr>
        <w:rPr>
          <w:rFonts w:ascii="Arial" w:cs="Arial" w:eastAsia="Arial" w:hAnsi="Arial"/>
          <w:sz w:val="14"/>
          <w:szCs w:val="14"/>
          <w:color w:val="auto"/>
        </w:rPr>
      </w:pPr>
      <w:r>
        <w:rPr>
          <w:rFonts w:ascii="Arial" w:cs="Arial" w:eastAsia="Arial" w:hAnsi="Arial"/>
          <w:sz w:val="14"/>
          <w:szCs w:val="14"/>
          <w:color w:val="auto"/>
        </w:rPr>
        <w:t>“Disability” or “Disabled” has the same meaning as provided in the long-term disability plan or policy maintained by the Company or if applicable, most recently maintained, by the Company or if applicable, an Affiliate, for the Participant, whether or not such Participant actually receives disability benefits under such plan or policy. If no long-term disability plan or policy was ever maintained on behalf of Participant or if the determination of Disability relates to an Incentive Stock Option, or a Stock Appreciation Right issued in tandem with an Incentive Stock Option, Disability means Permanent and Total Disability as defined in Section 22(e)(3) of the Code. Notwithstanding the foregoing, for any Awards that constitute a nonqualified deferred compensation plan within the meaning of Section 409A(d) of the Code, Disability has the meaning given such term in Section 409A of the Code. In the event of a dispute, the determination whether a Participant is Disabled will be made by the Committee and may be supported by the advice of a physician competent in the area to which such Disability relates.</w:t>
      </w:r>
    </w:p>
    <w:p>
      <w:pPr>
        <w:spacing w:after="0" w:line="168" w:lineRule="exact"/>
        <w:rPr>
          <w:rFonts w:ascii="Arial" w:cs="Arial" w:eastAsia="Arial" w:hAnsi="Arial"/>
          <w:sz w:val="14"/>
          <w:szCs w:val="14"/>
          <w:color w:val="auto"/>
        </w:rPr>
      </w:pPr>
    </w:p>
    <w:p>
      <w:pPr>
        <w:ind w:left="1320" w:hanging="745"/>
        <w:spacing w:after="0"/>
        <w:tabs>
          <w:tab w:leader="none" w:pos="13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“Deferred Stock Unit” means a right granted to a Participant under Article 11.</w:t>
      </w:r>
    </w:p>
    <w:p>
      <w:pPr>
        <w:spacing w:after="0" w:line="219" w:lineRule="exact"/>
        <w:rPr>
          <w:rFonts w:ascii="Arial" w:cs="Arial" w:eastAsia="Arial" w:hAnsi="Arial"/>
          <w:sz w:val="16"/>
          <w:szCs w:val="16"/>
          <w:color w:val="auto"/>
        </w:rPr>
      </w:pPr>
    </w:p>
    <w:p>
      <w:pPr>
        <w:ind w:left="1320" w:hanging="745"/>
        <w:spacing w:after="0"/>
        <w:tabs>
          <w:tab w:leader="none" w:pos="13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“Dividend Equivalent” means a right granted to a Participant under Article 12.</w:t>
      </w:r>
    </w:p>
    <w:p>
      <w:pPr>
        <w:spacing w:after="0" w:line="219" w:lineRule="exact"/>
        <w:rPr>
          <w:rFonts w:ascii="Arial" w:cs="Arial" w:eastAsia="Arial" w:hAnsi="Arial"/>
          <w:sz w:val="16"/>
          <w:szCs w:val="16"/>
          <w:color w:val="auto"/>
        </w:rPr>
      </w:pPr>
    </w:p>
    <w:p>
      <w:pPr>
        <w:ind w:left="1280" w:hanging="705"/>
        <w:spacing w:after="0"/>
        <w:tabs>
          <w:tab w:leader="none" w:pos="12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“Effective Date” has the meaning assigned such term in Section 3.1.</w:t>
      </w:r>
    </w:p>
    <w:p>
      <w:pPr>
        <w:spacing w:after="0" w:line="219" w:lineRule="exact"/>
        <w:rPr>
          <w:rFonts w:ascii="Arial" w:cs="Arial" w:eastAsia="Arial" w:hAnsi="Arial"/>
          <w:sz w:val="16"/>
          <w:szCs w:val="16"/>
          <w:color w:val="auto"/>
        </w:rPr>
      </w:pPr>
    </w:p>
    <w:p>
      <w:pPr>
        <w:ind w:left="1280" w:hanging="705"/>
        <w:spacing w:after="0"/>
        <w:tabs>
          <w:tab w:leader="none" w:pos="12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“Eligible Participant” means an employee, officer, consultant or director of the Company or any Affiliate.</w:t>
      </w:r>
    </w:p>
    <w:p>
      <w:pPr>
        <w:spacing w:after="0" w:line="219" w:lineRule="exact"/>
        <w:rPr>
          <w:rFonts w:ascii="Arial" w:cs="Arial" w:eastAsia="Arial" w:hAnsi="Arial"/>
          <w:sz w:val="16"/>
          <w:szCs w:val="16"/>
          <w:color w:val="auto"/>
        </w:rPr>
      </w:pPr>
    </w:p>
    <w:p>
      <w:pPr>
        <w:ind w:firstLine="575"/>
        <w:spacing w:after="0" w:line="270" w:lineRule="auto"/>
        <w:tabs>
          <w:tab w:leader="none" w:pos="1335" w:val="left"/>
        </w:tabs>
        <w:numPr>
          <w:ilvl w:val="0"/>
          <w:numId w:val="10"/>
        </w:numPr>
        <w:rPr>
          <w:rFonts w:ascii="Arial" w:cs="Arial" w:eastAsia="Arial" w:hAnsi="Arial"/>
          <w:sz w:val="16"/>
          <w:szCs w:val="16"/>
          <w:color w:val="auto"/>
        </w:rPr>
      </w:pPr>
      <w:r>
        <w:rPr>
          <w:rFonts w:ascii="Arial" w:cs="Arial" w:eastAsia="Arial" w:hAnsi="Arial"/>
          <w:sz w:val="16"/>
          <w:szCs w:val="16"/>
          <w:color w:val="auto"/>
        </w:rPr>
        <w:t>“Exchange” means the New York Stock Exchange or any other national securities exchange or national market system on which the Stock may from time to time be listed or traded.</w:t>
      </w:r>
    </w:p>
    <w:p>
      <w:pPr>
        <w:spacing w:after="0" w:line="179" w:lineRule="exact"/>
        <w:rPr>
          <w:rFonts w:ascii="Arial" w:cs="Arial" w:eastAsia="Arial" w:hAnsi="Arial"/>
          <w:sz w:val="16"/>
          <w:szCs w:val="16"/>
          <w:color w:val="auto"/>
        </w:rPr>
      </w:pPr>
    </w:p>
    <w:p>
      <w:pPr>
        <w:jc w:val="both"/>
        <w:ind w:firstLine="575"/>
        <w:spacing w:after="0" w:line="271" w:lineRule="auto"/>
        <w:tabs>
          <w:tab w:leader="none" w:pos="1303" w:val="left"/>
        </w:tabs>
        <w:numPr>
          <w:ilvl w:val="0"/>
          <w:numId w:val="10"/>
        </w:numPr>
        <w:rPr>
          <w:rFonts w:ascii="Arial" w:cs="Arial" w:eastAsia="Arial" w:hAnsi="Arial"/>
          <w:sz w:val="15"/>
          <w:szCs w:val="15"/>
          <w:color w:val="auto"/>
        </w:rPr>
      </w:pPr>
      <w:r>
        <w:rPr>
          <w:rFonts w:ascii="Arial" w:cs="Arial" w:eastAsia="Arial" w:hAnsi="Arial"/>
          <w:sz w:val="15"/>
          <w:szCs w:val="15"/>
          <w:color w:val="auto"/>
        </w:rPr>
        <w:t xml:space="preserve">“Fair Market Value” of the Stock, on any date, means: (i) if the Stock is listed or traded on any Exchange, the average closing price for such Stock (or the closing bid, if no sales were reported) as quoted on such Exchange (or the Exchange with the greatest volume of trading in the Stock) for the last market trading day prior to the day of determination, as reported by </w:t>
      </w:r>
      <w:r>
        <w:rPr>
          <w:rFonts w:ascii="Arial" w:cs="Arial" w:eastAsia="Arial" w:hAnsi="Arial"/>
          <w:sz w:val="15"/>
          <w:szCs w:val="15"/>
          <w:i w:val="1"/>
          <w:iCs w:val="1"/>
          <w:color w:val="auto"/>
        </w:rPr>
        <w:t>Bloomberg L.P.</w:t>
      </w:r>
      <w:r>
        <w:rPr>
          <w:rFonts w:ascii="Arial" w:cs="Arial" w:eastAsia="Arial" w:hAnsi="Arial"/>
          <w:sz w:val="15"/>
          <w:szCs w:val="15"/>
          <w:color w:val="auto"/>
        </w:rPr>
        <w:t xml:space="preserve"> or such other source as the Committee deems reliable; (ii) if the Stock is quoted on the over-the-counter market or is regularly quoted by a recognized securities dealer, but selling prices are not reported, the Fair Market Value of the Stock shall be the mean between the high bid and low asked prices for the Stock on the last market trading day prior to the day of determination, as reported by </w:t>
      </w:r>
      <w:r>
        <w:rPr>
          <w:rFonts w:ascii="Arial" w:cs="Arial" w:eastAsia="Arial" w:hAnsi="Arial"/>
          <w:sz w:val="15"/>
          <w:szCs w:val="15"/>
          <w:i w:val="1"/>
          <w:iCs w:val="1"/>
          <w:color w:val="auto"/>
        </w:rPr>
        <w:t>Bloomberg L.P.</w:t>
      </w:r>
      <w:r>
        <w:rPr>
          <w:rFonts w:ascii="Arial" w:cs="Arial" w:eastAsia="Arial" w:hAnsi="Arial"/>
          <w:sz w:val="15"/>
          <w:szCs w:val="15"/>
          <w:color w:val="auto"/>
        </w:rPr>
        <w:t xml:space="preserve"> or such other source as the Committee deems reliable, or (iii) in the absence of an established market for the Stock, the Fair Market Value shall be determined by such other method as the Committee determines in good faith to be reasonable and in compliance with Code Section 409A.</w:t>
      </w:r>
    </w:p>
    <w:p>
      <w:pPr>
        <w:spacing w:after="0" w:line="180" w:lineRule="exact"/>
        <w:rPr>
          <w:rFonts w:ascii="Arial" w:cs="Arial" w:eastAsia="Arial" w:hAnsi="Arial"/>
          <w:sz w:val="15"/>
          <w:szCs w:val="15"/>
          <w:color w:val="auto"/>
        </w:rPr>
      </w:pPr>
    </w:p>
    <w:p>
      <w:pPr>
        <w:ind w:left="1280" w:hanging="705"/>
        <w:spacing w:after="0"/>
        <w:tabs>
          <w:tab w:leader="none" w:pos="12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“Full Value Award” means an Award other than in the form of an Option or SAR, and which is settled by the issuance of Stock.</w:t>
      </w:r>
    </w:p>
    <w:p>
      <w:pPr>
        <w:spacing w:after="0" w:line="219" w:lineRule="exact"/>
        <w:rPr>
          <w:rFonts w:ascii="Arial" w:cs="Arial" w:eastAsia="Arial" w:hAnsi="Arial"/>
          <w:sz w:val="16"/>
          <w:szCs w:val="16"/>
          <w:color w:val="auto"/>
        </w:rPr>
      </w:pPr>
    </w:p>
    <w:p>
      <w:pPr>
        <w:jc w:val="both"/>
        <w:ind w:right="20" w:firstLine="575"/>
        <w:spacing w:after="0" w:line="259" w:lineRule="auto"/>
        <w:tabs>
          <w:tab w:leader="none" w:pos="1271" w:val="left"/>
        </w:tabs>
        <w:numPr>
          <w:ilvl w:val="0"/>
          <w:numId w:val="10"/>
        </w:numPr>
        <w:rPr>
          <w:rFonts w:ascii="Arial" w:cs="Arial" w:eastAsia="Arial" w:hAnsi="Arial"/>
          <w:sz w:val="16"/>
          <w:szCs w:val="16"/>
          <w:color w:val="auto"/>
        </w:rPr>
      </w:pPr>
      <w:r>
        <w:rPr>
          <w:rFonts w:ascii="Arial" w:cs="Arial" w:eastAsia="Arial" w:hAnsi="Arial"/>
          <w:sz w:val="16"/>
          <w:szCs w:val="16"/>
          <w:color w:val="auto"/>
        </w:rPr>
        <w:t>“Grant Date” of an Award means the first date on which all necessary corporate action has been taken to approve the grant of the Award as provided in the Plan, or such later date as is determined and specified as part of that authorization process. Notice of the grant shall be provided to the grantee within a reasonable time after the Grant Date.</w:t>
      </w:r>
    </w:p>
    <w:p>
      <w:pPr>
        <w:spacing w:after="0" w:line="188" w:lineRule="exact"/>
        <w:rPr>
          <w:rFonts w:ascii="Arial" w:cs="Arial" w:eastAsia="Arial" w:hAnsi="Arial"/>
          <w:sz w:val="16"/>
          <w:szCs w:val="16"/>
          <w:color w:val="auto"/>
        </w:rPr>
      </w:pPr>
    </w:p>
    <w:p>
      <w:pPr>
        <w:ind w:right="20" w:firstLine="575"/>
        <w:spacing w:after="0" w:line="270" w:lineRule="auto"/>
        <w:tabs>
          <w:tab w:leader="none" w:pos="1342"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“Incentive Stock Option” means an Option that is intended to be an incentive stock option and meets the requirements of Section 422 of the Code or any successor provision thereto.</w:t>
      </w:r>
    </w:p>
    <w:p>
      <w:pPr>
        <w:spacing w:after="0" w:line="179" w:lineRule="exact"/>
        <w:rPr>
          <w:rFonts w:ascii="Arial" w:cs="Arial" w:eastAsia="Arial" w:hAnsi="Arial"/>
          <w:sz w:val="16"/>
          <w:szCs w:val="16"/>
          <w:color w:val="auto"/>
        </w:rPr>
      </w:pPr>
    </w:p>
    <w:p>
      <w:pPr>
        <w:ind w:left="1280" w:hanging="705"/>
        <w:spacing w:after="0"/>
        <w:tabs>
          <w:tab w:leader="none" w:pos="12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“Non-Employee Director” means a director of the Company who is not a common law employee of the Company or an Affiliate.</w:t>
      </w:r>
    </w:p>
    <w:p>
      <w:pPr>
        <w:spacing w:after="0" w:line="219" w:lineRule="exact"/>
        <w:rPr>
          <w:rFonts w:ascii="Arial" w:cs="Arial" w:eastAsia="Arial" w:hAnsi="Arial"/>
          <w:sz w:val="16"/>
          <w:szCs w:val="16"/>
          <w:color w:val="auto"/>
        </w:rPr>
      </w:pPr>
    </w:p>
    <w:p>
      <w:pPr>
        <w:ind w:left="1280" w:hanging="705"/>
        <w:spacing w:after="0"/>
        <w:tabs>
          <w:tab w:leader="none" w:pos="12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“Nonstatutory Stock Option” means an Option that is not an Incentive Stock Option.</w:t>
      </w:r>
    </w:p>
    <w:p>
      <w:pPr>
        <w:spacing w:after="0" w:line="219" w:lineRule="exact"/>
        <w:rPr>
          <w:rFonts w:ascii="Arial" w:cs="Arial" w:eastAsia="Arial" w:hAnsi="Arial"/>
          <w:sz w:val="16"/>
          <w:szCs w:val="16"/>
          <w:color w:val="auto"/>
        </w:rPr>
      </w:pPr>
    </w:p>
    <w:p>
      <w:pPr>
        <w:ind w:right="20" w:firstLine="575"/>
        <w:spacing w:after="0" w:line="270" w:lineRule="auto"/>
        <w:tabs>
          <w:tab w:leader="none" w:pos="1373" w:val="left"/>
        </w:tabs>
        <w:numPr>
          <w:ilvl w:val="0"/>
          <w:numId w:val="10"/>
        </w:numPr>
        <w:rPr>
          <w:rFonts w:ascii="Arial" w:cs="Arial" w:eastAsia="Arial" w:hAnsi="Arial"/>
          <w:sz w:val="16"/>
          <w:szCs w:val="16"/>
          <w:color w:val="auto"/>
        </w:rPr>
      </w:pPr>
      <w:r>
        <w:rPr>
          <w:rFonts w:ascii="Arial" w:cs="Arial" w:eastAsia="Arial" w:hAnsi="Arial"/>
          <w:sz w:val="16"/>
          <w:szCs w:val="16"/>
          <w:color w:val="auto"/>
        </w:rPr>
        <w:t>“Option” means a right granted to a Participant under Article 7 of the Plan to purchase Stock at a specified price during specified time periods. An Option may be either an Incentive Stock Option or a Nonstatutory Stock Option.</w:t>
      </w:r>
    </w:p>
    <w:p>
      <w:pPr>
        <w:spacing w:after="0" w:line="179" w:lineRule="exact"/>
        <w:rPr>
          <w:rFonts w:ascii="Arial" w:cs="Arial" w:eastAsia="Arial" w:hAnsi="Arial"/>
          <w:sz w:val="16"/>
          <w:szCs w:val="16"/>
          <w:color w:val="auto"/>
        </w:rPr>
      </w:pPr>
    </w:p>
    <w:p>
      <w:pPr>
        <w:ind w:left="1360" w:hanging="785"/>
        <w:spacing w:after="0"/>
        <w:tabs>
          <w:tab w:leader="none" w:pos="13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“Other Stock-Based Award” means a right, granted to a Participant under Article 13 that relates to or is valued by reference to Stock or other Awards</w:t>
      </w:r>
    </w:p>
    <w:p>
      <w:pPr>
        <w:spacing w:after="0" w:line="40"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relating to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499745</wp:posOffset>
            </wp:positionV>
            <wp:extent cx="7268210" cy="20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0880"/>
          </w:cols>
          <w:pgMar w:left="800" w:top="471" w:right="219" w:bottom="1440" w:gutter="0" w:footer="0" w:header="0"/>
        </w:sectPr>
      </w:pPr>
    </w:p>
    <w:bookmarkStart w:id="11" w:name="page12"/>
    <w:bookmarkEnd w:id="11"/>
    <w:p>
      <w:pPr>
        <w:jc w:val="both"/>
        <w:ind w:right="20" w:firstLine="575"/>
        <w:spacing w:after="0" w:line="259" w:lineRule="auto"/>
        <w:tabs>
          <w:tab w:leader="none" w:pos="1368" w:val="left"/>
        </w:tabs>
        <w:numPr>
          <w:ilvl w:val="0"/>
          <w:numId w:val="11"/>
        </w:numPr>
        <w:rPr>
          <w:rFonts w:ascii="Arial" w:cs="Arial" w:eastAsia="Arial" w:hAnsi="Arial"/>
          <w:sz w:val="16"/>
          <w:szCs w:val="16"/>
          <w:color w:val="auto"/>
        </w:rPr>
      </w:pPr>
      <w:r>
        <w:rPr>
          <w:rFonts w:ascii="Arial" w:cs="Arial" w:eastAsia="Arial" w:hAnsi="Arial"/>
          <w:sz w:val="16"/>
          <w:szCs w:val="16"/>
          <w:color w:val="auto"/>
        </w:rPr>
        <w:t>“Parent” means a corporation, limited liability company, partnership or other entity which owns or beneficially owns a majority of the outstanding voting stock or voting power of the Company. Notwithstanding the above, with respect to an Incentive Stock Option, Parent shall have the meaning set forth in Section 424(e) of the Code.</w:t>
      </w:r>
    </w:p>
    <w:p>
      <w:pPr>
        <w:spacing w:after="0" w:line="188" w:lineRule="exact"/>
        <w:rPr>
          <w:rFonts w:ascii="Arial" w:cs="Arial" w:eastAsia="Arial" w:hAnsi="Arial"/>
          <w:sz w:val="16"/>
          <w:szCs w:val="16"/>
          <w:color w:val="auto"/>
        </w:rPr>
      </w:pPr>
    </w:p>
    <w:p>
      <w:pPr>
        <w:jc w:val="both"/>
        <w:ind w:firstLine="575"/>
        <w:spacing w:after="0" w:line="284" w:lineRule="auto"/>
        <w:tabs>
          <w:tab w:leader="none" w:pos="1337" w:val="left"/>
        </w:tabs>
        <w:numPr>
          <w:ilvl w:val="0"/>
          <w:numId w:val="11"/>
        </w:numPr>
        <w:rPr>
          <w:rFonts w:ascii="Arial" w:cs="Arial" w:eastAsia="Arial" w:hAnsi="Arial"/>
          <w:sz w:val="15"/>
          <w:szCs w:val="15"/>
          <w:color w:val="auto"/>
        </w:rPr>
      </w:pPr>
      <w:r>
        <w:rPr>
          <w:rFonts w:ascii="Arial" w:cs="Arial" w:eastAsia="Arial" w:hAnsi="Arial"/>
          <w:sz w:val="15"/>
          <w:szCs w:val="15"/>
          <w:color w:val="auto"/>
        </w:rPr>
        <w:t>“Participant” means a person who, as an employee, officer, director or consultant of the Company or any Affiliate, has been granted an Award under the Plan; provided that in the case of the death of a Participant, the term “Participant” refers to a beneficiary designated pursuant to Section 14.5 or the legal guardian or other legal representative acting in a fiduciary capacity on behalf of the Participant under applicable state law and court supervision.</w:t>
      </w:r>
    </w:p>
    <w:p>
      <w:pPr>
        <w:spacing w:after="0" w:line="172" w:lineRule="exact"/>
        <w:rPr>
          <w:sz w:val="20"/>
          <w:szCs w:val="20"/>
          <w:color w:val="auto"/>
        </w:rPr>
      </w:pPr>
    </w:p>
    <w:p>
      <w:pPr>
        <w:ind w:firstLine="575"/>
        <w:spacing w:after="0" w:line="270" w:lineRule="auto"/>
        <w:tabs>
          <w:tab w:leader="none" w:pos="12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“Performance Share” means any right granted to a Participant under Article 9 to a unit to be valued by reference to a designated number of Shares to be paid upon achievement of such performance goals as the Committee establishes with regard to such Performance Share.</w:t>
      </w:r>
    </w:p>
    <w:p>
      <w:pPr>
        <w:spacing w:after="0" w:line="179" w:lineRule="exact"/>
        <w:rPr>
          <w:rFonts w:ascii="Arial" w:cs="Arial" w:eastAsia="Arial" w:hAnsi="Arial"/>
          <w:sz w:val="16"/>
          <w:szCs w:val="16"/>
          <w:color w:val="auto"/>
        </w:rPr>
      </w:pPr>
    </w:p>
    <w:p>
      <w:pPr>
        <w:ind w:left="1340" w:hanging="765"/>
        <w:spacing w:after="0"/>
        <w:tabs>
          <w:tab w:leader="none" w:pos="1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“Person” means any individual, entity or group, within the meaning of Section 3(a)(9) of the 1934 Act and as used in Section 13(d)(3) or 14(d)(2) of</w:t>
      </w:r>
    </w:p>
    <w:p>
      <w:pPr>
        <w:spacing w:after="0" w:line="40"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the 1934 Act.</w:t>
      </w:r>
    </w:p>
    <w:p>
      <w:pPr>
        <w:spacing w:after="0" w:line="208" w:lineRule="exact"/>
        <w:rPr>
          <w:rFonts w:ascii="Arial" w:cs="Arial" w:eastAsia="Arial" w:hAnsi="Arial"/>
          <w:sz w:val="14"/>
          <w:szCs w:val="14"/>
          <w:color w:val="auto"/>
        </w:rPr>
      </w:pPr>
    </w:p>
    <w:p>
      <w:pPr>
        <w:ind w:left="1260" w:hanging="685"/>
        <w:spacing w:after="0"/>
        <w:tabs>
          <w:tab w:leader="none" w:pos="1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“Plan” means the Micron Technology, Inc. 2004 Equity Incentive Plan, as amended from time to time.</w:t>
      </w:r>
    </w:p>
    <w:p>
      <w:pPr>
        <w:spacing w:after="0" w:line="219" w:lineRule="exact"/>
        <w:rPr>
          <w:rFonts w:ascii="Arial" w:cs="Arial" w:eastAsia="Arial" w:hAnsi="Arial"/>
          <w:sz w:val="16"/>
          <w:szCs w:val="16"/>
          <w:color w:val="auto"/>
        </w:rPr>
      </w:pPr>
    </w:p>
    <w:p>
      <w:pPr>
        <w:ind w:right="20" w:firstLine="575"/>
        <w:spacing w:after="0" w:line="270" w:lineRule="auto"/>
        <w:tabs>
          <w:tab w:leader="none" w:pos="1351" w:val="left"/>
        </w:tabs>
        <w:numPr>
          <w:ilvl w:val="0"/>
          <w:numId w:val="12"/>
        </w:numPr>
        <w:rPr>
          <w:rFonts w:ascii="Arial" w:cs="Arial" w:eastAsia="Arial" w:hAnsi="Arial"/>
          <w:sz w:val="16"/>
          <w:szCs w:val="16"/>
          <w:color w:val="auto"/>
        </w:rPr>
      </w:pPr>
      <w:r>
        <w:rPr>
          <w:rFonts w:ascii="Arial" w:cs="Arial" w:eastAsia="Arial" w:hAnsi="Arial"/>
          <w:sz w:val="16"/>
          <w:szCs w:val="16"/>
          <w:color w:val="auto"/>
        </w:rPr>
        <w:t>“Public Offering” shall occur on closing date of a public offering of any class or series of the Company’s equity securities pursuant to a registration statement filed by the Company under the 1933 Act.</w:t>
      </w:r>
    </w:p>
    <w:p>
      <w:pPr>
        <w:spacing w:after="0" w:line="179" w:lineRule="exact"/>
        <w:rPr>
          <w:rFonts w:ascii="Arial" w:cs="Arial" w:eastAsia="Arial" w:hAnsi="Arial"/>
          <w:sz w:val="16"/>
          <w:szCs w:val="16"/>
          <w:color w:val="auto"/>
        </w:rPr>
      </w:pPr>
    </w:p>
    <w:p>
      <w:pPr>
        <w:ind w:right="20" w:firstLine="575"/>
        <w:spacing w:after="0" w:line="270" w:lineRule="auto"/>
        <w:tabs>
          <w:tab w:leader="none" w:pos="1324" w:val="left"/>
        </w:tabs>
        <w:numPr>
          <w:ilvl w:val="0"/>
          <w:numId w:val="12"/>
        </w:numPr>
        <w:rPr>
          <w:rFonts w:ascii="Arial" w:cs="Arial" w:eastAsia="Arial" w:hAnsi="Arial"/>
          <w:sz w:val="16"/>
          <w:szCs w:val="16"/>
          <w:color w:val="auto"/>
        </w:rPr>
      </w:pPr>
      <w:r>
        <w:rPr>
          <w:rFonts w:ascii="Arial" w:cs="Arial" w:eastAsia="Arial" w:hAnsi="Arial"/>
          <w:sz w:val="16"/>
          <w:szCs w:val="16"/>
          <w:color w:val="auto"/>
        </w:rPr>
        <w:t>“Qualified Performance-Based Award” means an Award that is either (i) intended to qualify for the Section 162(m) Exemption and is made subject to performance goals based on Qualified Business Criteria as set forth in Section 14.10(b), or (ii) an Option or SAR.</w:t>
      </w:r>
    </w:p>
    <w:p>
      <w:pPr>
        <w:spacing w:after="0" w:line="179" w:lineRule="exact"/>
        <w:rPr>
          <w:rFonts w:ascii="Arial" w:cs="Arial" w:eastAsia="Arial" w:hAnsi="Arial"/>
          <w:sz w:val="16"/>
          <w:szCs w:val="16"/>
          <w:color w:val="auto"/>
        </w:rPr>
      </w:pPr>
    </w:p>
    <w:p>
      <w:pPr>
        <w:ind w:right="20" w:firstLine="575"/>
        <w:spacing w:after="0" w:line="270" w:lineRule="auto"/>
        <w:tabs>
          <w:tab w:leader="none" w:pos="1526" w:val="left"/>
        </w:tabs>
        <w:numPr>
          <w:ilvl w:val="0"/>
          <w:numId w:val="12"/>
        </w:numPr>
        <w:rPr>
          <w:rFonts w:ascii="Arial" w:cs="Arial" w:eastAsia="Arial" w:hAnsi="Arial"/>
          <w:sz w:val="16"/>
          <w:szCs w:val="16"/>
          <w:color w:val="auto"/>
        </w:rPr>
      </w:pPr>
      <w:r>
        <w:rPr>
          <w:rFonts w:ascii="Arial" w:cs="Arial" w:eastAsia="Arial" w:hAnsi="Arial"/>
          <w:sz w:val="16"/>
          <w:szCs w:val="16"/>
          <w:color w:val="auto"/>
        </w:rPr>
        <w:t>“Qualified Business Criteria” means one or more of the Business Criteria listed in Section 14.10(b) upon which performance goals for certain Qualified Performance-Based Awards may be established by the Committee.</w:t>
      </w:r>
    </w:p>
    <w:p>
      <w:pPr>
        <w:spacing w:after="0" w:line="179" w:lineRule="exact"/>
        <w:rPr>
          <w:rFonts w:ascii="Arial" w:cs="Arial" w:eastAsia="Arial" w:hAnsi="Arial"/>
          <w:sz w:val="16"/>
          <w:szCs w:val="16"/>
          <w:color w:val="auto"/>
        </w:rPr>
      </w:pPr>
    </w:p>
    <w:p>
      <w:pPr>
        <w:ind w:left="1280" w:hanging="705"/>
        <w:spacing w:after="0"/>
        <w:tabs>
          <w:tab w:leader="none" w:pos="12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“Restricted Stock Award” means Stock granted to a Participant under Article 10 that is subject to certain restrictions and to risk of forfeiture.</w:t>
      </w:r>
    </w:p>
    <w:p>
      <w:pPr>
        <w:spacing w:after="0" w:line="231" w:lineRule="exact"/>
        <w:rPr>
          <w:rFonts w:ascii="Arial" w:cs="Arial" w:eastAsia="Arial" w:hAnsi="Arial"/>
          <w:sz w:val="15"/>
          <w:szCs w:val="15"/>
          <w:color w:val="auto"/>
        </w:rPr>
      </w:pPr>
    </w:p>
    <w:p>
      <w:pPr>
        <w:ind w:right="20" w:firstLine="575"/>
        <w:spacing w:after="0" w:line="270" w:lineRule="auto"/>
        <w:tabs>
          <w:tab w:leader="none" w:pos="13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“Restricted Stock Unit Award” means the right granted to a Participant under Article 10 to receive shares of Stock (or the equivalent value in cash or other property if the Committee so provides) in the future, which right is subject to certain restrictions and to risk of forfeiture.</w:t>
      </w:r>
    </w:p>
    <w:p>
      <w:pPr>
        <w:spacing w:after="0" w:line="179" w:lineRule="exact"/>
        <w:rPr>
          <w:rFonts w:ascii="Arial" w:cs="Arial" w:eastAsia="Arial" w:hAnsi="Arial"/>
          <w:sz w:val="16"/>
          <w:szCs w:val="16"/>
          <w:color w:val="auto"/>
        </w:rPr>
      </w:pPr>
    </w:p>
    <w:p>
      <w:pPr>
        <w:ind w:right="20" w:firstLine="575"/>
        <w:spacing w:after="0" w:line="270" w:lineRule="auto"/>
        <w:tabs>
          <w:tab w:leader="none" w:pos="1438" w:val="left"/>
        </w:tabs>
        <w:numPr>
          <w:ilvl w:val="0"/>
          <w:numId w:val="12"/>
        </w:numPr>
        <w:rPr>
          <w:rFonts w:ascii="Arial" w:cs="Arial" w:eastAsia="Arial" w:hAnsi="Arial"/>
          <w:sz w:val="16"/>
          <w:szCs w:val="16"/>
          <w:color w:val="auto"/>
        </w:rPr>
      </w:pPr>
      <w:r>
        <w:rPr>
          <w:rFonts w:ascii="Arial" w:cs="Arial" w:eastAsia="Arial" w:hAnsi="Arial"/>
          <w:sz w:val="16"/>
          <w:szCs w:val="16"/>
          <w:color w:val="auto"/>
        </w:rPr>
        <w:t>“Section 162(m) Exemption” means the exemption from the limitation on deductibility imposed by Section 162(m) of the Code that is set forth in Section 162(m)(4)(C) of the Code or any successor provision thereto.</w:t>
      </w:r>
    </w:p>
    <w:p>
      <w:pPr>
        <w:spacing w:after="0" w:line="179" w:lineRule="exact"/>
        <w:rPr>
          <w:rFonts w:ascii="Arial" w:cs="Arial" w:eastAsia="Arial" w:hAnsi="Arial"/>
          <w:sz w:val="16"/>
          <w:szCs w:val="16"/>
          <w:color w:val="auto"/>
        </w:rPr>
      </w:pPr>
    </w:p>
    <w:p>
      <w:pPr>
        <w:ind w:right="20" w:firstLine="575"/>
        <w:spacing w:after="0" w:line="304" w:lineRule="auto"/>
        <w:tabs>
          <w:tab w:leader="none" w:pos="1362" w:val="left"/>
        </w:tabs>
        <w:numPr>
          <w:ilvl w:val="0"/>
          <w:numId w:val="12"/>
        </w:numPr>
        <w:rPr>
          <w:rFonts w:ascii="Arial" w:cs="Arial" w:eastAsia="Arial" w:hAnsi="Arial"/>
          <w:sz w:val="15"/>
          <w:szCs w:val="15"/>
          <w:color w:val="auto"/>
        </w:rPr>
      </w:pPr>
      <w:r>
        <w:rPr>
          <w:rFonts w:ascii="Arial" w:cs="Arial" w:eastAsia="Arial" w:hAnsi="Arial"/>
          <w:sz w:val="15"/>
          <w:szCs w:val="15"/>
          <w:color w:val="auto"/>
        </w:rPr>
        <w:t>“Shares” means shares of the Company’s Stock. If there has been an adjustment or substitution pursuant to Section 15.1, the term “Shares” shall also include any shares of stock or other securities that are substituted for Shares or into which Shares are adjusted pursuant to Section 15.1.</w:t>
      </w:r>
    </w:p>
    <w:p>
      <w:pPr>
        <w:spacing w:after="0" w:line="156" w:lineRule="exact"/>
        <w:rPr>
          <w:rFonts w:ascii="Arial" w:cs="Arial" w:eastAsia="Arial" w:hAnsi="Arial"/>
          <w:sz w:val="15"/>
          <w:szCs w:val="15"/>
          <w:color w:val="auto"/>
        </w:rPr>
      </w:pPr>
    </w:p>
    <w:p>
      <w:pPr>
        <w:ind w:left="1360" w:hanging="785"/>
        <w:spacing w:after="0"/>
        <w:tabs>
          <w:tab w:leader="none" w:pos="13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“Stock” means the $.10 par value common stock of the Company and such other securities of the Company as may be substituted for Stock pursuant</w:t>
      </w:r>
    </w:p>
    <w:p>
      <w:pPr>
        <w:spacing w:after="0" w:line="40"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to Article 15.</w:t>
      </w:r>
    </w:p>
    <w:p>
      <w:pPr>
        <w:spacing w:after="0" w:line="208" w:lineRule="exact"/>
        <w:rPr>
          <w:rFonts w:ascii="Arial" w:cs="Arial" w:eastAsia="Arial" w:hAnsi="Arial"/>
          <w:sz w:val="14"/>
          <w:szCs w:val="14"/>
          <w:color w:val="auto"/>
        </w:rPr>
      </w:pPr>
    </w:p>
    <w:p>
      <w:pPr>
        <w:ind w:firstLine="575"/>
        <w:spacing w:after="0" w:line="270" w:lineRule="auto"/>
        <w:tabs>
          <w:tab w:leader="none" w:pos="1361" w:val="left"/>
        </w:tabs>
        <w:numPr>
          <w:ilvl w:val="0"/>
          <w:numId w:val="12"/>
        </w:numPr>
        <w:rPr>
          <w:rFonts w:ascii="Arial" w:cs="Arial" w:eastAsia="Arial" w:hAnsi="Arial"/>
          <w:sz w:val="16"/>
          <w:szCs w:val="16"/>
          <w:color w:val="auto"/>
        </w:rPr>
      </w:pPr>
      <w:r>
        <w:rPr>
          <w:rFonts w:ascii="Arial" w:cs="Arial" w:eastAsia="Arial" w:hAnsi="Arial"/>
          <w:sz w:val="16"/>
          <w:szCs w:val="16"/>
          <w:color w:val="auto"/>
        </w:rPr>
        <w:t>“Stock Appreciation Right” or “SAR” means a right granted to a Participant under Article 8 to receive a payment equal to the difference between the Fair Market Value of a Share as of the date of exercise of the SAR over the base price of the SAR, all as determined pursuant to Article 8.</w:t>
      </w:r>
    </w:p>
    <w:p>
      <w:pPr>
        <w:spacing w:after="0" w:line="179" w:lineRule="exact"/>
        <w:rPr>
          <w:rFonts w:ascii="Arial" w:cs="Arial" w:eastAsia="Arial" w:hAnsi="Arial"/>
          <w:sz w:val="16"/>
          <w:szCs w:val="16"/>
          <w:color w:val="auto"/>
        </w:rPr>
      </w:pPr>
    </w:p>
    <w:p>
      <w:pPr>
        <w:jc w:val="both"/>
        <w:ind w:right="20" w:firstLine="575"/>
        <w:spacing w:after="0" w:line="259" w:lineRule="auto"/>
        <w:tabs>
          <w:tab w:leader="none" w:pos="1448" w:val="left"/>
        </w:tabs>
        <w:numPr>
          <w:ilvl w:val="0"/>
          <w:numId w:val="12"/>
        </w:numPr>
        <w:rPr>
          <w:rFonts w:ascii="Arial" w:cs="Arial" w:eastAsia="Arial" w:hAnsi="Arial"/>
          <w:sz w:val="16"/>
          <w:szCs w:val="16"/>
          <w:color w:val="auto"/>
        </w:rPr>
      </w:pPr>
      <w:r>
        <w:rPr>
          <w:rFonts w:ascii="Arial" w:cs="Arial" w:eastAsia="Arial" w:hAnsi="Arial"/>
          <w:sz w:val="16"/>
          <w:szCs w:val="16"/>
          <w:color w:val="auto"/>
        </w:rPr>
        <w:t>“Subsidiary” means any corporation, limited liability company, partnership or other entity of which a majority of the outstanding voting stock or voting power is beneficially owned directly or indirectly by the Company. Notwithstanding the above, with respect to an Incentive Stock Option, Subsidiary shall have the meaning set forth in Section 424(f) of the Code.</w:t>
      </w:r>
    </w:p>
    <w:p>
      <w:pPr>
        <w:spacing w:after="0" w:line="188" w:lineRule="exact"/>
        <w:rPr>
          <w:rFonts w:ascii="Arial" w:cs="Arial" w:eastAsia="Arial" w:hAnsi="Arial"/>
          <w:sz w:val="16"/>
          <w:szCs w:val="16"/>
          <w:color w:val="auto"/>
        </w:rPr>
      </w:pPr>
    </w:p>
    <w:p>
      <w:pPr>
        <w:ind w:left="1280" w:hanging="705"/>
        <w:spacing w:after="0"/>
        <w:tabs>
          <w:tab w:leader="none" w:pos="12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“1933 Act” means the Securities Act of 1933, as amended from time to time.</w:t>
      </w:r>
    </w:p>
    <w:p>
      <w:pPr>
        <w:spacing w:after="0" w:line="219" w:lineRule="exact"/>
        <w:rPr>
          <w:rFonts w:ascii="Arial" w:cs="Arial" w:eastAsia="Arial" w:hAnsi="Arial"/>
          <w:sz w:val="16"/>
          <w:szCs w:val="16"/>
          <w:color w:val="auto"/>
        </w:rPr>
      </w:pPr>
    </w:p>
    <w:p>
      <w:pPr>
        <w:ind w:left="1280" w:hanging="705"/>
        <w:spacing w:after="0"/>
        <w:tabs>
          <w:tab w:leader="none" w:pos="12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“1934 Act” means the Securities Exchange Act of 1934, as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506730</wp:posOffset>
            </wp:positionV>
            <wp:extent cx="7268210" cy="20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0880"/>
          </w:cols>
          <w:pgMar w:left="800" w:top="471" w:right="219" w:bottom="1440" w:gutter="0" w:footer="0" w:header="0"/>
        </w:sectPr>
      </w:pPr>
    </w:p>
    <w:bookmarkStart w:id="12" w:name="page13"/>
    <w:bookmarkEnd w:id="12"/>
    <w:p>
      <w:pPr>
        <w:jc w:val="center"/>
        <w:spacing w:after="0"/>
        <w:rPr>
          <w:sz w:val="20"/>
          <w:szCs w:val="20"/>
          <w:color w:val="auto"/>
        </w:rPr>
      </w:pPr>
      <w:r>
        <w:rPr>
          <w:rFonts w:ascii="Arial" w:cs="Arial" w:eastAsia="Arial" w:hAnsi="Arial"/>
          <w:sz w:val="16"/>
          <w:szCs w:val="16"/>
          <w:b w:val="1"/>
          <w:bCs w:val="1"/>
          <w:color w:val="auto"/>
        </w:rPr>
        <w:t>ARTICLE 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EFFECTIVE TERM OF PLAN</w:t>
      </w:r>
    </w:p>
    <w:p>
      <w:pPr>
        <w:spacing w:after="0" w:line="209" w:lineRule="exact"/>
        <w:rPr>
          <w:sz w:val="20"/>
          <w:szCs w:val="20"/>
          <w:color w:val="auto"/>
        </w:rPr>
      </w:pPr>
    </w:p>
    <w:p>
      <w:pPr>
        <w:ind w:left="560"/>
        <w:spacing w:after="0"/>
        <w:rPr>
          <w:sz w:val="20"/>
          <w:szCs w:val="20"/>
          <w:color w:val="auto"/>
        </w:rPr>
      </w:pPr>
      <w:r>
        <w:rPr>
          <w:rFonts w:ascii="Arial" w:cs="Arial" w:eastAsia="Arial" w:hAnsi="Arial"/>
          <w:sz w:val="15"/>
          <w:szCs w:val="15"/>
          <w:color w:val="auto"/>
        </w:rPr>
        <w:t xml:space="preserve">3.1. </w:t>
      </w:r>
      <w:r>
        <w:rPr>
          <w:rFonts w:ascii="Arial" w:cs="Arial" w:eastAsia="Arial" w:hAnsi="Arial"/>
          <w:sz w:val="15"/>
          <w:szCs w:val="15"/>
          <w:i w:val="1"/>
          <w:iCs w:val="1"/>
          <w:color w:val="auto"/>
        </w:rPr>
        <w:t>EFFECTIVE DATE.</w:t>
      </w:r>
      <w:r>
        <w:rPr>
          <w:rFonts w:ascii="Arial" w:cs="Arial" w:eastAsia="Arial" w:hAnsi="Arial"/>
          <w:sz w:val="15"/>
          <w:szCs w:val="15"/>
          <w:color w:val="auto"/>
        </w:rPr>
        <w:t xml:space="preserve"> The Plan shall be effective as of the date it is approved by both the Board and the stockholders of the Company (the “Effective Date”).</w:t>
      </w:r>
    </w:p>
    <w:p>
      <w:pPr>
        <w:spacing w:after="0" w:line="231" w:lineRule="exact"/>
        <w:rPr>
          <w:sz w:val="20"/>
          <w:szCs w:val="20"/>
          <w:color w:val="auto"/>
        </w:rPr>
      </w:pPr>
    </w:p>
    <w:p>
      <w:pPr>
        <w:jc w:val="both"/>
        <w:ind w:right="20" w:firstLine="570"/>
        <w:spacing w:after="0" w:line="270"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i w:val="1"/>
          <w:iCs w:val="1"/>
          <w:color w:val="auto"/>
        </w:rPr>
        <w:t>TERMINATION OF PLAN.</w:t>
      </w:r>
      <w:r>
        <w:rPr>
          <w:rFonts w:ascii="Arial" w:cs="Arial" w:eastAsia="Arial" w:hAnsi="Arial"/>
          <w:sz w:val="16"/>
          <w:szCs w:val="16"/>
          <w:color w:val="auto"/>
        </w:rPr>
        <w:t xml:space="preserve"> The Plan shall terminate on the tenth anniversary of the Effective Date unless earlier terminated as provided herein. The termination of the Plan on such date shall not affect the validity of any Award outstanding on the date of termination.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ADMINISTRATION</w:t>
      </w:r>
    </w:p>
    <w:p>
      <w:pPr>
        <w:spacing w:after="0" w:line="209" w:lineRule="exact"/>
        <w:rPr>
          <w:sz w:val="20"/>
          <w:szCs w:val="20"/>
          <w:color w:val="auto"/>
        </w:rPr>
      </w:pPr>
    </w:p>
    <w:p>
      <w:pPr>
        <w:jc w:val="both"/>
        <w:ind w:firstLine="570"/>
        <w:spacing w:after="0" w:line="289" w:lineRule="auto"/>
        <w:rPr>
          <w:sz w:val="20"/>
          <w:szCs w:val="20"/>
          <w:color w:val="auto"/>
        </w:rPr>
      </w:pPr>
      <w:r>
        <w:rPr>
          <w:rFonts w:ascii="Arial" w:cs="Arial" w:eastAsia="Arial" w:hAnsi="Arial"/>
          <w:sz w:val="14"/>
          <w:szCs w:val="14"/>
          <w:color w:val="auto"/>
        </w:rPr>
        <w:t xml:space="preserve">4.1. </w:t>
      </w:r>
      <w:r>
        <w:rPr>
          <w:rFonts w:ascii="Arial" w:cs="Arial" w:eastAsia="Arial" w:hAnsi="Arial"/>
          <w:sz w:val="14"/>
          <w:szCs w:val="14"/>
          <w:i w:val="1"/>
          <w:iCs w:val="1"/>
          <w:color w:val="auto"/>
        </w:rPr>
        <w:t>COMMITTEE.</w:t>
      </w:r>
      <w:r>
        <w:rPr>
          <w:rFonts w:ascii="Arial" w:cs="Arial" w:eastAsia="Arial" w:hAnsi="Arial"/>
          <w:sz w:val="14"/>
          <w:szCs w:val="14"/>
          <w:color w:val="auto"/>
        </w:rPr>
        <w:t xml:space="preserve"> The Plan shall be administered by a Committee appointed by the Board (which Committee shall consist of at least two directors) or, at the discretion of the Board from time to time, the Plan may be administered by the Board. It is intended that at least two of the directors appointed to serve on the Committee shall be “non-employee directors” (within the meaning of Rule 16b-3 promulgated under the 1934 Act) and “outside directors” (within the meaning of Code Section 162(m)) and that any such members of the Committee who do not so qualify shall abstain from participating in any decision to make or administer Awards that are made to Eligible Participants who at the time of consideration for such Award (i) are persons subject to the short-swing profit rules of Section 16 of the 1934 Act, or (ii) are reasonably anticipated to become Covered Employees during the term of the Award. However, the mere fact that a Committee member shall fail to qualify under either of the foregoing requirements or shall fail to abstain from such action shall not invalidate any Award made by the Committee which Award is otherwise validly made under the Plan. The members of the Committee shall be appointed by, and may be changed at any time and from time to time in the discretion of, the Board. The Board may reserve to itself any or all of the authority and responsibility of the Committee under the Plan or may act as administrator of the Plan for any and all purposes. To the extent the Board has reserved any authority and responsibility or during any time that the Board is acting as administrator of the Plan, it shall have all the powers of the Committee hereunder, and any reference herein to the Committee (other than in this Section 4.1) shall include the Board. To the extent any action of the Board under the Plan conflicts with actions taken by the Committee, the actions of the Board shall control.</w:t>
      </w:r>
    </w:p>
    <w:p>
      <w:pPr>
        <w:spacing w:after="0" w:line="172" w:lineRule="exact"/>
        <w:rPr>
          <w:sz w:val="20"/>
          <w:szCs w:val="20"/>
          <w:color w:val="auto"/>
        </w:rPr>
      </w:pPr>
    </w:p>
    <w:p>
      <w:pPr>
        <w:jc w:val="both"/>
        <w:ind w:firstLine="570"/>
        <w:spacing w:after="0" w:line="295" w:lineRule="auto"/>
        <w:rPr>
          <w:sz w:val="20"/>
          <w:szCs w:val="20"/>
          <w:color w:val="auto"/>
        </w:rPr>
      </w:pPr>
      <w:r>
        <w:rPr>
          <w:rFonts w:ascii="Arial" w:cs="Arial" w:eastAsia="Arial" w:hAnsi="Arial"/>
          <w:sz w:val="14"/>
          <w:szCs w:val="14"/>
          <w:color w:val="auto"/>
        </w:rPr>
        <w:t xml:space="preserve">4.2. </w:t>
      </w:r>
      <w:r>
        <w:rPr>
          <w:rFonts w:ascii="Arial" w:cs="Arial" w:eastAsia="Arial" w:hAnsi="Arial"/>
          <w:sz w:val="14"/>
          <w:szCs w:val="14"/>
          <w:i w:val="1"/>
          <w:iCs w:val="1"/>
          <w:color w:val="auto"/>
        </w:rPr>
        <w:t>ACTION AND INTERPRETATIONS BY THE COMMITTEE.</w:t>
      </w:r>
      <w:r>
        <w:rPr>
          <w:rFonts w:ascii="Arial" w:cs="Arial" w:eastAsia="Arial" w:hAnsi="Arial"/>
          <w:sz w:val="14"/>
          <w:szCs w:val="14"/>
          <w:color w:val="auto"/>
        </w:rPr>
        <w:t xml:space="preserve"> For purposes of administering the Plan, the Committee may from time to time adopt rules, regulations, guidelines and procedures for carrying out the provisions and purposes of the Plan and make such other determinations, not inconsistent with the Plan, as the Committee may deem appropriate. The Committee’s interpretation of the Plan, any Awards granted under the Plan, any Award Certificate and all decisions and determinations by the Committee with respect to the Plan are final, binding, and conclusive on all parties. Each member of the Committee is entitled to, in good faith, rely or act upon any report or other information furnished to that member by any officer or other employee of the Company or any Affiliate, the Company’s or an Affiliate’s independent certified public accountants, Company counsel or any executive compensation consultant or other professional retained by the Company to assist in the administration of the Plan.</w:t>
      </w:r>
    </w:p>
    <w:p>
      <w:pPr>
        <w:spacing w:after="0" w:line="16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i w:val="1"/>
          <w:iCs w:val="1"/>
          <w:color w:val="auto"/>
        </w:rPr>
        <w:t>AUTHORITY OF COMMITTEE.</w:t>
      </w:r>
      <w:r>
        <w:rPr>
          <w:rFonts w:ascii="Arial" w:cs="Arial" w:eastAsia="Arial" w:hAnsi="Arial"/>
          <w:sz w:val="16"/>
          <w:szCs w:val="16"/>
          <w:color w:val="auto"/>
        </w:rPr>
        <w:t xml:space="preserve"> Except as provided below, the Committee has the exclusive power, authority and discretion to:</w:t>
      </w:r>
    </w:p>
    <w:p>
      <w:pPr>
        <w:spacing w:after="0" w:line="220" w:lineRule="exact"/>
        <w:rPr>
          <w:sz w:val="20"/>
          <w:szCs w:val="20"/>
          <w:color w:val="auto"/>
        </w:rPr>
      </w:pPr>
    </w:p>
    <w:p>
      <w:pPr>
        <w:ind w:left="1740" w:hanging="605"/>
        <w:spacing w:after="0"/>
        <w:tabs>
          <w:tab w:leader="none" w:pos="17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Grant Awards;</w:t>
      </w:r>
    </w:p>
    <w:p>
      <w:pPr>
        <w:spacing w:after="0" w:line="219" w:lineRule="exact"/>
        <w:rPr>
          <w:rFonts w:ascii="Arial" w:cs="Arial" w:eastAsia="Arial" w:hAnsi="Arial"/>
          <w:sz w:val="16"/>
          <w:szCs w:val="16"/>
          <w:color w:val="auto"/>
        </w:rPr>
      </w:pPr>
    </w:p>
    <w:p>
      <w:pPr>
        <w:ind w:left="1760" w:hanging="625"/>
        <w:spacing w:after="0"/>
        <w:tabs>
          <w:tab w:leader="none" w:pos="17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Designate Participants;</w:t>
      </w:r>
    </w:p>
    <w:p>
      <w:pPr>
        <w:spacing w:after="0" w:line="219" w:lineRule="exact"/>
        <w:rPr>
          <w:rFonts w:ascii="Arial" w:cs="Arial" w:eastAsia="Arial" w:hAnsi="Arial"/>
          <w:sz w:val="16"/>
          <w:szCs w:val="16"/>
          <w:color w:val="auto"/>
        </w:rPr>
      </w:pPr>
    </w:p>
    <w:p>
      <w:pPr>
        <w:ind w:left="1740" w:hanging="605"/>
        <w:spacing w:after="0"/>
        <w:tabs>
          <w:tab w:leader="none" w:pos="17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Determine the type or types of Awards to be granted to each Participant;</w:t>
      </w:r>
    </w:p>
    <w:p>
      <w:pPr>
        <w:spacing w:after="0" w:line="219" w:lineRule="exact"/>
        <w:rPr>
          <w:rFonts w:ascii="Arial" w:cs="Arial" w:eastAsia="Arial" w:hAnsi="Arial"/>
          <w:sz w:val="16"/>
          <w:szCs w:val="16"/>
          <w:color w:val="auto"/>
        </w:rPr>
      </w:pPr>
    </w:p>
    <w:p>
      <w:pPr>
        <w:ind w:left="1760" w:hanging="625"/>
        <w:spacing w:after="0"/>
        <w:tabs>
          <w:tab w:leader="none" w:pos="17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Determine the number of Awards to be granted and the number of Shares or dollar amount to which an Award will relate;</w:t>
      </w:r>
    </w:p>
    <w:p>
      <w:pPr>
        <w:spacing w:after="0" w:line="219" w:lineRule="exact"/>
        <w:rPr>
          <w:rFonts w:ascii="Arial" w:cs="Arial" w:eastAsia="Arial" w:hAnsi="Arial"/>
          <w:sz w:val="16"/>
          <w:szCs w:val="16"/>
          <w:color w:val="auto"/>
        </w:rPr>
      </w:pPr>
    </w:p>
    <w:p>
      <w:pPr>
        <w:jc w:val="both"/>
        <w:ind w:left="560" w:right="20" w:firstLine="575"/>
        <w:spacing w:after="0" w:line="259" w:lineRule="auto"/>
        <w:tabs>
          <w:tab w:leader="none" w:pos="1782"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Determine the terms and conditions of any Award granted under the Plan, including but not limited to, the exercise price, base price, or purchase price, any restrictions or limitations on the Award, any schedule for lapse of forfeiture restrictions or restrictions on the exercisability of an Award, and accelerations or waivers thereof, based in each case on such considerations as the Committee in its sole discretion determines;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487045</wp:posOffset>
            </wp:positionV>
            <wp:extent cx="7268210" cy="20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467" w:right="219" w:bottom="1440" w:gutter="0" w:footer="0" w:header="0"/>
        </w:sectPr>
      </w:pPr>
    </w:p>
    <w:bookmarkStart w:id="13" w:name="page14"/>
    <w:bookmarkEnd w:id="13"/>
    <w:p>
      <w:pPr>
        <w:ind w:left="560" w:right="20" w:firstLine="575"/>
        <w:spacing w:after="0" w:line="270" w:lineRule="auto"/>
        <w:tabs>
          <w:tab w:leader="none" w:pos="1889" w:val="left"/>
        </w:tabs>
        <w:numPr>
          <w:ilvl w:val="0"/>
          <w:numId w:val="14"/>
        </w:numPr>
        <w:rPr>
          <w:rFonts w:ascii="Arial" w:cs="Arial" w:eastAsia="Arial" w:hAnsi="Arial"/>
          <w:sz w:val="16"/>
          <w:szCs w:val="16"/>
          <w:color w:val="auto"/>
        </w:rPr>
      </w:pPr>
      <w:r>
        <w:rPr>
          <w:rFonts w:ascii="Arial" w:cs="Arial" w:eastAsia="Arial" w:hAnsi="Arial"/>
          <w:sz w:val="16"/>
          <w:szCs w:val="16"/>
          <w:color w:val="auto"/>
        </w:rPr>
        <w:t>Accelerate the vesting, exercisability or lapse of restrictions of any outstanding Award, in accordance with Article 14, based in each case on such considerations as the Committee in its sole discretion determines;</w:t>
      </w:r>
    </w:p>
    <w:p>
      <w:pPr>
        <w:spacing w:after="0" w:line="179" w:lineRule="exact"/>
        <w:rPr>
          <w:rFonts w:ascii="Arial" w:cs="Arial" w:eastAsia="Arial" w:hAnsi="Arial"/>
          <w:sz w:val="16"/>
          <w:szCs w:val="16"/>
          <w:color w:val="auto"/>
        </w:rPr>
      </w:pPr>
    </w:p>
    <w:p>
      <w:pPr>
        <w:ind w:left="560" w:right="20" w:firstLine="575"/>
        <w:spacing w:after="0" w:line="270" w:lineRule="auto"/>
        <w:tabs>
          <w:tab w:leader="none" w:pos="1803"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Determine whether, to what extent, and under what circumstances an Award may be settled in, or the exercise price of an Award may be paid in, cash, Stock, other Awards, or other property, or an Award may be canceled, forfeited, or surrendered;</w:t>
      </w:r>
    </w:p>
    <w:p>
      <w:pPr>
        <w:spacing w:after="0" w:line="179" w:lineRule="exact"/>
        <w:rPr>
          <w:rFonts w:ascii="Arial" w:cs="Arial" w:eastAsia="Arial" w:hAnsi="Arial"/>
          <w:sz w:val="16"/>
          <w:szCs w:val="16"/>
          <w:color w:val="auto"/>
        </w:rPr>
      </w:pPr>
    </w:p>
    <w:p>
      <w:pPr>
        <w:ind w:left="1760" w:hanging="625"/>
        <w:spacing w:after="0"/>
        <w:tabs>
          <w:tab w:leader="none" w:pos="17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Prescribe the form of each Award Certificate, which need not be identical for each Participant;</w:t>
      </w:r>
    </w:p>
    <w:p>
      <w:pPr>
        <w:spacing w:after="0" w:line="219" w:lineRule="exact"/>
        <w:rPr>
          <w:rFonts w:ascii="Arial" w:cs="Arial" w:eastAsia="Arial" w:hAnsi="Arial"/>
          <w:sz w:val="16"/>
          <w:szCs w:val="16"/>
          <w:color w:val="auto"/>
        </w:rPr>
      </w:pPr>
    </w:p>
    <w:p>
      <w:pPr>
        <w:ind w:left="1720" w:hanging="585"/>
        <w:spacing w:after="0"/>
        <w:tabs>
          <w:tab w:leader="none" w:pos="17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Decide all other matters that must be determined in connection with an Award;</w:t>
      </w:r>
    </w:p>
    <w:p>
      <w:pPr>
        <w:spacing w:after="0" w:line="219" w:lineRule="exact"/>
        <w:rPr>
          <w:rFonts w:ascii="Arial" w:cs="Arial" w:eastAsia="Arial" w:hAnsi="Arial"/>
          <w:sz w:val="16"/>
          <w:szCs w:val="16"/>
          <w:color w:val="auto"/>
        </w:rPr>
      </w:pPr>
    </w:p>
    <w:p>
      <w:pPr>
        <w:ind w:left="1720" w:hanging="585"/>
        <w:spacing w:after="0"/>
        <w:tabs>
          <w:tab w:leader="none" w:pos="17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Establish, adopt or revise any rules, regulations, guidelines or procedures as it may deem necessary or advisable to administer the Plan;</w:t>
      </w:r>
    </w:p>
    <w:p>
      <w:pPr>
        <w:spacing w:after="0" w:line="219" w:lineRule="exact"/>
        <w:rPr>
          <w:rFonts w:ascii="Arial" w:cs="Arial" w:eastAsia="Arial" w:hAnsi="Arial"/>
          <w:sz w:val="16"/>
          <w:szCs w:val="16"/>
          <w:color w:val="auto"/>
        </w:rPr>
      </w:pPr>
    </w:p>
    <w:p>
      <w:pPr>
        <w:ind w:left="1840" w:hanging="705"/>
        <w:spacing w:after="0"/>
        <w:tabs>
          <w:tab w:leader="none" w:pos="18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Make all other decisions and determinations that may be required under the Plan or as the Committee deems necessary or advisable to administer the</w:t>
      </w:r>
    </w:p>
    <w:p>
      <w:pPr>
        <w:spacing w:after="0" w:line="40"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6"/>
          <w:szCs w:val="16"/>
          <w:color w:val="auto"/>
        </w:rPr>
        <w:t>Plan;</w:t>
      </w:r>
    </w:p>
    <w:p>
      <w:pPr>
        <w:spacing w:after="0" w:line="208" w:lineRule="exact"/>
        <w:rPr>
          <w:rFonts w:ascii="Arial" w:cs="Arial" w:eastAsia="Arial" w:hAnsi="Arial"/>
          <w:sz w:val="14"/>
          <w:szCs w:val="14"/>
          <w:color w:val="auto"/>
        </w:rPr>
      </w:pPr>
    </w:p>
    <w:p>
      <w:pPr>
        <w:ind w:left="1720" w:hanging="585"/>
        <w:spacing w:after="0"/>
        <w:tabs>
          <w:tab w:leader="none" w:pos="17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Amend the Plan or any Award Certificate as provided herein; and</w:t>
      </w:r>
    </w:p>
    <w:p>
      <w:pPr>
        <w:spacing w:after="0" w:line="219" w:lineRule="exact"/>
        <w:rPr>
          <w:rFonts w:ascii="Arial" w:cs="Arial" w:eastAsia="Arial" w:hAnsi="Arial"/>
          <w:sz w:val="16"/>
          <w:szCs w:val="16"/>
          <w:color w:val="auto"/>
        </w:rPr>
      </w:pPr>
    </w:p>
    <w:p>
      <w:pPr>
        <w:jc w:val="both"/>
        <w:ind w:left="560" w:right="20" w:firstLine="575"/>
        <w:spacing w:after="0" w:line="259" w:lineRule="auto"/>
        <w:tabs>
          <w:tab w:leader="none" w:pos="1789" w:val="left"/>
        </w:tabs>
        <w:numPr>
          <w:ilvl w:val="0"/>
          <w:numId w:val="14"/>
        </w:numPr>
        <w:rPr>
          <w:rFonts w:ascii="Arial" w:cs="Arial" w:eastAsia="Arial" w:hAnsi="Arial"/>
          <w:sz w:val="16"/>
          <w:szCs w:val="16"/>
          <w:color w:val="auto"/>
        </w:rPr>
      </w:pPr>
      <w:r>
        <w:rPr>
          <w:rFonts w:ascii="Arial" w:cs="Arial" w:eastAsia="Arial" w:hAnsi="Arial"/>
          <w:sz w:val="16"/>
          <w:szCs w:val="16"/>
          <w:color w:val="auto"/>
        </w:rPr>
        <w:t>Adopt such modifications, procedures, and subplans as may be necessary or desirable to comply with provisions of the laws of non-U.S. jurisdictions in which the Company or any Affiliate may operate, in order to assure the viability of the benefits of Awards granted to participants located in such other jurisdictions and to meet the objectives of the Plan.</w:t>
      </w:r>
    </w:p>
    <w:p>
      <w:pPr>
        <w:spacing w:after="0" w:line="188" w:lineRule="exact"/>
        <w:rPr>
          <w:sz w:val="20"/>
          <w:szCs w:val="20"/>
          <w:color w:val="auto"/>
        </w:rPr>
      </w:pPr>
    </w:p>
    <w:p>
      <w:pPr>
        <w:jc w:val="both"/>
        <w:ind w:right="20" w:firstLine="570"/>
        <w:spacing w:after="0" w:line="259" w:lineRule="auto"/>
        <w:rPr>
          <w:sz w:val="20"/>
          <w:szCs w:val="20"/>
          <w:color w:val="auto"/>
        </w:rPr>
      </w:pPr>
      <w:r>
        <w:rPr>
          <w:rFonts w:ascii="Arial" w:cs="Arial" w:eastAsia="Arial" w:hAnsi="Arial"/>
          <w:sz w:val="16"/>
          <w:szCs w:val="16"/>
          <w:color w:val="auto"/>
        </w:rPr>
        <w:t>Notwithstanding the foregoing, grants of Awards to Non-Employee Directors hereunder shall be made only in accordance with the terms, conditions and parameters of a plan, program or policy for the compensation of Non-Employee Directors as in effect from time to time, and the Committee may not make discretionary grants hereunder to Non-Employee Directors.</w:t>
      </w:r>
    </w:p>
    <w:p>
      <w:pPr>
        <w:spacing w:after="0" w:line="188" w:lineRule="exact"/>
        <w:rPr>
          <w:sz w:val="20"/>
          <w:szCs w:val="20"/>
          <w:color w:val="auto"/>
        </w:rPr>
      </w:pPr>
    </w:p>
    <w:p>
      <w:pPr>
        <w:jc w:val="both"/>
        <w:ind w:firstLine="570"/>
        <w:spacing w:after="0" w:line="251" w:lineRule="auto"/>
        <w:rPr>
          <w:sz w:val="20"/>
          <w:szCs w:val="20"/>
          <w:color w:val="auto"/>
        </w:rPr>
      </w:pPr>
      <w:r>
        <w:rPr>
          <w:rFonts w:ascii="Arial" w:cs="Arial" w:eastAsia="Arial" w:hAnsi="Arial"/>
          <w:sz w:val="16"/>
          <w:szCs w:val="16"/>
          <w:color w:val="auto"/>
        </w:rPr>
        <w:t>Notwithstanding the above, the Board or the Committee may, by resolution, expressly delegate to a special committee, consisting of one or more directors who are also officers of the Company, the authority, within specified parameters, to (i) designate officers, employees and/or consultants of the Company or any of its Affiliates to be recipients of Awards under the Plan, and (ii) to determine the number of such Awards to be received by any such Participants; provided, however, that such delegation of duties and responsibilities to an officer of the Company may not be made with respect to the grant of Awards to eligible participants (a) who are subject to Section 16(a) of the 1934 Act at the Grant Date, or (b) who as of the Grant Date are reasonably anticipated to be become Covered Employees during the term of the Award. The acts of such delegates shall be treated hereunder as acts of the Board and such delegates shall report regularly to the Board and the Compensation Committee regarding the delegated duties and responsibilities and any Awards so granted.</w:t>
      </w:r>
    </w:p>
    <w:p>
      <w:pPr>
        <w:spacing w:after="0" w:line="197" w:lineRule="exact"/>
        <w:rPr>
          <w:sz w:val="20"/>
          <w:szCs w:val="20"/>
          <w:color w:val="auto"/>
        </w:rPr>
      </w:pPr>
    </w:p>
    <w:p>
      <w:pPr>
        <w:jc w:val="both"/>
        <w:ind w:right="20" w:firstLine="570"/>
        <w:spacing w:after="0" w:line="270"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i w:val="1"/>
          <w:iCs w:val="1"/>
          <w:color w:val="auto"/>
        </w:rPr>
        <w:t>AWARD CERTIFICATES.</w:t>
      </w:r>
      <w:r>
        <w:rPr>
          <w:rFonts w:ascii="Arial" w:cs="Arial" w:eastAsia="Arial" w:hAnsi="Arial"/>
          <w:sz w:val="16"/>
          <w:szCs w:val="16"/>
          <w:color w:val="auto"/>
        </w:rPr>
        <w:t xml:space="preserve"> Each Award shall be evidenced by an Award Certificate. Each Award Certificate shall include such provisions, not inconsistent with the Plan, as may be specified by the Committee.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SHARES SUBJECT TO THE PLAN</w:t>
      </w:r>
    </w:p>
    <w:p>
      <w:pPr>
        <w:spacing w:after="0" w:line="209" w:lineRule="exact"/>
        <w:rPr>
          <w:sz w:val="20"/>
          <w:szCs w:val="20"/>
          <w:color w:val="auto"/>
        </w:rPr>
      </w:pPr>
    </w:p>
    <w:p>
      <w:pPr>
        <w:jc w:val="both"/>
        <w:ind w:firstLine="570"/>
        <w:spacing w:after="0" w:line="313" w:lineRule="auto"/>
        <w:rPr>
          <w:sz w:val="20"/>
          <w:szCs w:val="20"/>
          <w:color w:val="auto"/>
        </w:rPr>
      </w:pPr>
      <w:r>
        <w:rPr>
          <w:rFonts w:ascii="Arial" w:cs="Arial" w:eastAsia="Arial" w:hAnsi="Arial"/>
          <w:sz w:val="14"/>
          <w:szCs w:val="14"/>
          <w:color w:val="auto"/>
        </w:rPr>
        <w:t xml:space="preserve">5.1. </w:t>
      </w:r>
      <w:r>
        <w:rPr>
          <w:rFonts w:ascii="Arial" w:cs="Arial" w:eastAsia="Arial" w:hAnsi="Arial"/>
          <w:sz w:val="14"/>
          <w:szCs w:val="14"/>
          <w:i w:val="1"/>
          <w:iCs w:val="1"/>
          <w:color w:val="auto"/>
        </w:rPr>
        <w:t>NUMBER OF SHARES.</w:t>
      </w:r>
      <w:r>
        <w:rPr>
          <w:rFonts w:ascii="Arial" w:cs="Arial" w:eastAsia="Arial" w:hAnsi="Arial"/>
          <w:sz w:val="14"/>
          <w:szCs w:val="14"/>
          <w:color w:val="auto"/>
        </w:rPr>
        <w:t xml:space="preserve"> Subject to adjustment as provided in Sections 5.2 and 15.1, the aggregate number of Shares reserved and available for issuance pursuant to Awards granted under the Plan shall be 76,000,000; provided, however, that each Share issued under the Plan pursuant to a Full Value Award shall reduce the number of available Shares by two (2) shares. The maximum number of Shares that may be issued upon exercise of Incentive Stock Options granted under the Plan shall be 2,000,000.</w:t>
      </w:r>
    </w:p>
    <w:p>
      <w:pPr>
        <w:spacing w:after="0" w:line="154" w:lineRule="exact"/>
        <w:rPr>
          <w:sz w:val="20"/>
          <w:szCs w:val="20"/>
          <w:color w:val="auto"/>
        </w:rPr>
      </w:pPr>
    </w:p>
    <w:p>
      <w:pPr>
        <w:jc w:val="both"/>
        <w:ind w:right="20" w:firstLine="570"/>
        <w:spacing w:after="0" w:line="270"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i w:val="1"/>
          <w:iCs w:val="1"/>
          <w:color w:val="auto"/>
        </w:rPr>
        <w:t>SHARE COUNTING.</w:t>
      </w:r>
      <w:r>
        <w:rPr>
          <w:rFonts w:ascii="Arial" w:cs="Arial" w:eastAsia="Arial" w:hAnsi="Arial"/>
          <w:sz w:val="16"/>
          <w:szCs w:val="16"/>
          <w:color w:val="auto"/>
        </w:rPr>
        <w:t xml:space="preserve"> Shares covered by an Award shall be subtracted from the Plan share reserve as of the date of the grant, but shall be added back to the Plan share reserve in accordance with Section 5.2.</w:t>
      </w:r>
    </w:p>
    <w:p>
      <w:pPr>
        <w:spacing w:after="0" w:line="180" w:lineRule="exact"/>
        <w:rPr>
          <w:sz w:val="20"/>
          <w:szCs w:val="20"/>
          <w:color w:val="auto"/>
        </w:rPr>
      </w:pPr>
    </w:p>
    <w:p>
      <w:pPr>
        <w:ind w:left="560" w:right="20" w:firstLine="575"/>
        <w:spacing w:after="0" w:line="270" w:lineRule="auto"/>
        <w:tabs>
          <w:tab w:leader="none" w:pos="1785" w:val="left"/>
        </w:tabs>
        <w:numPr>
          <w:ilvl w:val="0"/>
          <w:numId w:val="15"/>
        </w:numPr>
        <w:rPr>
          <w:rFonts w:ascii="Arial" w:cs="Arial" w:eastAsia="Arial" w:hAnsi="Arial"/>
          <w:sz w:val="16"/>
          <w:szCs w:val="16"/>
          <w:color w:val="auto"/>
        </w:rPr>
      </w:pPr>
      <w:r>
        <w:rPr>
          <w:rFonts w:ascii="Arial" w:cs="Arial" w:eastAsia="Arial" w:hAnsi="Arial"/>
          <w:sz w:val="16"/>
          <w:szCs w:val="16"/>
          <w:color w:val="auto"/>
        </w:rPr>
        <w:t>To the extent that an Award is canceled, terminates, expires, is forfeited or lapses for any reason, any unissued or forfeited Shares subject to the Award will again be available for issuance pursuant to Awards granted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481330</wp:posOffset>
            </wp:positionV>
            <wp:extent cx="7268210" cy="20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471" w:right="219" w:bottom="1440" w:gutter="0" w:footer="0" w:header="0"/>
        </w:sectPr>
      </w:pPr>
    </w:p>
    <w:bookmarkStart w:id="14" w:name="page15"/>
    <w:bookmarkEnd w:id="14"/>
    <w:p>
      <w:pPr>
        <w:ind w:left="1760" w:hanging="625"/>
        <w:spacing w:after="0"/>
        <w:tabs>
          <w:tab w:leader="none" w:pos="17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Shares subject to Awards settled in cash will again be available for issuance pursuant to Awards granted under the Plan.</w:t>
      </w:r>
    </w:p>
    <w:p>
      <w:pPr>
        <w:spacing w:after="0" w:line="219" w:lineRule="exact"/>
        <w:rPr>
          <w:rFonts w:ascii="Arial" w:cs="Arial" w:eastAsia="Arial" w:hAnsi="Arial"/>
          <w:sz w:val="16"/>
          <w:szCs w:val="16"/>
          <w:color w:val="auto"/>
        </w:rPr>
      </w:pPr>
    </w:p>
    <w:p>
      <w:pPr>
        <w:ind w:left="1760" w:hanging="625"/>
        <w:spacing w:after="0"/>
        <w:tabs>
          <w:tab w:leader="none" w:pos="17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Substitute Awards granted pursuant to Section 14.14 of the Plan shall not count against the Shares otherwise available for issuance under the Plan under</w:t>
      </w:r>
    </w:p>
    <w:p>
      <w:pPr>
        <w:spacing w:after="0" w:line="40"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6"/>
          <w:szCs w:val="16"/>
          <w:color w:val="auto"/>
        </w:rPr>
        <w:t>Section 5.1.</w:t>
      </w:r>
    </w:p>
    <w:p>
      <w:pPr>
        <w:spacing w:after="0" w:line="209" w:lineRule="exact"/>
        <w:rPr>
          <w:sz w:val="20"/>
          <w:szCs w:val="20"/>
          <w:color w:val="auto"/>
        </w:rPr>
      </w:pPr>
    </w:p>
    <w:p>
      <w:pPr>
        <w:jc w:val="both"/>
        <w:ind w:right="20" w:firstLine="570"/>
        <w:spacing w:after="0" w:line="270"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i w:val="1"/>
          <w:iCs w:val="1"/>
          <w:color w:val="auto"/>
        </w:rPr>
        <w:t>STOCK DISTRIBUTED.</w:t>
      </w:r>
      <w:r>
        <w:rPr>
          <w:rFonts w:ascii="Arial" w:cs="Arial" w:eastAsia="Arial" w:hAnsi="Arial"/>
          <w:sz w:val="16"/>
          <w:szCs w:val="16"/>
          <w:color w:val="auto"/>
        </w:rPr>
        <w:t xml:space="preserve"> Any Stock distributed pursuant to an Award may consist, in whole or in part, of authorized and unissued Stock, treasury Stock or Stock purchased on the open market.</w:t>
      </w:r>
    </w:p>
    <w:p>
      <w:pPr>
        <w:spacing w:after="0" w:line="180" w:lineRule="exact"/>
        <w:rPr>
          <w:sz w:val="20"/>
          <w:szCs w:val="20"/>
          <w:color w:val="auto"/>
        </w:rPr>
      </w:pPr>
    </w:p>
    <w:p>
      <w:pPr>
        <w:jc w:val="both"/>
        <w:ind w:right="20" w:firstLine="570"/>
        <w:spacing w:after="0" w:line="255"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i w:val="1"/>
          <w:iCs w:val="1"/>
          <w:color w:val="auto"/>
        </w:rPr>
        <w:t>LIMITATION ON AWARDS.</w:t>
      </w:r>
      <w:r>
        <w:rPr>
          <w:rFonts w:ascii="Arial" w:cs="Arial" w:eastAsia="Arial" w:hAnsi="Arial"/>
          <w:sz w:val="16"/>
          <w:szCs w:val="16"/>
          <w:color w:val="auto"/>
        </w:rPr>
        <w:t xml:space="preserve"> Notwithstanding any provision in the Plan to the contrary (but subject to adjustment as provided in Section 15.1), the maximum number of Shares with respect to one or more Options and/or SARs that may be granted during any one calendar year under the Plan to any one Participant shall be 2,000,000. The maximum aggregate grant with respect to Awards of Restricted Stock, Restricted Stock Units, Deferred Stock Units, Performance Shares or other Stock-Based Awards (other than Options or SARs) granted in any one calendar year to any one Participant shall be 2,000,000.</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6</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ELIGIBILITY</w:t>
      </w:r>
    </w:p>
    <w:p>
      <w:pPr>
        <w:spacing w:after="0" w:line="209" w:lineRule="exact"/>
        <w:rPr>
          <w:sz w:val="20"/>
          <w:szCs w:val="20"/>
          <w:color w:val="auto"/>
        </w:rPr>
      </w:pPr>
    </w:p>
    <w:p>
      <w:pPr>
        <w:jc w:val="both"/>
        <w:ind w:right="20" w:firstLine="570"/>
        <w:spacing w:after="0" w:line="255"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i w:val="1"/>
          <w:iCs w:val="1"/>
          <w:color w:val="auto"/>
        </w:rPr>
        <w:t>GENERAL.</w:t>
      </w:r>
      <w:r>
        <w:rPr>
          <w:rFonts w:ascii="Arial" w:cs="Arial" w:eastAsia="Arial" w:hAnsi="Arial"/>
          <w:sz w:val="16"/>
          <w:szCs w:val="16"/>
          <w:color w:val="auto"/>
        </w:rPr>
        <w:t xml:space="preserve"> Awards may be granted only to Eligible Participants; except that Incentive Stock Options may be granted to only to Eligible Participants who are employees of the Company or a Parent or Subsidiary as defined in Section 424(e) and (f) of the Code. Eligible Participants who are service providers to an Affiliate may be granted Options or SARs under this Plan only if the Affiliate qualifies as an “eligible issuer of service recipient stock” within the meaning of §1.409A-1(b)(5)(iii)(E) of the final regulations under Code Section 409A.</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7</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STOCK OPTIONS</w:t>
      </w:r>
    </w:p>
    <w:p>
      <w:pPr>
        <w:spacing w:after="0" w:line="2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i w:val="1"/>
          <w:iCs w:val="1"/>
          <w:color w:val="auto"/>
        </w:rPr>
        <w:t>GENERAL.</w:t>
      </w:r>
      <w:r>
        <w:rPr>
          <w:rFonts w:ascii="Arial" w:cs="Arial" w:eastAsia="Arial" w:hAnsi="Arial"/>
          <w:sz w:val="16"/>
          <w:szCs w:val="16"/>
          <w:color w:val="auto"/>
        </w:rPr>
        <w:t xml:space="preserve"> The Committee is authorized to grant Options to Participants on the following terms and conditions:</w:t>
      </w:r>
    </w:p>
    <w:p>
      <w:pPr>
        <w:spacing w:after="0" w:line="220" w:lineRule="exact"/>
        <w:rPr>
          <w:sz w:val="20"/>
          <w:szCs w:val="20"/>
          <w:color w:val="auto"/>
        </w:rPr>
      </w:pPr>
    </w:p>
    <w:p>
      <w:pPr>
        <w:ind w:left="560" w:firstLine="575"/>
        <w:spacing w:after="0" w:line="270" w:lineRule="auto"/>
        <w:tabs>
          <w:tab w:leader="none" w:pos="1899" w:val="left"/>
        </w:tabs>
        <w:numPr>
          <w:ilvl w:val="0"/>
          <w:numId w:val="17"/>
        </w:numPr>
        <w:rPr>
          <w:rFonts w:ascii="Arial" w:cs="Arial" w:eastAsia="Arial" w:hAnsi="Arial"/>
          <w:sz w:val="16"/>
          <w:szCs w:val="16"/>
          <w:color w:val="auto"/>
        </w:rPr>
      </w:pPr>
      <w:r>
        <w:rPr>
          <w:rFonts w:ascii="Arial" w:cs="Arial" w:eastAsia="Arial" w:hAnsi="Arial"/>
          <w:sz w:val="16"/>
          <w:szCs w:val="16"/>
          <w:color w:val="auto"/>
        </w:rPr>
        <w:t>EXERCISE PRICE. The exercise price per Share under an Option shall be determined by the Committee; provided that the exercise price for any Option shall not be less than the Fair Market Value as of the Grant Date.</w:t>
      </w:r>
    </w:p>
    <w:p>
      <w:pPr>
        <w:spacing w:after="0" w:line="179" w:lineRule="exact"/>
        <w:rPr>
          <w:rFonts w:ascii="Arial" w:cs="Arial" w:eastAsia="Arial" w:hAnsi="Arial"/>
          <w:sz w:val="16"/>
          <w:szCs w:val="16"/>
          <w:color w:val="auto"/>
        </w:rPr>
      </w:pPr>
    </w:p>
    <w:p>
      <w:pPr>
        <w:jc w:val="both"/>
        <w:ind w:left="560" w:firstLine="575"/>
        <w:spacing w:after="0" w:line="253" w:lineRule="auto"/>
        <w:tabs>
          <w:tab w:leader="none" w:pos="1758" w:val="left"/>
        </w:tabs>
        <w:numPr>
          <w:ilvl w:val="0"/>
          <w:numId w:val="17"/>
        </w:numPr>
        <w:rPr>
          <w:rFonts w:ascii="Arial" w:cs="Arial" w:eastAsia="Arial" w:hAnsi="Arial"/>
          <w:sz w:val="16"/>
          <w:szCs w:val="16"/>
          <w:color w:val="auto"/>
        </w:rPr>
      </w:pPr>
      <w:r>
        <w:rPr>
          <w:rFonts w:ascii="Arial" w:cs="Arial" w:eastAsia="Arial" w:hAnsi="Arial"/>
          <w:sz w:val="16"/>
          <w:szCs w:val="16"/>
          <w:color w:val="auto"/>
        </w:rPr>
        <w:t>TIME AND CONDITIONS OF EXERCISE. The Committee shall determine the time or times at which an Option may be exercised in whole or in part, subject to Section 7.1(d). The Committee shall also determine the performance or other conditions, if any, that must be satisfied before all or part of an Option may be exercised or vested. The Committee may waive any exercise or vesting provisions at any time in whole or in part based upon factors as the Committee may determine in its sole discretion so that the Option becomes exercisable or vested at an earlier date. The Committee may permit an arrangement whereby receipt of Stock upon exercise of an Option is delayed until a specified future date.</w:t>
      </w:r>
    </w:p>
    <w:p>
      <w:pPr>
        <w:spacing w:after="0" w:line="194" w:lineRule="exact"/>
        <w:rPr>
          <w:rFonts w:ascii="Arial" w:cs="Arial" w:eastAsia="Arial" w:hAnsi="Arial"/>
          <w:sz w:val="16"/>
          <w:szCs w:val="16"/>
          <w:color w:val="auto"/>
        </w:rPr>
      </w:pPr>
    </w:p>
    <w:p>
      <w:pPr>
        <w:jc w:val="both"/>
        <w:ind w:left="560" w:firstLine="575"/>
        <w:spacing w:after="0" w:line="303" w:lineRule="auto"/>
        <w:tabs>
          <w:tab w:leader="none" w:pos="1749" w:val="left"/>
        </w:tabs>
        <w:numPr>
          <w:ilvl w:val="0"/>
          <w:numId w:val="17"/>
        </w:numPr>
        <w:rPr>
          <w:rFonts w:ascii="Arial" w:cs="Arial" w:eastAsia="Arial" w:hAnsi="Arial"/>
          <w:sz w:val="14"/>
          <w:szCs w:val="14"/>
          <w:color w:val="auto"/>
        </w:rPr>
      </w:pPr>
      <w:r>
        <w:rPr>
          <w:rFonts w:ascii="Arial" w:cs="Arial" w:eastAsia="Arial" w:hAnsi="Arial"/>
          <w:sz w:val="14"/>
          <w:szCs w:val="14"/>
          <w:color w:val="auto"/>
        </w:rPr>
        <w:t>PAYMENT. The Committee shall determine the methods by which the exercise price of an Option may be paid, the form of payment, including, without limitation, cash, Shares, or other property (including “cashless exercise” arrangements), and the methods by which Shares shall be delivered or deemed to be delivered to Participants; provided, however, that if Shares are used to pay the exercise price of an Option, such Shares must have been held by the Participant for at least such period of time, if any, as necessary to avoid the recognition of an expense under generally accepted accounting principles as a result of the exercise of the Option.</w:t>
      </w:r>
    </w:p>
    <w:p>
      <w:pPr>
        <w:spacing w:after="0" w:line="160" w:lineRule="exact"/>
        <w:rPr>
          <w:rFonts w:ascii="Arial" w:cs="Arial" w:eastAsia="Arial" w:hAnsi="Arial"/>
          <w:sz w:val="14"/>
          <w:szCs w:val="14"/>
          <w:color w:val="auto"/>
        </w:rPr>
      </w:pPr>
    </w:p>
    <w:p>
      <w:pPr>
        <w:ind w:left="1760" w:hanging="625"/>
        <w:spacing w:after="0"/>
        <w:tabs>
          <w:tab w:leader="none" w:pos="17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EXERCISE TERM. In no event may any Option be exercisable for more than six years from the Grant Date.</w:t>
      </w:r>
    </w:p>
    <w:p>
      <w:pPr>
        <w:spacing w:after="0" w:line="219" w:lineRule="exact"/>
        <w:rPr>
          <w:rFonts w:ascii="Arial" w:cs="Arial" w:eastAsia="Arial" w:hAnsi="Arial"/>
          <w:sz w:val="16"/>
          <w:szCs w:val="16"/>
          <w:color w:val="auto"/>
        </w:rPr>
      </w:pPr>
    </w:p>
    <w:p>
      <w:pPr>
        <w:ind w:left="560" w:right="20" w:firstLine="575"/>
        <w:spacing w:after="0" w:line="304" w:lineRule="auto"/>
        <w:tabs>
          <w:tab w:leader="none" w:pos="1824" w:val="left"/>
        </w:tabs>
        <w:numPr>
          <w:ilvl w:val="0"/>
          <w:numId w:val="17"/>
        </w:numPr>
        <w:rPr>
          <w:rFonts w:ascii="Arial" w:cs="Arial" w:eastAsia="Arial" w:hAnsi="Arial"/>
          <w:sz w:val="15"/>
          <w:szCs w:val="15"/>
          <w:color w:val="auto"/>
        </w:rPr>
      </w:pPr>
      <w:r>
        <w:rPr>
          <w:rFonts w:ascii="Arial" w:cs="Arial" w:eastAsia="Arial" w:hAnsi="Arial"/>
          <w:sz w:val="15"/>
          <w:szCs w:val="15"/>
          <w:color w:val="auto"/>
        </w:rPr>
        <w:t>SUSPENSION. Any Participant who is also a participant in the Retirement at Micron (“RAM”) Section 401(k) Plan and who requests and receives a hardship distribution from the RAM Plan, is prohibited from making, and must suspend, his or her employee elective contributions to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467360</wp:posOffset>
            </wp:positionV>
            <wp:extent cx="7268210"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471" w:right="219" w:bottom="1440" w:gutter="0" w:footer="0" w:header="0"/>
        </w:sectPr>
      </w:pPr>
    </w:p>
    <w:bookmarkStart w:id="15" w:name="page16"/>
    <w:bookmarkEnd w:id="15"/>
    <w:p>
      <w:pPr>
        <w:ind w:left="560"/>
        <w:spacing w:after="0"/>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i w:val="1"/>
          <w:iCs w:val="1"/>
          <w:color w:val="auto"/>
        </w:rPr>
        <w:t>INCENTIVE STOCK OPTIONS.</w:t>
      </w:r>
      <w:r>
        <w:rPr>
          <w:rFonts w:ascii="Arial" w:cs="Arial" w:eastAsia="Arial" w:hAnsi="Arial"/>
          <w:sz w:val="16"/>
          <w:szCs w:val="16"/>
          <w:color w:val="auto"/>
        </w:rPr>
        <w:t xml:space="preserve"> The terms of any Incentive Stock Options granted under the Plan must comply with the following additional rules:</w:t>
      </w:r>
    </w:p>
    <w:p>
      <w:pPr>
        <w:spacing w:after="0" w:line="220" w:lineRule="exact"/>
        <w:rPr>
          <w:sz w:val="20"/>
          <w:szCs w:val="20"/>
          <w:color w:val="auto"/>
        </w:rPr>
      </w:pPr>
    </w:p>
    <w:p>
      <w:pPr>
        <w:ind w:left="1740" w:hanging="605"/>
        <w:spacing w:after="0"/>
        <w:tabs>
          <w:tab w:leader="none" w:pos="17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EXERCISE PRICE. The exercise price of an Incentive Stock Option shall not be less than the Fair Market Value as of the Grant Date.</w:t>
      </w:r>
    </w:p>
    <w:p>
      <w:pPr>
        <w:spacing w:after="0" w:line="219" w:lineRule="exact"/>
        <w:rPr>
          <w:rFonts w:ascii="Arial" w:cs="Arial" w:eastAsia="Arial" w:hAnsi="Arial"/>
          <w:sz w:val="16"/>
          <w:szCs w:val="16"/>
          <w:color w:val="auto"/>
        </w:rPr>
      </w:pPr>
    </w:p>
    <w:p>
      <w:pPr>
        <w:jc w:val="both"/>
        <w:ind w:left="560" w:firstLine="575"/>
        <w:spacing w:after="0" w:line="255" w:lineRule="auto"/>
        <w:tabs>
          <w:tab w:leader="none" w:pos="1836" w:val="left"/>
        </w:tabs>
        <w:numPr>
          <w:ilvl w:val="0"/>
          <w:numId w:val="18"/>
        </w:numPr>
        <w:rPr>
          <w:rFonts w:ascii="Arial" w:cs="Arial" w:eastAsia="Arial" w:hAnsi="Arial"/>
          <w:sz w:val="16"/>
          <w:szCs w:val="16"/>
          <w:color w:val="auto"/>
        </w:rPr>
      </w:pPr>
      <w:r>
        <w:rPr>
          <w:rFonts w:ascii="Arial" w:cs="Arial" w:eastAsia="Arial" w:hAnsi="Arial"/>
          <w:sz w:val="16"/>
          <w:szCs w:val="16"/>
          <w:color w:val="auto"/>
        </w:rPr>
        <w:t>LAPSE OF OPTION. Subject to any earlier termination provision contained in the Award Certificate, an Incentive Stock Option shall lapse upon the earliest of the following circumstances; provided, however, that the Committee may, prior to the lapse of the Incentive Stock Option under the circumstances described in subsections (3), (4) or (5) below, provide in writing that the Option will extend until a later date, but if an Option is so extended and is exercised after the dates specified in subsections (3) and (4) below, it will automatically become a Nonstatutory Stock Option:</w:t>
      </w:r>
    </w:p>
    <w:p>
      <w:pPr>
        <w:spacing w:after="0" w:line="192" w:lineRule="exact"/>
        <w:rPr>
          <w:rFonts w:ascii="Arial" w:cs="Arial" w:eastAsia="Arial" w:hAnsi="Arial"/>
          <w:sz w:val="16"/>
          <w:szCs w:val="16"/>
          <w:color w:val="auto"/>
        </w:rPr>
      </w:pPr>
    </w:p>
    <w:p>
      <w:pPr>
        <w:ind w:left="2320" w:hanging="615"/>
        <w:spacing w:after="0"/>
        <w:tabs>
          <w:tab w:leader="none" w:pos="23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The expiration date set forth in the Award Certificate.</w:t>
      </w:r>
    </w:p>
    <w:p>
      <w:pPr>
        <w:spacing w:after="0" w:line="219" w:lineRule="exact"/>
        <w:rPr>
          <w:rFonts w:ascii="Arial" w:cs="Arial" w:eastAsia="Arial" w:hAnsi="Arial"/>
          <w:sz w:val="16"/>
          <w:szCs w:val="16"/>
          <w:color w:val="auto"/>
        </w:rPr>
      </w:pPr>
    </w:p>
    <w:p>
      <w:pPr>
        <w:ind w:left="2320" w:hanging="615"/>
        <w:spacing w:after="0"/>
        <w:tabs>
          <w:tab w:leader="none" w:pos="23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The tenth anniversary of the Grant Date.</w:t>
      </w:r>
    </w:p>
    <w:p>
      <w:pPr>
        <w:spacing w:after="0" w:line="219" w:lineRule="exact"/>
        <w:rPr>
          <w:rFonts w:ascii="Arial" w:cs="Arial" w:eastAsia="Arial" w:hAnsi="Arial"/>
          <w:sz w:val="16"/>
          <w:szCs w:val="16"/>
          <w:color w:val="auto"/>
        </w:rPr>
      </w:pPr>
    </w:p>
    <w:p>
      <w:pPr>
        <w:ind w:left="2380" w:hanging="675"/>
        <w:spacing w:after="0"/>
        <w:tabs>
          <w:tab w:leader="none" w:pos="2380" w:val="left"/>
        </w:tabs>
        <w:numPr>
          <w:ilvl w:val="1"/>
          <w:numId w:val="18"/>
        </w:numPr>
        <w:rPr>
          <w:rFonts w:ascii="Arial" w:cs="Arial" w:eastAsia="Arial" w:hAnsi="Arial"/>
          <w:sz w:val="14"/>
          <w:szCs w:val="14"/>
          <w:color w:val="auto"/>
        </w:rPr>
      </w:pPr>
      <w:r>
        <w:rPr>
          <w:rFonts w:ascii="Arial" w:cs="Arial" w:eastAsia="Arial" w:hAnsi="Arial"/>
          <w:sz w:val="14"/>
          <w:szCs w:val="14"/>
          <w:color w:val="auto"/>
        </w:rPr>
        <w:t>Three months after termination of the Participant’s Continuous Status as a Participant for any reason other than the Participant’s Disability or</w:t>
      </w:r>
    </w:p>
    <w:p>
      <w:pPr>
        <w:spacing w:after="0" w:line="40" w:lineRule="exact"/>
        <w:rPr>
          <w:rFonts w:ascii="Arial" w:cs="Arial" w:eastAsia="Arial" w:hAnsi="Arial"/>
          <w:sz w:val="14"/>
          <w:szCs w:val="14"/>
          <w:color w:val="auto"/>
        </w:rPr>
      </w:pPr>
    </w:p>
    <w:p>
      <w:pPr>
        <w:ind w:left="1140"/>
        <w:spacing w:after="0"/>
        <w:rPr>
          <w:rFonts w:ascii="Arial" w:cs="Arial" w:eastAsia="Arial" w:hAnsi="Arial"/>
          <w:sz w:val="14"/>
          <w:szCs w:val="14"/>
          <w:color w:val="auto"/>
        </w:rPr>
      </w:pPr>
      <w:r>
        <w:rPr>
          <w:rFonts w:ascii="Arial" w:cs="Arial" w:eastAsia="Arial" w:hAnsi="Arial"/>
          <w:sz w:val="16"/>
          <w:szCs w:val="16"/>
          <w:color w:val="auto"/>
        </w:rPr>
        <w:t>death.</w:t>
      </w:r>
    </w:p>
    <w:p>
      <w:pPr>
        <w:spacing w:after="0" w:line="208" w:lineRule="exact"/>
        <w:rPr>
          <w:rFonts w:ascii="Arial" w:cs="Arial" w:eastAsia="Arial" w:hAnsi="Arial"/>
          <w:sz w:val="14"/>
          <w:szCs w:val="14"/>
          <w:color w:val="auto"/>
        </w:rPr>
      </w:pPr>
    </w:p>
    <w:p>
      <w:pPr>
        <w:ind w:left="2320" w:hanging="615"/>
        <w:spacing w:after="0"/>
        <w:tabs>
          <w:tab w:leader="none" w:pos="23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One year after the Participant’s Continuous Status as a Participant by reason of the Participant’s Disability.</w:t>
      </w:r>
    </w:p>
    <w:p>
      <w:pPr>
        <w:spacing w:after="0" w:line="219" w:lineRule="exact"/>
        <w:rPr>
          <w:rFonts w:ascii="Arial" w:cs="Arial" w:eastAsia="Arial" w:hAnsi="Arial"/>
          <w:sz w:val="16"/>
          <w:szCs w:val="16"/>
          <w:color w:val="auto"/>
        </w:rPr>
      </w:pPr>
    </w:p>
    <w:p>
      <w:pPr>
        <w:ind w:left="1140" w:right="20" w:firstLine="565"/>
        <w:spacing w:after="0" w:line="270" w:lineRule="auto"/>
        <w:tabs>
          <w:tab w:leader="none" w:pos="2387" w:val="left"/>
        </w:tabs>
        <w:numPr>
          <w:ilvl w:val="1"/>
          <w:numId w:val="18"/>
        </w:numPr>
        <w:rPr>
          <w:rFonts w:ascii="Arial" w:cs="Arial" w:eastAsia="Arial" w:hAnsi="Arial"/>
          <w:sz w:val="16"/>
          <w:szCs w:val="16"/>
          <w:color w:val="auto"/>
        </w:rPr>
      </w:pPr>
      <w:r>
        <w:rPr>
          <w:rFonts w:ascii="Arial" w:cs="Arial" w:eastAsia="Arial" w:hAnsi="Arial"/>
          <w:sz w:val="16"/>
          <w:szCs w:val="16"/>
          <w:color w:val="auto"/>
        </w:rPr>
        <w:t>One year after the termination of the Participant’s death if the Participant dies while employed, or during the three-month period described in paragraph (3) or during the one-year period described in paragraph (4) and before the Option otherwise lapses.</w:t>
      </w:r>
    </w:p>
    <w:p>
      <w:pPr>
        <w:spacing w:after="0" w:line="180" w:lineRule="exact"/>
        <w:rPr>
          <w:sz w:val="20"/>
          <w:szCs w:val="20"/>
          <w:color w:val="auto"/>
        </w:rPr>
      </w:pPr>
    </w:p>
    <w:p>
      <w:pPr>
        <w:jc w:val="both"/>
        <w:ind w:firstLine="570"/>
        <w:spacing w:after="0" w:line="259" w:lineRule="auto"/>
        <w:rPr>
          <w:sz w:val="20"/>
          <w:szCs w:val="20"/>
          <w:color w:val="auto"/>
        </w:rPr>
      </w:pPr>
      <w:r>
        <w:rPr>
          <w:rFonts w:ascii="Arial" w:cs="Arial" w:eastAsia="Arial" w:hAnsi="Arial"/>
          <w:sz w:val="16"/>
          <w:szCs w:val="16"/>
          <w:color w:val="auto"/>
        </w:rPr>
        <w:t>Unless the exercisability of the Incentive Stock Option is accelerated as provided in Article 14, if a Participant exercises an Option after termination of employment, the Option may be exercised only with respect to the Shares that were otherwise vested on the Participant’s termination of employment. Upon the Participant’s death, any exercisable Incentive Stock Options may be exercised by the Participant’s beneficiary, determined in accordance with Section 14.5.</w:t>
      </w:r>
    </w:p>
    <w:p>
      <w:pPr>
        <w:spacing w:after="0" w:line="188" w:lineRule="exact"/>
        <w:rPr>
          <w:sz w:val="20"/>
          <w:szCs w:val="20"/>
          <w:color w:val="auto"/>
        </w:rPr>
      </w:pPr>
    </w:p>
    <w:p>
      <w:pPr>
        <w:ind w:left="560" w:right="20" w:firstLine="575"/>
        <w:spacing w:after="0" w:line="270" w:lineRule="auto"/>
        <w:tabs>
          <w:tab w:leader="none" w:pos="1935"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INDIVIDUAL DOLLAR LIMITATION. The aggregate Fair Market Value (determined as of the Grant Date) of all Shares with respect to which Incentive Stock Options are first exercisable by a Participant in any calendar year may not exceed $100,000.00.</w:t>
      </w:r>
    </w:p>
    <w:p>
      <w:pPr>
        <w:spacing w:after="0" w:line="179" w:lineRule="exact"/>
        <w:rPr>
          <w:rFonts w:ascii="Arial" w:cs="Arial" w:eastAsia="Arial" w:hAnsi="Arial"/>
          <w:sz w:val="16"/>
          <w:szCs w:val="16"/>
          <w:color w:val="auto"/>
        </w:rPr>
      </w:pPr>
    </w:p>
    <w:p>
      <w:pPr>
        <w:jc w:val="both"/>
        <w:ind w:left="560" w:firstLine="575"/>
        <w:spacing w:after="0" w:line="284" w:lineRule="auto"/>
        <w:tabs>
          <w:tab w:leader="none" w:pos="1778" w:val="left"/>
        </w:tabs>
        <w:numPr>
          <w:ilvl w:val="0"/>
          <w:numId w:val="19"/>
        </w:numPr>
        <w:rPr>
          <w:rFonts w:ascii="Arial" w:cs="Arial" w:eastAsia="Arial" w:hAnsi="Arial"/>
          <w:sz w:val="15"/>
          <w:szCs w:val="15"/>
          <w:color w:val="auto"/>
        </w:rPr>
      </w:pPr>
      <w:r>
        <w:rPr>
          <w:rFonts w:ascii="Arial" w:cs="Arial" w:eastAsia="Arial" w:hAnsi="Arial"/>
          <w:sz w:val="15"/>
          <w:szCs w:val="15"/>
          <w:color w:val="auto"/>
        </w:rPr>
        <w:t>TEN PERCENT OWNERS. No Incentive Stock Option shall be granted to any individual who, at the Grant Date, owns stock possessing more than ten percent of the total combined voting power of all classes of stock of the Company or any Parent or Subsidiary unless the exercise price per share of such Option is at least 110% of the Fair Market Value per Share at the Grant Date and the Option expires no later than five years after the Grant Date.</w:t>
      </w:r>
    </w:p>
    <w:p>
      <w:pPr>
        <w:spacing w:after="0" w:line="171" w:lineRule="exact"/>
        <w:rPr>
          <w:rFonts w:ascii="Arial" w:cs="Arial" w:eastAsia="Arial" w:hAnsi="Arial"/>
          <w:sz w:val="15"/>
          <w:szCs w:val="15"/>
          <w:color w:val="auto"/>
        </w:rPr>
      </w:pPr>
    </w:p>
    <w:p>
      <w:pPr>
        <w:ind w:left="560" w:firstLine="575"/>
        <w:spacing w:after="0" w:line="270" w:lineRule="auto"/>
        <w:tabs>
          <w:tab w:leader="none" w:pos="1793"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EXPIRATION OF AUTHORITY TO GRANT INCENTIVE STOCK OPTIONS. No Incentive Stock Option may be granted pursuant to the Plan after the day immediately prior to the tenth anniversary of the date the Plan was adopted by the Board, or the termination of the Plan, if earlier.</w:t>
      </w:r>
    </w:p>
    <w:p>
      <w:pPr>
        <w:spacing w:after="0" w:line="179" w:lineRule="exact"/>
        <w:rPr>
          <w:rFonts w:ascii="Arial" w:cs="Arial" w:eastAsia="Arial" w:hAnsi="Arial"/>
          <w:sz w:val="16"/>
          <w:szCs w:val="16"/>
          <w:color w:val="auto"/>
        </w:rPr>
      </w:pPr>
    </w:p>
    <w:p>
      <w:pPr>
        <w:ind w:left="560" w:right="20" w:firstLine="575"/>
        <w:spacing w:after="0" w:line="270" w:lineRule="auto"/>
        <w:tabs>
          <w:tab w:leader="none" w:pos="1885" w:val="left"/>
        </w:tabs>
        <w:numPr>
          <w:ilvl w:val="0"/>
          <w:numId w:val="19"/>
        </w:numPr>
        <w:rPr>
          <w:rFonts w:ascii="Arial" w:cs="Arial" w:eastAsia="Arial" w:hAnsi="Arial"/>
          <w:sz w:val="16"/>
          <w:szCs w:val="16"/>
          <w:color w:val="auto"/>
        </w:rPr>
      </w:pPr>
      <w:r>
        <w:rPr>
          <w:rFonts w:ascii="Arial" w:cs="Arial" w:eastAsia="Arial" w:hAnsi="Arial"/>
          <w:sz w:val="16"/>
          <w:szCs w:val="16"/>
          <w:color w:val="auto"/>
        </w:rPr>
        <w:t>RIGHT TO EXERCISE. During a Participant’s lifetime, an Incentive Stock Option may be exercised only by the Participant or, in the case of the Participant’s Disability, by the Participant’s guardian or legal representative.</w:t>
      </w:r>
    </w:p>
    <w:p>
      <w:pPr>
        <w:spacing w:after="0" w:line="179" w:lineRule="exact"/>
        <w:rPr>
          <w:rFonts w:ascii="Arial" w:cs="Arial" w:eastAsia="Arial" w:hAnsi="Arial"/>
          <w:sz w:val="16"/>
          <w:szCs w:val="16"/>
          <w:color w:val="auto"/>
        </w:rPr>
      </w:pPr>
    </w:p>
    <w:p>
      <w:pPr>
        <w:ind w:left="560" w:firstLine="575"/>
        <w:spacing w:after="0" w:line="270" w:lineRule="auto"/>
        <w:tabs>
          <w:tab w:leader="none" w:pos="19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ELIGIBLE GRANTEES. The Committee may not grant an Incentive Stock Option to a person who is not at the Grant Date an employee of the Company or a Parent or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481330</wp:posOffset>
            </wp:positionV>
            <wp:extent cx="7268210" cy="20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471" w:right="219" w:bottom="1440" w:gutter="0" w:footer="0" w:header="0"/>
        </w:sectPr>
      </w:pPr>
    </w:p>
    <w:bookmarkStart w:id="16" w:name="page17"/>
    <w:bookmarkEnd w:id="16"/>
    <w:p>
      <w:pPr>
        <w:jc w:val="center"/>
        <w:spacing w:after="0"/>
        <w:rPr>
          <w:sz w:val="20"/>
          <w:szCs w:val="20"/>
          <w:color w:val="auto"/>
        </w:rPr>
      </w:pPr>
      <w:r>
        <w:rPr>
          <w:rFonts w:ascii="Arial" w:cs="Arial" w:eastAsia="Arial" w:hAnsi="Arial"/>
          <w:sz w:val="16"/>
          <w:szCs w:val="16"/>
          <w:b w:val="1"/>
          <w:bCs w:val="1"/>
          <w:color w:val="auto"/>
        </w:rPr>
        <w:t>ARTICLE 8</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STOCK APPRECIATION RIGHTS</w:t>
      </w:r>
    </w:p>
    <w:p>
      <w:pPr>
        <w:spacing w:after="0" w:line="209" w:lineRule="exact"/>
        <w:rPr>
          <w:sz w:val="20"/>
          <w:szCs w:val="20"/>
          <w:color w:val="auto"/>
        </w:rPr>
      </w:pPr>
    </w:p>
    <w:p>
      <w:pPr>
        <w:ind w:right="20" w:firstLine="570"/>
        <w:spacing w:after="0" w:line="270"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i w:val="1"/>
          <w:iCs w:val="1"/>
          <w:color w:val="auto"/>
        </w:rPr>
        <w:t>GRANT OF STOCK APPRECIATION RIGHTS.</w:t>
      </w:r>
      <w:r>
        <w:rPr>
          <w:rFonts w:ascii="Arial" w:cs="Arial" w:eastAsia="Arial" w:hAnsi="Arial"/>
          <w:sz w:val="16"/>
          <w:szCs w:val="16"/>
          <w:color w:val="auto"/>
        </w:rPr>
        <w:t xml:space="preserve"> The Committee is authorized to grant Stock Appreciation Rights to Participants on the following terms and conditions:</w:t>
      </w:r>
    </w:p>
    <w:p>
      <w:pPr>
        <w:spacing w:after="0" w:line="180" w:lineRule="exact"/>
        <w:rPr>
          <w:sz w:val="20"/>
          <w:szCs w:val="20"/>
          <w:color w:val="auto"/>
        </w:rPr>
      </w:pPr>
    </w:p>
    <w:p>
      <w:pPr>
        <w:ind w:left="1740" w:hanging="605"/>
        <w:spacing w:after="0"/>
        <w:tabs>
          <w:tab w:leader="none" w:pos="17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RIGHT TO PAYMENT. Upon the exercise of a Stock Appreciation Right, the Participant to whom it is granted has the right to receive the excess, if any,</w:t>
      </w:r>
    </w:p>
    <w:p>
      <w:pPr>
        <w:spacing w:after="0" w:line="4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of:</w:t>
      </w:r>
    </w:p>
    <w:p>
      <w:pPr>
        <w:spacing w:after="0" w:line="209" w:lineRule="exact"/>
        <w:rPr>
          <w:sz w:val="20"/>
          <w:szCs w:val="20"/>
          <w:color w:val="auto"/>
        </w:rPr>
      </w:pPr>
    </w:p>
    <w:p>
      <w:pPr>
        <w:ind w:left="2320" w:hanging="615"/>
        <w:spacing w:after="0"/>
        <w:tabs>
          <w:tab w:leader="none" w:pos="23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Fair Market Value of one Share on the date of exercise; over</w:t>
      </w:r>
    </w:p>
    <w:p>
      <w:pPr>
        <w:spacing w:after="0" w:line="219" w:lineRule="exact"/>
        <w:rPr>
          <w:rFonts w:ascii="Arial" w:cs="Arial" w:eastAsia="Arial" w:hAnsi="Arial"/>
          <w:sz w:val="16"/>
          <w:szCs w:val="16"/>
          <w:color w:val="auto"/>
        </w:rPr>
      </w:pPr>
    </w:p>
    <w:p>
      <w:pPr>
        <w:ind w:left="1140" w:right="20" w:firstLine="565"/>
        <w:spacing w:after="0" w:line="270" w:lineRule="auto"/>
        <w:tabs>
          <w:tab w:leader="none" w:pos="2432"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base price of the Stock Appreciation Right as determined by the Committee, which shall not be less than the Fair Market Value of one Share on the Grant Date.</w:t>
      </w:r>
    </w:p>
    <w:p>
      <w:pPr>
        <w:spacing w:after="0" w:line="179" w:lineRule="exact"/>
        <w:rPr>
          <w:rFonts w:ascii="Arial" w:cs="Arial" w:eastAsia="Arial" w:hAnsi="Arial"/>
          <w:sz w:val="16"/>
          <w:szCs w:val="16"/>
          <w:color w:val="auto"/>
        </w:rPr>
      </w:pPr>
    </w:p>
    <w:p>
      <w:pPr>
        <w:jc w:val="both"/>
        <w:ind w:left="560" w:firstLine="575"/>
        <w:spacing w:after="0" w:line="255" w:lineRule="auto"/>
        <w:tabs>
          <w:tab w:leader="none" w:pos="1856" w:val="left"/>
        </w:tabs>
        <w:numPr>
          <w:ilvl w:val="0"/>
          <w:numId w:val="22"/>
        </w:numPr>
        <w:rPr>
          <w:rFonts w:ascii="Arial" w:cs="Arial" w:eastAsia="Arial" w:hAnsi="Arial"/>
          <w:sz w:val="16"/>
          <w:szCs w:val="16"/>
          <w:color w:val="auto"/>
        </w:rPr>
      </w:pPr>
      <w:r>
        <w:rPr>
          <w:rFonts w:ascii="Arial" w:cs="Arial" w:eastAsia="Arial" w:hAnsi="Arial"/>
          <w:sz w:val="16"/>
          <w:szCs w:val="16"/>
          <w:color w:val="auto"/>
        </w:rPr>
        <w:t>OTHER TERMS. All awards of Stock Appreciation Rights shall be evidenced by an Award Certificate. The terms, methods of exercise, methods of settlement, form of consideration payable in settlement, and any other terms and conditions of any Stock Appreciation Right shall be determined by the Committee at the time of the grant of the Award and shall be reflected in the Award Certificate. In no event may any Stock Appreciation Rights be exercisable for more than six years from the Grant Date.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9</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PERFORMANCE SHARES</w:t>
      </w:r>
    </w:p>
    <w:p>
      <w:pPr>
        <w:spacing w:after="0" w:line="209" w:lineRule="exact"/>
        <w:rPr>
          <w:sz w:val="20"/>
          <w:szCs w:val="20"/>
          <w:color w:val="auto"/>
        </w:rPr>
      </w:pPr>
    </w:p>
    <w:p>
      <w:pPr>
        <w:jc w:val="both"/>
        <w:ind w:firstLine="570"/>
        <w:spacing w:after="0" w:line="303" w:lineRule="auto"/>
        <w:rPr>
          <w:sz w:val="20"/>
          <w:szCs w:val="20"/>
          <w:color w:val="auto"/>
        </w:rPr>
      </w:pPr>
      <w:r>
        <w:rPr>
          <w:rFonts w:ascii="Arial" w:cs="Arial" w:eastAsia="Arial" w:hAnsi="Arial"/>
          <w:sz w:val="14"/>
          <w:szCs w:val="14"/>
          <w:color w:val="auto"/>
        </w:rPr>
        <w:t xml:space="preserve">9.1. </w:t>
      </w:r>
      <w:r>
        <w:rPr>
          <w:rFonts w:ascii="Arial" w:cs="Arial" w:eastAsia="Arial" w:hAnsi="Arial"/>
          <w:sz w:val="14"/>
          <w:szCs w:val="14"/>
          <w:i w:val="1"/>
          <w:iCs w:val="1"/>
          <w:color w:val="auto"/>
        </w:rPr>
        <w:t>GRANT OF PERFORMANCE SHARES.</w:t>
      </w:r>
      <w:r>
        <w:rPr>
          <w:rFonts w:ascii="Arial" w:cs="Arial" w:eastAsia="Arial" w:hAnsi="Arial"/>
          <w:sz w:val="14"/>
          <w:szCs w:val="14"/>
          <w:color w:val="auto"/>
        </w:rPr>
        <w:t xml:space="preserve"> The Committee is authorized to grant Performance Shares to Participants on such terms and conditions as may be selected by the Committee. The Committee shall have the complete discretion to determine the number of Performance Shares granted to each Participant, subject to Section 5.4, and to designate the provisions of such Performance Shares as provided in Section 4.3. All Performance Shares shall be evidenced by an Award Certificate or a written program established by the Committee, pursuant to which Performance Shares are awarded under the Plan under uniform terms, conditions and restrictions set forth in such written program.</w:t>
      </w:r>
    </w:p>
    <w:p>
      <w:pPr>
        <w:spacing w:after="0" w:line="161" w:lineRule="exact"/>
        <w:rPr>
          <w:sz w:val="20"/>
          <w:szCs w:val="20"/>
          <w:color w:val="auto"/>
        </w:rPr>
      </w:pPr>
    </w:p>
    <w:p>
      <w:pPr>
        <w:jc w:val="both"/>
        <w:ind w:firstLine="570"/>
        <w:spacing w:after="0" w:line="269" w:lineRule="auto"/>
        <w:rPr>
          <w:sz w:val="20"/>
          <w:szCs w:val="20"/>
          <w:color w:val="auto"/>
        </w:rPr>
      </w:pPr>
      <w:r>
        <w:rPr>
          <w:rFonts w:ascii="Arial" w:cs="Arial" w:eastAsia="Arial" w:hAnsi="Arial"/>
          <w:sz w:val="15"/>
          <w:szCs w:val="15"/>
          <w:color w:val="auto"/>
        </w:rPr>
        <w:t xml:space="preserve">9.2. </w:t>
      </w:r>
      <w:r>
        <w:rPr>
          <w:rFonts w:ascii="Arial" w:cs="Arial" w:eastAsia="Arial" w:hAnsi="Arial"/>
          <w:sz w:val="15"/>
          <w:szCs w:val="15"/>
          <w:i w:val="1"/>
          <w:iCs w:val="1"/>
          <w:color w:val="auto"/>
        </w:rPr>
        <w:t>PERFORMANCE GOALS.</w:t>
      </w:r>
      <w:r>
        <w:rPr>
          <w:rFonts w:ascii="Arial" w:cs="Arial" w:eastAsia="Arial" w:hAnsi="Arial"/>
          <w:sz w:val="15"/>
          <w:szCs w:val="15"/>
          <w:color w:val="auto"/>
        </w:rPr>
        <w:t xml:space="preserve"> The Committee may establish performance goals for Performance Shares which may be based on any criteria selected by the Committee. Such performance goals may be described in terms of Company-wide objectives or in terms of objectives that relate to the performance of the Participant, an Affiliate or a division, region, department or function within the Company or an Affiliate. If the Committee determines that a change in the business, operations, corporate structure or capital structure of the Company or the manner in which the Company or an Affiliate conducts its business, or other events or circumstances render performance goals to be unsuitable, the Committee may modify such performance goals in whole or in part, as the Committee deems appropriate. If a Participant is promoted, demoted or transferred to a different business unit or function during a performance period, the Committee may determine that the performance goals or performance period are no longer appropriate and may (i) adjust, change or eliminate the performance goals or the applicable performance period as it deems appropriate to make such goals and period comparable to the initial goals and period, or (ii) make a cash payment to the participant in amount determined by the Committee. The foregoing two sentences shall not apply with respect to an Award of Performance Shares that is intended to be a Qualified Performance-Based Award.</w:t>
      </w:r>
    </w:p>
    <w:p>
      <w:pPr>
        <w:spacing w:after="0" w:line="184" w:lineRule="exact"/>
        <w:rPr>
          <w:sz w:val="20"/>
          <w:szCs w:val="20"/>
          <w:color w:val="auto"/>
        </w:rPr>
      </w:pPr>
    </w:p>
    <w:p>
      <w:pPr>
        <w:jc w:val="both"/>
        <w:ind w:right="20" w:firstLine="570"/>
        <w:spacing w:after="0" w:line="255"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i w:val="1"/>
          <w:iCs w:val="1"/>
          <w:color w:val="auto"/>
        </w:rPr>
        <w:t>RIGHT TO PAYMENT.</w:t>
      </w:r>
      <w:r>
        <w:rPr>
          <w:rFonts w:ascii="Arial" w:cs="Arial" w:eastAsia="Arial" w:hAnsi="Arial"/>
          <w:sz w:val="16"/>
          <w:szCs w:val="16"/>
          <w:color w:val="auto"/>
        </w:rPr>
        <w:t xml:space="preserve"> The grant of a Performance Share to a Participant will entitle the Participant to receive at a specified later time a specified number of Shares, or the equivalent value in cash or other property, if the performance goals established by the Committee are achieved and the other terms and conditions thereof are satisfied. The Committee shall set performance goals and other terms or conditions to payment of the Performance Shares in its discretion which, depending on the extent to which they are met, will determine the number of the Performance Shares that will be earned by the Participant.</w:t>
      </w:r>
    </w:p>
    <w:p>
      <w:pPr>
        <w:spacing w:after="0" w:line="192" w:lineRule="exact"/>
        <w:rPr>
          <w:sz w:val="20"/>
          <w:szCs w:val="20"/>
          <w:color w:val="auto"/>
        </w:rPr>
      </w:pPr>
    </w:p>
    <w:p>
      <w:pPr>
        <w:jc w:val="both"/>
        <w:ind w:firstLine="570"/>
        <w:spacing w:after="0" w:line="270"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i w:val="1"/>
          <w:iCs w:val="1"/>
          <w:color w:val="auto"/>
        </w:rPr>
        <w:t>OTHER TERMS.</w:t>
      </w:r>
      <w:r>
        <w:rPr>
          <w:rFonts w:ascii="Arial" w:cs="Arial" w:eastAsia="Arial" w:hAnsi="Arial"/>
          <w:sz w:val="16"/>
          <w:szCs w:val="16"/>
          <w:color w:val="auto"/>
        </w:rPr>
        <w:t xml:space="preserve"> Performance Shares may be payable in cash, Stock, or other property, and have such other terms and conditions as determined by the Committee and reflected in the Award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481330</wp:posOffset>
            </wp:positionV>
            <wp:extent cx="7268210" cy="20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467" w:right="219" w:bottom="1440" w:gutter="0" w:footer="0" w:header="0"/>
        </w:sectPr>
      </w:pPr>
    </w:p>
    <w:bookmarkStart w:id="17" w:name="page18"/>
    <w:bookmarkEnd w:id="17"/>
    <w:p>
      <w:pPr>
        <w:jc w:val="center"/>
        <w:spacing w:after="0"/>
        <w:rPr>
          <w:sz w:val="20"/>
          <w:szCs w:val="20"/>
          <w:color w:val="auto"/>
        </w:rPr>
      </w:pPr>
      <w:r>
        <w:rPr>
          <w:rFonts w:ascii="Arial" w:cs="Arial" w:eastAsia="Arial" w:hAnsi="Arial"/>
          <w:sz w:val="16"/>
          <w:szCs w:val="16"/>
          <w:b w:val="1"/>
          <w:bCs w:val="1"/>
          <w:color w:val="auto"/>
        </w:rPr>
        <w:t>ARTICLE 10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RESTRICTED STOCK AND RESTRICTED STOCK UNIT AWARDS</w:t>
      </w:r>
    </w:p>
    <w:p>
      <w:pPr>
        <w:spacing w:after="0" w:line="209" w:lineRule="exact"/>
        <w:rPr>
          <w:sz w:val="20"/>
          <w:szCs w:val="20"/>
          <w:color w:val="auto"/>
        </w:rPr>
      </w:pPr>
    </w:p>
    <w:p>
      <w:pPr>
        <w:jc w:val="both"/>
        <w:ind w:right="20" w:firstLine="570"/>
        <w:spacing w:after="0" w:line="313" w:lineRule="auto"/>
        <w:rPr>
          <w:sz w:val="20"/>
          <w:szCs w:val="20"/>
          <w:color w:val="auto"/>
        </w:rPr>
      </w:pPr>
      <w:r>
        <w:rPr>
          <w:rFonts w:ascii="Arial" w:cs="Arial" w:eastAsia="Arial" w:hAnsi="Arial"/>
          <w:sz w:val="14"/>
          <w:szCs w:val="14"/>
          <w:color w:val="auto"/>
        </w:rPr>
        <w:t xml:space="preserve">10.1. </w:t>
      </w:r>
      <w:r>
        <w:rPr>
          <w:rFonts w:ascii="Arial" w:cs="Arial" w:eastAsia="Arial" w:hAnsi="Arial"/>
          <w:sz w:val="14"/>
          <w:szCs w:val="14"/>
          <w:i w:val="1"/>
          <w:iCs w:val="1"/>
          <w:color w:val="auto"/>
        </w:rPr>
        <w:t>GRANT OF RESTRICTED STOCK AND RESTRICTED STOCK UNITS.</w:t>
      </w:r>
      <w:r>
        <w:rPr>
          <w:rFonts w:ascii="Arial" w:cs="Arial" w:eastAsia="Arial" w:hAnsi="Arial"/>
          <w:sz w:val="14"/>
          <w:szCs w:val="14"/>
          <w:color w:val="auto"/>
        </w:rPr>
        <w:t xml:space="preserve"> Subject to the terms and conditions of this Article 10, the Committee is authorized to make Awards of Restricted Stock or Restricted Stock Units to Participants in such amounts and subject to such terms and conditions as may be selected by the Committee. An Award of Restricted Stock or Restricted Stock Units shall be evidenced by an Award Certificate setting forth the terms, conditions, and restrictions applicable to the Award.</w:t>
      </w:r>
    </w:p>
    <w:p>
      <w:pPr>
        <w:spacing w:after="0" w:line="154" w:lineRule="exact"/>
        <w:rPr>
          <w:sz w:val="20"/>
          <w:szCs w:val="20"/>
          <w:color w:val="auto"/>
        </w:rPr>
      </w:pPr>
    </w:p>
    <w:p>
      <w:pPr>
        <w:jc w:val="both"/>
        <w:ind w:firstLine="570"/>
        <w:spacing w:after="0" w:line="287" w:lineRule="auto"/>
        <w:rPr>
          <w:sz w:val="20"/>
          <w:szCs w:val="20"/>
          <w:color w:val="auto"/>
        </w:rPr>
      </w:pPr>
      <w:r>
        <w:rPr>
          <w:rFonts w:ascii="Arial" w:cs="Arial" w:eastAsia="Arial" w:hAnsi="Arial"/>
          <w:sz w:val="14"/>
          <w:szCs w:val="14"/>
          <w:color w:val="auto"/>
        </w:rPr>
        <w:t xml:space="preserve">10.2. </w:t>
      </w:r>
      <w:r>
        <w:rPr>
          <w:rFonts w:ascii="Arial" w:cs="Arial" w:eastAsia="Arial" w:hAnsi="Arial"/>
          <w:sz w:val="14"/>
          <w:szCs w:val="14"/>
          <w:i w:val="1"/>
          <w:iCs w:val="1"/>
          <w:color w:val="auto"/>
        </w:rPr>
        <w:t>ISSUANCE AND RESTRICTIONS.</w:t>
      </w:r>
      <w:r>
        <w:rPr>
          <w:rFonts w:ascii="Arial" w:cs="Arial" w:eastAsia="Arial" w:hAnsi="Arial"/>
          <w:sz w:val="14"/>
          <w:szCs w:val="14"/>
          <w:color w:val="auto"/>
        </w:rPr>
        <w:t xml:space="preserve"> Restricted Stock or Restricted Stock Units shall be subject to such restrictions on transferability and other restrictions as the Committee may impose (including, without limitation, limitations on the right to vote Restricted Stock or the right to receive dividends on the Restricted Stock); provided, however, at a minimum, all Restricted Stock and Restricted Stock Units shall be subject to the restrictions set forth in Section 14.4 for a period of no less than (a) one year from the date of award with respect to Restricted Stock or Restricted Stock Units subject to restrictions that lapse based upon satisfaction of performance goals, and (b) three years from the date of award with respect to Restricted Stock or Restricted Stock Units subject to time-based restrictions that lapse based upon one’s Continuous Status as a Participant. For avoidance of doubt, nothing in the foregoing shall preclude any applicable restriction, including those set forth in Section 14.4 hereof, from lapsing ratably, including, but not limited to, roughly annual increments over three years, with respect to the Restricted Stock or Restricted Stock Units referred to in Section 10.2(b). Moreover, nothing in the foregoing shall preclude or be interpreted to preclude Awards to Non-employee Directors from containing a period of restriction shorter than that set forth above. Finally, nothing in this Section 10.2 shall be deemed or interpreted to preclude the waiver, lapse or the acceleration of lapse, of any restrictions with respect to Restricted Stock or Restricted Stock Units in accordance with or as permitted by Sections 14.7 through Section 14.9, respectively, Article 15 or any other provision of the Plan. Subject to the remaining terms and conditions of the Plan, these restrictions may lapse separately or in combination at such times, under such circumstances, in such installments, upon the satisfaction of performance goals or otherwise, as the Committee determines at the time of the grant of the Award or thereafter. Except as otherwise provided in an Award Certificate or any special Plan document governing an Award, the Participant shall have all of the rights of a stockholder with respect to the Restricted Stock, and the Participant shall have none of the rights of a stockholder with respect to Restricted Stock Units until such time as Shares of Stock are paid in settlement of the Restricted Stock Units.</w:t>
      </w:r>
    </w:p>
    <w:p>
      <w:pPr>
        <w:spacing w:after="0" w:line="179" w:lineRule="exact"/>
        <w:rPr>
          <w:sz w:val="20"/>
          <w:szCs w:val="20"/>
          <w:color w:val="auto"/>
        </w:rPr>
      </w:pPr>
    </w:p>
    <w:p>
      <w:pPr>
        <w:jc w:val="both"/>
        <w:ind w:firstLine="570"/>
        <w:spacing w:after="0" w:line="274" w:lineRule="auto"/>
        <w:rPr>
          <w:sz w:val="20"/>
          <w:szCs w:val="20"/>
          <w:color w:val="auto"/>
        </w:rPr>
      </w:pPr>
      <w:r>
        <w:rPr>
          <w:rFonts w:ascii="Arial" w:cs="Arial" w:eastAsia="Arial" w:hAnsi="Arial"/>
          <w:sz w:val="15"/>
          <w:szCs w:val="15"/>
          <w:color w:val="auto"/>
        </w:rPr>
        <w:t xml:space="preserve">10.3. </w:t>
      </w:r>
      <w:r>
        <w:rPr>
          <w:rFonts w:ascii="Arial" w:cs="Arial" w:eastAsia="Arial" w:hAnsi="Arial"/>
          <w:sz w:val="15"/>
          <w:szCs w:val="15"/>
          <w:i w:val="1"/>
          <w:iCs w:val="1"/>
          <w:color w:val="auto"/>
        </w:rPr>
        <w:t>FORFEITURE.</w:t>
      </w:r>
      <w:r>
        <w:rPr>
          <w:rFonts w:ascii="Arial" w:cs="Arial" w:eastAsia="Arial" w:hAnsi="Arial"/>
          <w:sz w:val="15"/>
          <w:szCs w:val="15"/>
          <w:color w:val="auto"/>
        </w:rPr>
        <w:t xml:space="preserve"> Except as otherwise determined by the Committee at the time of the grant of the Award or thereafter, upon termination of Continuous Status as a Participant during the applicable restriction period or upon failure to satisfy a performance goal during the applicable restriction period, Restricted Stock or Restricted Stock Units that are at that time subject to restrictions shall be forfeited; provided, however, that the Committee may provide in any Award Certificate, subject to the terms and conditions of the Plan, that restrictions or forfeiture conditions relating to Restricted Stock or Restricted Stock Units will be waived in whole or in part in the event of terminations resulting from specified causes, including, but not limited to, death, Disability, or for the convenience or in the best interests of the Company.</w:t>
      </w:r>
    </w:p>
    <w:p>
      <w:pPr>
        <w:spacing w:after="0" w:line="179" w:lineRule="exact"/>
        <w:rPr>
          <w:sz w:val="20"/>
          <w:szCs w:val="20"/>
          <w:color w:val="auto"/>
        </w:rPr>
      </w:pPr>
    </w:p>
    <w:p>
      <w:pPr>
        <w:jc w:val="both"/>
        <w:ind w:firstLine="570"/>
        <w:spacing w:after="0" w:line="277" w:lineRule="auto"/>
        <w:rPr>
          <w:sz w:val="20"/>
          <w:szCs w:val="20"/>
          <w:color w:val="auto"/>
        </w:rPr>
      </w:pPr>
      <w:r>
        <w:rPr>
          <w:rFonts w:ascii="Arial" w:cs="Arial" w:eastAsia="Arial" w:hAnsi="Arial"/>
          <w:sz w:val="15"/>
          <w:szCs w:val="15"/>
          <w:color w:val="auto"/>
        </w:rPr>
        <w:t xml:space="preserve">10.4. </w:t>
      </w:r>
      <w:r>
        <w:rPr>
          <w:rFonts w:ascii="Arial" w:cs="Arial" w:eastAsia="Arial" w:hAnsi="Arial"/>
          <w:sz w:val="15"/>
          <w:szCs w:val="15"/>
          <w:i w:val="1"/>
          <w:iCs w:val="1"/>
          <w:color w:val="auto"/>
        </w:rPr>
        <w:t>DELIVERY OF RESTRICTED STOCK.</w:t>
      </w:r>
      <w:r>
        <w:rPr>
          <w:rFonts w:ascii="Arial" w:cs="Arial" w:eastAsia="Arial" w:hAnsi="Arial"/>
          <w:sz w:val="15"/>
          <w:szCs w:val="15"/>
          <w:color w:val="auto"/>
        </w:rPr>
        <w:t xml:space="preserve"> Shares of Restricted Stock shall be delivered to the Participant at the time of grant either by book-entry registration or by delivering to the Participant, or a custodian or escrow agent (including, without limitation, the Company or one or more of its employees) designated by the Committee, a stock certificate or certificates registered in the name of the Participant. If physical certificates representing shares of Restricted Stock are registered in the name of the Participant, such certificates must bear an appropriate legend referring to the terms, conditions, and restrictions applicable to such Restricted Stock.</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11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DEFERRED STOCK UNITS</w:t>
      </w:r>
    </w:p>
    <w:p>
      <w:pPr>
        <w:spacing w:after="0" w:line="209" w:lineRule="exact"/>
        <w:rPr>
          <w:sz w:val="20"/>
          <w:szCs w:val="20"/>
          <w:color w:val="auto"/>
        </w:rPr>
      </w:pPr>
    </w:p>
    <w:p>
      <w:pPr>
        <w:jc w:val="both"/>
        <w:ind w:firstLine="570"/>
        <w:spacing w:after="0" w:line="303" w:lineRule="auto"/>
        <w:rPr>
          <w:sz w:val="20"/>
          <w:szCs w:val="20"/>
          <w:color w:val="auto"/>
        </w:rPr>
      </w:pPr>
      <w:r>
        <w:rPr>
          <w:rFonts w:ascii="Arial" w:cs="Arial" w:eastAsia="Arial" w:hAnsi="Arial"/>
          <w:sz w:val="14"/>
          <w:szCs w:val="14"/>
          <w:color w:val="auto"/>
        </w:rPr>
        <w:t xml:space="preserve">11.1. </w:t>
      </w:r>
      <w:r>
        <w:rPr>
          <w:rFonts w:ascii="Arial" w:cs="Arial" w:eastAsia="Arial" w:hAnsi="Arial"/>
          <w:sz w:val="14"/>
          <w:szCs w:val="14"/>
          <w:i w:val="1"/>
          <w:iCs w:val="1"/>
          <w:color w:val="auto"/>
        </w:rPr>
        <w:t>GRANT OF DEFERRED STOCK UNITS.</w:t>
      </w:r>
      <w:r>
        <w:rPr>
          <w:rFonts w:ascii="Arial" w:cs="Arial" w:eastAsia="Arial" w:hAnsi="Arial"/>
          <w:sz w:val="14"/>
          <w:szCs w:val="14"/>
          <w:color w:val="auto"/>
        </w:rPr>
        <w:t xml:space="preserve"> The Committee is authorized to grant Deferred Stock Units to Participants subject to such terms and conditions as may be selected by the Committee. Deferred Stock Units shall entitle the Participant to receive Shares of Stock (or the equivalent value in cash or other property if so determined by the Committee) at a future time as determined by the Committee, or as determined by the Participant within guidelines established by the Committee in the case of voluntary deferral elections. An Award of Deferred Stock Units shall be evidenced by an Award Certificate setting forth the terms and conditions applicable to the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469900</wp:posOffset>
            </wp:positionV>
            <wp:extent cx="7268210" cy="20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467" w:right="219" w:bottom="1440" w:gutter="0" w:footer="0" w:header="0"/>
        </w:sectPr>
      </w:pPr>
    </w:p>
    <w:bookmarkStart w:id="18" w:name="page19"/>
    <w:bookmarkEnd w:id="18"/>
    <w:p>
      <w:pPr>
        <w:jc w:val="center"/>
        <w:spacing w:after="0"/>
        <w:rPr>
          <w:sz w:val="20"/>
          <w:szCs w:val="20"/>
          <w:color w:val="auto"/>
        </w:rPr>
      </w:pPr>
      <w:r>
        <w:rPr>
          <w:rFonts w:ascii="Arial" w:cs="Arial" w:eastAsia="Arial" w:hAnsi="Arial"/>
          <w:sz w:val="16"/>
          <w:szCs w:val="16"/>
          <w:b w:val="1"/>
          <w:bCs w:val="1"/>
          <w:color w:val="auto"/>
        </w:rPr>
        <w:t>ARTICLE 12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DIVIDEND EQUIVALENTS</w:t>
      </w:r>
    </w:p>
    <w:p>
      <w:pPr>
        <w:spacing w:after="0" w:line="209" w:lineRule="exact"/>
        <w:rPr>
          <w:sz w:val="20"/>
          <w:szCs w:val="20"/>
          <w:color w:val="auto"/>
        </w:rPr>
      </w:pPr>
    </w:p>
    <w:p>
      <w:pPr>
        <w:jc w:val="both"/>
        <w:ind w:firstLine="570"/>
        <w:spacing w:after="0" w:line="272" w:lineRule="auto"/>
        <w:rPr>
          <w:sz w:val="20"/>
          <w:szCs w:val="20"/>
          <w:color w:val="auto"/>
        </w:rPr>
      </w:pPr>
      <w:r>
        <w:rPr>
          <w:rFonts w:ascii="Arial" w:cs="Arial" w:eastAsia="Arial" w:hAnsi="Arial"/>
          <w:sz w:val="15"/>
          <w:szCs w:val="15"/>
          <w:color w:val="auto"/>
        </w:rPr>
        <w:t xml:space="preserve">12.1. </w:t>
      </w:r>
      <w:r>
        <w:rPr>
          <w:rFonts w:ascii="Arial" w:cs="Arial" w:eastAsia="Arial" w:hAnsi="Arial"/>
          <w:sz w:val="15"/>
          <w:szCs w:val="15"/>
          <w:i w:val="1"/>
          <w:iCs w:val="1"/>
          <w:color w:val="auto"/>
        </w:rPr>
        <w:t>GRANT OF DIVIDEND EQUIVALENTS.</w:t>
      </w:r>
      <w:r>
        <w:rPr>
          <w:rFonts w:ascii="Arial" w:cs="Arial" w:eastAsia="Arial" w:hAnsi="Arial"/>
          <w:sz w:val="15"/>
          <w:szCs w:val="15"/>
          <w:color w:val="auto"/>
        </w:rPr>
        <w:t xml:space="preserve"> The Committee is authorized to grant Dividend Equivalents to Participants subject to such terms and conditions as may be selected by the Committee. Dividend Equivalents shall entitle the Participant to receive payments equal to dividends with respect to all or a portion of the number of Shares subject to an Award, as determined by the Committee. The Committee may provide that Dividend Equivalents be paid or distributed when accrued or be deemed to have been reinvested in additional Shares, or otherwise reinvested. Unless otherwise provided in the applicable Award Certificate, Dividend Equivalents will be paid or distributed no later than the 15th day of the 3rd month following the later of (i) the calendar year in which the corresponding dividends were paid to shareholders, or (ii) the first calendar year in which the Participant’s right to such Dividends Equivalents is no longer subject to a substantial risk of forfeiture.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13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STOCK OR OTHER STOCK-BASED AWARDS</w:t>
      </w:r>
    </w:p>
    <w:p>
      <w:pPr>
        <w:spacing w:after="0" w:line="209" w:lineRule="exact"/>
        <w:rPr>
          <w:sz w:val="20"/>
          <w:szCs w:val="20"/>
          <w:color w:val="auto"/>
        </w:rPr>
      </w:pPr>
    </w:p>
    <w:p>
      <w:pPr>
        <w:jc w:val="both"/>
        <w:ind w:firstLine="570"/>
        <w:spacing w:after="0" w:line="274" w:lineRule="auto"/>
        <w:rPr>
          <w:sz w:val="20"/>
          <w:szCs w:val="20"/>
          <w:color w:val="auto"/>
        </w:rPr>
      </w:pPr>
      <w:r>
        <w:rPr>
          <w:rFonts w:ascii="Arial" w:cs="Arial" w:eastAsia="Arial" w:hAnsi="Arial"/>
          <w:sz w:val="15"/>
          <w:szCs w:val="15"/>
          <w:color w:val="auto"/>
        </w:rPr>
        <w:t xml:space="preserve">13.1. </w:t>
      </w:r>
      <w:r>
        <w:rPr>
          <w:rFonts w:ascii="Arial" w:cs="Arial" w:eastAsia="Arial" w:hAnsi="Arial"/>
          <w:sz w:val="15"/>
          <w:szCs w:val="15"/>
          <w:i w:val="1"/>
          <w:iCs w:val="1"/>
          <w:color w:val="auto"/>
        </w:rPr>
        <w:t>GRANT OF STOCK OR OTHER STOCK-BASED AWARDS.</w:t>
      </w:r>
      <w:r>
        <w:rPr>
          <w:rFonts w:ascii="Arial" w:cs="Arial" w:eastAsia="Arial" w:hAnsi="Arial"/>
          <w:sz w:val="15"/>
          <w:szCs w:val="15"/>
          <w:color w:val="auto"/>
        </w:rPr>
        <w:t xml:space="preserve"> The Committee is authorized, subject to limitations under applicable law, to grant to Participants such other Awards that are payable in, valued in whole or in part by reference to, or otherwise based on or related to Shares, as deemed by the Committee to be consistent with the purposes of the Plan, including without limitation Shares awarded purely as a “bonus” and not subject to any restrictions or conditions, convertible or exchangeable debt securities, other rights convertible or exchangeable into Shares, and Awards valued by reference to book value of Shares or the value of securities of or the performance of specified Parents or Subsidiaries. The Committee shall determine the terms and conditions of such Awards.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14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PROVISIONS APPLICABLE TO AWARDS</w:t>
      </w:r>
    </w:p>
    <w:p>
      <w:pPr>
        <w:spacing w:after="0" w:line="209" w:lineRule="exact"/>
        <w:rPr>
          <w:sz w:val="20"/>
          <w:szCs w:val="20"/>
          <w:color w:val="auto"/>
        </w:rPr>
      </w:pPr>
    </w:p>
    <w:p>
      <w:pPr>
        <w:jc w:val="both"/>
        <w:ind w:firstLine="570"/>
        <w:spacing w:after="0" w:line="259" w:lineRule="auto"/>
        <w:rPr>
          <w:sz w:val="20"/>
          <w:szCs w:val="20"/>
          <w:color w:val="auto"/>
        </w:rPr>
      </w:pPr>
      <w:r>
        <w:rPr>
          <w:rFonts w:ascii="Arial" w:cs="Arial" w:eastAsia="Arial" w:hAnsi="Arial"/>
          <w:sz w:val="16"/>
          <w:szCs w:val="16"/>
          <w:color w:val="auto"/>
        </w:rPr>
        <w:t xml:space="preserve">14.1. </w:t>
      </w:r>
      <w:r>
        <w:rPr>
          <w:rFonts w:ascii="Arial" w:cs="Arial" w:eastAsia="Arial" w:hAnsi="Arial"/>
          <w:sz w:val="16"/>
          <w:szCs w:val="16"/>
          <w:i w:val="1"/>
          <w:iCs w:val="1"/>
          <w:color w:val="auto"/>
        </w:rPr>
        <w:t>STAND-ALONE AND TANDEM AWARDS.</w:t>
      </w:r>
      <w:r>
        <w:rPr>
          <w:rFonts w:ascii="Arial" w:cs="Arial" w:eastAsia="Arial" w:hAnsi="Arial"/>
          <w:sz w:val="16"/>
          <w:szCs w:val="16"/>
          <w:color w:val="auto"/>
        </w:rPr>
        <w:t xml:space="preserve"> Awards granted under the Plan may, in the discretion of the Committee, be granted either alone or in addition to, in tandem with, any other Award granted under the Plan. Subject to Section 16.2, awards granted in addition to or in tandem with other Awards may be granted either at the same time as or at a different time from the grant of such other Awards.</w:t>
      </w:r>
    </w:p>
    <w:p>
      <w:pPr>
        <w:spacing w:after="0" w:line="188" w:lineRule="exact"/>
        <w:rPr>
          <w:sz w:val="20"/>
          <w:szCs w:val="20"/>
          <w:color w:val="auto"/>
        </w:rPr>
      </w:pPr>
    </w:p>
    <w:p>
      <w:pPr>
        <w:jc w:val="both"/>
        <w:ind w:right="20" w:firstLine="570"/>
        <w:spacing w:after="0" w:line="259" w:lineRule="auto"/>
        <w:rPr>
          <w:sz w:val="20"/>
          <w:szCs w:val="20"/>
          <w:color w:val="auto"/>
        </w:rPr>
      </w:pPr>
      <w:r>
        <w:rPr>
          <w:rFonts w:ascii="Arial" w:cs="Arial" w:eastAsia="Arial" w:hAnsi="Arial"/>
          <w:sz w:val="16"/>
          <w:szCs w:val="16"/>
          <w:color w:val="auto"/>
        </w:rPr>
        <w:t xml:space="preserve">14.2. </w:t>
      </w:r>
      <w:r>
        <w:rPr>
          <w:rFonts w:ascii="Arial" w:cs="Arial" w:eastAsia="Arial" w:hAnsi="Arial"/>
          <w:sz w:val="16"/>
          <w:szCs w:val="16"/>
          <w:i w:val="1"/>
          <w:iCs w:val="1"/>
          <w:color w:val="auto"/>
        </w:rPr>
        <w:t>TERM OF AWARD.</w:t>
      </w:r>
      <w:r>
        <w:rPr>
          <w:rFonts w:ascii="Arial" w:cs="Arial" w:eastAsia="Arial" w:hAnsi="Arial"/>
          <w:sz w:val="16"/>
          <w:szCs w:val="16"/>
          <w:color w:val="auto"/>
        </w:rPr>
        <w:t xml:space="preserve"> The term of each Award shall be for the period as determined by the Committee, provided that in no event shall the term of any Incentive Stock Option or a Stock Appreciation Right granted in tandem with the Incentive Stock Option exceed a period of ten years from its Grant Date (or, if Section 7.2(d) applies, five years from its Grant Date).</w:t>
      </w:r>
    </w:p>
    <w:p>
      <w:pPr>
        <w:spacing w:after="0" w:line="188" w:lineRule="exact"/>
        <w:rPr>
          <w:sz w:val="20"/>
          <w:szCs w:val="20"/>
          <w:color w:val="auto"/>
        </w:rPr>
      </w:pPr>
    </w:p>
    <w:p>
      <w:pPr>
        <w:jc w:val="both"/>
        <w:ind w:firstLine="570"/>
        <w:spacing w:after="0" w:line="277" w:lineRule="auto"/>
        <w:rPr>
          <w:sz w:val="20"/>
          <w:szCs w:val="20"/>
          <w:color w:val="auto"/>
        </w:rPr>
      </w:pPr>
      <w:r>
        <w:rPr>
          <w:rFonts w:ascii="Arial" w:cs="Arial" w:eastAsia="Arial" w:hAnsi="Arial"/>
          <w:sz w:val="15"/>
          <w:szCs w:val="15"/>
          <w:color w:val="auto"/>
        </w:rPr>
        <w:t xml:space="preserve">14.3. </w:t>
      </w:r>
      <w:r>
        <w:rPr>
          <w:rFonts w:ascii="Arial" w:cs="Arial" w:eastAsia="Arial" w:hAnsi="Arial"/>
          <w:sz w:val="15"/>
          <w:szCs w:val="15"/>
          <w:i w:val="1"/>
          <w:iCs w:val="1"/>
          <w:color w:val="auto"/>
        </w:rPr>
        <w:t>FORM OF PAYMENT FOR AWARDS.</w:t>
      </w:r>
      <w:r>
        <w:rPr>
          <w:rFonts w:ascii="Arial" w:cs="Arial" w:eastAsia="Arial" w:hAnsi="Arial"/>
          <w:sz w:val="15"/>
          <w:szCs w:val="15"/>
          <w:color w:val="auto"/>
        </w:rPr>
        <w:t xml:space="preserve"> Subject to the terms of the Plan and any applicable law or Award Certificate, payments or transfers to be made by the Company or an Affiliate on the grant or exercise of an Award may be made in such form as the Committee determines at or after the Grant Date, including without limitation, cash, Stock, other Awards, or other property, or any combination, and may be made in a single payment or transfer, in installments, or (except with respect to Options or SARs) on a deferred basis, in each case determined in accordance with rules adopted by, and at the discretion of, the Committee.</w:t>
      </w:r>
    </w:p>
    <w:p>
      <w:pPr>
        <w:spacing w:after="0" w:line="178" w:lineRule="exact"/>
        <w:rPr>
          <w:sz w:val="20"/>
          <w:szCs w:val="20"/>
          <w:color w:val="auto"/>
        </w:rPr>
      </w:pPr>
    </w:p>
    <w:p>
      <w:pPr>
        <w:jc w:val="both"/>
        <w:ind w:right="20" w:firstLine="570"/>
        <w:spacing w:after="0" w:line="293" w:lineRule="auto"/>
        <w:rPr>
          <w:sz w:val="20"/>
          <w:szCs w:val="20"/>
          <w:color w:val="auto"/>
        </w:rPr>
      </w:pPr>
      <w:r>
        <w:rPr>
          <w:rFonts w:ascii="Arial" w:cs="Arial" w:eastAsia="Arial" w:hAnsi="Arial"/>
          <w:sz w:val="14"/>
          <w:szCs w:val="14"/>
          <w:color w:val="auto"/>
        </w:rPr>
        <w:t xml:space="preserve">14.4. </w:t>
      </w:r>
      <w:r>
        <w:rPr>
          <w:rFonts w:ascii="Arial" w:cs="Arial" w:eastAsia="Arial" w:hAnsi="Arial"/>
          <w:sz w:val="14"/>
          <w:szCs w:val="14"/>
          <w:i w:val="1"/>
          <w:iCs w:val="1"/>
          <w:color w:val="auto"/>
        </w:rPr>
        <w:t>LIMITS ON TRANSFER.</w:t>
      </w:r>
      <w:r>
        <w:rPr>
          <w:rFonts w:ascii="Arial" w:cs="Arial" w:eastAsia="Arial" w:hAnsi="Arial"/>
          <w:sz w:val="14"/>
          <w:szCs w:val="14"/>
          <w:color w:val="auto"/>
        </w:rPr>
        <w:t xml:space="preserve"> No right or interest of a Participant in any unexercised or restricted Award may be pledged, encumbered, or hypothecated to or in favor of any party other than the Company or an Affiliate, or shall be subject to any lien, obligation, or liability of such Participant to any other party other than the Company or an Affiliate. No unexercised or restricted Award shall be assignable or transferable by a Participant other than by will or the laws of descent and distribution or, except in the case of an Incentive Stock Option, pursuant to a domestic relations order that would satisfy Section 414(p)(1)(A) of the Code if such Section applied to an Award under the Plan; provided, however, that the Committee may (but need not) permit other transfers (other than transfers for value) where the Committee concludes that such transferability (i) does not result in accelerated taxation, (ii) does not cause any Option intended to be an Incentive Stock Option to fail to so qualify, and (iii) is otherwise appropriate and desirable, taking into account any factors deemed relevant, including without limitation, state or federal tax or securities laws applicable to transferable Awards.</w:t>
      </w:r>
    </w:p>
    <w:p>
      <w:pPr>
        <w:spacing w:after="0" w:line="168" w:lineRule="exact"/>
        <w:rPr>
          <w:sz w:val="20"/>
          <w:szCs w:val="20"/>
          <w:color w:val="auto"/>
        </w:rPr>
      </w:pPr>
    </w:p>
    <w:p>
      <w:pPr>
        <w:jc w:val="both"/>
        <w:ind w:firstLine="570"/>
        <w:spacing w:after="0" w:line="284" w:lineRule="auto"/>
        <w:rPr>
          <w:sz w:val="20"/>
          <w:szCs w:val="20"/>
          <w:color w:val="auto"/>
        </w:rPr>
      </w:pPr>
      <w:r>
        <w:rPr>
          <w:rFonts w:ascii="Arial" w:cs="Arial" w:eastAsia="Arial" w:hAnsi="Arial"/>
          <w:sz w:val="15"/>
          <w:szCs w:val="15"/>
          <w:color w:val="auto"/>
        </w:rPr>
        <w:t xml:space="preserve">14.5. </w:t>
      </w:r>
      <w:r>
        <w:rPr>
          <w:rFonts w:ascii="Arial" w:cs="Arial" w:eastAsia="Arial" w:hAnsi="Arial"/>
          <w:sz w:val="15"/>
          <w:szCs w:val="15"/>
          <w:i w:val="1"/>
          <w:iCs w:val="1"/>
          <w:color w:val="auto"/>
        </w:rPr>
        <w:t>BENEFICIARIES.</w:t>
      </w:r>
      <w:r>
        <w:rPr>
          <w:rFonts w:ascii="Arial" w:cs="Arial" w:eastAsia="Arial" w:hAnsi="Arial"/>
          <w:sz w:val="15"/>
          <w:szCs w:val="15"/>
          <w:color w:val="auto"/>
        </w:rPr>
        <w:t xml:space="preserve"> Notwithstanding Section 14.4, a Participant may, in the manner determined by the Committee, designate a beneficiary to exercise the rights of the Participant and to receive any distribution with respect to any Award upon the Participant’s death. A beneficiary, legal guardian, legal representative, or other person claiming any rights under the Plan is subject to all terms and conditions of the Plan and any Award Certificate applicable to the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268210" cy="20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467" w:right="219" w:bottom="1440" w:gutter="0" w:footer="0" w:header="0"/>
        </w:sectPr>
      </w:pPr>
    </w:p>
    <w:bookmarkStart w:id="19" w:name="page20"/>
    <w:bookmarkEnd w:id="19"/>
    <w:p>
      <w:pPr>
        <w:jc w:val="both"/>
        <w:ind w:left="5" w:right="20"/>
        <w:spacing w:after="0" w:line="259" w:lineRule="auto"/>
        <w:rPr>
          <w:sz w:val="20"/>
          <w:szCs w:val="20"/>
          <w:color w:val="auto"/>
        </w:rPr>
      </w:pPr>
      <w:r>
        <w:rPr>
          <w:rFonts w:ascii="Arial" w:cs="Arial" w:eastAsia="Arial" w:hAnsi="Arial"/>
          <w:sz w:val="16"/>
          <w:szCs w:val="16"/>
          <w:color w:val="auto"/>
        </w:rPr>
        <w:t>except to the extent the Plan and Award Certificate otherwise provide, and to any additional restrictions deemed necessary or appropriate by the Committee. If no beneficiary has been designated or survives the Participant, payment shall be made to the Participant’s estate. Subject to the foregoing, a beneficiary designation may be changed or revoked by a Participant at any time provided the change or revocation is filed with the Committee.</w:t>
      </w:r>
    </w:p>
    <w:p>
      <w:pPr>
        <w:spacing w:after="0" w:line="188" w:lineRule="exact"/>
        <w:rPr>
          <w:sz w:val="20"/>
          <w:szCs w:val="20"/>
          <w:color w:val="auto"/>
        </w:rPr>
      </w:pPr>
    </w:p>
    <w:p>
      <w:pPr>
        <w:jc w:val="both"/>
        <w:ind w:left="5" w:right="20" w:firstLine="570"/>
        <w:spacing w:after="0" w:line="313" w:lineRule="auto"/>
        <w:rPr>
          <w:sz w:val="20"/>
          <w:szCs w:val="20"/>
          <w:color w:val="auto"/>
        </w:rPr>
      </w:pPr>
      <w:r>
        <w:rPr>
          <w:rFonts w:ascii="Arial" w:cs="Arial" w:eastAsia="Arial" w:hAnsi="Arial"/>
          <w:sz w:val="14"/>
          <w:szCs w:val="14"/>
          <w:color w:val="auto"/>
        </w:rPr>
        <w:t xml:space="preserve">14.6. </w:t>
      </w:r>
      <w:r>
        <w:rPr>
          <w:rFonts w:ascii="Arial" w:cs="Arial" w:eastAsia="Arial" w:hAnsi="Arial"/>
          <w:sz w:val="14"/>
          <w:szCs w:val="14"/>
          <w:i w:val="1"/>
          <w:iCs w:val="1"/>
          <w:color w:val="auto"/>
        </w:rPr>
        <w:t>STOCK CERTIFICATES.</w:t>
      </w:r>
      <w:r>
        <w:rPr>
          <w:rFonts w:ascii="Arial" w:cs="Arial" w:eastAsia="Arial" w:hAnsi="Arial"/>
          <w:sz w:val="14"/>
          <w:szCs w:val="14"/>
          <w:color w:val="auto"/>
        </w:rPr>
        <w:t xml:space="preserve"> All Stock issuable under the Plan is subject to any stop-transfer orders and other restrictions as the Committee deems necessary or advisable to comply with federal or state securities laws, rules and regulations and the rules of any national securities exchange or automated quotation system on which the Stock is listed, quoted, or traded. The Committee may place legends on any Stock certificate or issue instructions to the transfer agent to reference restrictions applicable to the Stock.</w:t>
      </w:r>
    </w:p>
    <w:p>
      <w:pPr>
        <w:spacing w:after="0" w:line="154" w:lineRule="exact"/>
        <w:rPr>
          <w:sz w:val="20"/>
          <w:szCs w:val="20"/>
          <w:color w:val="auto"/>
        </w:rPr>
      </w:pPr>
    </w:p>
    <w:p>
      <w:pPr>
        <w:jc w:val="both"/>
        <w:ind w:left="5" w:right="20" w:firstLine="570"/>
        <w:spacing w:after="0" w:line="251" w:lineRule="auto"/>
        <w:rPr>
          <w:sz w:val="20"/>
          <w:szCs w:val="20"/>
          <w:color w:val="auto"/>
        </w:rPr>
      </w:pPr>
      <w:r>
        <w:rPr>
          <w:rFonts w:ascii="Arial" w:cs="Arial" w:eastAsia="Arial" w:hAnsi="Arial"/>
          <w:sz w:val="16"/>
          <w:szCs w:val="16"/>
          <w:color w:val="auto"/>
        </w:rPr>
        <w:t xml:space="preserve">14.7. </w:t>
      </w:r>
      <w:r>
        <w:rPr>
          <w:rFonts w:ascii="Arial" w:cs="Arial" w:eastAsia="Arial" w:hAnsi="Arial"/>
          <w:sz w:val="16"/>
          <w:szCs w:val="16"/>
          <w:i w:val="1"/>
          <w:iCs w:val="1"/>
          <w:color w:val="auto"/>
        </w:rPr>
        <w:t>ACCELERATION UPON A CHANGE IN CONTROL.</w:t>
      </w:r>
      <w:r>
        <w:rPr>
          <w:rFonts w:ascii="Arial" w:cs="Arial" w:eastAsia="Arial" w:hAnsi="Arial"/>
          <w:sz w:val="16"/>
          <w:szCs w:val="16"/>
          <w:color w:val="auto"/>
        </w:rPr>
        <w:t xml:space="preserve"> Except as otherwise provided in the Award Certificate or any special Plan document governing an Award, upon the occurrence of a Change in Control, all outstanding Options, SARs, and other Awards in the nature of rights that may be exercised shall become fully exercisable, and all time-based vesting restrictions on outstanding Awards shall lapse. Except as otherwise provided in the Award Certificate or any special Plan document governing an Award, upon the occurrence of a Change in Control, the target payout opportunities attainable under all outstanding performance-based Awards shall be deemed to have been fully earned as of the effective date of the Change in Control based upon an assumed achievement of all relevant performance goals at the “target” level and there shall be prorata payout to Participants within thirty (30) days following the effective date of the Change in Control based upon the length of time within the performance period that has elapsed prior to the Change in Control.</w:t>
      </w:r>
    </w:p>
    <w:p>
      <w:pPr>
        <w:spacing w:after="0" w:line="197" w:lineRule="exact"/>
        <w:rPr>
          <w:sz w:val="20"/>
          <w:szCs w:val="20"/>
          <w:color w:val="auto"/>
        </w:rPr>
      </w:pPr>
    </w:p>
    <w:p>
      <w:pPr>
        <w:jc w:val="both"/>
        <w:ind w:left="5" w:firstLine="570"/>
        <w:spacing w:after="0" w:line="270" w:lineRule="auto"/>
        <w:rPr>
          <w:sz w:val="20"/>
          <w:szCs w:val="20"/>
          <w:color w:val="auto"/>
        </w:rPr>
      </w:pPr>
      <w:r>
        <w:rPr>
          <w:rFonts w:ascii="Arial" w:cs="Arial" w:eastAsia="Arial" w:hAnsi="Arial"/>
          <w:sz w:val="15"/>
          <w:szCs w:val="15"/>
          <w:color w:val="auto"/>
        </w:rPr>
        <w:t xml:space="preserve">14.8 </w:t>
      </w:r>
      <w:r>
        <w:rPr>
          <w:rFonts w:ascii="Arial" w:cs="Arial" w:eastAsia="Arial" w:hAnsi="Arial"/>
          <w:sz w:val="15"/>
          <w:szCs w:val="15"/>
          <w:i w:val="1"/>
          <w:iCs w:val="1"/>
          <w:color w:val="auto"/>
        </w:rPr>
        <w:t>ACCELERATION UPON DEATH OR DISABILITY.</w:t>
      </w:r>
      <w:r>
        <w:rPr>
          <w:rFonts w:ascii="Arial" w:cs="Arial" w:eastAsia="Arial" w:hAnsi="Arial"/>
          <w:sz w:val="15"/>
          <w:szCs w:val="15"/>
          <w:color w:val="auto"/>
        </w:rPr>
        <w:t xml:space="preserve"> Except as otherwise provided in the Award Certificate or any special Plan document governing an Award, upon the Participant’s death or Disability during his or her Continuous Status as a Participant, (i) all of such Participant’s outstanding Options, SARs, and other Awards in the nature of rights that may be exercised shall become fully exercisable, (ii) all time-based vesting restrictions on the Participant’s outstanding Awards shall lapse, and (iii) the target payout opportunities attainable under all of such Participant’s outstanding performance-based Awards shall be deemed to have been fully earned as of the date of termination based upon an assumed achievement of all relevant performance goals at the “target” level and there shall be a prorata payout to the Participant or his or her estate within thirty (30) days following the date of termination based upon the length of time within the performance period that has elapsed prior to the date of termination. Any Awards shall thereafter continue or lapse in accordance with the other provisions of the Plan and the Awards Certificate. To the extent that this provision causes Incentive Stock Options to exceed the dollar limitation set forth in Section 7.2(c), the excess Options shall be deemed to be Nonstatutory Stock Options.</w:t>
      </w:r>
    </w:p>
    <w:p>
      <w:pPr>
        <w:spacing w:after="0" w:line="182" w:lineRule="exact"/>
        <w:rPr>
          <w:sz w:val="20"/>
          <w:szCs w:val="20"/>
          <w:color w:val="auto"/>
        </w:rPr>
      </w:pPr>
    </w:p>
    <w:p>
      <w:pPr>
        <w:jc w:val="both"/>
        <w:ind w:left="5" w:firstLine="570"/>
        <w:spacing w:after="0" w:line="268" w:lineRule="auto"/>
        <w:rPr>
          <w:sz w:val="20"/>
          <w:szCs w:val="20"/>
          <w:color w:val="auto"/>
        </w:rPr>
      </w:pPr>
      <w:r>
        <w:rPr>
          <w:rFonts w:ascii="Arial" w:cs="Arial" w:eastAsia="Arial" w:hAnsi="Arial"/>
          <w:sz w:val="15"/>
          <w:szCs w:val="15"/>
          <w:color w:val="auto"/>
        </w:rPr>
        <w:t xml:space="preserve">14.9. </w:t>
      </w:r>
      <w:r>
        <w:rPr>
          <w:rFonts w:ascii="Arial" w:cs="Arial" w:eastAsia="Arial" w:hAnsi="Arial"/>
          <w:sz w:val="15"/>
          <w:szCs w:val="15"/>
          <w:i w:val="1"/>
          <w:iCs w:val="1"/>
          <w:color w:val="auto"/>
        </w:rPr>
        <w:t>ACCELERATION FOR ANY OTHER REASON.</w:t>
      </w:r>
      <w:r>
        <w:rPr>
          <w:rFonts w:ascii="Arial" w:cs="Arial" w:eastAsia="Arial" w:hAnsi="Arial"/>
          <w:sz w:val="15"/>
          <w:szCs w:val="15"/>
          <w:color w:val="auto"/>
        </w:rPr>
        <w:t xml:space="preserve"> Regardless of whether an event has occurred as described in Section 14.7 or 14.8 above, and subject to Section 14.11 as to Qualified Performance-Based Awards, the Committee may in its sole discretion at any time determine that all or a portion of a Participant’s Options, SARs, and other Awards in the nature of rights that may be exercised shall become fully or partially exercisable, that all or a part of the time-based vesting restrictions on all or a portion of the outstanding Awards shall lapse, and/or that any performance-based criteria with respect to any Awards shall be deemed to be wholly or partially satisfied, in each case, as of such date as the Committee may, in its sole discretion, declare; provided, however, the Committee shall not exercise such discretion with respect to Full Value Awards comprised of Shares of Restricted Stock or Restricted Stock Units which, in the aggregate, exceed five percent (5%) of the aggregate number of Shares reserved and available for issuance pursuant to Awards granted under the Plan; provided, further, that when calculating whether the five percent (5%) maximum has been reached, the Committee shall not count or consider any Shares of Restricted Stock or Restricted Stock Units granted to Non-Employee Directors or regarding which the Committee accelerated vesting rights, waived restrictions or determined performance-based criteria had been satisfied resulting from an event described in Section 14.7, 24.8. Article 15, a Participant’s termination of employment or separation from service resulting from death, Disability or for the convenience or in the bests interests of the Company. The Committee may discriminate among Participants and among Awards granted to a Participant in exercising its discretion pursuant to this Section 14.9.</w:t>
      </w:r>
    </w:p>
    <w:p>
      <w:pPr>
        <w:spacing w:after="0" w:line="186" w:lineRule="exact"/>
        <w:rPr>
          <w:sz w:val="20"/>
          <w:szCs w:val="20"/>
          <w:color w:val="auto"/>
        </w:rPr>
      </w:pPr>
    </w:p>
    <w:p>
      <w:pPr>
        <w:ind w:left="565"/>
        <w:spacing w:after="0"/>
        <w:rPr>
          <w:sz w:val="20"/>
          <w:szCs w:val="20"/>
          <w:color w:val="auto"/>
        </w:rPr>
      </w:pPr>
      <w:r>
        <w:rPr>
          <w:rFonts w:ascii="Arial" w:cs="Arial" w:eastAsia="Arial" w:hAnsi="Arial"/>
          <w:sz w:val="14"/>
          <w:szCs w:val="14"/>
          <w:color w:val="auto"/>
        </w:rPr>
        <w:t xml:space="preserve">14.10. </w:t>
      </w:r>
      <w:r>
        <w:rPr>
          <w:rFonts w:ascii="Arial" w:cs="Arial" w:eastAsia="Arial" w:hAnsi="Arial"/>
          <w:sz w:val="14"/>
          <w:szCs w:val="14"/>
          <w:i w:val="1"/>
          <w:iCs w:val="1"/>
          <w:color w:val="auto"/>
        </w:rPr>
        <w:t>EFFECT OF ACCELERATION.</w:t>
      </w:r>
      <w:r>
        <w:rPr>
          <w:rFonts w:ascii="Arial" w:cs="Arial" w:eastAsia="Arial" w:hAnsi="Arial"/>
          <w:sz w:val="14"/>
          <w:szCs w:val="14"/>
          <w:color w:val="auto"/>
        </w:rPr>
        <w:t xml:space="preserve"> If an Award is accelerated under Section 14.7, Section 14.8 or Section 14.9, the Committee may, in its sole discretion, provide</w:t>
      </w:r>
    </w:p>
    <w:p>
      <w:pPr>
        <w:spacing w:after="0" w:line="40" w:lineRule="exact"/>
        <w:rPr>
          <w:sz w:val="20"/>
          <w:szCs w:val="20"/>
          <w:color w:val="auto"/>
        </w:rPr>
      </w:pPr>
    </w:p>
    <w:p>
      <w:pPr>
        <w:ind w:left="205" w:hanging="205"/>
        <w:spacing w:after="0"/>
        <w:tabs>
          <w:tab w:leader="none" w:pos="205"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that the Award will expire after a designated period of time after such acceleration to the extent not then exercised, (ii) that the Award will be settled in cash rather than Stock,</w:t>
      </w:r>
    </w:p>
    <w:p>
      <w:pPr>
        <w:spacing w:after="0" w:line="29" w:lineRule="exact"/>
        <w:rPr>
          <w:rFonts w:ascii="Arial" w:cs="Arial" w:eastAsia="Arial" w:hAnsi="Arial"/>
          <w:sz w:val="14"/>
          <w:szCs w:val="14"/>
          <w:color w:val="auto"/>
        </w:rPr>
      </w:pPr>
    </w:p>
    <w:p>
      <w:pPr>
        <w:jc w:val="both"/>
        <w:ind w:left="5" w:hanging="5"/>
        <w:spacing w:after="0" w:line="270" w:lineRule="auto"/>
        <w:tabs>
          <w:tab w:leader="none" w:pos="297"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that the Award will be assumed by another party to a transaction giving rise to the acceleration or otherwise be equitably converted or substituted in connection with such transaction, (iv) that the Award may be settled by payment in cash or cash equivalents equal to the excess of the Fair Market Value of the underlying Stock, as of a specified date associated with the transaction, over the exercise price of the Award, or (v) any combination of the foregoing. The Committee’s determination need not be uniform and may be different for different Participants whether or not such Participants are similarly situated. To the extent that such acceleration causes Incentive Stock Options to exceed the dollar limitation set forth in Section 7.2(c), the excess Options shall be deemed to be Nonstatutory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483235</wp:posOffset>
            </wp:positionV>
            <wp:extent cx="7268210" cy="20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5"/>
          </w:cols>
          <w:pgMar w:left="235" w:top="531" w:right="219" w:bottom="1440" w:gutter="0" w:footer="0" w:header="0"/>
        </w:sectPr>
      </w:pPr>
    </w:p>
    <w:bookmarkStart w:id="20" w:name="page21"/>
    <w:bookmarkEnd w:id="20"/>
    <w:p>
      <w:pPr>
        <w:spacing w:after="0"/>
        <w:rPr>
          <w:sz w:val="20"/>
          <w:szCs w:val="20"/>
          <w:color w:val="auto"/>
        </w:rPr>
      </w:pPr>
      <w:r>
        <w:rPr>
          <w:rFonts w:ascii="Arial" w:cs="Arial" w:eastAsia="Arial" w:hAnsi="Arial"/>
          <w:sz w:val="16"/>
          <w:szCs w:val="16"/>
          <w:color w:val="auto"/>
        </w:rPr>
        <w:t xml:space="preserve">14.11. </w:t>
      </w:r>
      <w:r>
        <w:rPr>
          <w:rFonts w:ascii="Arial" w:cs="Arial" w:eastAsia="Arial" w:hAnsi="Arial"/>
          <w:sz w:val="16"/>
          <w:szCs w:val="16"/>
          <w:i w:val="1"/>
          <w:iCs w:val="1"/>
          <w:color w:val="auto"/>
        </w:rPr>
        <w:t>QUALIFIED PERFORMANCE-BASED AWARDS.</w:t>
      </w:r>
    </w:p>
    <w:p>
      <w:pPr>
        <w:spacing w:after="0" w:line="220" w:lineRule="exact"/>
        <w:rPr>
          <w:sz w:val="20"/>
          <w:szCs w:val="20"/>
          <w:color w:val="auto"/>
        </w:rPr>
      </w:pPr>
    </w:p>
    <w:p>
      <w:pPr>
        <w:ind w:firstLine="575"/>
        <w:spacing w:after="0" w:line="343" w:lineRule="auto"/>
        <w:tabs>
          <w:tab w:leader="none" w:pos="1301"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provisions of the Plan are intended to ensure that all Options and Stock Appreciation Rights granted hereunder to any Covered Employee shall qualify for the Section 162(m) Exemption; provided that the exercise or base price of such Award is not less than the Fair Market Value of the Shares on the Grant Date.</w:t>
      </w:r>
    </w:p>
    <w:p>
      <w:pPr>
        <w:spacing w:after="0" w:line="133" w:lineRule="exact"/>
        <w:rPr>
          <w:rFonts w:ascii="Arial" w:cs="Arial" w:eastAsia="Arial" w:hAnsi="Arial"/>
          <w:sz w:val="14"/>
          <w:szCs w:val="14"/>
          <w:color w:val="auto"/>
        </w:rPr>
      </w:pPr>
    </w:p>
    <w:p>
      <w:pPr>
        <w:jc w:val="both"/>
        <w:ind w:firstLine="575"/>
        <w:spacing w:after="0" w:line="274" w:lineRule="auto"/>
        <w:tabs>
          <w:tab w:leader="none" w:pos="1233" w:val="left"/>
        </w:tabs>
        <w:numPr>
          <w:ilvl w:val="0"/>
          <w:numId w:val="25"/>
        </w:numPr>
        <w:rPr>
          <w:rFonts w:ascii="Arial" w:cs="Arial" w:eastAsia="Arial" w:hAnsi="Arial"/>
          <w:sz w:val="15"/>
          <w:szCs w:val="15"/>
          <w:color w:val="auto"/>
        </w:rPr>
      </w:pPr>
      <w:r>
        <w:rPr>
          <w:rFonts w:ascii="Arial" w:cs="Arial" w:eastAsia="Arial" w:hAnsi="Arial"/>
          <w:sz w:val="15"/>
          <w:szCs w:val="15"/>
          <w:color w:val="auto"/>
        </w:rPr>
        <w:t>When granting any other Award, the Committee may designate such Award as a Qualified Performance-Based Award, based upon a determination that the recipient is or may be a Covered Employee with respect to such Award, and the Committee wishes such Award to qualify for the Section 162(m) Exemption. If an Award is so designated, the Committee shall establish performance goals for such Award within the time period prescribed by Section 162(m) of the Code based on one or more of the following Qualified Business Criteria, which may be expressed in terms of Company-wide objectives or in terms of objectives that relate to the performance of an Affiliate or a unit, division, region, department or function within the Company or an Affiliate:</w:t>
      </w:r>
    </w:p>
    <w:p>
      <w:pPr>
        <w:spacing w:after="0" w:line="179" w:lineRule="exact"/>
        <w:rPr>
          <w:sz w:val="20"/>
          <w:szCs w:val="20"/>
          <w:color w:val="auto"/>
        </w:rPr>
      </w:pPr>
    </w:p>
    <w:p>
      <w:pPr>
        <w:ind w:left="860" w:hanging="285"/>
        <w:spacing w:after="0"/>
        <w:tabs>
          <w:tab w:leader="none" w:pos="8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Gross and/or net revenue (including whether in the aggregate or attributable to specific products)</w:t>
      </w:r>
    </w:p>
    <w:p>
      <w:pPr>
        <w:spacing w:after="0" w:line="219" w:lineRule="exact"/>
        <w:rPr>
          <w:rFonts w:ascii="Arial" w:cs="Arial" w:eastAsia="Arial" w:hAnsi="Arial"/>
          <w:sz w:val="16"/>
          <w:szCs w:val="16"/>
          <w:color w:val="auto"/>
        </w:rPr>
      </w:pPr>
    </w:p>
    <w:p>
      <w:pPr>
        <w:ind w:left="860" w:hanging="285"/>
        <w:spacing w:after="0"/>
        <w:tabs>
          <w:tab w:leader="none" w:pos="8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Cost of Goods Sold and Gross Margin</w:t>
      </w:r>
    </w:p>
    <w:p>
      <w:pPr>
        <w:spacing w:after="0" w:line="219" w:lineRule="exact"/>
        <w:rPr>
          <w:rFonts w:ascii="Arial" w:cs="Arial" w:eastAsia="Arial" w:hAnsi="Arial"/>
          <w:sz w:val="16"/>
          <w:szCs w:val="16"/>
          <w:color w:val="auto"/>
        </w:rPr>
      </w:pPr>
    </w:p>
    <w:p>
      <w:pPr>
        <w:ind w:left="860" w:hanging="285"/>
        <w:spacing w:after="0"/>
        <w:tabs>
          <w:tab w:leader="none" w:pos="8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Costs and expenses, including Research &amp; Development and Selling, General &amp; Administrative</w:t>
      </w:r>
    </w:p>
    <w:p>
      <w:pPr>
        <w:spacing w:after="0" w:line="219" w:lineRule="exact"/>
        <w:rPr>
          <w:rFonts w:ascii="Arial" w:cs="Arial" w:eastAsia="Arial" w:hAnsi="Arial"/>
          <w:sz w:val="16"/>
          <w:szCs w:val="16"/>
          <w:color w:val="auto"/>
        </w:rPr>
      </w:pPr>
    </w:p>
    <w:p>
      <w:pPr>
        <w:ind w:left="860" w:hanging="285"/>
        <w:spacing w:after="0"/>
        <w:tabs>
          <w:tab w:leader="none" w:pos="8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Income (gross, operating, net, etc.)</w:t>
      </w:r>
    </w:p>
    <w:p>
      <w:pPr>
        <w:spacing w:after="0" w:line="219" w:lineRule="exact"/>
        <w:rPr>
          <w:rFonts w:ascii="Arial" w:cs="Arial" w:eastAsia="Arial" w:hAnsi="Arial"/>
          <w:sz w:val="16"/>
          <w:szCs w:val="16"/>
          <w:color w:val="auto"/>
        </w:rPr>
      </w:pPr>
    </w:p>
    <w:p>
      <w:pPr>
        <w:ind w:left="860" w:hanging="285"/>
        <w:spacing w:after="0"/>
        <w:tabs>
          <w:tab w:leader="none" w:pos="8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Earnings, including before interest, taxes, depreciation and amortization (whether in the aggregate or on a per share basis</w:t>
      </w:r>
    </w:p>
    <w:p>
      <w:pPr>
        <w:spacing w:after="0" w:line="219" w:lineRule="exact"/>
        <w:rPr>
          <w:rFonts w:ascii="Arial" w:cs="Arial" w:eastAsia="Arial" w:hAnsi="Arial"/>
          <w:sz w:val="16"/>
          <w:szCs w:val="16"/>
          <w:color w:val="auto"/>
        </w:rPr>
      </w:pPr>
    </w:p>
    <w:p>
      <w:pPr>
        <w:ind w:left="860" w:hanging="285"/>
        <w:spacing w:after="0"/>
        <w:tabs>
          <w:tab w:leader="none" w:pos="8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Cash flows and share price</w:t>
      </w:r>
    </w:p>
    <w:p>
      <w:pPr>
        <w:spacing w:after="0" w:line="219" w:lineRule="exact"/>
        <w:rPr>
          <w:rFonts w:ascii="Arial" w:cs="Arial" w:eastAsia="Arial" w:hAnsi="Arial"/>
          <w:sz w:val="16"/>
          <w:szCs w:val="16"/>
          <w:color w:val="auto"/>
        </w:rPr>
      </w:pPr>
    </w:p>
    <w:p>
      <w:pPr>
        <w:ind w:left="860" w:hanging="285"/>
        <w:spacing w:after="0"/>
        <w:tabs>
          <w:tab w:leader="none" w:pos="8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Return on investment, capital, equity</w:t>
      </w:r>
    </w:p>
    <w:p>
      <w:pPr>
        <w:spacing w:after="0" w:line="219" w:lineRule="exact"/>
        <w:rPr>
          <w:rFonts w:ascii="Arial" w:cs="Arial" w:eastAsia="Arial" w:hAnsi="Arial"/>
          <w:sz w:val="16"/>
          <w:szCs w:val="16"/>
          <w:color w:val="auto"/>
        </w:rPr>
      </w:pPr>
    </w:p>
    <w:p>
      <w:pPr>
        <w:ind w:left="860" w:hanging="285"/>
        <w:spacing w:after="0"/>
        <w:tabs>
          <w:tab w:leader="none" w:pos="8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Manufacturing efficiency (including yield enhancement and cycle time reductions), quality improvements and customer satisfaction</w:t>
      </w:r>
    </w:p>
    <w:p>
      <w:pPr>
        <w:spacing w:after="0" w:line="219" w:lineRule="exact"/>
        <w:rPr>
          <w:rFonts w:ascii="Arial" w:cs="Arial" w:eastAsia="Arial" w:hAnsi="Arial"/>
          <w:sz w:val="16"/>
          <w:szCs w:val="16"/>
          <w:color w:val="auto"/>
        </w:rPr>
      </w:pPr>
    </w:p>
    <w:p>
      <w:pPr>
        <w:ind w:left="860" w:hanging="285"/>
        <w:spacing w:after="0" w:line="270" w:lineRule="auto"/>
        <w:tabs>
          <w:tab w:leader="none" w:pos="8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Product life cycle management (including product and technology design, development, transfer, manufacturing introduction, and sales price optimization and management)</w:t>
      </w:r>
    </w:p>
    <w:p>
      <w:pPr>
        <w:spacing w:after="0" w:line="179" w:lineRule="exact"/>
        <w:rPr>
          <w:rFonts w:ascii="Arial" w:cs="Arial" w:eastAsia="Arial" w:hAnsi="Arial"/>
          <w:sz w:val="16"/>
          <w:szCs w:val="16"/>
          <w:color w:val="auto"/>
        </w:rPr>
      </w:pPr>
    </w:p>
    <w:p>
      <w:pPr>
        <w:ind w:left="860" w:hanging="285"/>
        <w:spacing w:after="0"/>
        <w:tabs>
          <w:tab w:leader="none" w:pos="8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Economic profit or loss</w:t>
      </w:r>
    </w:p>
    <w:p>
      <w:pPr>
        <w:spacing w:after="0" w:line="219" w:lineRule="exact"/>
        <w:rPr>
          <w:rFonts w:ascii="Arial" w:cs="Arial" w:eastAsia="Arial" w:hAnsi="Arial"/>
          <w:sz w:val="16"/>
          <w:szCs w:val="16"/>
          <w:color w:val="auto"/>
        </w:rPr>
      </w:pPr>
    </w:p>
    <w:p>
      <w:pPr>
        <w:ind w:left="860" w:hanging="285"/>
        <w:spacing w:after="0"/>
        <w:tabs>
          <w:tab w:leader="none" w:pos="8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Market share</w:t>
      </w:r>
    </w:p>
    <w:p>
      <w:pPr>
        <w:spacing w:after="0" w:line="219" w:lineRule="exact"/>
        <w:rPr>
          <w:rFonts w:ascii="Arial" w:cs="Arial" w:eastAsia="Arial" w:hAnsi="Arial"/>
          <w:sz w:val="16"/>
          <w:szCs w:val="16"/>
          <w:color w:val="auto"/>
        </w:rPr>
      </w:pPr>
    </w:p>
    <w:p>
      <w:pPr>
        <w:ind w:left="860" w:hanging="285"/>
        <w:spacing w:after="0"/>
        <w:tabs>
          <w:tab w:leader="none" w:pos="8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Employee retention, compensation, training and development, including succession planning</w:t>
      </w:r>
    </w:p>
    <w:p>
      <w:pPr>
        <w:spacing w:after="0" w:line="219" w:lineRule="exact"/>
        <w:rPr>
          <w:rFonts w:ascii="Arial" w:cs="Arial" w:eastAsia="Arial" w:hAnsi="Arial"/>
          <w:sz w:val="16"/>
          <w:szCs w:val="16"/>
          <w:color w:val="auto"/>
        </w:rPr>
      </w:pPr>
    </w:p>
    <w:p>
      <w:pPr>
        <w:ind w:left="860" w:hanging="285"/>
        <w:spacing w:after="0" w:line="270" w:lineRule="auto"/>
        <w:tabs>
          <w:tab w:leader="none" w:pos="8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Objective goals consistent with the Participant’s specific officer duties and responsibilities, designed to further the financial, operational and other business interests of the Company, including goals and objectives with respect to regulatory compliance matters.</w:t>
      </w:r>
    </w:p>
    <w:p>
      <w:pPr>
        <w:spacing w:after="0" w:line="180" w:lineRule="exact"/>
        <w:rPr>
          <w:sz w:val="20"/>
          <w:szCs w:val="20"/>
          <w:color w:val="auto"/>
        </w:rPr>
      </w:pPr>
    </w:p>
    <w:p>
      <w:pPr>
        <w:jc w:val="both"/>
        <w:ind w:firstLine="570"/>
        <w:spacing w:after="0" w:line="252" w:lineRule="auto"/>
        <w:rPr>
          <w:sz w:val="20"/>
          <w:szCs w:val="20"/>
          <w:color w:val="auto"/>
        </w:rPr>
      </w:pPr>
      <w:r>
        <w:rPr>
          <w:rFonts w:ascii="Arial" w:cs="Arial" w:eastAsia="Arial" w:hAnsi="Arial"/>
          <w:sz w:val="16"/>
          <w:szCs w:val="16"/>
          <w:color w:val="auto"/>
        </w:rPr>
        <w:t>Performance goals with respect to the foregoing Qualified Business Criteria may be specified in absolute terms (including completion of pre-established projects, such as the introduction of specified products), in percentages, or in terms of growth from period to period or growth rates over time as well as measured relative to an established or specially- created performance index of Company competitors, peers or other members of high tech industries. Any member of an index that disappears during a measurement period shall be disregarded for the entire measurement period. Performance Goals need not be based upon an increase or positive result under a business criterion and could include, for example, the maintenance of the status quo or the limitation of economic losses (measured, in each case, by reference to a specific business criterion).</w:t>
      </w:r>
    </w:p>
    <w:p>
      <w:pPr>
        <w:spacing w:after="0" w:line="195" w:lineRule="exact"/>
        <w:rPr>
          <w:sz w:val="20"/>
          <w:szCs w:val="20"/>
          <w:color w:val="auto"/>
        </w:rPr>
      </w:pPr>
    </w:p>
    <w:p>
      <w:pPr>
        <w:jc w:val="both"/>
        <w:ind w:right="20" w:firstLine="575"/>
        <w:spacing w:after="0" w:line="284" w:lineRule="auto"/>
        <w:tabs>
          <w:tab w:leader="none" w:pos="1189" w:val="left"/>
        </w:tabs>
        <w:numPr>
          <w:ilvl w:val="0"/>
          <w:numId w:val="27"/>
        </w:numPr>
        <w:rPr>
          <w:rFonts w:ascii="Arial" w:cs="Arial" w:eastAsia="Arial" w:hAnsi="Arial"/>
          <w:sz w:val="15"/>
          <w:szCs w:val="15"/>
          <w:color w:val="auto"/>
        </w:rPr>
      </w:pPr>
      <w:r>
        <w:rPr>
          <w:rFonts w:ascii="Arial" w:cs="Arial" w:eastAsia="Arial" w:hAnsi="Arial"/>
          <w:sz w:val="15"/>
          <w:szCs w:val="15"/>
          <w:color w:val="auto"/>
        </w:rPr>
        <w:t>Each Qualified Performance-Based Award (other than an Option or SAR) shall be earned, vested and payable (as applicable) only upon the achievement of performance goals established by the Committee based upon one or more of the Qualified Business Criteria, together with the satisfaction of any other conditions, including the condition as to continued employment as set forth in subsection (g) below, as the Committee may determine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325755</wp:posOffset>
            </wp:positionV>
            <wp:extent cx="7268210" cy="20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0880"/>
          </w:cols>
          <w:pgMar w:left="800" w:top="471" w:right="219" w:bottom="1440" w:gutter="0" w:footer="0" w:header="0"/>
        </w:sectPr>
      </w:pPr>
    </w:p>
    <w:bookmarkStart w:id="21" w:name="page22"/>
    <w:bookmarkEnd w:id="21"/>
    <w:p>
      <w:pPr>
        <w:jc w:val="both"/>
        <w:ind w:left="560" w:right="20"/>
        <w:spacing w:after="0" w:line="284" w:lineRule="auto"/>
        <w:rPr>
          <w:sz w:val="20"/>
          <w:szCs w:val="20"/>
          <w:color w:val="auto"/>
        </w:rPr>
      </w:pPr>
      <w:r>
        <w:rPr>
          <w:rFonts w:ascii="Arial" w:cs="Arial" w:eastAsia="Arial" w:hAnsi="Arial"/>
          <w:sz w:val="15"/>
          <w:szCs w:val="15"/>
          <w:color w:val="auto"/>
        </w:rPr>
        <w:t>be appropriate; provided, however, that the Committee may provide, in its sole and absolute discretion, either in connection with the grant thereof or by amendment thereafter, that achievement of such performance goals will be waived upon the death or Disability of the Participant, or upon a Change in Control. Performance periods established by the Committee for any such Qualified Performance-Based Award may be as short as ninety (90) days and may be any longer period.</w:t>
      </w:r>
    </w:p>
    <w:p>
      <w:pPr>
        <w:spacing w:after="0" w:line="172" w:lineRule="exact"/>
        <w:rPr>
          <w:sz w:val="20"/>
          <w:szCs w:val="20"/>
          <w:color w:val="auto"/>
        </w:rPr>
      </w:pPr>
    </w:p>
    <w:p>
      <w:pPr>
        <w:jc w:val="both"/>
        <w:ind w:left="560" w:firstLine="575"/>
        <w:spacing w:after="0" w:line="291" w:lineRule="auto"/>
        <w:tabs>
          <w:tab w:leader="none" w:pos="1958"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Committee may provide in any Qualified Performance-Based Award that any evaluation of performance may include or exclude any of the following events that occurs during a performance period: (a) asset write-downs or impairment charges; (b) litigation or claim judgments or settlements; (c) the effect of</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5"/>
          <w:szCs w:val="15"/>
          <w:color w:val="auto"/>
        </w:rPr>
        <w:t>changes in tax laws, accounting principles or other laws or provisions affecting reported results; (d) accruals for reorganization and restructuring programs;</w:t>
      </w:r>
    </w:p>
    <w:p>
      <w:pPr>
        <w:spacing w:after="0" w:line="18" w:lineRule="exact"/>
        <w:rPr>
          <w:sz w:val="20"/>
          <w:szCs w:val="20"/>
          <w:color w:val="auto"/>
        </w:rPr>
      </w:pPr>
    </w:p>
    <w:p>
      <w:pPr>
        <w:jc w:val="both"/>
        <w:ind w:left="560" w:firstLine="5"/>
        <w:spacing w:after="0" w:line="250" w:lineRule="auto"/>
        <w:tabs>
          <w:tab w:leader="none" w:pos="784" w:val="left"/>
        </w:tabs>
        <w:numPr>
          <w:ilvl w:val="0"/>
          <w:numId w:val="29"/>
        </w:numPr>
        <w:rPr>
          <w:rFonts w:ascii="Arial" w:cs="Arial" w:eastAsia="Arial" w:hAnsi="Arial"/>
          <w:sz w:val="16"/>
          <w:szCs w:val="16"/>
          <w:color w:val="auto"/>
        </w:rPr>
      </w:pPr>
      <w:r>
        <w:rPr>
          <w:rFonts w:ascii="Arial" w:cs="Arial" w:eastAsia="Arial" w:hAnsi="Arial"/>
          <w:sz w:val="16"/>
          <w:szCs w:val="16"/>
          <w:color w:val="auto"/>
        </w:rPr>
        <w:t>extraordinary nonrecurring items as described in Accounting Principles Board Opinion No. 30 and/or in management’s discussion and analysis of financial condition and results of operations appearing in the Company’s annual report to stockholders for the applicable year; (f) acquisitions or divestitures; and (g) foreign exchange gains and losses. To the extent such inclusions or exclusions affect Awards to Covered Employees, they shall be prescribed in a form and at a time that meets the requirements of Code Section 162(m) for deductibility.</w:t>
      </w:r>
    </w:p>
    <w:p>
      <w:pPr>
        <w:spacing w:after="0" w:line="196" w:lineRule="exact"/>
        <w:rPr>
          <w:rFonts w:ascii="Arial" w:cs="Arial" w:eastAsia="Arial" w:hAnsi="Arial"/>
          <w:sz w:val="16"/>
          <w:szCs w:val="16"/>
          <w:color w:val="auto"/>
        </w:rPr>
      </w:pPr>
    </w:p>
    <w:p>
      <w:pPr>
        <w:jc w:val="both"/>
        <w:ind w:left="560" w:firstLine="575"/>
        <w:spacing w:after="0" w:line="268" w:lineRule="auto"/>
        <w:tabs>
          <w:tab w:leader="none" w:pos="1833" w:val="left"/>
        </w:tabs>
        <w:numPr>
          <w:ilvl w:val="1"/>
          <w:numId w:val="29"/>
        </w:numPr>
        <w:rPr>
          <w:rFonts w:ascii="Arial" w:cs="Arial" w:eastAsia="Arial" w:hAnsi="Arial"/>
          <w:sz w:val="15"/>
          <w:szCs w:val="15"/>
          <w:color w:val="auto"/>
        </w:rPr>
      </w:pPr>
      <w:r>
        <w:rPr>
          <w:rFonts w:ascii="Arial" w:cs="Arial" w:eastAsia="Arial" w:hAnsi="Arial"/>
          <w:sz w:val="15"/>
          <w:szCs w:val="15"/>
          <w:color w:val="auto"/>
        </w:rPr>
        <w:t>Any payment of a Qualified Performance-Based Award granted with performance goals pursuant to subsection (c) above shall be conditioned on the written certification of the Committee in each case that the performance goals and any other material conditions were satisfied. Written certification may take the form of a Committee resolution passed by a majority of the Committee at a properly convened meeting or through unanimous action by the Committee via action by written consent. The certification requirement also may be satisfied by a separate writing executed by the Chairman of the Committee, acting in his capacity as such, following the foregoing Committee action or by the Chairman executing approved minutes of the Committee in which such determinations were made. Except as specifically provided in subsection (c), no Qualified Performance-Based Award held by a Covered Employee or an employee who in the reasonable judgment of the Committee may be a Covered Employee on the date of payment, may be amended, nor may the Committee exercise any discretionary authority it may otherwise have under the Plan with respect to a Qualified Performance-Based Award under the Plan, in any manner to waive the achievement of the applicable performance goal based on Qualified Business Criteria or to increase the amount payable pursuant thereto or the value thereof, or otherwise in a manner that would cause the Qualified Performance- Based Award to cease to qualify for the Section 162(m) Exemption.</w:t>
      </w:r>
    </w:p>
    <w:p>
      <w:pPr>
        <w:spacing w:after="0" w:line="188" w:lineRule="exact"/>
        <w:rPr>
          <w:rFonts w:ascii="Arial" w:cs="Arial" w:eastAsia="Arial" w:hAnsi="Arial"/>
          <w:sz w:val="15"/>
          <w:szCs w:val="15"/>
          <w:color w:val="auto"/>
        </w:rPr>
      </w:pPr>
    </w:p>
    <w:p>
      <w:pPr>
        <w:ind w:left="560" w:right="20" w:firstLine="575"/>
        <w:spacing w:after="0" w:line="270" w:lineRule="auto"/>
        <w:tabs>
          <w:tab w:leader="none" w:pos="1755" w:val="left"/>
        </w:tabs>
        <w:numPr>
          <w:ilvl w:val="1"/>
          <w:numId w:val="29"/>
        </w:numPr>
        <w:rPr>
          <w:rFonts w:ascii="Arial" w:cs="Arial" w:eastAsia="Arial" w:hAnsi="Arial"/>
          <w:sz w:val="16"/>
          <w:szCs w:val="16"/>
          <w:color w:val="auto"/>
        </w:rPr>
      </w:pPr>
      <w:r>
        <w:rPr>
          <w:rFonts w:ascii="Arial" w:cs="Arial" w:eastAsia="Arial" w:hAnsi="Arial"/>
          <w:sz w:val="16"/>
          <w:szCs w:val="16"/>
          <w:color w:val="auto"/>
        </w:rPr>
        <w:t>Section 5.4 sets forth the maximum number of Shares or dollar value that may be granted in any one-year period to a Participant in designated forms of Qualified Performance-Based Awards.</w:t>
      </w:r>
    </w:p>
    <w:p>
      <w:pPr>
        <w:spacing w:after="0" w:line="179" w:lineRule="exact"/>
        <w:rPr>
          <w:rFonts w:ascii="Arial" w:cs="Arial" w:eastAsia="Arial" w:hAnsi="Arial"/>
          <w:sz w:val="16"/>
          <w:szCs w:val="16"/>
          <w:color w:val="auto"/>
        </w:rPr>
      </w:pPr>
    </w:p>
    <w:p>
      <w:pPr>
        <w:jc w:val="both"/>
        <w:ind w:left="560" w:firstLine="575"/>
        <w:spacing w:after="0" w:line="293" w:lineRule="auto"/>
        <w:tabs>
          <w:tab w:leader="none" w:pos="1787" w:val="left"/>
        </w:tabs>
        <w:numPr>
          <w:ilvl w:val="1"/>
          <w:numId w:val="29"/>
        </w:numPr>
        <w:rPr>
          <w:rFonts w:ascii="Arial" w:cs="Arial" w:eastAsia="Arial" w:hAnsi="Arial"/>
          <w:sz w:val="14"/>
          <w:szCs w:val="14"/>
          <w:color w:val="auto"/>
        </w:rPr>
      </w:pPr>
      <w:r>
        <w:rPr>
          <w:rFonts w:ascii="Arial" w:cs="Arial" w:eastAsia="Arial" w:hAnsi="Arial"/>
          <w:sz w:val="14"/>
          <w:szCs w:val="14"/>
          <w:color w:val="auto"/>
        </w:rPr>
        <w:t>With respect to a Participant who is an officer of the Company, any payment of a Qualified Performance-Based Award granted with performance goals pursuant to subsection (c) above shall be conditioned on the officer having remained continuously employed by the Company or an Affiliate for the entire performance or measurement period, including, as well, through the date of determination and certification of the payment of any such Award pursuant to subsection (e) above (the “Certification Date”). For purposes of the Plan, with respect to any given performance or measurement period, an officer of the Company who (i) terminates employment (regardless of cause) or who otherwise ceases to be an officer, prior to the Certification Date and (ii) who, pursuant to a separate contractual arrangement with the Company is entitled to receive payments from the Company thereunder extending to or beyond such Certification Date as a result of such termination or cessation in officer status, shall be deemed to have been employed by the Company as an officer through the Certification Date for purposes of payment eligibility.</w:t>
      </w:r>
    </w:p>
    <w:p>
      <w:pPr>
        <w:spacing w:after="0" w:line="168" w:lineRule="exact"/>
        <w:rPr>
          <w:sz w:val="20"/>
          <w:szCs w:val="20"/>
          <w:color w:val="auto"/>
        </w:rPr>
      </w:pPr>
    </w:p>
    <w:p>
      <w:pPr>
        <w:jc w:val="both"/>
        <w:ind w:firstLine="570"/>
        <w:spacing w:after="0" w:line="251" w:lineRule="auto"/>
        <w:rPr>
          <w:sz w:val="20"/>
          <w:szCs w:val="20"/>
          <w:color w:val="auto"/>
        </w:rPr>
      </w:pPr>
      <w:r>
        <w:rPr>
          <w:rFonts w:ascii="Arial" w:cs="Arial" w:eastAsia="Arial" w:hAnsi="Arial"/>
          <w:sz w:val="16"/>
          <w:szCs w:val="16"/>
          <w:color w:val="auto"/>
        </w:rPr>
        <w:t xml:space="preserve">14.12. </w:t>
      </w:r>
      <w:r>
        <w:rPr>
          <w:rFonts w:ascii="Arial" w:cs="Arial" w:eastAsia="Arial" w:hAnsi="Arial"/>
          <w:sz w:val="16"/>
          <w:szCs w:val="16"/>
          <w:i w:val="1"/>
          <w:iCs w:val="1"/>
          <w:color w:val="auto"/>
        </w:rPr>
        <w:t>TERMINATION OF EMPLOYMENT.</w:t>
      </w:r>
      <w:r>
        <w:rPr>
          <w:rFonts w:ascii="Arial" w:cs="Arial" w:eastAsia="Arial" w:hAnsi="Arial"/>
          <w:sz w:val="16"/>
          <w:szCs w:val="16"/>
          <w:color w:val="auto"/>
        </w:rPr>
        <w:t xml:space="preserve"> Whether military, government or other service or other leave of absence shall constitute a termination of employment shall be determined in each case by the Committee at its discretion, and any determination by the Committee shall be final and conclusive. A Participant’s Continuous Status as a Participant shall not be deemed to terminate (i) in a circumstance in which a Participant transfers from the Company to an Affiliate, transfers from an Affiliate to the Company, or transfers from one Affiliate to another Affiliate, or (ii) in the discretion of the Committee as specified at or prior to such occurrence, in the case of a spin-off, sale or disposition of the Participant’s employer from the Company or any Affiliate. To the extent that this provision causes Incentive Stock Options to extend beyond three months from the date a Participant is deemed to be an employee of the Company, a Parent or Subsidiary for purposes of Sections 424(e) and 424(f) of the Code, the Options held by such Participant shall be deemed to be Nonstatutory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492760</wp:posOffset>
            </wp:positionV>
            <wp:extent cx="7268210" cy="20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448" w:right="219" w:bottom="1440" w:gutter="0" w:footer="0" w:header="0"/>
        </w:sectPr>
      </w:pPr>
    </w:p>
    <w:bookmarkStart w:id="22" w:name="page23"/>
    <w:bookmarkEnd w:id="22"/>
    <w:p>
      <w:pPr>
        <w:jc w:val="both"/>
        <w:ind w:firstLine="570"/>
        <w:spacing w:after="0" w:line="303" w:lineRule="auto"/>
        <w:rPr>
          <w:sz w:val="20"/>
          <w:szCs w:val="20"/>
          <w:color w:val="auto"/>
        </w:rPr>
      </w:pPr>
      <w:r>
        <w:rPr>
          <w:rFonts w:ascii="Arial" w:cs="Arial" w:eastAsia="Arial" w:hAnsi="Arial"/>
          <w:sz w:val="14"/>
          <w:szCs w:val="14"/>
          <w:color w:val="auto"/>
        </w:rPr>
        <w:t xml:space="preserve">14.13. </w:t>
      </w:r>
      <w:r>
        <w:rPr>
          <w:rFonts w:ascii="Arial" w:cs="Arial" w:eastAsia="Arial" w:hAnsi="Arial"/>
          <w:sz w:val="14"/>
          <w:szCs w:val="14"/>
          <w:i w:val="1"/>
          <w:iCs w:val="1"/>
          <w:color w:val="auto"/>
        </w:rPr>
        <w:t>DEFERRAL.</w:t>
      </w:r>
      <w:r>
        <w:rPr>
          <w:rFonts w:ascii="Arial" w:cs="Arial" w:eastAsia="Arial" w:hAnsi="Arial"/>
          <w:sz w:val="14"/>
          <w:szCs w:val="14"/>
          <w:color w:val="auto"/>
        </w:rPr>
        <w:t xml:space="preserve"> Subject to applicable law, the Committee may permit or require a Participant to defer such Participant’s receipt of the payment of cash or the delivery of Shares that would otherwise be due to such Participant by virtue of the exercise of an Option or SAR, the lapse or waiver of restrictions with respect to Restricted Stock or Restricted Stock Units, or the satisfaction of any requirements or goals with respect to Performance Shares, and Other Stock- Based Awards. If any such deferral election is required or permitted, the Board shall, in its sole discretion, establish rules and procedures for such payment deferrals in compliance with Section 409A of the Code and other applicable law.</w:t>
      </w:r>
    </w:p>
    <w:p>
      <w:pPr>
        <w:spacing w:after="0" w:line="161" w:lineRule="exact"/>
        <w:rPr>
          <w:sz w:val="20"/>
          <w:szCs w:val="20"/>
          <w:color w:val="auto"/>
        </w:rPr>
      </w:pPr>
    </w:p>
    <w:p>
      <w:pPr>
        <w:jc w:val="both"/>
        <w:ind w:right="20" w:firstLine="570"/>
        <w:spacing w:after="0" w:line="253" w:lineRule="auto"/>
        <w:rPr>
          <w:sz w:val="20"/>
          <w:szCs w:val="20"/>
          <w:color w:val="auto"/>
        </w:rPr>
      </w:pPr>
      <w:r>
        <w:rPr>
          <w:rFonts w:ascii="Arial" w:cs="Arial" w:eastAsia="Arial" w:hAnsi="Arial"/>
          <w:sz w:val="16"/>
          <w:szCs w:val="16"/>
          <w:color w:val="auto"/>
        </w:rPr>
        <w:t xml:space="preserve">14.14. </w:t>
      </w:r>
      <w:r>
        <w:rPr>
          <w:rFonts w:ascii="Arial" w:cs="Arial" w:eastAsia="Arial" w:hAnsi="Arial"/>
          <w:sz w:val="16"/>
          <w:szCs w:val="16"/>
          <w:i w:val="1"/>
          <w:iCs w:val="1"/>
          <w:color w:val="auto"/>
        </w:rPr>
        <w:t>FORFEITURE EVENTS.</w:t>
      </w:r>
      <w:r>
        <w:rPr>
          <w:rFonts w:ascii="Arial" w:cs="Arial" w:eastAsia="Arial" w:hAnsi="Arial"/>
          <w:sz w:val="16"/>
          <w:szCs w:val="16"/>
          <w:color w:val="auto"/>
        </w:rPr>
        <w:t xml:space="preserve"> The Committee may specify in an Award Certificate that the Participant’s rights, payments and benefits with respect to an Award shall be subject to reduction, cancellation, forfeiture or recoupment upon the occurrence of certain specified events, in addition to any otherwise applicable vesting or performance conditions of an Award. Such events shall include, but shall not be limited to, termination of employment for cause, violation of material Company or Affiliate policies, breach of noncompetition, confidentiality or other restrictive covenants that may apply to the Participant, or other conduct by the Participant that is detrimental to the business or reputation of the Company or any Affiliate.</w:t>
      </w:r>
    </w:p>
    <w:p>
      <w:pPr>
        <w:spacing w:after="0" w:line="194" w:lineRule="exact"/>
        <w:rPr>
          <w:sz w:val="20"/>
          <w:szCs w:val="20"/>
          <w:color w:val="auto"/>
        </w:rPr>
      </w:pPr>
    </w:p>
    <w:p>
      <w:pPr>
        <w:jc w:val="both"/>
        <w:ind w:right="20" w:firstLine="570"/>
        <w:spacing w:after="0" w:line="255" w:lineRule="auto"/>
        <w:rPr>
          <w:sz w:val="20"/>
          <w:szCs w:val="20"/>
          <w:color w:val="auto"/>
        </w:rPr>
      </w:pPr>
      <w:r>
        <w:rPr>
          <w:rFonts w:ascii="Arial" w:cs="Arial" w:eastAsia="Arial" w:hAnsi="Arial"/>
          <w:sz w:val="16"/>
          <w:szCs w:val="16"/>
          <w:color w:val="auto"/>
        </w:rPr>
        <w:t xml:space="preserve">14.15. </w:t>
      </w:r>
      <w:r>
        <w:rPr>
          <w:rFonts w:ascii="Arial" w:cs="Arial" w:eastAsia="Arial" w:hAnsi="Arial"/>
          <w:sz w:val="16"/>
          <w:szCs w:val="16"/>
          <w:i w:val="1"/>
          <w:iCs w:val="1"/>
          <w:color w:val="auto"/>
        </w:rPr>
        <w:t>SUBSTITUTE AWARDS.</w:t>
      </w:r>
      <w:r>
        <w:rPr>
          <w:rFonts w:ascii="Arial" w:cs="Arial" w:eastAsia="Arial" w:hAnsi="Arial"/>
          <w:sz w:val="16"/>
          <w:szCs w:val="16"/>
          <w:color w:val="auto"/>
        </w:rPr>
        <w:t xml:space="preserve"> The Committee may grant Awards under the Plan in substitution for stock and stock-based awards held by employees of another entity who become employees of the Company or an Affiliate as a result of a merger or consolidation of the former employing entity with the Company or an Affiliate or the acquisition by the Company or an Affiliate of property or stock of the former employing corporation. The Committee may direct that the substitute awards be granted on such terms and conditions as the Committee considers appropriate in the circumstances.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15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CHANGES IN CAPITAL STRUCTURE</w:t>
      </w:r>
    </w:p>
    <w:p>
      <w:pPr>
        <w:spacing w:after="0" w:line="209" w:lineRule="exact"/>
        <w:rPr>
          <w:sz w:val="20"/>
          <w:szCs w:val="20"/>
          <w:color w:val="auto"/>
        </w:rPr>
      </w:pPr>
    </w:p>
    <w:p>
      <w:pPr>
        <w:jc w:val="both"/>
        <w:ind w:firstLine="570"/>
        <w:spacing w:after="0" w:line="268" w:lineRule="auto"/>
        <w:rPr>
          <w:sz w:val="20"/>
          <w:szCs w:val="20"/>
          <w:color w:val="auto"/>
        </w:rPr>
      </w:pPr>
      <w:r>
        <w:rPr>
          <w:rFonts w:ascii="Arial" w:cs="Arial" w:eastAsia="Arial" w:hAnsi="Arial"/>
          <w:sz w:val="15"/>
          <w:szCs w:val="15"/>
          <w:color w:val="auto"/>
        </w:rPr>
        <w:t xml:space="preserve">15.1. </w:t>
      </w:r>
      <w:r>
        <w:rPr>
          <w:rFonts w:ascii="Arial" w:cs="Arial" w:eastAsia="Arial" w:hAnsi="Arial"/>
          <w:sz w:val="15"/>
          <w:szCs w:val="15"/>
          <w:i w:val="1"/>
          <w:iCs w:val="1"/>
          <w:color w:val="auto"/>
        </w:rPr>
        <w:t>MANDATORY ADJUSTMENTS.</w:t>
      </w:r>
      <w:r>
        <w:rPr>
          <w:rFonts w:ascii="Arial" w:cs="Arial" w:eastAsia="Arial" w:hAnsi="Arial"/>
          <w:sz w:val="15"/>
          <w:szCs w:val="15"/>
          <w:color w:val="auto"/>
        </w:rPr>
        <w:t xml:space="preserve"> Subject to any required action by the shareholders of the Company, the number of shares of Common Stock covered by each outstanding Award, and the number of issued shares of Common Stock which have been authorized for issuance under the Plan but as to which no Awards have yet been granted or which have been returned to the Plan upon cancellation or expiration of an Award, as well as the price per share of Common Stock covered by each such outstanding Award,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provided, however, that conversion of any convertible securities of the Company shall not be deemed to have been “effected without receipt of consideration.” Such adjustment shall be made by the Board, whose determination in that respect shall be final, binding, and conclusive. Without limiting the foregoing, in the event of a subdivision of the outstanding Stock (stock-split), a declaration of a dividend payable in Shares, or a combination or consolidation of the outstanding Stock into a lesser number of Shares, the authorization limits under Section 5.1 and 5.4 shall automatically be adjusted proportionately, and the Shares then subject to each Award shall automatically be adjusted proportionately without any change in the aggregate purchase price therefor. To the extent that any adjustments made pursuant to this Article 15 cause Incentive Stock Options to cease to qualify as Incentive Stock Options, such Options shall be deemed to be Nonstatutory Stock Options.</w:t>
      </w:r>
    </w:p>
    <w:p>
      <w:pPr>
        <w:spacing w:after="0" w:line="186" w:lineRule="exact"/>
        <w:rPr>
          <w:sz w:val="20"/>
          <w:szCs w:val="20"/>
          <w:color w:val="auto"/>
        </w:rPr>
      </w:pPr>
    </w:p>
    <w:p>
      <w:pPr>
        <w:jc w:val="both"/>
        <w:ind w:firstLine="570"/>
        <w:spacing w:after="0" w:line="270" w:lineRule="auto"/>
        <w:rPr>
          <w:sz w:val="20"/>
          <w:szCs w:val="20"/>
          <w:color w:val="auto"/>
        </w:rPr>
      </w:pPr>
      <w:r>
        <w:rPr>
          <w:rFonts w:ascii="Arial" w:cs="Arial" w:eastAsia="Arial" w:hAnsi="Arial"/>
          <w:sz w:val="15"/>
          <w:szCs w:val="15"/>
          <w:color w:val="auto"/>
        </w:rPr>
        <w:t xml:space="preserve">15.2 </w:t>
      </w:r>
      <w:r>
        <w:rPr>
          <w:rFonts w:ascii="Arial" w:cs="Arial" w:eastAsia="Arial" w:hAnsi="Arial"/>
          <w:sz w:val="15"/>
          <w:szCs w:val="15"/>
          <w:i w:val="1"/>
          <w:iCs w:val="1"/>
          <w:color w:val="auto"/>
        </w:rPr>
        <w:t>DISCRETIONARY ADJUSTMENTS.</w:t>
      </w:r>
      <w:r>
        <w:rPr>
          <w:rFonts w:ascii="Arial" w:cs="Arial" w:eastAsia="Arial" w:hAnsi="Arial"/>
          <w:sz w:val="15"/>
          <w:szCs w:val="15"/>
          <w:color w:val="auto"/>
        </w:rPr>
        <w:t xml:space="preserve"> Upon the occurrence or in anticipation of any corporate event or transaction involving the Company (including, without limitation, any merger, reorganization, recapitalization or combination or exchange of shares or any transaction described in Section 15.1), the Committee may, in its sole discretion, provide (i) that Awards will be settled in cash rather than Stock, (ii) that Awards will become immediately vested and exercisable and will expire after a designated period of time to the extent not then exercised, (iii) that Awards will be assumed by another party to a transaction or otherwise be equitably converted or substituted in connection with such transaction, (iv) that outstanding Awards may be settled by payment in cash or cash equivalents equal to the excess of the Fair Market Value of the underlying Stock, as of a specified date associated with the transaction, over the exercise price of the Award, (v) that applicable performance targets and performance periods for Awards will be modified, consistent with Code Section 162(m) where applicable, or (vi) any combination of the foregoing. The Committee’s determination need not be uniform and may be different for different Participants whether or not such Participants are similarly situated.</w:t>
      </w:r>
    </w:p>
    <w:p>
      <w:pPr>
        <w:spacing w:after="0" w:line="182" w:lineRule="exact"/>
        <w:rPr>
          <w:sz w:val="20"/>
          <w:szCs w:val="20"/>
          <w:color w:val="auto"/>
        </w:rPr>
      </w:pPr>
    </w:p>
    <w:p>
      <w:pPr>
        <w:jc w:val="both"/>
        <w:ind w:right="20" w:firstLine="570"/>
        <w:spacing w:after="0" w:line="343" w:lineRule="auto"/>
        <w:rPr>
          <w:sz w:val="20"/>
          <w:szCs w:val="20"/>
          <w:color w:val="auto"/>
        </w:rPr>
      </w:pPr>
      <w:r>
        <w:rPr>
          <w:rFonts w:ascii="Arial" w:cs="Arial" w:eastAsia="Arial" w:hAnsi="Arial"/>
          <w:sz w:val="14"/>
          <w:szCs w:val="14"/>
          <w:color w:val="auto"/>
        </w:rPr>
        <w:t xml:space="preserve">15.3 </w:t>
      </w:r>
      <w:r>
        <w:rPr>
          <w:rFonts w:ascii="Arial" w:cs="Arial" w:eastAsia="Arial" w:hAnsi="Arial"/>
          <w:sz w:val="14"/>
          <w:szCs w:val="14"/>
          <w:i w:val="1"/>
          <w:iCs w:val="1"/>
          <w:color w:val="auto"/>
        </w:rPr>
        <w:t>GENERAL.</w:t>
      </w:r>
      <w:r>
        <w:rPr>
          <w:rFonts w:ascii="Arial" w:cs="Arial" w:eastAsia="Arial" w:hAnsi="Arial"/>
          <w:sz w:val="14"/>
          <w:szCs w:val="14"/>
          <w:color w:val="auto"/>
        </w:rPr>
        <w:t xml:space="preserve"> Any discretionary adjustments made pursuant to this Article 15 shall be subject to the provisions of Article 16. To the extent that any adjustments made pursuant to this Article 15 cause Incentive Stock Options to cease to qualify as Incentive Stock Options, such Options shall be deemed to be Nonstatutory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268210" cy="20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471" w:right="219" w:bottom="1440" w:gutter="0" w:footer="0" w:header="0"/>
        </w:sectPr>
      </w:pPr>
    </w:p>
    <w:bookmarkStart w:id="23" w:name="page24"/>
    <w:bookmarkEnd w:id="23"/>
    <w:p>
      <w:pPr>
        <w:jc w:val="center"/>
        <w:ind w:right="-4"/>
        <w:spacing w:after="0"/>
        <w:rPr>
          <w:sz w:val="20"/>
          <w:szCs w:val="20"/>
          <w:color w:val="auto"/>
        </w:rPr>
      </w:pPr>
      <w:r>
        <w:rPr>
          <w:rFonts w:ascii="Arial" w:cs="Arial" w:eastAsia="Arial" w:hAnsi="Arial"/>
          <w:sz w:val="16"/>
          <w:szCs w:val="16"/>
          <w:b w:val="1"/>
          <w:bCs w:val="1"/>
          <w:color w:val="auto"/>
        </w:rPr>
        <w:t>ARTICLE 16</w:t>
      </w:r>
    </w:p>
    <w:p>
      <w:pPr>
        <w:spacing w:after="0" w:line="21"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AMENDMENT, MODIFICATION AND TERMINATION</w:t>
      </w:r>
    </w:p>
    <w:p>
      <w:pPr>
        <w:spacing w:after="0" w:line="209" w:lineRule="exact"/>
        <w:rPr>
          <w:sz w:val="20"/>
          <w:szCs w:val="20"/>
          <w:color w:val="auto"/>
        </w:rPr>
      </w:pPr>
    </w:p>
    <w:p>
      <w:pPr>
        <w:jc w:val="both"/>
        <w:ind w:left="5" w:firstLine="570"/>
        <w:spacing w:after="0" w:line="288" w:lineRule="auto"/>
        <w:rPr>
          <w:sz w:val="20"/>
          <w:szCs w:val="20"/>
          <w:color w:val="auto"/>
        </w:rPr>
      </w:pPr>
      <w:r>
        <w:rPr>
          <w:rFonts w:ascii="Arial" w:cs="Arial" w:eastAsia="Arial" w:hAnsi="Arial"/>
          <w:sz w:val="14"/>
          <w:szCs w:val="14"/>
          <w:color w:val="auto"/>
        </w:rPr>
        <w:t xml:space="preserve">16.1. </w:t>
      </w:r>
      <w:r>
        <w:rPr>
          <w:rFonts w:ascii="Arial" w:cs="Arial" w:eastAsia="Arial" w:hAnsi="Arial"/>
          <w:sz w:val="14"/>
          <w:szCs w:val="14"/>
          <w:i w:val="1"/>
          <w:iCs w:val="1"/>
          <w:color w:val="auto"/>
        </w:rPr>
        <w:t>AMENDMENT, MODIFICATION AND TERMINATION.</w:t>
      </w:r>
      <w:r>
        <w:rPr>
          <w:rFonts w:ascii="Arial" w:cs="Arial" w:eastAsia="Arial" w:hAnsi="Arial"/>
          <w:sz w:val="14"/>
          <w:szCs w:val="14"/>
          <w:color w:val="auto"/>
        </w:rPr>
        <w:t xml:space="preserve"> The Board or the Committee may, at any time and from time to time, amend, modify or terminate the Plan without stockholder approval; provided, however, that if an amendment to the Plan would, in the reasonable opinion of the Board or the Committee, either (i) materially increase the number of Shares available under the Plan, (ii) expand the types of awards under the Plan, (iii) materially expand the class of participants eligible to participate in the Plan,</w:t>
      </w:r>
    </w:p>
    <w:p>
      <w:pPr>
        <w:spacing w:after="0" w:line="2" w:lineRule="exact"/>
        <w:rPr>
          <w:sz w:val="20"/>
          <w:szCs w:val="20"/>
          <w:color w:val="auto"/>
        </w:rPr>
      </w:pPr>
    </w:p>
    <w:p>
      <w:pPr>
        <w:jc w:val="both"/>
        <w:ind w:left="5" w:right="20" w:hanging="5"/>
        <w:spacing w:after="0" w:line="249" w:lineRule="auto"/>
        <w:tabs>
          <w:tab w:leader="none" w:pos="296" w:val="left"/>
        </w:tabs>
        <w:numPr>
          <w:ilvl w:val="0"/>
          <w:numId w:val="30"/>
        </w:numPr>
        <w:rPr>
          <w:rFonts w:ascii="Arial" w:cs="Arial" w:eastAsia="Arial" w:hAnsi="Arial"/>
          <w:sz w:val="16"/>
          <w:szCs w:val="16"/>
          <w:color w:val="auto"/>
        </w:rPr>
      </w:pPr>
      <w:r>
        <w:rPr>
          <w:rFonts w:ascii="Arial" w:cs="Arial" w:eastAsia="Arial" w:hAnsi="Arial"/>
          <w:sz w:val="16"/>
          <w:szCs w:val="16"/>
          <w:color w:val="auto"/>
        </w:rPr>
        <w:t>materially extend the term of the Plan, or (v) otherwise constitute a material change requiring stockholder approval under applicable laws, policies or regulations or the applicable listing or other requirements of an Exchange, then such amendment shall be subject to stockholder approval; and provided, further, that the Board or Committee may condition any other amendment or modification on the approval of stockholders of the Company for any reason, including by reason of such approval being necessary or deemed advisable to (i) permit Awards made hereunder to be exempt from liability under Section 16(b) of the 1934 Act, (ii) to comply with the listing or other requirements of an Exchange, or (iii) to satisfy any other tax, securities or other applicable laws, policies or regulations.</w:t>
      </w:r>
    </w:p>
    <w:p>
      <w:pPr>
        <w:spacing w:after="0" w:line="199" w:lineRule="exact"/>
        <w:rPr>
          <w:sz w:val="20"/>
          <w:szCs w:val="20"/>
          <w:color w:val="auto"/>
        </w:rPr>
      </w:pPr>
    </w:p>
    <w:p>
      <w:pPr>
        <w:ind w:left="5" w:right="20" w:firstLine="570"/>
        <w:spacing w:after="0" w:line="270" w:lineRule="auto"/>
        <w:rPr>
          <w:sz w:val="20"/>
          <w:szCs w:val="20"/>
          <w:color w:val="auto"/>
        </w:rPr>
      </w:pPr>
      <w:r>
        <w:rPr>
          <w:rFonts w:ascii="Arial" w:cs="Arial" w:eastAsia="Arial" w:hAnsi="Arial"/>
          <w:sz w:val="16"/>
          <w:szCs w:val="16"/>
          <w:color w:val="auto"/>
        </w:rPr>
        <w:t xml:space="preserve">16.2. </w:t>
      </w:r>
      <w:r>
        <w:rPr>
          <w:rFonts w:ascii="Arial" w:cs="Arial" w:eastAsia="Arial" w:hAnsi="Arial"/>
          <w:sz w:val="16"/>
          <w:szCs w:val="16"/>
          <w:i w:val="1"/>
          <w:iCs w:val="1"/>
          <w:color w:val="auto"/>
        </w:rPr>
        <w:t>AWARDS PREVIOUSLY GRANTED.</w:t>
      </w:r>
      <w:r>
        <w:rPr>
          <w:rFonts w:ascii="Arial" w:cs="Arial" w:eastAsia="Arial" w:hAnsi="Arial"/>
          <w:sz w:val="16"/>
          <w:szCs w:val="16"/>
          <w:color w:val="auto"/>
        </w:rPr>
        <w:t xml:space="preserve"> At any time and from time to time, the Committee may amend, modify or terminate any outstanding Award without approval of the Participant; provided, however:</w:t>
      </w:r>
    </w:p>
    <w:p>
      <w:pPr>
        <w:spacing w:after="0" w:line="180" w:lineRule="exact"/>
        <w:rPr>
          <w:sz w:val="20"/>
          <w:szCs w:val="20"/>
          <w:color w:val="auto"/>
        </w:rPr>
      </w:pPr>
    </w:p>
    <w:p>
      <w:pPr>
        <w:jc w:val="both"/>
        <w:ind w:left="565" w:right="20" w:firstLine="575"/>
        <w:spacing w:after="0" w:line="255" w:lineRule="auto"/>
        <w:tabs>
          <w:tab w:leader="none" w:pos="1899" w:val="left"/>
        </w:tabs>
        <w:numPr>
          <w:ilvl w:val="0"/>
          <w:numId w:val="31"/>
        </w:numPr>
        <w:rPr>
          <w:rFonts w:ascii="Arial" w:cs="Arial" w:eastAsia="Arial" w:hAnsi="Arial"/>
          <w:sz w:val="16"/>
          <w:szCs w:val="16"/>
          <w:color w:val="auto"/>
        </w:rPr>
      </w:pPr>
      <w:r>
        <w:rPr>
          <w:rFonts w:ascii="Arial" w:cs="Arial" w:eastAsia="Arial" w:hAnsi="Arial"/>
          <w:sz w:val="16"/>
          <w:szCs w:val="16"/>
          <w:color w:val="auto"/>
        </w:rPr>
        <w:t>Subject to the terms of the applicable Award Certificate, such amendment, modification or termination shall not, without the Participant’s consent, reduce or diminish the value of such Award determined as if the Award had been exercised, vested, cashed in or otherwise settled on the date of such amendment or termination (with the per-share value of an Option or Stock Appreciation Right for this purpose being calculated as the excess, if any, of the Fair Market Value as of the date of such amendment or termination over the exercise or base price of such Award);</w:t>
      </w:r>
    </w:p>
    <w:p>
      <w:pPr>
        <w:spacing w:after="0" w:line="192" w:lineRule="exact"/>
        <w:rPr>
          <w:rFonts w:ascii="Arial" w:cs="Arial" w:eastAsia="Arial" w:hAnsi="Arial"/>
          <w:sz w:val="16"/>
          <w:szCs w:val="16"/>
          <w:color w:val="auto"/>
        </w:rPr>
      </w:pPr>
    </w:p>
    <w:p>
      <w:pPr>
        <w:ind w:left="1765" w:hanging="625"/>
        <w:spacing w:after="0"/>
        <w:tabs>
          <w:tab w:leader="none" w:pos="1765"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original term of an Option may not be extended without the prior approval of the stockholders of the Company;</w:t>
      </w:r>
    </w:p>
    <w:p>
      <w:pPr>
        <w:spacing w:after="0" w:line="219" w:lineRule="exact"/>
        <w:rPr>
          <w:rFonts w:ascii="Arial" w:cs="Arial" w:eastAsia="Arial" w:hAnsi="Arial"/>
          <w:sz w:val="16"/>
          <w:szCs w:val="16"/>
          <w:color w:val="auto"/>
        </w:rPr>
      </w:pPr>
    </w:p>
    <w:p>
      <w:pPr>
        <w:jc w:val="both"/>
        <w:ind w:left="565" w:firstLine="575"/>
        <w:spacing w:after="0" w:line="255" w:lineRule="auto"/>
        <w:tabs>
          <w:tab w:leader="none" w:pos="1903" w:val="left"/>
        </w:tabs>
        <w:numPr>
          <w:ilvl w:val="0"/>
          <w:numId w:val="31"/>
        </w:numPr>
        <w:rPr>
          <w:rFonts w:ascii="Arial" w:cs="Arial" w:eastAsia="Arial" w:hAnsi="Arial"/>
          <w:sz w:val="16"/>
          <w:szCs w:val="16"/>
          <w:color w:val="auto"/>
        </w:rPr>
      </w:pPr>
      <w:r>
        <w:rPr>
          <w:rFonts w:ascii="Arial" w:cs="Arial" w:eastAsia="Arial" w:hAnsi="Arial"/>
          <w:sz w:val="16"/>
          <w:szCs w:val="16"/>
          <w:color w:val="auto"/>
        </w:rPr>
        <w:t>Except as otherwise provided in Article 15, the exercise price of an Option or SAR may not be reduced, directly or indirectly by cancellation and exchange for cash or another award or otherwise, without the prior approval of the stockholders of the Company, and the Company may not, without the prior approval of stockholders of the Company, repurchase an Option or SAR for value from a Participant if the current Fair Market Value of the Shares underlying the Option or SAR is lower than the exercise price or base price per share of the Option or SAR.</w:t>
      </w:r>
    </w:p>
    <w:p>
      <w:pPr>
        <w:spacing w:after="0" w:line="192" w:lineRule="exact"/>
        <w:rPr>
          <w:rFonts w:ascii="Arial" w:cs="Arial" w:eastAsia="Arial" w:hAnsi="Arial"/>
          <w:sz w:val="16"/>
          <w:szCs w:val="16"/>
          <w:color w:val="auto"/>
        </w:rPr>
      </w:pPr>
    </w:p>
    <w:p>
      <w:pPr>
        <w:jc w:val="both"/>
        <w:ind w:left="565" w:firstLine="575"/>
        <w:spacing w:after="0" w:line="253" w:lineRule="auto"/>
        <w:tabs>
          <w:tab w:leader="none" w:pos="1763" w:val="left"/>
        </w:tabs>
        <w:numPr>
          <w:ilvl w:val="0"/>
          <w:numId w:val="31"/>
        </w:numPr>
        <w:rPr>
          <w:rFonts w:ascii="Arial" w:cs="Arial" w:eastAsia="Arial" w:hAnsi="Arial"/>
          <w:sz w:val="16"/>
          <w:szCs w:val="16"/>
          <w:color w:val="auto"/>
        </w:rPr>
      </w:pPr>
      <w:r>
        <w:rPr>
          <w:rFonts w:ascii="Arial" w:cs="Arial" w:eastAsia="Arial" w:hAnsi="Arial"/>
          <w:sz w:val="16"/>
          <w:szCs w:val="16"/>
          <w:color w:val="auto"/>
        </w:rPr>
        <w:t>No termination, amendment, or modification of the Plan shall adversely affect any Award previously granted under the Plan, without the written consent of the Participant affected thereby. An outstanding Award shall not be deemed to be “adversely affected” by a Plan amendment if such amendment would not reduce or diminish the value of such Award determined as if the Award had been exercised, vested, cashed in or otherwise settled on the date of such amendment (with the per-share value of an Option or Stock Appreciation Right for this purpose being calculated as the excess, if any, of the Fair Market Value as of the date of such amendment over the exercise or base price of such Award).</w:t>
      </w:r>
    </w:p>
    <w:p>
      <w:pPr>
        <w:spacing w:after="0" w:line="194" w:lineRule="exact"/>
        <w:rPr>
          <w:sz w:val="20"/>
          <w:szCs w:val="20"/>
          <w:color w:val="auto"/>
        </w:rPr>
      </w:pPr>
    </w:p>
    <w:p>
      <w:pPr>
        <w:jc w:val="both"/>
        <w:ind w:left="5" w:right="20" w:firstLine="570"/>
        <w:spacing w:after="0" w:line="253" w:lineRule="auto"/>
        <w:rPr>
          <w:sz w:val="20"/>
          <w:szCs w:val="20"/>
          <w:color w:val="auto"/>
        </w:rPr>
      </w:pPr>
      <w:r>
        <w:rPr>
          <w:rFonts w:ascii="Arial" w:cs="Arial" w:eastAsia="Arial" w:hAnsi="Arial"/>
          <w:sz w:val="16"/>
          <w:szCs w:val="16"/>
          <w:color w:val="auto"/>
        </w:rPr>
        <w:t xml:space="preserve">16.3. </w:t>
      </w:r>
      <w:r>
        <w:rPr>
          <w:rFonts w:ascii="Arial" w:cs="Arial" w:eastAsia="Arial" w:hAnsi="Arial"/>
          <w:sz w:val="16"/>
          <w:szCs w:val="16"/>
          <w:i w:val="1"/>
          <w:iCs w:val="1"/>
          <w:color w:val="auto"/>
        </w:rPr>
        <w:t>COMPLIANCE AMENDMENTS.</w:t>
      </w:r>
      <w:r>
        <w:rPr>
          <w:rFonts w:ascii="Arial" w:cs="Arial" w:eastAsia="Arial" w:hAnsi="Arial"/>
          <w:sz w:val="16"/>
          <w:szCs w:val="16"/>
          <w:color w:val="auto"/>
        </w:rPr>
        <w:t xml:space="preserve"> Notwithstanding anything in the Plan or in any Award Certificate to the contrary, the Committee may amend the Plan or an Award Certificate, to take effect retroactively or otherwise, as deemed necessary or advisable for the purpose of conforming the Plan or Award Certificate to any present or future law relating to plans of this or similar nature (including, but not limited to, Section 409A of the Code), and to the administrative regulations and rulings promulgated thereunder. By accepting an Award under this Plan, a Participant agrees to any amendment made pursuant to this Section 16.3 to any Award granted under the Plan without further consideration or action.</w:t>
      </w:r>
    </w:p>
    <w:p>
      <w:pPr>
        <w:spacing w:after="0" w:line="190"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ARTICLE 17</w:t>
      </w:r>
    </w:p>
    <w:p>
      <w:pPr>
        <w:spacing w:after="0" w:line="21"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GENERAL PROVISIONS</w:t>
      </w:r>
    </w:p>
    <w:p>
      <w:pPr>
        <w:spacing w:after="0" w:line="209" w:lineRule="exact"/>
        <w:rPr>
          <w:sz w:val="20"/>
          <w:szCs w:val="20"/>
          <w:color w:val="auto"/>
        </w:rPr>
      </w:pPr>
    </w:p>
    <w:p>
      <w:pPr>
        <w:jc w:val="both"/>
        <w:ind w:left="5" w:right="20" w:firstLine="570"/>
        <w:spacing w:after="0" w:line="313" w:lineRule="auto"/>
        <w:rPr>
          <w:sz w:val="20"/>
          <w:szCs w:val="20"/>
          <w:color w:val="auto"/>
        </w:rPr>
      </w:pPr>
      <w:r>
        <w:rPr>
          <w:rFonts w:ascii="Arial" w:cs="Arial" w:eastAsia="Arial" w:hAnsi="Arial"/>
          <w:sz w:val="14"/>
          <w:szCs w:val="14"/>
          <w:color w:val="auto"/>
        </w:rPr>
        <w:t xml:space="preserve">17.1. </w:t>
      </w:r>
      <w:r>
        <w:rPr>
          <w:rFonts w:ascii="Arial" w:cs="Arial" w:eastAsia="Arial" w:hAnsi="Arial"/>
          <w:sz w:val="14"/>
          <w:szCs w:val="14"/>
          <w:i w:val="1"/>
          <w:iCs w:val="1"/>
          <w:color w:val="auto"/>
        </w:rPr>
        <w:t>NO RIGHTS TO AWARDS; NON-UNIFORM DETERMINATIONS.</w:t>
      </w:r>
      <w:r>
        <w:rPr>
          <w:rFonts w:ascii="Arial" w:cs="Arial" w:eastAsia="Arial" w:hAnsi="Arial"/>
          <w:sz w:val="14"/>
          <w:szCs w:val="14"/>
          <w:color w:val="auto"/>
        </w:rPr>
        <w:t xml:space="preserve"> No Participant or any Eligible Participant shall have any claim to be granted any Award under the Plan. Neither the Company, its Affiliates nor the Committee is obligated to treat Participants or Eligible Participants uniformly, and determinations made under the Plan may be made by the Committee selectively among Eligible Participants who receive, or are eligible to receive, Awards (whether or not such Eligible Participants are similarly situated).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465455</wp:posOffset>
            </wp:positionV>
            <wp:extent cx="7268210" cy="20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5"/>
          </w:cols>
          <w:pgMar w:left="235" w:top="467" w:right="219" w:bottom="1440" w:gutter="0" w:footer="0" w:header="0"/>
        </w:sectPr>
      </w:pPr>
    </w:p>
    <w:bookmarkStart w:id="24" w:name="page25"/>
    <w:bookmarkEnd w:id="24"/>
    <w:p>
      <w:pPr>
        <w:ind w:firstLine="570"/>
        <w:spacing w:after="0" w:line="270" w:lineRule="auto"/>
        <w:rPr>
          <w:sz w:val="20"/>
          <w:szCs w:val="20"/>
          <w:color w:val="auto"/>
        </w:rPr>
      </w:pPr>
      <w:r>
        <w:rPr>
          <w:rFonts w:ascii="Arial" w:cs="Arial" w:eastAsia="Arial" w:hAnsi="Arial"/>
          <w:sz w:val="16"/>
          <w:szCs w:val="16"/>
          <w:color w:val="auto"/>
        </w:rPr>
        <w:t xml:space="preserve">17.2. </w:t>
      </w:r>
      <w:r>
        <w:rPr>
          <w:rFonts w:ascii="Arial" w:cs="Arial" w:eastAsia="Arial" w:hAnsi="Arial"/>
          <w:sz w:val="16"/>
          <w:szCs w:val="16"/>
          <w:i w:val="1"/>
          <w:iCs w:val="1"/>
          <w:color w:val="auto"/>
        </w:rPr>
        <w:t>NO STOCKHOLDER RIGHTS.</w:t>
      </w:r>
      <w:r>
        <w:rPr>
          <w:rFonts w:ascii="Arial" w:cs="Arial" w:eastAsia="Arial" w:hAnsi="Arial"/>
          <w:sz w:val="16"/>
          <w:szCs w:val="16"/>
          <w:color w:val="auto"/>
        </w:rPr>
        <w:t xml:space="preserve"> No Award gives a Participant any of the rights of a stockholder of the Company unless and until Shares are in fact issued to such person in connection with such Award.</w:t>
      </w:r>
    </w:p>
    <w:p>
      <w:pPr>
        <w:spacing w:after="0" w:line="180" w:lineRule="exact"/>
        <w:rPr>
          <w:sz w:val="20"/>
          <w:szCs w:val="20"/>
          <w:color w:val="auto"/>
        </w:rPr>
      </w:pPr>
    </w:p>
    <w:p>
      <w:pPr>
        <w:ind w:left="560"/>
        <w:spacing w:after="0"/>
        <w:tabs>
          <w:tab w:leader="none" w:pos="1300" w:val="left"/>
        </w:tabs>
        <w:rPr>
          <w:sz w:val="20"/>
          <w:szCs w:val="20"/>
          <w:color w:val="auto"/>
        </w:rPr>
      </w:pPr>
      <w:r>
        <w:rPr>
          <w:rFonts w:ascii="Arial" w:cs="Arial" w:eastAsia="Arial" w:hAnsi="Arial"/>
          <w:sz w:val="16"/>
          <w:szCs w:val="16"/>
          <w:i w:val="1"/>
          <w:iCs w:val="1"/>
          <w:color w:val="auto"/>
        </w:rPr>
        <w:t>17.3.</w:t>
      </w:r>
      <w:r>
        <w:rPr>
          <w:sz w:val="20"/>
          <w:szCs w:val="20"/>
          <w:color w:val="auto"/>
        </w:rPr>
        <w:tab/>
      </w:r>
      <w:r>
        <w:rPr>
          <w:rFonts w:ascii="Arial" w:cs="Arial" w:eastAsia="Arial" w:hAnsi="Arial"/>
          <w:sz w:val="14"/>
          <w:szCs w:val="14"/>
          <w:i w:val="1"/>
          <w:iCs w:val="1"/>
          <w:color w:val="auto"/>
        </w:rPr>
        <w:t>SPECIAL PROVISIONS RELATED TO SECTION 409A OF THE CODE</w:t>
      </w:r>
      <w:r>
        <w:rPr>
          <w:rFonts w:ascii="Arial" w:cs="Arial" w:eastAsia="Arial" w:hAnsi="Arial"/>
          <w:sz w:val="14"/>
          <w:szCs w:val="14"/>
          <w:color w:val="auto"/>
        </w:rPr>
        <w:t>.</w:t>
      </w:r>
    </w:p>
    <w:p>
      <w:pPr>
        <w:spacing w:after="0" w:line="220" w:lineRule="exact"/>
        <w:rPr>
          <w:sz w:val="20"/>
          <w:szCs w:val="20"/>
          <w:color w:val="auto"/>
        </w:rPr>
      </w:pPr>
    </w:p>
    <w:p>
      <w:pPr>
        <w:jc w:val="both"/>
        <w:ind w:left="560" w:firstLine="575"/>
        <w:spacing w:after="0" w:line="290" w:lineRule="auto"/>
        <w:tabs>
          <w:tab w:leader="none" w:pos="1846" w:val="left"/>
        </w:tabs>
        <w:numPr>
          <w:ilvl w:val="0"/>
          <w:numId w:val="32"/>
        </w:numPr>
        <w:rPr>
          <w:rFonts w:ascii="Arial" w:cs="Arial" w:eastAsia="Arial" w:hAnsi="Arial"/>
          <w:sz w:val="14"/>
          <w:szCs w:val="14"/>
          <w:color w:val="auto"/>
        </w:rPr>
      </w:pPr>
      <w:r>
        <w:rPr>
          <w:rFonts w:ascii="Arial" w:cs="Arial" w:eastAsia="Arial" w:hAnsi="Arial"/>
          <w:sz w:val="14"/>
          <w:szCs w:val="14"/>
          <w:color w:val="auto"/>
        </w:rPr>
        <w:t>Notwithstanding anything in the Plan or in any Award Certificate to the contrary, to the extent that any amount or benefit that would constitute non-exempt “deferred compensation” for purposes of Section 409A of the Code would otherwise be payable or distributable under the Plan or any Award Certificate by reason of the occurrence of a Change in Control, or the Participant’s Disability or separation from service, such amount or benefit will not be payable or distributable to the Participant by reason of such circumstance unless (i) the circumstances giving rise to such Change in Control, Disability or separation from service meet any description or definition of “change in control event”, “disability” or “separation from service”, as the case may be, in Section 409A of the Code and applicable regulations (without giving effect to any elective provisions that may be available under such definition), or (ii) the payment or distribution of such amount or benefit would be exempt from the application of Section 409A of the Code by reason of the short-term deferral exemption or otherwise. This provision does not prohibit the vesting of any Award upon a Change in Control, Disability or separation from service, however defined. If this provision prevents the payment or distribution of any amount or benefit, such payment or distribution shall be made on the next earliest payment or distribution date or event specified in the Award Certificate that is permissible under Section 409A.</w:t>
      </w:r>
    </w:p>
    <w:p>
      <w:pPr>
        <w:spacing w:after="0" w:line="173" w:lineRule="exact"/>
        <w:rPr>
          <w:rFonts w:ascii="Arial" w:cs="Arial" w:eastAsia="Arial" w:hAnsi="Arial"/>
          <w:sz w:val="14"/>
          <w:szCs w:val="14"/>
          <w:color w:val="auto"/>
        </w:rPr>
      </w:pPr>
    </w:p>
    <w:p>
      <w:pPr>
        <w:jc w:val="both"/>
        <w:ind w:left="560" w:right="20" w:firstLine="575"/>
        <w:spacing w:after="0" w:line="259" w:lineRule="auto"/>
        <w:tabs>
          <w:tab w:leader="none" w:pos="2042" w:val="left"/>
        </w:tabs>
        <w:numPr>
          <w:ilvl w:val="0"/>
          <w:numId w:val="32"/>
        </w:numPr>
        <w:rPr>
          <w:rFonts w:ascii="Arial" w:cs="Arial" w:eastAsia="Arial" w:hAnsi="Arial"/>
          <w:sz w:val="16"/>
          <w:szCs w:val="16"/>
          <w:color w:val="auto"/>
        </w:rPr>
      </w:pPr>
      <w:r>
        <w:rPr>
          <w:rFonts w:ascii="Arial" w:cs="Arial" w:eastAsia="Arial" w:hAnsi="Arial"/>
          <w:sz w:val="16"/>
          <w:szCs w:val="16"/>
          <w:color w:val="auto"/>
        </w:rPr>
        <w:t>If any one or more Awards granted under the Plan to a Participant could qualify for any separation pay exemption described in Treas. Reg. Section 1.409A-1(b)(9), but such Awards in the aggregate exceed the dollar limit permitted for the separation pay exemptions, the Company (acting through the Committee or the Head of Human Resources) shall determine which Awards or portions thereof will be subject to such exemptions.</w:t>
      </w:r>
    </w:p>
    <w:p>
      <w:pPr>
        <w:spacing w:after="0" w:line="188" w:lineRule="exact"/>
        <w:rPr>
          <w:rFonts w:ascii="Arial" w:cs="Arial" w:eastAsia="Arial" w:hAnsi="Arial"/>
          <w:sz w:val="16"/>
          <w:szCs w:val="16"/>
          <w:color w:val="auto"/>
        </w:rPr>
      </w:pPr>
    </w:p>
    <w:p>
      <w:pPr>
        <w:jc w:val="both"/>
        <w:ind w:left="560" w:right="20" w:firstLine="575"/>
        <w:spacing w:after="0" w:line="303" w:lineRule="auto"/>
        <w:tabs>
          <w:tab w:leader="none" w:pos="1804" w:val="left"/>
        </w:tabs>
        <w:numPr>
          <w:ilvl w:val="0"/>
          <w:numId w:val="32"/>
        </w:numPr>
        <w:rPr>
          <w:rFonts w:ascii="Arial" w:cs="Arial" w:eastAsia="Arial" w:hAnsi="Arial"/>
          <w:sz w:val="14"/>
          <w:szCs w:val="14"/>
          <w:color w:val="auto"/>
        </w:rPr>
      </w:pPr>
      <w:r>
        <w:rPr>
          <w:rFonts w:ascii="Arial" w:cs="Arial" w:eastAsia="Arial" w:hAnsi="Arial"/>
          <w:sz w:val="14"/>
          <w:szCs w:val="14"/>
          <w:color w:val="auto"/>
        </w:rPr>
        <w:t>Notwithstanding anything in the Plan or in any Award Certificate to the contrary, if any amount or benefit that would constitute non-exempt “deferred compensation” for purposes of Section 409A of the Code would otherwise be payable or distributable under this Plan or any Award Certificate by reason of a Participant’s separation from service during a period in which the Participant is a Specified Employee (as defined below), then, subject to any permissible acceleration of payment by the Committee under Treas. Reg. Section 1.409A-3(j)(4)(ii) (domestic relations order), (j)(4)(iii) (conflicts of interest), or (j)(4)(vi) (payment of employment taxes):</w:t>
      </w:r>
    </w:p>
    <w:p>
      <w:pPr>
        <w:spacing w:after="0" w:line="160" w:lineRule="exact"/>
        <w:rPr>
          <w:rFonts w:ascii="Arial" w:cs="Arial" w:eastAsia="Arial" w:hAnsi="Arial"/>
          <w:sz w:val="14"/>
          <w:szCs w:val="14"/>
          <w:color w:val="auto"/>
        </w:rPr>
      </w:pPr>
    </w:p>
    <w:p>
      <w:pPr>
        <w:jc w:val="both"/>
        <w:ind w:left="1140" w:firstLine="565"/>
        <w:spacing w:after="0" w:line="259" w:lineRule="auto"/>
        <w:tabs>
          <w:tab w:leader="none" w:pos="2354" w:val="left"/>
        </w:tabs>
        <w:numPr>
          <w:ilvl w:val="1"/>
          <w:numId w:val="32"/>
        </w:numPr>
        <w:rPr>
          <w:rFonts w:ascii="Arial" w:cs="Arial" w:eastAsia="Arial" w:hAnsi="Arial"/>
          <w:sz w:val="16"/>
          <w:szCs w:val="16"/>
          <w:color w:val="auto"/>
        </w:rPr>
      </w:pPr>
      <w:r>
        <w:rPr>
          <w:rFonts w:ascii="Arial" w:cs="Arial" w:eastAsia="Arial" w:hAnsi="Arial"/>
          <w:sz w:val="16"/>
          <w:szCs w:val="16"/>
          <w:color w:val="auto"/>
        </w:rPr>
        <w:t>if the payment or distribution is payable in a lump sum, the Participant’s right to receive payment or distribution of such non-exempt deferred compensation will be delayed until the earlier of the Participant’s death or the first day of the seventh month following the Participant’s separation from service; and</w:t>
      </w:r>
    </w:p>
    <w:p>
      <w:pPr>
        <w:spacing w:after="0" w:line="188" w:lineRule="exact"/>
        <w:rPr>
          <w:rFonts w:ascii="Arial" w:cs="Arial" w:eastAsia="Arial" w:hAnsi="Arial"/>
          <w:sz w:val="16"/>
          <w:szCs w:val="16"/>
          <w:color w:val="auto"/>
        </w:rPr>
      </w:pPr>
    </w:p>
    <w:p>
      <w:pPr>
        <w:jc w:val="both"/>
        <w:ind w:left="1140" w:firstLine="565"/>
        <w:spacing w:after="0" w:line="253" w:lineRule="auto"/>
        <w:tabs>
          <w:tab w:leader="none" w:pos="2432" w:val="left"/>
        </w:tabs>
        <w:numPr>
          <w:ilvl w:val="1"/>
          <w:numId w:val="32"/>
        </w:numPr>
        <w:rPr>
          <w:rFonts w:ascii="Arial" w:cs="Arial" w:eastAsia="Arial" w:hAnsi="Arial"/>
          <w:sz w:val="16"/>
          <w:szCs w:val="16"/>
          <w:color w:val="auto"/>
        </w:rPr>
      </w:pPr>
      <w:r>
        <w:rPr>
          <w:rFonts w:ascii="Arial" w:cs="Arial" w:eastAsia="Arial" w:hAnsi="Arial"/>
          <w:sz w:val="16"/>
          <w:szCs w:val="16"/>
          <w:color w:val="auto"/>
        </w:rPr>
        <w:t>if the payment or distribution is payable over time, the amount of such non-exempt deferred compensation that would otherwise be payable during the six-month period immediately following the Participant’s separation from service will be accumulated and the Participant’s right to receive payment or distribution of such accumulated amount will be delayed until the earlier of the Participant’s death or the first day of the seventh month following the Participant’s separation from service, whereupon the accumulated amount will be paid or distributed to the Participant and the normal payment or distribution schedule for any remaining payments or distributions will resume.</w:t>
      </w:r>
    </w:p>
    <w:p>
      <w:pPr>
        <w:spacing w:after="0" w:line="194" w:lineRule="exact"/>
        <w:rPr>
          <w:sz w:val="20"/>
          <w:szCs w:val="20"/>
          <w:color w:val="auto"/>
        </w:rPr>
      </w:pPr>
    </w:p>
    <w:p>
      <w:pPr>
        <w:jc w:val="both"/>
        <w:ind w:right="20" w:firstLine="570"/>
        <w:spacing w:after="0" w:line="255" w:lineRule="auto"/>
        <w:rPr>
          <w:sz w:val="20"/>
          <w:szCs w:val="20"/>
          <w:color w:val="auto"/>
        </w:rPr>
      </w:pPr>
      <w:r>
        <w:rPr>
          <w:rFonts w:ascii="Arial" w:cs="Arial" w:eastAsia="Arial" w:hAnsi="Arial"/>
          <w:sz w:val="16"/>
          <w:szCs w:val="16"/>
          <w:color w:val="auto"/>
        </w:rPr>
        <w:t>For purposes of this Plan, the term “Specified Employee” has the meaning given such term in Code Section 409A and the final regulations thereunder, provided, however, that, as permitted in such final regulations, the Company’s Specified Employees and its application of the six-month delay rule of Code Section 409A(a)(2)(B)(i) shall be determined in accordance with rules adopted by the Board or any committee of the Board, which shall be applied consistently with respect to all nonqualified deferred compensation arrangements of the Company, including this Plan.</w:t>
      </w:r>
    </w:p>
    <w:p>
      <w:pPr>
        <w:spacing w:after="0" w:line="192" w:lineRule="exact"/>
        <w:rPr>
          <w:sz w:val="20"/>
          <w:szCs w:val="20"/>
          <w:color w:val="auto"/>
        </w:rPr>
      </w:pPr>
    </w:p>
    <w:p>
      <w:pPr>
        <w:jc w:val="both"/>
        <w:ind w:right="20" w:firstLine="570"/>
        <w:spacing w:after="0" w:line="272" w:lineRule="auto"/>
        <w:rPr>
          <w:sz w:val="20"/>
          <w:szCs w:val="20"/>
          <w:color w:val="auto"/>
        </w:rPr>
      </w:pPr>
      <w:r>
        <w:rPr>
          <w:rFonts w:ascii="Arial" w:cs="Arial" w:eastAsia="Arial" w:hAnsi="Arial"/>
          <w:sz w:val="15"/>
          <w:szCs w:val="15"/>
          <w:color w:val="auto"/>
        </w:rPr>
        <w:t xml:space="preserve">17.4. </w:t>
      </w:r>
      <w:r>
        <w:rPr>
          <w:rFonts w:ascii="Arial" w:cs="Arial" w:eastAsia="Arial" w:hAnsi="Arial"/>
          <w:sz w:val="15"/>
          <w:szCs w:val="15"/>
          <w:i w:val="1"/>
          <w:iCs w:val="1"/>
          <w:color w:val="auto"/>
        </w:rPr>
        <w:t>WITHHOLDING.</w:t>
      </w:r>
      <w:r>
        <w:rPr>
          <w:rFonts w:ascii="Arial" w:cs="Arial" w:eastAsia="Arial" w:hAnsi="Arial"/>
          <w:sz w:val="15"/>
          <w:szCs w:val="15"/>
          <w:color w:val="auto"/>
        </w:rPr>
        <w:t xml:space="preserve"> The Company or any Affiliate shall have the authority and the right to deduct or withhold, or require a Participant to remit to the Company, an amount sufficient to satisfy federal, state, and local taxes (including the Participant’s FICA obligation) required by law to be withheld with respect to any exercise, lapse of restriction or other taxable event arising as a result of the Plan. If Shares are surrendered to the Company to satisfy withholding obligations in excess of the minimum withholding obligation, such Shares must have been held by the Participant as fully vested shares for such period of time, if any, as necessary to avoid the recognition of an expense under generally accepted accounting principles. The Company shall have the authority to require a Participant to remit cash to the Company in lieu of the surrender of Shares for tax withholding obligations if the surrender of Shares in satisfaction of such withholding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558165</wp:posOffset>
            </wp:positionV>
            <wp:extent cx="7268210" cy="20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471" w:right="219" w:bottom="1440" w:gutter="0" w:footer="0" w:header="0"/>
        </w:sectPr>
      </w:pPr>
    </w:p>
    <w:bookmarkStart w:id="25" w:name="page26"/>
    <w:bookmarkEnd w:id="25"/>
    <w:p>
      <w:pPr>
        <w:jc w:val="both"/>
        <w:spacing w:after="0" w:line="255" w:lineRule="auto"/>
        <w:rPr>
          <w:sz w:val="20"/>
          <w:szCs w:val="20"/>
          <w:color w:val="auto"/>
        </w:rPr>
      </w:pPr>
      <w:r>
        <w:rPr>
          <w:rFonts w:ascii="Arial" w:cs="Arial" w:eastAsia="Arial" w:hAnsi="Arial"/>
          <w:sz w:val="16"/>
          <w:szCs w:val="16"/>
          <w:color w:val="auto"/>
        </w:rPr>
        <w:t>would result in the Company’s recognition of expense under generally accepted accounting principles. With respect to withholding required upon any taxable event under the Plan, the Committee may, at the time the Award is granted or thereafter, require or permit that any such withholding requirement be satisfied, in whole or in part, by withholding from the Award Shares having a Fair Market Value on the date of withholding equal to the minimum amount (and not any greater amount) required to be withheld for tax purposes, all in accordance with such procedures as the Committee establishes.</w:t>
      </w:r>
    </w:p>
    <w:p>
      <w:pPr>
        <w:spacing w:after="0" w:line="192" w:lineRule="exact"/>
        <w:rPr>
          <w:sz w:val="20"/>
          <w:szCs w:val="20"/>
          <w:color w:val="auto"/>
        </w:rPr>
      </w:pPr>
    </w:p>
    <w:p>
      <w:pPr>
        <w:jc w:val="both"/>
        <w:ind w:firstLine="570"/>
        <w:spacing w:after="0" w:line="255" w:lineRule="auto"/>
        <w:rPr>
          <w:sz w:val="20"/>
          <w:szCs w:val="20"/>
          <w:color w:val="auto"/>
        </w:rPr>
      </w:pPr>
      <w:r>
        <w:rPr>
          <w:rFonts w:ascii="Arial" w:cs="Arial" w:eastAsia="Arial" w:hAnsi="Arial"/>
          <w:sz w:val="16"/>
          <w:szCs w:val="16"/>
          <w:color w:val="auto"/>
        </w:rPr>
        <w:t xml:space="preserve">17.5. </w:t>
      </w:r>
      <w:r>
        <w:rPr>
          <w:rFonts w:ascii="Arial" w:cs="Arial" w:eastAsia="Arial" w:hAnsi="Arial"/>
          <w:sz w:val="16"/>
          <w:szCs w:val="16"/>
          <w:i w:val="1"/>
          <w:iCs w:val="1"/>
          <w:color w:val="auto"/>
        </w:rPr>
        <w:t>NO RIGHT TO CONTINUED SERVICE.</w:t>
      </w:r>
      <w:r>
        <w:rPr>
          <w:rFonts w:ascii="Arial" w:cs="Arial" w:eastAsia="Arial" w:hAnsi="Arial"/>
          <w:sz w:val="16"/>
          <w:szCs w:val="16"/>
          <w:color w:val="auto"/>
        </w:rPr>
        <w:t xml:space="preserve"> Nothing in the Plan, any Award Certificate or any other document or statement made with respect to the Plan, shall interfere with or limit in any way the right of the Company or any Affiliate to terminate any Participant’s employment or status as an officer, director or consultant at any time, nor confer upon any Participant any right to continue as an employee, officer, director or consultant of the Company or any Affiliate, whether for the duration of a Participant’s Award or otherwise.</w:t>
      </w:r>
    </w:p>
    <w:p>
      <w:pPr>
        <w:spacing w:after="0" w:line="192" w:lineRule="exact"/>
        <w:rPr>
          <w:sz w:val="20"/>
          <w:szCs w:val="20"/>
          <w:color w:val="auto"/>
        </w:rPr>
      </w:pPr>
    </w:p>
    <w:p>
      <w:pPr>
        <w:jc w:val="both"/>
        <w:ind w:firstLine="570"/>
        <w:spacing w:after="0" w:line="259" w:lineRule="auto"/>
        <w:rPr>
          <w:sz w:val="20"/>
          <w:szCs w:val="20"/>
          <w:color w:val="auto"/>
        </w:rPr>
      </w:pPr>
      <w:r>
        <w:rPr>
          <w:rFonts w:ascii="Arial" w:cs="Arial" w:eastAsia="Arial" w:hAnsi="Arial"/>
          <w:sz w:val="16"/>
          <w:szCs w:val="16"/>
          <w:color w:val="auto"/>
        </w:rPr>
        <w:t xml:space="preserve">17.6. </w:t>
      </w:r>
      <w:r>
        <w:rPr>
          <w:rFonts w:ascii="Arial" w:cs="Arial" w:eastAsia="Arial" w:hAnsi="Arial"/>
          <w:sz w:val="16"/>
          <w:szCs w:val="16"/>
          <w:i w:val="1"/>
          <w:iCs w:val="1"/>
          <w:color w:val="auto"/>
        </w:rPr>
        <w:t>UNFUNDED STATUS OF AWARDS.</w:t>
      </w:r>
      <w:r>
        <w:rPr>
          <w:rFonts w:ascii="Arial" w:cs="Arial" w:eastAsia="Arial" w:hAnsi="Arial"/>
          <w:sz w:val="16"/>
          <w:szCs w:val="16"/>
          <w:color w:val="auto"/>
        </w:rPr>
        <w:t xml:space="preserve"> The Plan is intended to be an “unfunded” plan for incentive and deferred compensation. With respect to any payments not yet made to a Participant pursuant to an Award, nothing contained in the Plan or any Award Certificate shall give the Participant any rights that are greater than those of a general creditor of the Company or any Affiliate. This Plan is not intended to be subject to ERISA.</w:t>
      </w:r>
    </w:p>
    <w:p>
      <w:pPr>
        <w:spacing w:after="0" w:line="188" w:lineRule="exact"/>
        <w:rPr>
          <w:sz w:val="20"/>
          <w:szCs w:val="20"/>
          <w:color w:val="auto"/>
        </w:rPr>
      </w:pPr>
    </w:p>
    <w:p>
      <w:pPr>
        <w:jc w:val="both"/>
        <w:ind w:right="20" w:firstLine="570"/>
        <w:spacing w:after="0" w:line="270" w:lineRule="auto"/>
        <w:rPr>
          <w:sz w:val="20"/>
          <w:szCs w:val="20"/>
          <w:color w:val="auto"/>
        </w:rPr>
      </w:pPr>
      <w:r>
        <w:rPr>
          <w:rFonts w:ascii="Arial" w:cs="Arial" w:eastAsia="Arial" w:hAnsi="Arial"/>
          <w:sz w:val="16"/>
          <w:szCs w:val="16"/>
          <w:color w:val="auto"/>
        </w:rPr>
        <w:t xml:space="preserve">17.7. </w:t>
      </w:r>
      <w:r>
        <w:rPr>
          <w:rFonts w:ascii="Arial" w:cs="Arial" w:eastAsia="Arial" w:hAnsi="Arial"/>
          <w:sz w:val="16"/>
          <w:szCs w:val="16"/>
          <w:i w:val="1"/>
          <w:iCs w:val="1"/>
          <w:color w:val="auto"/>
        </w:rPr>
        <w:t>RELATIONSHIP TO OTHER BENEFITS.</w:t>
      </w:r>
      <w:r>
        <w:rPr>
          <w:rFonts w:ascii="Arial" w:cs="Arial" w:eastAsia="Arial" w:hAnsi="Arial"/>
          <w:sz w:val="16"/>
          <w:szCs w:val="16"/>
          <w:color w:val="auto"/>
        </w:rPr>
        <w:t xml:space="preserve"> No payment under the Plan shall be taken into account in determining any benefits under any pension, retirement, savings, profit sharing, group insurance, welfare or benefit plan of the Company or any Affiliate unless provided otherwise in such other plan.</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17.8. </w:t>
      </w:r>
      <w:r>
        <w:rPr>
          <w:rFonts w:ascii="Arial" w:cs="Arial" w:eastAsia="Arial" w:hAnsi="Arial"/>
          <w:sz w:val="16"/>
          <w:szCs w:val="16"/>
          <w:i w:val="1"/>
          <w:iCs w:val="1"/>
          <w:color w:val="auto"/>
        </w:rPr>
        <w:t>EXPENSES.</w:t>
      </w:r>
      <w:r>
        <w:rPr>
          <w:rFonts w:ascii="Arial" w:cs="Arial" w:eastAsia="Arial" w:hAnsi="Arial"/>
          <w:sz w:val="16"/>
          <w:szCs w:val="16"/>
          <w:color w:val="auto"/>
        </w:rPr>
        <w:t xml:space="preserve"> The expenses of administering the Plan shall be borne by the Company and its Affiliates.</w:t>
      </w:r>
    </w:p>
    <w:p>
      <w:pPr>
        <w:spacing w:after="0" w:line="220" w:lineRule="exact"/>
        <w:rPr>
          <w:sz w:val="20"/>
          <w:szCs w:val="20"/>
          <w:color w:val="auto"/>
        </w:rPr>
      </w:pPr>
    </w:p>
    <w:p>
      <w:pPr>
        <w:jc w:val="both"/>
        <w:ind w:firstLine="570"/>
        <w:spacing w:after="0" w:line="270" w:lineRule="auto"/>
        <w:rPr>
          <w:sz w:val="20"/>
          <w:szCs w:val="20"/>
          <w:color w:val="auto"/>
        </w:rPr>
      </w:pPr>
      <w:r>
        <w:rPr>
          <w:rFonts w:ascii="Arial" w:cs="Arial" w:eastAsia="Arial" w:hAnsi="Arial"/>
          <w:sz w:val="16"/>
          <w:szCs w:val="16"/>
          <w:color w:val="auto"/>
        </w:rPr>
        <w:t xml:space="preserve">17.9. </w:t>
      </w:r>
      <w:r>
        <w:rPr>
          <w:rFonts w:ascii="Arial" w:cs="Arial" w:eastAsia="Arial" w:hAnsi="Arial"/>
          <w:sz w:val="16"/>
          <w:szCs w:val="16"/>
          <w:i w:val="1"/>
          <w:iCs w:val="1"/>
          <w:color w:val="auto"/>
        </w:rPr>
        <w:t>TITLES AND HEADINGS.</w:t>
      </w:r>
      <w:r>
        <w:rPr>
          <w:rFonts w:ascii="Arial" w:cs="Arial" w:eastAsia="Arial" w:hAnsi="Arial"/>
          <w:sz w:val="16"/>
          <w:szCs w:val="16"/>
          <w:color w:val="auto"/>
        </w:rPr>
        <w:t xml:space="preserve"> The titles and headings of the Sections in the Plan are for convenience of reference only, and in the event of any conflict, the text of the Plan, rather than such titles or headings, shall control.</w:t>
      </w:r>
    </w:p>
    <w:p>
      <w:pPr>
        <w:spacing w:after="0" w:line="180" w:lineRule="exact"/>
        <w:rPr>
          <w:sz w:val="20"/>
          <w:szCs w:val="20"/>
          <w:color w:val="auto"/>
        </w:rPr>
      </w:pPr>
    </w:p>
    <w:p>
      <w:pPr>
        <w:jc w:val="both"/>
        <w:ind w:firstLine="570"/>
        <w:spacing w:after="0" w:line="270" w:lineRule="auto"/>
        <w:rPr>
          <w:sz w:val="20"/>
          <w:szCs w:val="20"/>
          <w:color w:val="auto"/>
        </w:rPr>
      </w:pPr>
      <w:r>
        <w:rPr>
          <w:rFonts w:ascii="Arial" w:cs="Arial" w:eastAsia="Arial" w:hAnsi="Arial"/>
          <w:sz w:val="16"/>
          <w:szCs w:val="16"/>
          <w:color w:val="auto"/>
        </w:rPr>
        <w:t xml:space="preserve">17.10. </w:t>
      </w:r>
      <w:r>
        <w:rPr>
          <w:rFonts w:ascii="Arial" w:cs="Arial" w:eastAsia="Arial" w:hAnsi="Arial"/>
          <w:sz w:val="16"/>
          <w:szCs w:val="16"/>
          <w:i w:val="1"/>
          <w:iCs w:val="1"/>
          <w:color w:val="auto"/>
        </w:rPr>
        <w:t>GENDER AND NUMBER.</w:t>
      </w:r>
      <w:r>
        <w:rPr>
          <w:rFonts w:ascii="Arial" w:cs="Arial" w:eastAsia="Arial" w:hAnsi="Arial"/>
          <w:sz w:val="16"/>
          <w:szCs w:val="16"/>
          <w:color w:val="auto"/>
        </w:rPr>
        <w:t xml:space="preserve"> Except where otherwise indicated by the context, any masculine term used herein also shall include the feminine; the plural shall include the singular and the singular shall include the plural.</w:t>
      </w:r>
    </w:p>
    <w:p>
      <w:pPr>
        <w:spacing w:after="0" w:line="180" w:lineRule="exact"/>
        <w:rPr>
          <w:sz w:val="20"/>
          <w:szCs w:val="20"/>
          <w:color w:val="auto"/>
        </w:rPr>
      </w:pPr>
    </w:p>
    <w:p>
      <w:pPr>
        <w:jc w:val="both"/>
        <w:ind w:right="20" w:firstLine="570"/>
        <w:spacing w:after="0" w:line="270" w:lineRule="auto"/>
        <w:rPr>
          <w:sz w:val="20"/>
          <w:szCs w:val="20"/>
          <w:color w:val="auto"/>
        </w:rPr>
      </w:pPr>
      <w:r>
        <w:rPr>
          <w:rFonts w:ascii="Arial" w:cs="Arial" w:eastAsia="Arial" w:hAnsi="Arial"/>
          <w:sz w:val="16"/>
          <w:szCs w:val="16"/>
          <w:color w:val="auto"/>
        </w:rPr>
        <w:t xml:space="preserve">17.11. </w:t>
      </w:r>
      <w:r>
        <w:rPr>
          <w:rFonts w:ascii="Arial" w:cs="Arial" w:eastAsia="Arial" w:hAnsi="Arial"/>
          <w:sz w:val="16"/>
          <w:szCs w:val="16"/>
          <w:i w:val="1"/>
          <w:iCs w:val="1"/>
          <w:color w:val="auto"/>
        </w:rPr>
        <w:t>FRACTIONAL SHARES.</w:t>
      </w:r>
      <w:r>
        <w:rPr>
          <w:rFonts w:ascii="Arial" w:cs="Arial" w:eastAsia="Arial" w:hAnsi="Arial"/>
          <w:sz w:val="16"/>
          <w:szCs w:val="16"/>
          <w:color w:val="auto"/>
        </w:rPr>
        <w:t xml:space="preserve"> No fractional Shares shall be issued and the Committee shall determine, in its discretion, whether cash shall be given in lieu of fractional Shares or whether such fractional Shares shall be eliminated by rounding up or down.</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17.12. </w:t>
      </w:r>
      <w:r>
        <w:rPr>
          <w:rFonts w:ascii="Arial" w:cs="Arial" w:eastAsia="Arial" w:hAnsi="Arial"/>
          <w:sz w:val="16"/>
          <w:szCs w:val="16"/>
          <w:i w:val="1"/>
          <w:iCs w:val="1"/>
          <w:color w:val="auto"/>
        </w:rPr>
        <w:t>GOVERNMENT AND OTHER REGULATIONS.</w:t>
      </w:r>
    </w:p>
    <w:p>
      <w:pPr>
        <w:spacing w:after="0" w:line="220" w:lineRule="exact"/>
        <w:rPr>
          <w:sz w:val="20"/>
          <w:szCs w:val="20"/>
          <w:color w:val="auto"/>
        </w:rPr>
      </w:pPr>
    </w:p>
    <w:p>
      <w:pPr>
        <w:jc w:val="both"/>
        <w:ind w:left="560" w:right="20" w:firstLine="575"/>
        <w:spacing w:after="0" w:line="288" w:lineRule="auto"/>
        <w:tabs>
          <w:tab w:leader="none" w:pos="1876" w:val="left"/>
        </w:tabs>
        <w:numPr>
          <w:ilvl w:val="1"/>
          <w:numId w:val="33"/>
        </w:numPr>
        <w:rPr>
          <w:rFonts w:ascii="Arial" w:cs="Arial" w:eastAsia="Arial" w:hAnsi="Arial"/>
          <w:sz w:val="14"/>
          <w:szCs w:val="14"/>
          <w:color w:val="auto"/>
        </w:rPr>
      </w:pPr>
      <w:r>
        <w:rPr>
          <w:rFonts w:ascii="Arial" w:cs="Arial" w:eastAsia="Arial" w:hAnsi="Arial"/>
          <w:sz w:val="14"/>
          <w:szCs w:val="14"/>
          <w:color w:val="auto"/>
        </w:rPr>
        <w:t>Notwithstanding any other provision of the Plan, no Participant who acquires Shares pursuant to the Plan may, during any period of time that such Participant is an affiliate of the Company (within the meaning of the rules and regulations of the Securities and Exchange Commission under the 1933 Act), sell such Shares, unless such offer and sale is made (i) pursuant to an effective registration statement under the 1933 Act, which is current and includes the Shares to be sold, or</w:t>
      </w:r>
    </w:p>
    <w:p>
      <w:pPr>
        <w:spacing w:after="0" w:line="1" w:lineRule="exact"/>
        <w:rPr>
          <w:rFonts w:ascii="Arial" w:cs="Arial" w:eastAsia="Arial" w:hAnsi="Arial"/>
          <w:sz w:val="14"/>
          <w:szCs w:val="14"/>
          <w:color w:val="auto"/>
        </w:rPr>
      </w:pPr>
    </w:p>
    <w:p>
      <w:pPr>
        <w:ind w:left="800" w:hanging="235"/>
        <w:spacing w:after="0"/>
        <w:tabs>
          <w:tab w:leader="none" w:pos="8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pursuant to an appropriate exemption from the registration requirement of the 1933 Act, such as that set forth in Rule 144 promulgated under the 1933 Act.</w:t>
      </w:r>
    </w:p>
    <w:p>
      <w:pPr>
        <w:spacing w:after="0" w:line="220" w:lineRule="exact"/>
        <w:rPr>
          <w:rFonts w:ascii="Arial" w:cs="Arial" w:eastAsia="Arial" w:hAnsi="Arial"/>
          <w:sz w:val="15"/>
          <w:szCs w:val="15"/>
          <w:color w:val="auto"/>
        </w:rPr>
      </w:pPr>
    </w:p>
    <w:p>
      <w:pPr>
        <w:jc w:val="both"/>
        <w:ind w:left="560" w:firstLine="575"/>
        <w:spacing w:after="0" w:line="290" w:lineRule="auto"/>
        <w:tabs>
          <w:tab w:leader="none" w:pos="1781" w:val="left"/>
        </w:tabs>
        <w:numPr>
          <w:ilvl w:val="1"/>
          <w:numId w:val="34"/>
        </w:numPr>
        <w:rPr>
          <w:rFonts w:ascii="Arial" w:cs="Arial" w:eastAsia="Arial" w:hAnsi="Arial"/>
          <w:sz w:val="14"/>
          <w:szCs w:val="14"/>
          <w:color w:val="auto"/>
        </w:rPr>
      </w:pPr>
      <w:r>
        <w:rPr>
          <w:rFonts w:ascii="Arial" w:cs="Arial" w:eastAsia="Arial" w:hAnsi="Arial"/>
          <w:sz w:val="14"/>
          <w:szCs w:val="14"/>
          <w:color w:val="auto"/>
        </w:rPr>
        <w:t>Notwithstanding any other provision of the Plan, if at any time the Committee shall determine that the registration, listing or qualification of the Shares covered by an Award upon any Exchange or under any foreign, federal, state or local law or practice, or the consent or approval of any governmental regulatory body, is necessary or desirable as a condition of, or in connection with, the granting of such Award or the purchase or receipt of Shares thereunder, no Shares may be purchased, delivered or received pursuant to such Award unless and until such registration, listing, qualification, consent or approval shall have been effected or obtained free of any condition not acceptable to the Committee. Any Participant receiving or purchasing Shares pursuant to an Award shall make such representations and agreements and furnish such information as the Committee may request to assure compliance with the foregoing or any other applicable legal requirements. The Company shall not be required to issue or deliver any certificate or certificates for Shares under the Plan prior to the Committee’s determination that all related requirements have been fulfilled. The Company shall in no event be obligated to register any securities pursuant to the 1933 Act or applicable state or foreign law or to take any other action in order to cause the issuance and delivery of such certificates to comply with any such law, regulation or requirement.</w:t>
      </w:r>
    </w:p>
    <w:p>
      <w:pPr>
        <w:spacing w:after="0" w:line="173" w:lineRule="exact"/>
        <w:rPr>
          <w:sz w:val="20"/>
          <w:szCs w:val="20"/>
          <w:color w:val="auto"/>
        </w:rPr>
      </w:pPr>
    </w:p>
    <w:p>
      <w:pPr>
        <w:ind w:right="20" w:firstLine="570"/>
        <w:spacing w:after="0" w:line="270" w:lineRule="auto"/>
        <w:rPr>
          <w:sz w:val="20"/>
          <w:szCs w:val="20"/>
          <w:color w:val="auto"/>
        </w:rPr>
      </w:pPr>
      <w:r>
        <w:rPr>
          <w:rFonts w:ascii="Arial" w:cs="Arial" w:eastAsia="Arial" w:hAnsi="Arial"/>
          <w:sz w:val="16"/>
          <w:szCs w:val="16"/>
          <w:color w:val="auto"/>
        </w:rPr>
        <w:t xml:space="preserve">17.13. </w:t>
      </w:r>
      <w:r>
        <w:rPr>
          <w:rFonts w:ascii="Arial" w:cs="Arial" w:eastAsia="Arial" w:hAnsi="Arial"/>
          <w:sz w:val="16"/>
          <w:szCs w:val="16"/>
          <w:i w:val="1"/>
          <w:iCs w:val="1"/>
          <w:color w:val="auto"/>
        </w:rPr>
        <w:t>GOVERNING LAW.</w:t>
      </w:r>
      <w:r>
        <w:rPr>
          <w:rFonts w:ascii="Arial" w:cs="Arial" w:eastAsia="Arial" w:hAnsi="Arial"/>
          <w:sz w:val="16"/>
          <w:szCs w:val="16"/>
          <w:color w:val="auto"/>
        </w:rPr>
        <w:t xml:space="preserve"> To the extent not governed by federal law, the Plan and all Award Certificates shall be construed in accordance with and governed by the laws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481330</wp:posOffset>
            </wp:positionV>
            <wp:extent cx="7268210" cy="20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721" w:right="219" w:bottom="1440" w:gutter="0" w:footer="0" w:header="0"/>
        </w:sectPr>
      </w:pPr>
    </w:p>
    <w:bookmarkStart w:id="26" w:name="page27"/>
    <w:bookmarkEnd w:id="26"/>
    <w:p>
      <w:pPr>
        <w:jc w:val="both"/>
        <w:ind w:right="20" w:firstLine="570"/>
        <w:spacing w:after="0" w:line="270" w:lineRule="auto"/>
        <w:rPr>
          <w:sz w:val="20"/>
          <w:szCs w:val="20"/>
          <w:color w:val="auto"/>
        </w:rPr>
      </w:pPr>
      <w:r>
        <w:rPr>
          <w:rFonts w:ascii="Arial" w:cs="Arial" w:eastAsia="Arial" w:hAnsi="Arial"/>
          <w:sz w:val="16"/>
          <w:szCs w:val="16"/>
          <w:color w:val="auto"/>
        </w:rPr>
        <w:t xml:space="preserve">17.14. </w:t>
      </w:r>
      <w:r>
        <w:rPr>
          <w:rFonts w:ascii="Arial" w:cs="Arial" w:eastAsia="Arial" w:hAnsi="Arial"/>
          <w:sz w:val="16"/>
          <w:szCs w:val="16"/>
          <w:i w:val="1"/>
          <w:iCs w:val="1"/>
          <w:color w:val="auto"/>
        </w:rPr>
        <w:t>ADDITIONAL PROVISIONS.</w:t>
      </w:r>
      <w:r>
        <w:rPr>
          <w:rFonts w:ascii="Arial" w:cs="Arial" w:eastAsia="Arial" w:hAnsi="Arial"/>
          <w:sz w:val="16"/>
          <w:szCs w:val="16"/>
          <w:color w:val="auto"/>
        </w:rPr>
        <w:t xml:space="preserve"> Each Award Certificate may contain such other terms and conditions as the Committee may determine; provided that such other terms and conditions are not inconsistent with the provisions of the Plan.</w:t>
      </w:r>
    </w:p>
    <w:p>
      <w:pPr>
        <w:spacing w:after="0" w:line="180" w:lineRule="exact"/>
        <w:rPr>
          <w:sz w:val="20"/>
          <w:szCs w:val="20"/>
          <w:color w:val="auto"/>
        </w:rPr>
      </w:pPr>
    </w:p>
    <w:p>
      <w:pPr>
        <w:jc w:val="both"/>
        <w:ind w:firstLine="570"/>
        <w:spacing w:after="0" w:line="252" w:lineRule="auto"/>
        <w:rPr>
          <w:sz w:val="20"/>
          <w:szCs w:val="20"/>
          <w:color w:val="auto"/>
        </w:rPr>
      </w:pPr>
      <w:r>
        <w:rPr>
          <w:rFonts w:ascii="Arial" w:cs="Arial" w:eastAsia="Arial" w:hAnsi="Arial"/>
          <w:sz w:val="16"/>
          <w:szCs w:val="16"/>
          <w:color w:val="auto"/>
        </w:rPr>
        <w:t xml:space="preserve">17.15. </w:t>
      </w:r>
      <w:r>
        <w:rPr>
          <w:rFonts w:ascii="Arial" w:cs="Arial" w:eastAsia="Arial" w:hAnsi="Arial"/>
          <w:sz w:val="16"/>
          <w:szCs w:val="16"/>
          <w:i w:val="1"/>
          <w:iCs w:val="1"/>
          <w:color w:val="auto"/>
        </w:rPr>
        <w:t>NO LIMITATIONS ON RIGHTS OF COMPANY.</w:t>
      </w:r>
      <w:r>
        <w:rPr>
          <w:rFonts w:ascii="Arial" w:cs="Arial" w:eastAsia="Arial" w:hAnsi="Arial"/>
          <w:sz w:val="16"/>
          <w:szCs w:val="16"/>
          <w:color w:val="auto"/>
        </w:rPr>
        <w:t xml:space="preserve"> The grant of any Award shall not in any way affect the right or power of the Company to make adjustments, reclassification or changes in its capital or business structure or to merge, consolidate, dissolve, liquidate, sell or transfer all or any part of its business or assets. The Plan shall not restrict the authority of the Company, for proper corporate purposes, to draft or assume awards, other than under the Plan, to or with respect to any person. If the Committee so directs, the Company may issue or transfer Shares to an Affiliate, for such lawful consideration as the Committee may specify, upon the condition or understanding that the Affiliate will transfer such Shares to a Participant in accordance with the terms of an Award granted to such Participant and specified by the Committee pursuant to the provisions of the Plan.</w:t>
      </w:r>
    </w:p>
    <w:p>
      <w:pPr>
        <w:spacing w:after="0" w:line="195" w:lineRule="exact"/>
        <w:rPr>
          <w:sz w:val="20"/>
          <w:szCs w:val="20"/>
          <w:color w:val="auto"/>
        </w:rPr>
      </w:pPr>
    </w:p>
    <w:p>
      <w:pPr>
        <w:jc w:val="both"/>
        <w:ind w:firstLine="570"/>
        <w:spacing w:after="0" w:line="269" w:lineRule="auto"/>
        <w:rPr>
          <w:sz w:val="20"/>
          <w:szCs w:val="20"/>
          <w:color w:val="auto"/>
        </w:rPr>
      </w:pPr>
      <w:r>
        <w:rPr>
          <w:rFonts w:ascii="Arial" w:cs="Arial" w:eastAsia="Arial" w:hAnsi="Arial"/>
          <w:sz w:val="15"/>
          <w:szCs w:val="15"/>
          <w:color w:val="auto"/>
        </w:rPr>
        <w:t xml:space="preserve">17.16. </w:t>
      </w:r>
      <w:r>
        <w:rPr>
          <w:rFonts w:ascii="Arial" w:cs="Arial" w:eastAsia="Arial" w:hAnsi="Arial"/>
          <w:sz w:val="15"/>
          <w:szCs w:val="15"/>
          <w:i w:val="1"/>
          <w:iCs w:val="1"/>
          <w:color w:val="auto"/>
        </w:rPr>
        <w:t>INDEMNIFICATION.</w:t>
      </w:r>
      <w:r>
        <w:rPr>
          <w:rFonts w:ascii="Arial" w:cs="Arial" w:eastAsia="Arial" w:hAnsi="Arial"/>
          <w:sz w:val="15"/>
          <w:szCs w:val="15"/>
          <w:color w:val="auto"/>
        </w:rPr>
        <w:t xml:space="preserve"> Each person who is or shall have been a member of the Committee, or of the Board, or an officer of the Company to whom authority was delegated in accordance with Article 4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and against and from any and all amounts paid by him or her in settlement thereof, with the Company’s approval, or paid by him or her in satisfaction of any judgment in any such action, suit, or proceeding against him or her, provided he or she shall give the Company an opportunity, at its own expense, to handle and defend the same before he or she undertakes to handle and defend it on his or her own behalf, unless such loss, cost, liability, or expense is a result of his or her own willful misconduct or except as expressly provided by statute. The foregoing right of indemnification shall not be exclusive of any other rights of indemnification to which such persons may be entitled under the Company’s Certificate of Incorporation or Bylaws, as a matter of law, or otherwise, or any power that the Company may have to indemnify them or hold them harmless.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620395</wp:posOffset>
            </wp:positionV>
            <wp:extent cx="7268210" cy="20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471" w:right="219" w:bottom="1440"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146685</wp:posOffset>
            </wp:positionH>
            <wp:positionV relativeFrom="page">
              <wp:posOffset>10570210</wp:posOffset>
            </wp:positionV>
            <wp:extent cx="726821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8210" cy="34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right"/>
        <w:spacing w:after="0"/>
        <w:rPr>
          <w:sz w:val="20"/>
          <w:szCs w:val="20"/>
          <w:color w:val="auto"/>
        </w:rPr>
      </w:pPr>
      <w:r>
        <w:rPr>
          <w:rFonts w:ascii="Arial" w:cs="Arial" w:eastAsia="Arial" w:hAnsi="Arial"/>
          <w:sz w:val="16"/>
          <w:szCs w:val="16"/>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February 17, 2012</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color w:val="auto"/>
        </w:rPr>
        <w:t>Micron Technology, Inc.</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8000 South Federal Way</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Boise, ID 83707-0006</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Ladies and Gentlemen:</w:t>
      </w:r>
    </w:p>
    <w:p>
      <w:pPr>
        <w:spacing w:after="0" w:line="196" w:lineRule="exact"/>
        <w:rPr>
          <w:sz w:val="20"/>
          <w:szCs w:val="20"/>
          <w:color w:val="auto"/>
        </w:rPr>
      </w:pPr>
    </w:p>
    <w:p>
      <w:pPr>
        <w:ind w:right="220" w:firstLine="570"/>
        <w:spacing w:after="0" w:line="277" w:lineRule="auto"/>
        <w:rPr>
          <w:sz w:val="20"/>
          <w:szCs w:val="20"/>
          <w:color w:val="auto"/>
        </w:rPr>
      </w:pPr>
      <w:r>
        <w:rPr>
          <w:rFonts w:ascii="Arial" w:cs="Arial" w:eastAsia="Arial" w:hAnsi="Arial"/>
          <w:sz w:val="15"/>
          <w:szCs w:val="15"/>
          <w:color w:val="auto"/>
        </w:rPr>
        <w:t>We have examined the Registration Statement on Form S-8 to be filed by you with the Securities and Exchange Commission on or about January 27, 2012 (the “Registration Statement”) in connection with the registration under the Securities Act of 1933, as amended, of 20,000,000 shares of your Common Stock, $0.10 par value (the “Shares”) reserved for issuance under the Micron Technology, Inc. 2004 Equity Incentive Plan (the “Plan”). As your legal counsel, we have examined the proceedings taken and are familiar with the proceedings proposed to be taken by you in connection with the sale and issuance of the Shares under the Plan.</w:t>
      </w:r>
    </w:p>
    <w:p>
      <w:pPr>
        <w:spacing w:after="0" w:line="154" w:lineRule="exact"/>
        <w:rPr>
          <w:sz w:val="20"/>
          <w:szCs w:val="20"/>
          <w:color w:val="auto"/>
        </w:rPr>
      </w:pPr>
    </w:p>
    <w:p>
      <w:pPr>
        <w:ind w:right="40" w:firstLine="570"/>
        <w:spacing w:after="0" w:line="277" w:lineRule="auto"/>
        <w:rPr>
          <w:sz w:val="20"/>
          <w:szCs w:val="20"/>
          <w:color w:val="auto"/>
        </w:rPr>
      </w:pPr>
      <w:r>
        <w:rPr>
          <w:rFonts w:ascii="Arial" w:cs="Arial" w:eastAsia="Arial" w:hAnsi="Arial"/>
          <w:sz w:val="15"/>
          <w:szCs w:val="15"/>
          <w:color w:val="auto"/>
        </w:rPr>
        <w:t>It is our opinion that, upon completion of the proceedings to be taken, or contemplated by us as your counsel to be taken by you, prior to issuance of the Shares pursuant to the Registration Statement and the Plan, and upon completion of the proceedings being taken in order to permit such transactions to be carried out in accordance with the securities laws of the various states where required, the Shares, when issued and sold in the manner referred to in the Plan and the agreements which accompany the Plan, and in accordance with the Company's Certificate of Incorporation, will be legally and validly issued, fully paid and nonassessable.</w:t>
      </w:r>
    </w:p>
    <w:p>
      <w:pPr>
        <w:spacing w:after="0" w:line="154" w:lineRule="exact"/>
        <w:rPr>
          <w:sz w:val="20"/>
          <w:szCs w:val="20"/>
          <w:color w:val="auto"/>
        </w:rPr>
      </w:pPr>
    </w:p>
    <w:p>
      <w:pPr>
        <w:ind w:right="600" w:firstLine="570"/>
        <w:spacing w:after="0" w:line="270" w:lineRule="auto"/>
        <w:rPr>
          <w:sz w:val="20"/>
          <w:szCs w:val="20"/>
          <w:color w:val="auto"/>
        </w:rPr>
      </w:pPr>
      <w:r>
        <w:rPr>
          <w:rFonts w:ascii="Arial" w:cs="Arial" w:eastAsia="Arial" w:hAnsi="Arial"/>
          <w:sz w:val="16"/>
          <w:szCs w:val="16"/>
          <w:color w:val="auto"/>
        </w:rPr>
        <w:t>We consent to the use of this opinion as an exhibit to the Registration Statement and further consent to the use of our name wherever appearing in the Registration Statement, including the Prospectus constituting a part thereof, and amendments thereto.</w:t>
      </w:r>
    </w:p>
    <w:p>
      <w:pPr>
        <w:spacing w:after="0" w:line="156"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Very truly yours,</w:t>
      </w:r>
    </w:p>
    <w:p>
      <w:pPr>
        <w:spacing w:after="0" w:line="386"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WILSON SONSINI GOODRICH &amp; ROSATI,</w:t>
      </w:r>
    </w:p>
    <w:p>
      <w:pPr>
        <w:spacing w:after="0" w:line="17"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Professional Corporation</w:t>
      </w:r>
    </w:p>
    <w:p>
      <w:pPr>
        <w:spacing w:after="0" w:line="209" w:lineRule="exact"/>
        <w:rPr>
          <w:sz w:val="20"/>
          <w:szCs w:val="20"/>
          <w:color w:val="auto"/>
        </w:rPr>
      </w:pPr>
    </w:p>
    <w:p>
      <w:pPr>
        <w:ind w:left="3420"/>
        <w:spacing w:after="0"/>
        <w:rPr>
          <w:sz w:val="20"/>
          <w:szCs w:val="20"/>
          <w:color w:val="auto"/>
        </w:rPr>
      </w:pPr>
      <w:r>
        <w:rPr>
          <w:rFonts w:ascii="Arial" w:cs="Arial" w:eastAsia="Arial" w:hAnsi="Arial"/>
          <w:sz w:val="16"/>
          <w:szCs w:val="16"/>
          <w:i w:val="1"/>
          <w:iCs w:val="1"/>
          <w:color w:val="auto"/>
        </w:rPr>
        <w:t>/s/ Wilson Sonsini Goodrich &amp; Rosati,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268210" cy="400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8210" cy="400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5273675</wp:posOffset>
            </wp:positionV>
            <wp:extent cx="726821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8210" cy="34290"/>
                    </a:xfrm>
                    <a:prstGeom prst="rect">
                      <a:avLst/>
                    </a:prstGeom>
                    <a:noFill/>
                  </pic:spPr>
                </pic:pic>
              </a:graphicData>
            </a:graphic>
          </wp:anchor>
        </w:drawing>
      </w:r>
    </w:p>
    <w:p>
      <w:pPr>
        <w:sectPr>
          <w:pgSz w:w="11900" w:h="16838" w:orient="portrait"/>
          <w:cols w:equalWidth="0" w:num="1">
            <w:col w:w="11440"/>
          </w:cols>
          <w:pgMar w:left="240" w:top="551" w:right="219" w:bottom="1440" w:gutter="0" w:footer="0" w:header="0"/>
        </w:sectPr>
      </w:pPr>
    </w:p>
    <w:bookmarkStart w:id="29" w:name="page30"/>
    <w:bookmarkEnd w:id="29"/>
    <w:p>
      <w:pPr>
        <w:jc w:val="right"/>
        <w:spacing w:after="0"/>
        <w:rPr>
          <w:sz w:val="20"/>
          <w:szCs w:val="20"/>
          <w:color w:val="auto"/>
        </w:rPr>
      </w:pPr>
      <w:r>
        <w:rPr>
          <w:rFonts w:ascii="Arial" w:cs="Arial" w:eastAsia="Arial" w:hAnsi="Arial"/>
          <w:sz w:val="16"/>
          <w:szCs w:val="16"/>
          <w:color w:val="auto"/>
        </w:rPr>
        <w:t>EXHIBIT 23.1</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CONSENT OF INDEPENDENT REGISTERED PUBLIC ACCOUNTING FIRM</w:t>
      </w:r>
    </w:p>
    <w:p>
      <w:pPr>
        <w:spacing w:after="0" w:line="196" w:lineRule="exact"/>
        <w:rPr>
          <w:sz w:val="20"/>
          <w:szCs w:val="20"/>
          <w:color w:val="auto"/>
        </w:rPr>
      </w:pPr>
    </w:p>
    <w:p>
      <w:pPr>
        <w:jc w:val="both"/>
        <w:ind w:right="160"/>
        <w:spacing w:after="0" w:line="259" w:lineRule="auto"/>
        <w:rPr>
          <w:sz w:val="20"/>
          <w:szCs w:val="20"/>
          <w:color w:val="auto"/>
        </w:rPr>
      </w:pPr>
      <w:r>
        <w:rPr>
          <w:rFonts w:ascii="Arial" w:cs="Arial" w:eastAsia="Arial" w:hAnsi="Arial"/>
          <w:sz w:val="16"/>
          <w:szCs w:val="16"/>
          <w:color w:val="auto"/>
        </w:rPr>
        <w:t>We hereby consent to the incorporation by reference in this Registration Statement on Form S-8 of our report dated October 25, 2011 relating to the financial statements, financial statement schedule and the effectiveness of internal control over financial reporting, which appears in Micron Technology Inc.'s Annual Report on Form 10-K for the year ended September 1, 2011.</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PricewaterhouseCoopers LLP</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San Jose, CA</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February 17,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462280</wp:posOffset>
            </wp:positionV>
            <wp:extent cx="7268210" cy="400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8210" cy="400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8011795</wp:posOffset>
            </wp:positionV>
            <wp:extent cx="726821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8210" cy="34290"/>
                    </a:xfrm>
                    <a:prstGeom prst="rect">
                      <a:avLst/>
                    </a:prstGeom>
                    <a:noFill/>
                  </pic:spPr>
                </pic:pic>
              </a:graphicData>
            </a:graphic>
          </wp:anchor>
        </w:drawing>
      </w:r>
    </w:p>
    <w:p>
      <w:pPr>
        <w:sectPr>
          <w:pgSz w:w="11900" w:h="16838" w:orient="portrait"/>
          <w:cols w:equalWidth="0" w:num="1">
            <w:col w:w="11440"/>
          </w:cols>
          <w:pgMar w:left="240" w:top="982" w:right="219" w:bottom="1440" w:gutter="0" w:footer="0" w:header="0"/>
        </w:sectPr>
      </w:pPr>
    </w:p>
    <w:bookmarkStart w:id="30" w:name="page31"/>
    <w:bookmarkEnd w:id="30"/>
    <w:p>
      <w:pPr>
        <w:ind w:left="10340"/>
        <w:spacing w:after="0"/>
        <w:rPr>
          <w:sz w:val="20"/>
          <w:szCs w:val="20"/>
          <w:color w:val="auto"/>
        </w:rPr>
      </w:pPr>
      <w:r>
        <w:rPr>
          <w:rFonts w:ascii="Arial" w:cs="Arial" w:eastAsia="Arial" w:hAnsi="Arial"/>
          <w:sz w:val="16"/>
          <w:szCs w:val="16"/>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Consent of Independent Registered Public Accounting Firm</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Inotera Memories Inc.:</w:t>
      </w:r>
    </w:p>
    <w:p>
      <w:pPr>
        <w:spacing w:after="0" w:line="220" w:lineRule="exact"/>
        <w:rPr>
          <w:sz w:val="20"/>
          <w:szCs w:val="20"/>
          <w:color w:val="auto"/>
        </w:rPr>
      </w:pPr>
    </w:p>
    <w:p>
      <w:pPr>
        <w:jc w:val="both"/>
        <w:ind w:right="100"/>
        <w:spacing w:after="0" w:line="284" w:lineRule="auto"/>
        <w:rPr>
          <w:sz w:val="20"/>
          <w:szCs w:val="20"/>
          <w:color w:val="auto"/>
        </w:rPr>
      </w:pPr>
      <w:r>
        <w:rPr>
          <w:rFonts w:ascii="Arial" w:cs="Arial" w:eastAsia="Arial" w:hAnsi="Arial"/>
          <w:sz w:val="15"/>
          <w:szCs w:val="15"/>
          <w:color w:val="auto"/>
        </w:rPr>
        <w:t>We consent to the incorporation by reference in the registration statements on Form S-8 of Micron Technology, Inc. of our audit report dated March 28, 2011, with respect to the balance sheets of Inotera Memories Inc. as of December 31, 2009 and 2010, and the related statements of operations, changes in stockholders' equity, and cash flows for the years then ended, which report appears in the September 1, 2011 annual report on Form 10-K of Micron Technology, Inc.</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Our report contains an explanatory paragraph that states Inotera Memories Inc. did not maintain a minimum current ratio of 1:1 and a maximum debt to equity ratio of 1.5:1 at December 31, 2010, as part of the financial covenants originally required of Inotera Memories Inc. under its syndicated bank loan agreements. On October 21, 2010, however, the syndicate banks formally agreed to waive the requirement of Inotera Memories Inc. to comply with its financial loan covenants for the financial statement period ended June 30, 2010. As of December 31, 2010, Inotera Memories Inc. was still in breach of the financial covenants to maintain a minimum current and leverage ratios. As Inotera Memories Inc. is required to cure these breaches no later than the end of June 2011, it will prepare to submit a formal letter to the managing bank to request for a waiver from complying with these financial covenants, so that the managing bank can convene a meeting of the banks to discuss the aforesaid breach and to resolve before the expiration of the remedial period on whether a waiver of the breach will be granted. The potential consequences to Inotera Memories Inc. of a breach of any of its financial covenants pursuant to its syndicated bank loan agreements are also described in Notes 19(b)(iii) and 27(i) to the lnotera Memories Inc. financial statements.</w:t>
      </w:r>
    </w:p>
    <w:p>
      <w:pPr>
        <w:spacing w:after="0" w:line="172" w:lineRule="exact"/>
        <w:rPr>
          <w:sz w:val="20"/>
          <w:szCs w:val="20"/>
          <w:color w:val="auto"/>
        </w:rPr>
      </w:pPr>
    </w:p>
    <w:p>
      <w:pPr>
        <w:jc w:val="both"/>
        <w:ind w:right="100"/>
        <w:spacing w:after="0" w:line="259" w:lineRule="auto"/>
        <w:rPr>
          <w:sz w:val="20"/>
          <w:szCs w:val="20"/>
          <w:color w:val="auto"/>
        </w:rPr>
      </w:pPr>
      <w:r>
        <w:rPr>
          <w:rFonts w:ascii="Arial" w:cs="Arial" w:eastAsia="Arial" w:hAnsi="Arial"/>
          <w:sz w:val="16"/>
          <w:szCs w:val="16"/>
          <w:color w:val="auto"/>
        </w:rPr>
        <w:t>Our report contains an explanatory paragraph that states effective January 1, 2009, Inotera Memories Inc. adopted the newly revised SFAS No. 10 "Inventories", under which, the unallocated fixed overhead and direct labor cost of NT$12,903,228 thousand and gain from price recovery of inventories of NT$1,767,684 thousand were charged to costs of goods sold for the year ended December 31, 2010.</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/s/ KPMG</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February 15, 2012</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Taipei, Taiwan (the Republic of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212725</wp:posOffset>
            </wp:positionV>
            <wp:extent cx="7268210" cy="400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8210" cy="40005"/>
                    </a:xfrm>
                    <a:prstGeom prst="rect">
                      <a:avLst/>
                    </a:prstGeom>
                    <a:noFill/>
                  </pic:spPr>
                </pic:pic>
              </a:graphicData>
            </a:graphic>
          </wp:anchor>
        </w:drawing>
      </w:r>
    </w:p>
    <w:sectPr>
      <w:pgSz w:w="11900" w:h="16838" w:orient="portrait"/>
      <w:cols w:equalWidth="0" w:num="1">
        <w:col w:w="11380"/>
      </w:cols>
      <w:pgMar w:left="380" w:top="978"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1)"/>
      <w:numFmt w:val="decimal"/>
      <w:start w:val="1"/>
    </w:lvl>
  </w:abstractNum>
  <w:abstractNum w:abstractNumId="1">
    <w:nsid w:val="431BD7B7"/>
    <w:multiLevelType w:val="hybridMultilevel"/>
    <w:lvl w:ilvl="0">
      <w:lvlJc w:val="left"/>
      <w:lvlText w:val="(%1)"/>
      <w:numFmt w:val="lowerLetter"/>
      <w:start w:val="1"/>
    </w:lvl>
  </w:abstractNum>
  <w:abstractNum w:abstractNumId="2">
    <w:nsid w:val="3F2DBA31"/>
    <w:multiLevelType w:val="hybridMultilevel"/>
    <w:lvl w:ilvl="0">
      <w:lvlJc w:val="left"/>
      <w:lvlText w:val="(%1)"/>
      <w:numFmt w:val="lowerLetter"/>
      <w:start w:val="1"/>
    </w:lvl>
    <w:lvl w:ilvl="1">
      <w:lvlJc w:val="left"/>
      <w:lvlText w:val="(%2)"/>
      <w:numFmt w:val="decimal"/>
      <w:start w:val="1"/>
    </w:lvl>
  </w:abstractNum>
  <w:abstractNum w:abstractNumId="3">
    <w:nsid w:val="7C83E458"/>
    <w:multiLevelType w:val="hybridMultilevel"/>
    <w:lvl w:ilvl="0">
      <w:lvlJc w:val="left"/>
      <w:lvlText w:val="(%1)"/>
      <w:numFmt w:val="lowerRoman"/>
      <w:start w:val="1"/>
    </w:lvl>
  </w:abstractNum>
  <w:abstractNum w:abstractNumId="4">
    <w:nsid w:val="257130A3"/>
    <w:multiLevelType w:val="hybridMultilevel"/>
    <w:lvl w:ilvl="0">
      <w:lvlJc w:val="left"/>
      <w:lvlText w:val="%1"/>
      <w:numFmt w:val="lowerLetter"/>
      <w:start w:val="1"/>
    </w:lvl>
    <w:lvl w:ilvl="1">
      <w:lvlJc w:val="left"/>
      <w:lvlText w:val="(%2)"/>
      <w:numFmt w:val="decimal"/>
      <w:start w:val="2"/>
    </w:lvl>
  </w:abstractNum>
  <w:abstractNum w:abstractNumId="5">
    <w:nsid w:val="62BBD95A"/>
    <w:multiLevelType w:val="hybridMultilevel"/>
    <w:lvl w:ilvl="0">
      <w:lvlJc w:val="left"/>
      <w:lvlText w:val="(%1)"/>
      <w:numFmt w:val="lowerLetter"/>
      <w:start w:val="2"/>
    </w:lvl>
    <w:lvl w:ilvl="1">
      <w:lvlJc w:val="left"/>
      <w:lvlText w:val="%2"/>
      <w:numFmt w:val="decimal"/>
      <w:start w:val="1"/>
    </w:lvl>
  </w:abstractNum>
  <w:abstractNum w:abstractNumId="6">
    <w:nsid w:val="436C6125"/>
    <w:multiLevelType w:val="hybridMultilevel"/>
    <w:lvl w:ilvl="0">
      <w:lvlJc w:val="left"/>
      <w:lvlText w:val="(%1)"/>
      <w:numFmt w:val="lowerLetter"/>
      <w:start w:val="1"/>
    </w:lvl>
    <w:lvl w:ilvl="1">
      <w:lvlJc w:val="left"/>
      <w:lvlText w:val="(%2)"/>
      <w:numFmt w:val="lowerLetter"/>
      <w:start w:val="9"/>
    </w:lvl>
  </w:abstractNum>
  <w:abstractNum w:abstractNumId="7">
    <w:nsid w:val="628C895D"/>
    <w:multiLevelType w:val="hybridMultilevel"/>
    <w:lvl w:ilvl="0">
      <w:lvlJc w:val="left"/>
      <w:lvlText w:val="%1"/>
      <w:numFmt w:val="lowerLetter"/>
      <w:start w:val="1"/>
    </w:lvl>
    <w:lvl w:ilvl="1">
      <w:lvlJc w:val="left"/>
      <w:lvlText w:val="(%2)"/>
      <w:numFmt w:val="lowerRoman"/>
      <w:start w:val="2"/>
    </w:lvl>
  </w:abstractNum>
  <w:abstractNum w:abstractNumId="8">
    <w:nsid w:val="333AB105"/>
    <w:multiLevelType w:val="hybridMultilevel"/>
    <w:lvl w:ilvl="0">
      <w:lvlJc w:val="left"/>
      <w:lvlText w:val="(%1)"/>
      <w:numFmt w:val="lowerLetter"/>
      <w:start w:val="6"/>
    </w:lvl>
    <w:lvl w:ilvl="1">
      <w:lvlJc w:val="left"/>
      <w:lvlText w:val="%2"/>
      <w:numFmt w:val="lowerRoman"/>
      <w:start w:val="1"/>
    </w:lvl>
  </w:abstractNum>
  <w:abstractNum w:abstractNumId="9">
    <w:nsid w:val="721DA317"/>
    <w:multiLevelType w:val="hybridMultilevel"/>
    <w:lvl w:ilvl="0">
      <w:lvlJc w:val="left"/>
      <w:lvlText w:val="(%1)"/>
      <w:numFmt w:val="lowerLetter"/>
      <w:start w:val="10"/>
    </w:lvl>
  </w:abstractNum>
  <w:abstractNum w:abstractNumId="10">
    <w:nsid w:val="2443A858"/>
    <w:multiLevelType w:val="hybridMultilevel"/>
    <w:lvl w:ilvl="0">
      <w:lvlJc w:val="left"/>
      <w:lvlText w:val="(%1)"/>
      <w:numFmt w:val="lowerLetter"/>
      <w:start w:val="25"/>
    </w:lvl>
  </w:abstractNum>
  <w:abstractNum w:abstractNumId="11">
    <w:nsid w:val="2D1D5AE9"/>
    <w:multiLevelType w:val="hybridMultilevel"/>
    <w:lvl w:ilvl="0">
      <w:lvlJc w:val="left"/>
      <w:lvlText w:val="(%1)"/>
      <w:numFmt w:val="lowerLetter"/>
      <w:start w:val="27"/>
    </w:lvl>
  </w:abstractNum>
  <w:abstractNum w:abstractNumId="12">
    <w:nsid w:val="6763845E"/>
    <w:multiLevelType w:val="hybridMultilevel"/>
    <w:lvl w:ilvl="0">
      <w:lvlJc w:val="left"/>
      <w:lvlText w:val="(%1)"/>
      <w:numFmt w:val="lowerLetter"/>
      <w:start w:val="1"/>
    </w:lvl>
  </w:abstractNum>
  <w:abstractNum w:abstractNumId="13">
    <w:nsid w:val="75A2A8D4"/>
    <w:multiLevelType w:val="hybridMultilevel"/>
    <w:lvl w:ilvl="0">
      <w:lvlJc w:val="left"/>
      <w:lvlText w:val="(%1)"/>
      <w:numFmt w:val="lowerLetter"/>
      <w:start w:val="6"/>
    </w:lvl>
  </w:abstractNum>
  <w:abstractNum w:abstractNumId="14">
    <w:nsid w:val="8EDBDAB"/>
    <w:multiLevelType w:val="hybridMultilevel"/>
    <w:lvl w:ilvl="0">
      <w:lvlJc w:val="left"/>
      <w:lvlText w:val="(%1)"/>
      <w:numFmt w:val="lowerLetter"/>
      <w:start w:val="1"/>
    </w:lvl>
  </w:abstractNum>
  <w:abstractNum w:abstractNumId="15">
    <w:nsid w:val="79838CB2"/>
    <w:multiLevelType w:val="hybridMultilevel"/>
    <w:lvl w:ilvl="0">
      <w:lvlJc w:val="left"/>
      <w:lvlText w:val="(%1)"/>
      <w:numFmt w:val="lowerLetter"/>
      <w:start w:val="2"/>
    </w:lvl>
  </w:abstractNum>
  <w:abstractNum w:abstractNumId="16">
    <w:nsid w:val="4353D0CD"/>
    <w:multiLevelType w:val="hybridMultilevel"/>
    <w:lvl w:ilvl="0">
      <w:lvlJc w:val="left"/>
      <w:lvlText w:val="(%1)"/>
      <w:numFmt w:val="lowerLetter"/>
      <w:start w:val="1"/>
    </w:lvl>
  </w:abstractNum>
  <w:abstractNum w:abstractNumId="17">
    <w:nsid w:val="B03E0C6"/>
    <w:multiLevelType w:val="hybridMultilevel"/>
    <w:lvl w:ilvl="0">
      <w:lvlJc w:val="left"/>
      <w:lvlText w:val="(%1)"/>
      <w:numFmt w:val="lowerLetter"/>
      <w:start w:val="1"/>
    </w:lvl>
    <w:lvl w:ilvl="1">
      <w:lvlJc w:val="left"/>
      <w:lvlText w:val="(%2)"/>
      <w:numFmt w:val="decimal"/>
      <w:start w:val="1"/>
    </w:lvl>
  </w:abstractNum>
  <w:abstractNum w:abstractNumId="18">
    <w:nsid w:val="189A769B"/>
    <w:multiLevelType w:val="hybridMultilevel"/>
    <w:lvl w:ilvl="0">
      <w:lvlJc w:val="left"/>
      <w:lvlText w:val="(%1)"/>
      <w:numFmt w:val="lowerLetter"/>
      <w:start w:val="3"/>
    </w:lvl>
  </w:abstractNum>
  <w:abstractNum w:abstractNumId="19">
    <w:nsid w:val="54E49EB4"/>
    <w:multiLevelType w:val="hybridMultilevel"/>
    <w:lvl w:ilvl="0">
      <w:lvlJc w:val="left"/>
      <w:lvlText w:val="(%1)"/>
      <w:numFmt w:val="lowerLetter"/>
      <w:start w:val="1"/>
    </w:lvl>
  </w:abstractNum>
  <w:abstractNum w:abstractNumId="20">
    <w:nsid w:val="71F32454"/>
    <w:multiLevelType w:val="hybridMultilevel"/>
    <w:lvl w:ilvl="0">
      <w:lvlJc w:val="left"/>
      <w:lvlText w:val="%1"/>
      <w:numFmt w:val="lowerLetter"/>
      <w:start w:val="1"/>
    </w:lvl>
    <w:lvl w:ilvl="1">
      <w:lvlJc w:val="left"/>
      <w:lvlText w:val="(%2)"/>
      <w:numFmt w:val="decimal"/>
      <w:start w:val="1"/>
    </w:lvl>
  </w:abstractNum>
  <w:abstractNum w:abstractNumId="21">
    <w:nsid w:val="2CA88611"/>
    <w:multiLevelType w:val="hybridMultilevel"/>
    <w:lvl w:ilvl="0">
      <w:lvlJc w:val="left"/>
      <w:lvlText w:val="(%1)"/>
      <w:numFmt w:val="lowerLetter"/>
      <w:start w:val="2"/>
    </w:lvl>
    <w:lvl w:ilvl="1">
      <w:lvlJc w:val="left"/>
      <w:lvlText w:val="%2"/>
      <w:numFmt w:val="decimal"/>
      <w:start w:val="1"/>
    </w:lvl>
  </w:abstractNum>
  <w:abstractNum w:abstractNumId="22">
    <w:nsid w:val="836C40E"/>
    <w:multiLevelType w:val="hybridMultilevel"/>
    <w:lvl w:ilvl="0">
      <w:lvlJc w:val="left"/>
      <w:lvlText w:val="(%1)"/>
      <w:numFmt w:val="lowerRoman"/>
      <w:start w:val="1"/>
    </w:lvl>
  </w:abstractNum>
  <w:abstractNum w:abstractNumId="23">
    <w:nsid w:val="2901D82"/>
    <w:multiLevelType w:val="hybridMultilevel"/>
    <w:lvl w:ilvl="0">
      <w:lvlJc w:val="left"/>
      <w:lvlText w:val="(%1)"/>
      <w:numFmt w:val="lowerRoman"/>
      <w:start w:val="3"/>
    </w:lvl>
  </w:abstractNum>
  <w:abstractNum w:abstractNumId="24">
    <w:nsid w:val="3A95F874"/>
    <w:multiLevelType w:val="hybridMultilevel"/>
    <w:lvl w:ilvl="0">
      <w:lvlJc w:val="left"/>
      <w:lvlText w:val="(%1)"/>
      <w:numFmt w:val="lowerLetter"/>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1)"/>
      <w:numFmt w:val="lowerLetter"/>
      <w:start w:val="3"/>
    </w:lvl>
  </w:abstractNum>
  <w:abstractNum w:abstractNumId="27">
    <w:nsid w:val="7C3DBD3D"/>
    <w:multiLevelType w:val="hybridMultilevel"/>
    <w:lvl w:ilvl="0">
      <w:lvlJc w:val="left"/>
      <w:lvlText w:val="(%1)"/>
      <w:numFmt w:val="lowerLetter"/>
      <w:start w:val="4"/>
    </w:lvl>
  </w:abstractNum>
  <w:abstractNum w:abstractNumId="28">
    <w:nsid w:val="737B8DDC"/>
    <w:multiLevelType w:val="hybridMultilevel"/>
    <w:lvl w:ilvl="0">
      <w:lvlJc w:val="left"/>
      <w:lvlText w:val="(%1)"/>
      <w:numFmt w:val="lowerLetter"/>
      <w:start w:val="5"/>
    </w:lvl>
    <w:lvl w:ilvl="1">
      <w:lvlJc w:val="left"/>
      <w:lvlText w:val="(%2)"/>
      <w:numFmt w:val="lowerLetter"/>
      <w:start w:val="5"/>
    </w:lvl>
  </w:abstractNum>
  <w:abstractNum w:abstractNumId="29">
    <w:nsid w:val="6CEAF087"/>
    <w:multiLevelType w:val="hybridMultilevel"/>
    <w:lvl w:ilvl="0">
      <w:lvlJc w:val="left"/>
      <w:lvlText w:val="(%1)"/>
      <w:numFmt w:val="lowerRoman"/>
      <w:start w:val="4"/>
    </w:lvl>
  </w:abstractNum>
  <w:abstractNum w:abstractNumId="30">
    <w:nsid w:val="22221A70"/>
    <w:multiLevelType w:val="hybridMultilevel"/>
    <w:lvl w:ilvl="0">
      <w:lvlJc w:val="left"/>
      <w:lvlText w:val="(%1)"/>
      <w:numFmt w:val="lowerLetter"/>
      <w:start w:val="1"/>
    </w:lvl>
  </w:abstractNum>
  <w:abstractNum w:abstractNumId="31">
    <w:nsid w:val="4516DDE9"/>
    <w:multiLevelType w:val="hybridMultilevel"/>
    <w:lvl w:ilvl="0">
      <w:lvlJc w:val="left"/>
      <w:lvlText w:val="(%1)"/>
      <w:numFmt w:val="lowerLetter"/>
      <w:start w:val="1"/>
    </w:lvl>
    <w:lvl w:ilvl="1">
      <w:lvlJc w:val="left"/>
      <w:lvlText w:val="(%2)"/>
      <w:numFmt w:val="lowerRoman"/>
      <w:start w:val="1"/>
    </w:lvl>
  </w:abstractNum>
  <w:abstractNum w:abstractNumId="32">
    <w:nsid w:val="3006C83E"/>
    <w:multiLevelType w:val="hybridMultilevel"/>
    <w:lvl w:ilvl="0">
      <w:lvlJc w:val="left"/>
      <w:lvlText w:val="%1"/>
      <w:numFmt w:val="lowerLetter"/>
      <w:start w:val="1"/>
    </w:lvl>
    <w:lvl w:ilvl="1">
      <w:lvlJc w:val="left"/>
      <w:lvlText w:val="(%2)"/>
      <w:numFmt w:val="lowerLetter"/>
      <w:start w:val="1"/>
    </w:lvl>
  </w:abstractNum>
  <w:abstractNum w:abstractNumId="33">
    <w:nsid w:val="614FD4A1"/>
    <w:multiLevelType w:val="hybridMultilevel"/>
    <w:lvl w:ilvl="0">
      <w:lvlJc w:val="left"/>
      <w:lvlText w:val="(%1)"/>
      <w:numFmt w:val="lowerLetter"/>
      <w:start w:val="35"/>
    </w:lvl>
    <w:lvl w:ilvl="1">
      <w:lvlJc w:val="left"/>
      <w:lvlText w:val="(%2)"/>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2019-12-09T07:47:43Z</dcterms:created>
  <dcterms:modified xsi:type="dcterms:W3CDTF">2019-12-09T07:47:43Z</dcterms:modified>
</cp:coreProperties>
</file>