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-230505</wp:posOffset>
            </wp:positionV>
            <wp:extent cx="126365" cy="1263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" cy="12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62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7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5207635</wp:posOffset>
            </wp:positionH>
            <wp:positionV relativeFrom="paragraph">
              <wp:posOffset>-605155</wp:posOffset>
            </wp:positionV>
            <wp:extent cx="57150" cy="6184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3918585</wp:posOffset>
            </wp:positionH>
            <wp:positionV relativeFrom="paragraph">
              <wp:posOffset>-605155</wp:posOffset>
            </wp:positionV>
            <wp:extent cx="57150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26035</wp:posOffset>
            </wp:positionV>
            <wp:extent cx="6998335" cy="85553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335" cy="855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72" w:orient="portrait"/>
          <w:cols w:equalWidth="0" w:num="2">
            <w:col w:w="2180" w:space="480"/>
            <w:col w:w="8420"/>
          </w:cols>
          <w:pgMar w:left="460" w:top="214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ARNZEN APRIL S</w:t>
        </w:r>
      </w:hyperlink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10/13/2022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720" w:firstLine="3"/>
        <w:spacing w:after="0" w:line="270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1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1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7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SVP, Chief People Officer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72" w:orient="portrait"/>
          <w:cols w:equalWidth="0" w:num="3">
            <w:col w:w="3180" w:space="720"/>
            <w:col w:w="3160" w:space="683"/>
            <w:col w:w="3337"/>
          </w:cols>
          <w:pgMar w:left="460" w:top="214" w:right="359" w:bottom="0" w:gutter="0" w:footer="0" w:header="0"/>
          <w:type w:val="continuous"/>
        </w:sectPr>
      </w:pPr>
    </w:p>
    <w:p>
      <w:pPr>
        <w:spacing w:after="0" w:line="6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</w:tcPr>
          <w:p>
            <w:pPr>
              <w:jc w:val="center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9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Line)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BOISE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83716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jc w:val="right"/>
              <w:ind w:righ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42,654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131,826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16,240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148,066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5,640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52.75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142,426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0"/>
              </w:rPr>
              <w:t>430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142,856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0"/>
              </w:rPr>
              <w:t>185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52.75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142,671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14,440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157,111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6,888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52.75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150,223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5,612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155,835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2,677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52.75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153,158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3,033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52.75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150,125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10/16/2022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2,929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52.72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147,196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10/16/2022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4,366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52.72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142,830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4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16,240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8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9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3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4,640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4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221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0"/>
              </w:rPr>
              <w:t>430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8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9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3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3,693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4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221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14,440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8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9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3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7,220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4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7,220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(9)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(9)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5,612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8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9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3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6,100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4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6,101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(10)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(10)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16,819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(10)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8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9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16,819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4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16,819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10,664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(11)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8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9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10,664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4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10,664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10,664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(12)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8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9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10,664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4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10,664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-3664585</wp:posOffset>
            </wp:positionV>
            <wp:extent cx="28575" cy="36696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366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Restricted Stock Award vests 33 1/3% on October 15, 2023, and 1/12 of the total restricted stock award vests quarterly thereafter.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200" w:hanging="3"/>
        <w:spacing w:after="0" w:line="259" w:lineRule="auto"/>
        <w:tabs>
          <w:tab w:leader="none" w:pos="16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Compensation Committee certified achievement of the pre-established performance goals at a level resulting in a vest of 100% of the total target shares under the performance-based restricted stock units previously awarded on October 16, 2019. As reported at grant, the performance-based restricted stock unit could result in a payout that varies based on actual achievement of the goals, subject to a 200% aggregate limit on the payout of target shares.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Withholding of shares of common stock to satisfy tax withholding obligations in connection with the vesting of previously granted awards.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180" w:hanging="3"/>
        <w:spacing w:after="0" w:line="281" w:lineRule="auto"/>
        <w:tabs>
          <w:tab w:leader="none" w:pos="16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Compensation Committee certified achievement of pre-established performance goals related to NAND delivery and solutions at a level resulting in a vest of 100% of the total target shares under the performance-based restricted stock units previously awarded on October 16, 2020. As reported at grant, the performance-based restricted stock unit could result in a payout that varies based on actual achievement of the</w:t>
      </w:r>
    </w:p>
    <w:p>
      <w:pPr>
        <w:sectPr>
          <w:pgSz w:w="11900" w:h="16872" w:orient="portrait"/>
          <w:cols w:equalWidth="0" w:num="1">
            <w:col w:w="11080"/>
          </w:cols>
          <w:pgMar w:left="460" w:top="214" w:right="359" w:bottom="0" w:gutter="0" w:footer="0" w:header="0"/>
          <w:type w:val="continuous"/>
        </w:sectPr>
      </w:pPr>
    </w:p>
    <w:bookmarkStart w:id="1" w:name="page2"/>
    <w:bookmarkEnd w:id="1"/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goals, subject to a 200% aggregate limit on the payout of target shares.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3" w:right="40" w:hanging="3"/>
        <w:spacing w:after="0" w:line="259" w:lineRule="auto"/>
        <w:tabs>
          <w:tab w:leader="none" w:pos="127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Compensation Committee certified achievement of pre-established performance goals related to relative total shareholder return at a level resulting in a vest of 46% of the total target shares under the performance-based restricted stock units previously awarded on October 16, 2020. As reported at grant, the performance-based restricted stock unit could result in a payout that varies based on actual achievement of the goals, subject to a 200% aggregate limit on the payout of target shares.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3" w:right="60" w:hanging="3"/>
        <w:spacing w:after="0" w:line="259" w:lineRule="auto"/>
        <w:tabs>
          <w:tab w:leader="none" w:pos="127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performance-based restricted stock unit represents the right to receive, following vesting, a percentage of one share of common stock based upon the achievement of pre-established performance goals related to NAND delivery and solutions over a 3-year performance period beginning August 30, 2019 and ending September 1, 2022 (subject to a 200% aggregate limit on the total target shares that may be received under the performance-based restricted stock units awarded on October 16, 2019), and certification of such performance by the Compensation Committee.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3" w:right="60" w:hanging="3"/>
        <w:spacing w:after="0" w:line="259" w:lineRule="auto"/>
        <w:tabs>
          <w:tab w:leader="none" w:pos="127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performance-based restricted stock unit represents the right to receive, following vesting, a percentage of one share of common stock based upon the achievement of pre-established performance goals related to relative total shareholder return over a 3-year performance period beginning August 30, 2019 and ending September 1, 2022 (subject to a 200% aggregate limit on the total target shares that may be received under the performance-based restricted stock units awarded on October 16, 2019), and certification of such performance by the Compensation Committee.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3" w:right="60" w:hanging="3"/>
        <w:spacing w:after="0" w:line="259" w:lineRule="auto"/>
        <w:tabs>
          <w:tab w:leader="none" w:pos="127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performance-based restricted stock unit represents the right to receive, following vesting, a percentage of one share of common stock based upon the achievement of pre-established performance goals related to NAND delivery and solutions over a 3-year performance period beginning September 4, 2020 and ending August 31, 2023 (subject to a 200% aggregate limit on the total target shares that may be received under the performance-based restricted stock units awarded on October 16, 2020), and certification of such performance by the Compensation Committee.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3" w:right="60" w:hanging="3"/>
        <w:spacing w:after="0" w:line="259" w:lineRule="auto"/>
        <w:tabs>
          <w:tab w:leader="none" w:pos="127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performance-based restricted stock unit represents the right to receive, following vesting, a percentage of one share of common stock based upon the achievement of pre-established performance goals related to relative total shareholder return over a 3-year performance period beginning September 4, 2020 and ending August 31, 2023 (subject to a 200% aggregate limit on the total target shares that may be received under the performance-based restricted stock units awarded on October 16, 2020), and certification of such performance by the Compensation Committee.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3" w:right="120" w:hanging="3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performance-based restricted stock unit represents the right to receive, following vesting, a percentage of one share of common stock based upon the achievement of pre-established performance goals related to relative total shareholder return over a 3-year period beginning September 2, 2022 and ending August 28, 2025 (subject to a 200% aggregate limit on the total target shares that may be received under the performance-based restricted stock units awarded on October 13, 2022), and certification of such performance by the Compensation Committee.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3" w:hanging="3"/>
        <w:spacing w:after="0" w:line="259" w:lineRule="auto"/>
        <w:tabs>
          <w:tab w:leader="none" w:pos="185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performance-based restricted stock unit represents the right to receive, following vesting, a percentage of one share of common stock based upon the achievement of pre-established performance goals related to NAND delivery and solutions over a 3-year period beginning September 2, 2022 and ending August 28, 2025 (subject to a 200% aggregate limit on the total target shares that may be received under the performance-based restricted stock units awarded on October 13, 2022), and certification of such performance by the Compensation Committee.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3" w:right="120" w:hanging="3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performance-based restricted stock unit represents the right to receive, following vesting, a percentage of one share of common stock based upon the achievement of pre-established performance goals related to DRAM revenue over a 3-year period beginning September 2, 2022 and ending August 28, 2025 (subject to a 200% aggregate limit on the total target shares that may be received under the performance-based restricted stock units awarded on October 13, 2022), and certification of such performance by the Compensation Committee.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56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Rob Beard,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10/17/2022</w:t>
            </w:r>
          </w:p>
        </w:tc>
      </w:tr>
      <w:tr>
        <w:trPr>
          <w:trHeight w:val="219"/>
        </w:trPr>
        <w:tc>
          <w:tcPr>
            <w:tcW w:w="18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3" w:right="3720" w:hanging="3"/>
        <w:spacing w:after="0" w:line="324" w:lineRule="auto"/>
        <w:tabs>
          <w:tab w:leader="none" w:pos="134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3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03"/>
      </w:cols>
      <w:pgMar w:left="497" w:top="127" w:right="4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320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2022-10-17T15:58:45Z</dcterms:created>
  <dcterms:modified xsi:type="dcterms:W3CDTF">2022-10-17T15:58:45Z</dcterms:modified>
</cp:coreProperties>
</file>