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-579755</wp:posOffset>
            </wp:positionV>
            <wp:extent cx="7620" cy="580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0390"/>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-588010</wp:posOffset>
            </wp:positionV>
            <wp:extent cx="7620" cy="588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864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-563880</wp:posOffset>
            </wp:positionV>
            <wp:extent cx="1270635" cy="54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102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30480</wp:posOffset>
            </wp:positionV>
            <wp:extent cx="6973570" cy="1670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3570" cy="1670685"/>
                    </a:xfrm>
                    <a:prstGeom prst="rect">
                      <a:avLst/>
                    </a:prstGeom>
                    <a:noFill/>
                  </pic:spPr>
                </pic:pic>
              </a:graphicData>
            </a:graphic>
          </wp:anchor>
        </w:drawing>
      </w:r>
    </w:p>
    <w:p>
      <w:pPr>
        <w:spacing w:after="0" w:line="99" w:lineRule="exact"/>
        <w:rPr>
          <w:sz w:val="24"/>
          <w:szCs w:val="24"/>
          <w:color w:val="auto"/>
        </w:rPr>
      </w:pPr>
    </w:p>
    <w:p>
      <w:pPr>
        <w:sectPr>
          <w:pgSz w:w="11900" w:h="16863"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MEHROTRA SANJAY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8000 S. FEDERAL WAY</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MS 40-370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MICRON 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MU</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10/16/2020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8" w:right="740" w:hanging="8"/>
        <w:spacing w:after="0" w:line="253" w:lineRule="auto"/>
        <w:tabs>
          <w:tab w:leader="none" w:pos="14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tbl>
      <w:tblPr>
        <w:tblLayout w:type="fixed"/>
        <w:tblInd w:w="208" w:type="dxa"/>
        <w:tblCellMar>
          <w:top w:w="0" w:type="dxa"/>
          <w:left w:w="0" w:type="dxa"/>
          <w:bottom w:w="0" w:type="dxa"/>
          <w:right w:w="0" w:type="dxa"/>
        </w:tblCellMar>
      </w:tblPr>
      <w:tr>
        <w:trPr>
          <w:trHeight w:val="205"/>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68"/>
        <w:spacing w:after="0"/>
        <w:rPr>
          <w:sz w:val="20"/>
          <w:szCs w:val="20"/>
          <w:color w:val="auto"/>
        </w:rPr>
      </w:pPr>
      <w:r>
        <w:rPr>
          <w:rFonts w:ascii="Arial" w:cs="Arial" w:eastAsia="Arial" w:hAnsi="Arial"/>
          <w:sz w:val="16"/>
          <w:szCs w:val="16"/>
          <w:color w:val="0000FF"/>
        </w:rPr>
        <w:t>CEO and President</w:t>
      </w:r>
    </w:p>
    <w:p>
      <w:pPr>
        <w:spacing w:after="0" w:line="508" w:lineRule="exact"/>
        <w:rPr>
          <w:sz w:val="24"/>
          <w:szCs w:val="24"/>
          <w:color w:val="auto"/>
        </w:rPr>
      </w:pPr>
    </w:p>
    <w:p>
      <w:pPr>
        <w:sectPr>
          <w:pgSz w:w="11900" w:h="16863" w:orient="portrait"/>
          <w:cols w:equalWidth="0" w:num="3">
            <w:col w:w="3180" w:space="720"/>
            <w:col w:w="3120" w:space="712"/>
            <w:col w:w="3348"/>
          </w:cols>
          <w:pgMar w:left="460" w:top="219" w:right="359" w:bottom="0" w:gutter="0" w:footer="0" w:header="0"/>
          <w:type w:val="continuous"/>
        </w:sectPr>
      </w:pP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10"/>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0000FF"/>
              </w:rPr>
              <w:t>BOISE</w:t>
            </w:r>
          </w:p>
        </w:tc>
        <w:tc>
          <w:tcPr>
            <w:tcW w:w="760" w:type="dxa"/>
            <w:vAlign w:val="bottom"/>
          </w:tcPr>
          <w:p>
            <w:pPr>
              <w:ind w:left="560"/>
              <w:spacing w:after="0"/>
              <w:rPr>
                <w:sz w:val="20"/>
                <w:szCs w:val="20"/>
                <w:color w:val="auto"/>
              </w:rPr>
            </w:pPr>
            <w:r>
              <w:rPr>
                <w:rFonts w:ascii="Arial" w:cs="Arial" w:eastAsia="Arial" w:hAnsi="Arial"/>
                <w:sz w:val="16"/>
                <w:szCs w:val="16"/>
                <w:color w:val="0000FF"/>
              </w:rPr>
              <w:t>ID</w:t>
            </w:r>
          </w:p>
        </w:tc>
        <w:tc>
          <w:tcPr>
            <w:tcW w:w="98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0000FF"/>
              </w:rPr>
              <w:t>83716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ind w:left="5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8"/>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560"/>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860"/>
              <w:spacing w:after="0" w:line="120"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20" w:type="dxa"/>
            <w:vAlign w:val="bottom"/>
            <w:gridSpan w:val="4"/>
          </w:tcPr>
          <w:p>
            <w:pPr>
              <w:jc w:val="center"/>
              <w:ind w:left="732"/>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732"/>
              <w:spacing w:after="0"/>
              <w:rPr>
                <w:sz w:val="20"/>
                <w:szCs w:val="20"/>
                <w:color w:val="auto"/>
              </w:rPr>
            </w:pPr>
            <w:r>
              <w:rPr>
                <w:rFonts w:ascii="Arial" w:cs="Arial" w:eastAsia="Arial" w:hAnsi="Arial"/>
                <w:sz w:val="16"/>
                <w:szCs w:val="16"/>
                <w:color w:val="0000FF"/>
                <w:w w:val="92"/>
              </w:rPr>
              <w:t>10/16/2020</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A</w:t>
            </w:r>
          </w:p>
        </w:tc>
        <w:tc>
          <w:tcPr>
            <w:tcW w:w="80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6"/>
                <w:szCs w:val="16"/>
                <w:color w:val="0000FF"/>
                <w:w w:val="86"/>
              </w:rPr>
              <w:t>178,090</w:t>
            </w:r>
            <w:r>
              <w:rPr>
                <w:rFonts w:ascii="Arial" w:cs="Arial" w:eastAsia="Arial" w:hAnsi="Arial"/>
                <w:sz w:val="20"/>
                <w:szCs w:val="20"/>
                <w:color w:val="008000"/>
                <w:w w:val="86"/>
                <w:vertAlign w:val="superscript"/>
              </w:rPr>
              <w:t>(1)</w:t>
            </w: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6"/>
                <w:szCs w:val="16"/>
                <w:color w:val="0000FF"/>
              </w:rPr>
              <w:t>621,285</w:t>
            </w:r>
            <w:r>
              <w:rPr>
                <w:rFonts w:ascii="Arial" w:cs="Arial" w:eastAsia="Arial" w:hAnsi="Arial"/>
                <w:sz w:val="20"/>
                <w:szCs w:val="20"/>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732"/>
              <w:spacing w:after="0"/>
              <w:rPr>
                <w:sz w:val="20"/>
                <w:szCs w:val="20"/>
                <w:color w:val="auto"/>
              </w:rPr>
            </w:pPr>
            <w:r>
              <w:rPr>
                <w:rFonts w:ascii="Arial" w:cs="Arial" w:eastAsia="Arial" w:hAnsi="Arial"/>
                <w:sz w:val="16"/>
                <w:szCs w:val="16"/>
                <w:color w:val="0000FF"/>
                <w:w w:val="92"/>
              </w:rPr>
              <w:t>10/16/2020</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80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6"/>
                <w:szCs w:val="16"/>
                <w:color w:val="0000FF"/>
                <w:w w:val="85"/>
              </w:rPr>
              <w:t>50,099</w:t>
            </w:r>
            <w:r>
              <w:rPr>
                <w:rFonts w:ascii="Arial" w:cs="Arial" w:eastAsia="Arial" w:hAnsi="Arial"/>
                <w:sz w:val="20"/>
                <w:szCs w:val="20"/>
                <w:color w:val="008000"/>
                <w:w w:val="85"/>
                <w:vertAlign w:val="superscript"/>
              </w:rPr>
              <w:t>(3)</w:t>
            </w: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51.94</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571,186</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732"/>
              <w:spacing w:after="0"/>
              <w:rPr>
                <w:sz w:val="20"/>
                <w:szCs w:val="20"/>
                <w:color w:val="auto"/>
              </w:rPr>
            </w:pPr>
            <w:r>
              <w:rPr>
                <w:rFonts w:ascii="Arial" w:cs="Arial" w:eastAsia="Arial" w:hAnsi="Arial"/>
                <w:sz w:val="16"/>
                <w:szCs w:val="16"/>
                <w:color w:val="0000FF"/>
                <w:w w:val="92"/>
              </w:rPr>
              <w:t>10/16/2020</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80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6"/>
                <w:szCs w:val="16"/>
                <w:color w:val="0000FF"/>
                <w:w w:val="85"/>
              </w:rPr>
              <w:t>77,939</w:t>
            </w:r>
            <w:r>
              <w:rPr>
                <w:rFonts w:ascii="Arial" w:cs="Arial" w:eastAsia="Arial" w:hAnsi="Arial"/>
                <w:sz w:val="20"/>
                <w:szCs w:val="20"/>
                <w:color w:val="008000"/>
                <w:w w:val="85"/>
                <w:vertAlign w:val="superscript"/>
              </w:rPr>
              <w:t>(4)</w:t>
            </w: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649,125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732"/>
              <w:spacing w:after="0"/>
              <w:rPr>
                <w:sz w:val="20"/>
                <w:szCs w:val="20"/>
                <w:color w:val="auto"/>
              </w:rPr>
            </w:pPr>
            <w:r>
              <w:rPr>
                <w:rFonts w:ascii="Arial" w:cs="Arial" w:eastAsia="Arial" w:hAnsi="Arial"/>
                <w:sz w:val="16"/>
                <w:szCs w:val="16"/>
                <w:color w:val="0000FF"/>
                <w:w w:val="92"/>
              </w:rPr>
              <w:t>10/16/2020</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80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6"/>
                <w:szCs w:val="16"/>
                <w:color w:val="0000FF"/>
                <w:w w:val="86"/>
              </w:rPr>
              <w:t>107,953</w:t>
            </w:r>
            <w:r>
              <w:rPr>
                <w:rFonts w:ascii="Arial" w:cs="Arial" w:eastAsia="Arial" w:hAnsi="Arial"/>
                <w:sz w:val="20"/>
                <w:szCs w:val="20"/>
                <w:color w:val="008000"/>
                <w:w w:val="86"/>
                <w:vertAlign w:val="superscript"/>
              </w:rPr>
              <w:t>(5)</w:t>
            </w: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757,078</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732"/>
              <w:spacing w:after="0"/>
              <w:rPr>
                <w:sz w:val="20"/>
                <w:szCs w:val="20"/>
                <w:color w:val="auto"/>
              </w:rPr>
            </w:pPr>
            <w:r>
              <w:rPr>
                <w:rFonts w:ascii="Arial" w:cs="Arial" w:eastAsia="Arial" w:hAnsi="Arial"/>
                <w:sz w:val="16"/>
                <w:szCs w:val="16"/>
                <w:color w:val="0000FF"/>
                <w:w w:val="92"/>
              </w:rPr>
              <w:t>10/16/2020</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80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6"/>
                <w:szCs w:val="16"/>
                <w:color w:val="0000FF"/>
                <w:w w:val="85"/>
              </w:rPr>
              <w:t>90,355</w:t>
            </w:r>
            <w:r>
              <w:rPr>
                <w:rFonts w:ascii="Arial" w:cs="Arial" w:eastAsia="Arial" w:hAnsi="Arial"/>
                <w:sz w:val="20"/>
                <w:szCs w:val="20"/>
                <w:color w:val="008000"/>
                <w:w w:val="85"/>
                <w:vertAlign w:val="superscript"/>
              </w:rPr>
              <w:t>(6)</w:t>
            </w: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51.94</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666,723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73,073</w:t>
            </w:r>
          </w:p>
        </w:tc>
        <w:tc>
          <w:tcPr>
            <w:tcW w:w="32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GRAT</w:t>
            </w:r>
            <w:r>
              <w:rPr>
                <w:rFonts w:ascii="Arial" w:cs="Arial" w:eastAsia="Arial" w:hAnsi="Arial"/>
                <w:sz w:val="20"/>
                <w:szCs w:val="20"/>
                <w:color w:val="008000"/>
                <w:vertAlign w:val="superscript"/>
              </w:rPr>
              <w:t>(14)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0" w:type="dxa"/>
            <w:vAlign w:val="bottom"/>
            <w:gridSpan w:val="13"/>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0"/>
                <w:szCs w:val="10"/>
                <w:color w:val="008000"/>
                <w:w w:val="97"/>
              </w:rPr>
              <w:t>(7)</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5"/>
              </w:rPr>
              <w:t>75,240</w:t>
            </w:r>
            <w:r>
              <w:rPr>
                <w:rFonts w:ascii="Arial" w:cs="Arial" w:eastAsia="Arial" w:hAnsi="Arial"/>
                <w:sz w:val="20"/>
                <w:szCs w:val="20"/>
                <w:color w:val="008000"/>
                <w:w w:val="85"/>
                <w:vertAlign w:val="superscript"/>
              </w:rPr>
              <w:t>(7)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Restricted</w:t>
            </w:r>
          </w:p>
        </w:tc>
        <w:tc>
          <w:tcPr>
            <w:tcW w:w="760" w:type="dxa"/>
            <w:vAlign w:val="bottom"/>
          </w:tcPr>
          <w:p>
            <w:pPr>
              <w:jc w:val="right"/>
              <w:ind w:right="282"/>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80" w:type="dxa"/>
            <w:vAlign w:val="bottom"/>
          </w:tcPr>
          <w:p>
            <w:pPr>
              <w:jc w:val="center"/>
              <w:spacing w:after="0" w:line="120" w:lineRule="exact"/>
              <w:rPr>
                <w:sz w:val="20"/>
                <w:szCs w:val="20"/>
                <w:color w:val="auto"/>
              </w:rPr>
            </w:pPr>
            <w:r>
              <w:rPr>
                <w:rFonts w:ascii="Arial" w:cs="Arial" w:eastAsia="Arial" w:hAnsi="Arial"/>
                <w:sz w:val="12"/>
                <w:szCs w:val="12"/>
                <w:color w:val="0000FF"/>
                <w:w w:val="93"/>
              </w:rPr>
              <w:t>10/16/2020</w:t>
            </w: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120"/>
              <w:spacing w:after="0" w:line="120" w:lineRule="exact"/>
              <w:rPr>
                <w:sz w:val="20"/>
                <w:szCs w:val="20"/>
                <w:color w:val="auto"/>
              </w:rPr>
            </w:pPr>
            <w:r>
              <w:rPr>
                <w:rFonts w:ascii="Arial" w:cs="Arial" w:eastAsia="Arial" w:hAnsi="Arial"/>
                <w:sz w:val="12"/>
                <w:szCs w:val="12"/>
                <w:color w:val="0000FF"/>
              </w:rPr>
              <w:t>A</w:t>
            </w:r>
          </w:p>
        </w:tc>
        <w:tc>
          <w:tcPr>
            <w:tcW w:w="500" w:type="dxa"/>
            <w:vAlign w:val="bottom"/>
          </w:tcPr>
          <w:p>
            <w:pPr>
              <w:ind w:left="100"/>
              <w:spacing w:after="0" w:line="120" w:lineRule="exact"/>
              <w:rPr>
                <w:sz w:val="20"/>
                <w:szCs w:val="20"/>
                <w:color w:val="auto"/>
              </w:rPr>
            </w:pPr>
            <w:r>
              <w:rPr>
                <w:rFonts w:ascii="Arial" w:cs="Arial" w:eastAsia="Arial" w:hAnsi="Arial"/>
                <w:sz w:val="12"/>
                <w:szCs w:val="12"/>
                <w:color w:val="0000FF"/>
              </w:rPr>
              <w:t>75,240</w:t>
            </w:r>
          </w:p>
        </w:tc>
        <w:tc>
          <w:tcPr>
            <w:tcW w:w="5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26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2"/>
              </w:rPr>
              <w:t>75,240</w:t>
            </w:r>
          </w:p>
        </w:tc>
        <w:tc>
          <w:tcPr>
            <w:tcW w:w="620" w:type="dxa"/>
            <w:vAlign w:val="bottom"/>
          </w:tcPr>
          <w:p>
            <w:pPr>
              <w:ind w:left="32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0"/>
                <w:szCs w:val="10"/>
                <w:color w:val="008000"/>
                <w:w w:val="97"/>
              </w:rPr>
              <w:t>(8)</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5"/>
              </w:rPr>
              <w:t>89,045</w:t>
            </w:r>
            <w:r>
              <w:rPr>
                <w:rFonts w:ascii="Arial" w:cs="Arial" w:eastAsia="Arial" w:hAnsi="Arial"/>
                <w:sz w:val="20"/>
                <w:szCs w:val="20"/>
                <w:color w:val="008000"/>
                <w:w w:val="85"/>
                <w:vertAlign w:val="superscript"/>
              </w:rPr>
              <w:t>(8)</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Restricted</w:t>
            </w:r>
          </w:p>
        </w:tc>
        <w:tc>
          <w:tcPr>
            <w:tcW w:w="760" w:type="dxa"/>
            <w:vAlign w:val="bottom"/>
          </w:tcPr>
          <w:p>
            <w:pPr>
              <w:jc w:val="right"/>
              <w:ind w:right="282"/>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80" w:type="dxa"/>
            <w:vAlign w:val="bottom"/>
          </w:tcPr>
          <w:p>
            <w:pPr>
              <w:jc w:val="center"/>
              <w:spacing w:after="0" w:line="120" w:lineRule="exact"/>
              <w:rPr>
                <w:sz w:val="20"/>
                <w:szCs w:val="20"/>
                <w:color w:val="auto"/>
              </w:rPr>
            </w:pPr>
            <w:r>
              <w:rPr>
                <w:rFonts w:ascii="Arial" w:cs="Arial" w:eastAsia="Arial" w:hAnsi="Arial"/>
                <w:sz w:val="12"/>
                <w:szCs w:val="12"/>
                <w:color w:val="0000FF"/>
                <w:w w:val="93"/>
              </w:rPr>
              <w:t>10/16/2020</w:t>
            </w: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120"/>
              <w:spacing w:after="0" w:line="120" w:lineRule="exact"/>
              <w:rPr>
                <w:sz w:val="20"/>
                <w:szCs w:val="20"/>
                <w:color w:val="auto"/>
              </w:rPr>
            </w:pPr>
            <w:r>
              <w:rPr>
                <w:rFonts w:ascii="Arial" w:cs="Arial" w:eastAsia="Arial" w:hAnsi="Arial"/>
                <w:sz w:val="12"/>
                <w:szCs w:val="12"/>
                <w:color w:val="0000FF"/>
              </w:rPr>
              <w:t>A</w:t>
            </w:r>
          </w:p>
        </w:tc>
        <w:tc>
          <w:tcPr>
            <w:tcW w:w="500" w:type="dxa"/>
            <w:vAlign w:val="bottom"/>
          </w:tcPr>
          <w:p>
            <w:pPr>
              <w:ind w:left="100"/>
              <w:spacing w:after="0" w:line="120" w:lineRule="exact"/>
              <w:rPr>
                <w:sz w:val="20"/>
                <w:szCs w:val="20"/>
                <w:color w:val="auto"/>
              </w:rPr>
            </w:pPr>
            <w:r>
              <w:rPr>
                <w:rFonts w:ascii="Arial" w:cs="Arial" w:eastAsia="Arial" w:hAnsi="Arial"/>
                <w:sz w:val="12"/>
                <w:szCs w:val="12"/>
                <w:color w:val="0000FF"/>
              </w:rPr>
              <w:t>89,045</w:t>
            </w:r>
          </w:p>
        </w:tc>
        <w:tc>
          <w:tcPr>
            <w:tcW w:w="5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26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2"/>
              </w:rPr>
              <w:t>89,045</w:t>
            </w:r>
          </w:p>
        </w:tc>
        <w:tc>
          <w:tcPr>
            <w:tcW w:w="620" w:type="dxa"/>
            <w:vAlign w:val="bottom"/>
          </w:tcPr>
          <w:p>
            <w:pPr>
              <w:ind w:left="32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0"/>
                <w:szCs w:val="10"/>
                <w:color w:val="008000"/>
                <w:w w:val="97"/>
              </w:rPr>
              <w:t>(9)</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5"/>
              </w:rPr>
              <w:t>77,939</w:t>
            </w:r>
            <w:r>
              <w:rPr>
                <w:rFonts w:ascii="Arial" w:cs="Arial" w:eastAsia="Arial" w:hAnsi="Arial"/>
                <w:sz w:val="20"/>
                <w:szCs w:val="20"/>
                <w:color w:val="008000"/>
                <w:w w:val="85"/>
                <w:vertAlign w:val="superscript"/>
              </w:rPr>
              <w:t>(4)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Restricted</w:t>
            </w:r>
          </w:p>
        </w:tc>
        <w:tc>
          <w:tcPr>
            <w:tcW w:w="760" w:type="dxa"/>
            <w:vAlign w:val="bottom"/>
          </w:tcPr>
          <w:p>
            <w:pPr>
              <w:jc w:val="right"/>
              <w:ind w:right="282"/>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80" w:type="dxa"/>
            <w:vAlign w:val="bottom"/>
          </w:tcPr>
          <w:p>
            <w:pPr>
              <w:jc w:val="center"/>
              <w:spacing w:after="0" w:line="120" w:lineRule="exact"/>
              <w:rPr>
                <w:sz w:val="20"/>
                <w:szCs w:val="20"/>
                <w:color w:val="auto"/>
              </w:rPr>
            </w:pPr>
            <w:r>
              <w:rPr>
                <w:rFonts w:ascii="Arial" w:cs="Arial" w:eastAsia="Arial" w:hAnsi="Arial"/>
                <w:sz w:val="12"/>
                <w:szCs w:val="12"/>
                <w:color w:val="0000FF"/>
                <w:w w:val="93"/>
              </w:rPr>
              <w:t>10/16/2020</w:t>
            </w: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100"/>
              <w:spacing w:after="0" w:line="120"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10"/>
                <w:szCs w:val="10"/>
                <w:color w:val="auto"/>
              </w:rPr>
            </w:pPr>
          </w:p>
        </w:tc>
        <w:tc>
          <w:tcPr>
            <w:tcW w:w="500" w:type="dxa"/>
            <w:vAlign w:val="bottom"/>
          </w:tcPr>
          <w:p>
            <w:pPr>
              <w:jc w:val="center"/>
              <w:spacing w:after="0" w:line="120" w:lineRule="exact"/>
              <w:rPr>
                <w:sz w:val="20"/>
                <w:szCs w:val="20"/>
                <w:color w:val="auto"/>
              </w:rPr>
            </w:pPr>
            <w:r>
              <w:rPr>
                <w:rFonts w:ascii="Arial" w:cs="Arial" w:eastAsia="Arial" w:hAnsi="Arial"/>
                <w:sz w:val="12"/>
                <w:szCs w:val="12"/>
                <w:color w:val="0000FF"/>
                <w:w w:val="92"/>
              </w:rPr>
              <w:t>64,776</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26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40" w:type="dxa"/>
            <w:vAlign w:val="bottom"/>
          </w:tcPr>
          <w:p>
            <w:pPr>
              <w:jc w:val="center"/>
              <w:ind w:left="262"/>
              <w:spacing w:after="0" w:line="120" w:lineRule="exact"/>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10"/>
                <w:szCs w:val="10"/>
                <w:color w:val="auto"/>
              </w:rPr>
            </w:pPr>
          </w:p>
        </w:tc>
        <w:tc>
          <w:tcPr>
            <w:tcW w:w="620" w:type="dxa"/>
            <w:vAlign w:val="bottom"/>
          </w:tcPr>
          <w:p>
            <w:pPr>
              <w:ind w:left="32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rPr>
              <w:t>(10)</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6"/>
              </w:rPr>
              <w:t>107,953</w:t>
            </w:r>
            <w:r>
              <w:rPr>
                <w:rFonts w:ascii="Arial" w:cs="Arial" w:eastAsia="Arial" w:hAnsi="Arial"/>
                <w:sz w:val="20"/>
                <w:szCs w:val="20"/>
                <w:color w:val="008000"/>
                <w:w w:val="86"/>
                <w:vertAlign w:val="superscript"/>
              </w:rPr>
              <w:t>(5)</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Restricted</w:t>
            </w:r>
          </w:p>
        </w:tc>
        <w:tc>
          <w:tcPr>
            <w:tcW w:w="760" w:type="dxa"/>
            <w:vAlign w:val="bottom"/>
          </w:tcPr>
          <w:p>
            <w:pPr>
              <w:jc w:val="right"/>
              <w:ind w:right="282"/>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80" w:type="dxa"/>
            <w:vAlign w:val="bottom"/>
          </w:tcPr>
          <w:p>
            <w:pPr>
              <w:jc w:val="center"/>
              <w:spacing w:after="0" w:line="120" w:lineRule="exact"/>
              <w:rPr>
                <w:sz w:val="20"/>
                <w:szCs w:val="20"/>
                <w:color w:val="auto"/>
              </w:rPr>
            </w:pPr>
            <w:r>
              <w:rPr>
                <w:rFonts w:ascii="Arial" w:cs="Arial" w:eastAsia="Arial" w:hAnsi="Arial"/>
                <w:sz w:val="12"/>
                <w:szCs w:val="12"/>
                <w:color w:val="0000FF"/>
                <w:w w:val="93"/>
              </w:rPr>
              <w:t>10/16/2020</w:t>
            </w: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100"/>
              <w:spacing w:after="0" w:line="120"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10"/>
                <w:szCs w:val="10"/>
                <w:color w:val="auto"/>
              </w:rPr>
            </w:pPr>
          </w:p>
        </w:tc>
        <w:tc>
          <w:tcPr>
            <w:tcW w:w="500" w:type="dxa"/>
            <w:vAlign w:val="bottom"/>
          </w:tcPr>
          <w:p>
            <w:pPr>
              <w:jc w:val="center"/>
              <w:spacing w:after="0" w:line="120" w:lineRule="exact"/>
              <w:rPr>
                <w:sz w:val="20"/>
                <w:szCs w:val="20"/>
                <w:color w:val="auto"/>
              </w:rPr>
            </w:pPr>
            <w:r>
              <w:rPr>
                <w:rFonts w:ascii="Arial" w:cs="Arial" w:eastAsia="Arial" w:hAnsi="Arial"/>
                <w:sz w:val="12"/>
                <w:szCs w:val="12"/>
                <w:color w:val="0000FF"/>
                <w:w w:val="92"/>
              </w:rPr>
              <w:t>54,846</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26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2"/>
              </w:rPr>
              <w:t>78,022</w:t>
            </w:r>
          </w:p>
        </w:tc>
        <w:tc>
          <w:tcPr>
            <w:tcW w:w="620" w:type="dxa"/>
            <w:vAlign w:val="bottom"/>
          </w:tcPr>
          <w:p>
            <w:pPr>
              <w:ind w:left="32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rPr>
              <w:t>(11)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1"/>
              </w:rPr>
              <w:t>3,507</w:t>
            </w:r>
            <w:r>
              <w:rPr>
                <w:rFonts w:ascii="Arial" w:cs="Arial" w:eastAsia="Arial" w:hAnsi="Arial"/>
                <w:sz w:val="20"/>
                <w:szCs w:val="20"/>
                <w:color w:val="008000"/>
                <w:w w:val="81"/>
                <w:vertAlign w:val="superscript"/>
              </w:rPr>
              <w:t>(13)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Restricted</w:t>
            </w:r>
          </w:p>
        </w:tc>
        <w:tc>
          <w:tcPr>
            <w:tcW w:w="760" w:type="dxa"/>
            <w:vAlign w:val="bottom"/>
          </w:tcPr>
          <w:p>
            <w:pPr>
              <w:jc w:val="right"/>
              <w:ind w:right="282"/>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80" w:type="dxa"/>
            <w:vAlign w:val="bottom"/>
          </w:tcPr>
          <w:p>
            <w:pPr>
              <w:jc w:val="center"/>
              <w:spacing w:after="0" w:line="120" w:lineRule="exact"/>
              <w:rPr>
                <w:sz w:val="20"/>
                <w:szCs w:val="20"/>
                <w:color w:val="auto"/>
              </w:rPr>
            </w:pPr>
            <w:r>
              <w:rPr>
                <w:rFonts w:ascii="Arial" w:cs="Arial" w:eastAsia="Arial" w:hAnsi="Arial"/>
                <w:sz w:val="12"/>
                <w:szCs w:val="12"/>
                <w:color w:val="0000FF"/>
                <w:w w:val="93"/>
              </w:rPr>
              <w:t>10/16/2020</w:t>
            </w: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line="120" w:lineRule="exact"/>
              <w:rPr>
                <w:sz w:val="20"/>
                <w:szCs w:val="20"/>
                <w:color w:val="auto"/>
              </w:rPr>
            </w:pPr>
            <w:r>
              <w:rPr>
                <w:rFonts w:ascii="Arial" w:cs="Arial" w:eastAsia="Arial" w:hAnsi="Arial"/>
                <w:sz w:val="12"/>
                <w:szCs w:val="12"/>
                <w:color w:val="0000FF"/>
              </w:rPr>
              <w:t>F</w:t>
            </w:r>
          </w:p>
        </w:tc>
        <w:tc>
          <w:tcPr>
            <w:tcW w:w="500" w:type="dxa"/>
            <w:vAlign w:val="bottom"/>
          </w:tcPr>
          <w:p>
            <w:pPr>
              <w:spacing w:after="0"/>
              <w:rPr>
                <w:sz w:val="10"/>
                <w:szCs w:val="10"/>
                <w:color w:val="auto"/>
              </w:rPr>
            </w:pPr>
          </w:p>
        </w:tc>
        <w:tc>
          <w:tcPr>
            <w:tcW w:w="500" w:type="dxa"/>
            <w:vAlign w:val="bottom"/>
          </w:tcPr>
          <w:p>
            <w:pPr>
              <w:jc w:val="center"/>
              <w:spacing w:after="0" w:line="120" w:lineRule="exact"/>
              <w:rPr>
                <w:sz w:val="20"/>
                <w:szCs w:val="20"/>
                <w:color w:val="auto"/>
              </w:rPr>
            </w:pPr>
            <w:r>
              <w:rPr>
                <w:rFonts w:ascii="Arial" w:cs="Arial" w:eastAsia="Arial" w:hAnsi="Arial"/>
                <w:sz w:val="12"/>
                <w:szCs w:val="12"/>
                <w:color w:val="0000FF"/>
                <w:w w:val="93"/>
              </w:rPr>
              <w:t>3,507</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26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2"/>
              </w:rPr>
              <w:t>77,208</w:t>
            </w:r>
          </w:p>
        </w:tc>
        <w:tc>
          <w:tcPr>
            <w:tcW w:w="620" w:type="dxa"/>
            <w:vAlign w:val="bottom"/>
          </w:tcPr>
          <w:p>
            <w:pPr>
              <w:ind w:left="32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rPr>
              <w:t>(12)</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line="296" w:lineRule="exact"/>
              <w:rPr>
                <w:sz w:val="20"/>
                <w:szCs w:val="20"/>
                <w:color w:val="auto"/>
              </w:rPr>
            </w:pPr>
            <w:r>
              <w:rPr>
                <w:rFonts w:ascii="Arial" w:cs="Arial" w:eastAsia="Arial" w:hAnsi="Arial"/>
                <w:sz w:val="32"/>
                <w:szCs w:val="32"/>
                <w:color w:val="0000FF"/>
                <w:w w:val="74"/>
                <w:vertAlign w:val="subscript"/>
              </w:rPr>
              <w:t>326</w:t>
            </w:r>
            <w:r>
              <w:rPr>
                <w:rFonts w:ascii="Arial" w:cs="Arial" w:eastAsia="Arial" w:hAnsi="Arial"/>
                <w:sz w:val="10"/>
                <w:szCs w:val="10"/>
                <w:color w:val="008000"/>
                <w:w w:val="74"/>
              </w:rPr>
              <w:t>(13)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Restricted</w:t>
            </w:r>
          </w:p>
        </w:tc>
        <w:tc>
          <w:tcPr>
            <w:tcW w:w="760" w:type="dxa"/>
            <w:vAlign w:val="bottom"/>
          </w:tcPr>
          <w:p>
            <w:pPr>
              <w:jc w:val="right"/>
              <w:ind w:right="282"/>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80" w:type="dxa"/>
            <w:vAlign w:val="bottom"/>
          </w:tcPr>
          <w:p>
            <w:pPr>
              <w:jc w:val="center"/>
              <w:spacing w:after="0" w:line="120" w:lineRule="exact"/>
              <w:rPr>
                <w:sz w:val="20"/>
                <w:szCs w:val="20"/>
                <w:color w:val="auto"/>
              </w:rPr>
            </w:pPr>
            <w:r>
              <w:rPr>
                <w:rFonts w:ascii="Arial" w:cs="Arial" w:eastAsia="Arial" w:hAnsi="Arial"/>
                <w:sz w:val="12"/>
                <w:szCs w:val="12"/>
                <w:color w:val="0000FF"/>
                <w:w w:val="93"/>
              </w:rPr>
              <w:t>10/16/2020</w:t>
            </w: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line="120" w:lineRule="exact"/>
              <w:rPr>
                <w:sz w:val="20"/>
                <w:szCs w:val="20"/>
                <w:color w:val="auto"/>
              </w:rPr>
            </w:pPr>
            <w:r>
              <w:rPr>
                <w:rFonts w:ascii="Arial" w:cs="Arial" w:eastAsia="Arial" w:hAnsi="Arial"/>
                <w:sz w:val="12"/>
                <w:szCs w:val="12"/>
                <w:color w:val="0000FF"/>
              </w:rPr>
              <w:t>F</w:t>
            </w:r>
          </w:p>
        </w:tc>
        <w:tc>
          <w:tcPr>
            <w:tcW w:w="500" w:type="dxa"/>
            <w:vAlign w:val="bottom"/>
          </w:tcPr>
          <w:p>
            <w:pPr>
              <w:spacing w:after="0"/>
              <w:rPr>
                <w:sz w:val="10"/>
                <w:szCs w:val="10"/>
                <w:color w:val="auto"/>
              </w:rPr>
            </w:pPr>
          </w:p>
        </w:tc>
        <w:tc>
          <w:tcPr>
            <w:tcW w:w="500" w:type="dxa"/>
            <w:vAlign w:val="bottom"/>
          </w:tcPr>
          <w:p>
            <w:pPr>
              <w:jc w:val="center"/>
              <w:spacing w:after="0" w:line="120" w:lineRule="exact"/>
              <w:rPr>
                <w:sz w:val="20"/>
                <w:szCs w:val="20"/>
                <w:color w:val="auto"/>
              </w:rPr>
            </w:pPr>
            <w:r>
              <w:rPr>
                <w:rFonts w:ascii="Arial" w:cs="Arial" w:eastAsia="Arial" w:hAnsi="Arial"/>
                <w:sz w:val="12"/>
                <w:szCs w:val="12"/>
                <w:color w:val="0000FF"/>
                <w:w w:val="89"/>
              </w:rPr>
              <w:t>326</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26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2"/>
              </w:rPr>
              <w:t>63,952</w:t>
            </w:r>
          </w:p>
        </w:tc>
        <w:tc>
          <w:tcPr>
            <w:tcW w:w="620" w:type="dxa"/>
            <w:vAlign w:val="bottom"/>
          </w:tcPr>
          <w:p>
            <w:pPr>
              <w:ind w:left="32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-5442585</wp:posOffset>
            </wp:positionV>
            <wp:extent cx="7036435" cy="5483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548322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Awards vest in 33 1/3% increments annually on the anniversary of the grant.</w:t>
      </w:r>
    </w:p>
    <w:p>
      <w:pPr>
        <w:spacing w:after="0" w:line="47" w:lineRule="exact"/>
        <w:rPr>
          <w:rFonts w:ascii="Arial" w:cs="Arial" w:eastAsia="Arial" w:hAnsi="Arial"/>
          <w:sz w:val="12"/>
          <w:szCs w:val="12"/>
          <w:color w:val="008000"/>
        </w:rPr>
      </w:pPr>
    </w:p>
    <w:p>
      <w:pPr>
        <w:ind w:left="40" w:right="180" w:hanging="4"/>
        <w:spacing w:after="0" w:line="267"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 shares of common stock that inadvertently previously were reported as being withheld to satisfy tax withholding obligations in connection with the vesting of restricted stock awarded under the Issuer's 2004 Equity Incentive Plan.</w:t>
      </w:r>
    </w:p>
    <w:p>
      <w:pPr>
        <w:spacing w:after="0" w:line="14"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Withholding of shares to satisfy tax withholding obligations in connection with the vesting of restricted stock awarded under the Issuer's 2004 Equity Incentive Plan.</w:t>
      </w:r>
    </w:p>
    <w:p>
      <w:pPr>
        <w:spacing w:after="0" w:line="47" w:lineRule="exact"/>
        <w:rPr>
          <w:rFonts w:ascii="Arial" w:cs="Arial" w:eastAsia="Arial" w:hAnsi="Arial"/>
          <w:sz w:val="12"/>
          <w:szCs w:val="12"/>
          <w:color w:val="008000"/>
        </w:rPr>
      </w:pPr>
    </w:p>
    <w:p>
      <w:pPr>
        <w:ind w:left="40" w:right="400" w:hanging="4"/>
        <w:spacing w:after="0" w:line="267"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Compensation Committee certified achievement of the pre-established performance goals at a level resulting in a vest of 105% of target shares. As reported at grant, the performance-based restricted stock unit could result in a payout of 0% to 200% based on actual achievement of the goals.</w:t>
      </w:r>
    </w:p>
    <w:p>
      <w:pPr>
        <w:spacing w:after="0" w:line="14" w:lineRule="exact"/>
        <w:rPr>
          <w:rFonts w:ascii="Arial" w:cs="Arial" w:eastAsia="Arial" w:hAnsi="Arial"/>
          <w:sz w:val="12"/>
          <w:szCs w:val="12"/>
          <w:color w:val="008000"/>
        </w:rPr>
      </w:pPr>
    </w:p>
    <w:p>
      <w:pPr>
        <w:ind w:left="40" w:right="400" w:hanging="4"/>
        <w:spacing w:after="0" w:line="267"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Compensation Committee certified achievement of the pre-established performance goals at a level resulting in a vest of 178% of target shares. As reported at grant, the performance-based restricted stock unit could result in a payout of 0% to 200% based on actual achievement of the goals.</w:t>
      </w:r>
    </w:p>
    <w:p>
      <w:pPr>
        <w:spacing w:after="0" w:line="14"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Withholding of shares of common stock to satisfy tax withholding obligations in connection with the vesting of performance restricted stock units awarded under the Issuer's 2004 Equity Incentive Plan.</w:t>
      </w:r>
    </w:p>
    <w:p>
      <w:pPr>
        <w:spacing w:after="0" w:line="47" w:lineRule="exact"/>
        <w:rPr>
          <w:rFonts w:ascii="Arial" w:cs="Arial" w:eastAsia="Arial" w:hAnsi="Arial"/>
          <w:sz w:val="12"/>
          <w:szCs w:val="12"/>
          <w:color w:val="008000"/>
        </w:rPr>
      </w:pPr>
    </w:p>
    <w:p>
      <w:pPr>
        <w:ind w:left="40" w:right="160" w:hanging="4"/>
        <w:spacing w:after="0" w:line="252"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period beginning September 3, 2020 and ending on August 31, 2023,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jc w:val="both"/>
        <w:ind w:left="40" w:right="140" w:hanging="4"/>
        <w:spacing w:after="0" w:line="252"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NAND delivery and solutions over a 3-year period beginning September 3, 2020 and ending on August 31, 2023,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0" w:right="160" w:hanging="4"/>
        <w:spacing w:after="0" w:line="252"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DRAM, NAND and PE Ratio over a 3-year performance period beginning August 31, 2017 and ending on September 3, 2020,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jc w:val="both"/>
        <w:ind w:left="40" w:right="500" w:hanging="4"/>
        <w:spacing w:after="0" w:line="252" w:lineRule="auto"/>
        <w:tabs>
          <w:tab w:leader="none" w:pos="22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NAND, PE Ratio and FCF over a 3-year performance period beginning August 31, 2018 and ending on September 2, 2021, and certification of such performance by the Compensation Committee following the conclusion of the performance period.</w:t>
      </w:r>
    </w:p>
    <w:p>
      <w:pPr>
        <w:sectPr>
          <w:pgSz w:w="11900" w:h="16863" w:orient="portrait"/>
          <w:cols w:equalWidth="0" w:num="1">
            <w:col w:w="11080"/>
          </w:cols>
          <w:pgMar w:left="460" w:top="219" w:right="359" w:bottom="0" w:gutter="0" w:footer="0" w:header="0"/>
          <w:type w:val="continuous"/>
        </w:sectPr>
      </w:pPr>
    </w:p>
    <w:bookmarkStart w:id="1" w:name="page2"/>
    <w:bookmarkEnd w:id="1"/>
    <w:p>
      <w:pPr>
        <w:ind w:left="4" w:hanging="4"/>
        <w:spacing w:after="0" w:line="252" w:lineRule="auto"/>
        <w:tabs>
          <w:tab w:leader="none" w:pos="18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NAND over a 3-year performance period beginning August 29, 2019 and ending on September 1, 2022, and certification of such performance by the Compensation Committee following the conclusion of the performance period. Remaining performance-based restricted stock units subject to this award will vest on October 16, 2021.</w:t>
      </w:r>
    </w:p>
    <w:p>
      <w:pPr>
        <w:spacing w:after="0" w:line="22" w:lineRule="exact"/>
        <w:rPr>
          <w:rFonts w:ascii="Arial" w:cs="Arial" w:eastAsia="Arial" w:hAnsi="Arial"/>
          <w:sz w:val="12"/>
          <w:szCs w:val="12"/>
          <w:color w:val="008000"/>
        </w:rPr>
      </w:pPr>
    </w:p>
    <w:p>
      <w:pPr>
        <w:ind w:left="4" w:right="60" w:hanging="4"/>
        <w:spacing w:after="0" w:line="252" w:lineRule="auto"/>
        <w:tabs>
          <w:tab w:leader="none" w:pos="19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performance period beginning August 29, 2019 and ending on September 1, 2021,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 w:right="40" w:hanging="4"/>
        <w:spacing w:after="0" w:line="267" w:lineRule="auto"/>
        <w:tabs>
          <w:tab w:leader="none" w:pos="19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Performance-based restricted stock units withheld for employment tax (and related income tax) obligations upon a portion of the grant being earned by (but not yet payable to) the reporting person. Additional shares remain unvested.</w:t>
      </w:r>
    </w:p>
    <w:p>
      <w:pPr>
        <w:spacing w:after="0" w:line="14" w:lineRule="exact"/>
        <w:rPr>
          <w:rFonts w:ascii="Arial" w:cs="Arial" w:eastAsia="Arial" w:hAnsi="Arial"/>
          <w:sz w:val="12"/>
          <w:szCs w:val="12"/>
          <w:color w:val="008000"/>
        </w:rPr>
      </w:pPr>
    </w:p>
    <w:p>
      <w:pPr>
        <w:ind w:left="184" w:hanging="184"/>
        <w:spacing w:after="0"/>
        <w:tabs>
          <w:tab w:leader="none" w:pos="18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are held in a grantor retained annuity trust for the benefit of the reporting person and his immediate family.</w:t>
      </w:r>
    </w:p>
    <w:p>
      <w:pPr>
        <w:spacing w:after="0" w:line="58"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2"/>
              </w:rPr>
              <w:t>Greg Osborn, Attorney-in-fact</w:t>
            </w:r>
          </w:p>
        </w:tc>
        <w:tc>
          <w:tcPr>
            <w:tcW w:w="24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10/20/2020</w:t>
            </w:r>
          </w:p>
        </w:tc>
      </w:tr>
      <w:tr>
        <w:trPr>
          <w:trHeight w:val="21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700" w:hanging="4"/>
        <w:spacing w:after="0" w:line="320"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4"/>
      </w:cols>
      <w:pgMar w:left="496"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2020-10-20T20:49:32Z</dcterms:created>
  <dcterms:modified xsi:type="dcterms:W3CDTF">2020-10-20T20:49:32Z</dcterms:modified>
</cp:coreProperties>
</file>