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Mail Stop 0306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18, 2005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Facsimile and U.S. Mail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Wilbur G. Stover, Jr.</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7" w:lineRule="auto"/>
        <w:rPr>
          <w:sz w:val="20"/>
          <w:szCs w:val="20"/>
          <w:color w:val="auto"/>
        </w:rPr>
      </w:pPr>
      <w:r>
        <w:rPr>
          <w:rFonts w:ascii="Courier New" w:cs="Courier New" w:eastAsia="Courier New" w:hAnsi="Courier New"/>
          <w:sz w:val="18"/>
          <w:szCs w:val="18"/>
          <w:color w:val="auto"/>
        </w:rPr>
        <w:t>8000 S. Federal Way</w:t>
      </w:r>
    </w:p>
    <w:p>
      <w:pPr>
        <w:spacing w:after="0" w:line="238" w:lineRule="auto"/>
        <w:rPr>
          <w:sz w:val="20"/>
          <w:szCs w:val="20"/>
          <w:color w:val="auto"/>
        </w:rPr>
      </w:pPr>
      <w:r>
        <w:rPr>
          <w:rFonts w:ascii="Courier New" w:cs="Courier New" w:eastAsia="Courier New" w:hAnsi="Courier New"/>
          <w:sz w:val="18"/>
          <w:szCs w:val="18"/>
          <w:color w:val="auto"/>
        </w:rPr>
        <w:t>Boise, Idaho 83716-9632</w:t>
      </w:r>
    </w:p>
    <w:p>
      <w:pPr>
        <w:spacing w:after="0" w:line="202" w:lineRule="exact"/>
        <w:rPr>
          <w:sz w:val="24"/>
          <w:szCs w:val="24"/>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640" w:right="2939" w:firstLine="1054"/>
        <w:spacing w:after="0" w:line="235" w:lineRule="auto"/>
        <w:rPr>
          <w:sz w:val="20"/>
          <w:szCs w:val="20"/>
          <w:color w:val="auto"/>
        </w:rPr>
      </w:pPr>
      <w:r>
        <w:rPr>
          <w:rFonts w:ascii="Courier New" w:cs="Courier New" w:eastAsia="Courier New" w:hAnsi="Courier New"/>
          <w:sz w:val="18"/>
          <w:szCs w:val="18"/>
          <w:color w:val="auto"/>
        </w:rPr>
        <w:t>Form 10-K for the fiscal year ended September 2, 2004 SEC File No. 1-10658</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Stover:</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We have reviewed your response letter dated February 11,</w:t>
      </w:r>
    </w:p>
    <w:p>
      <w:pPr>
        <w:spacing w:after="0" w:line="238" w:lineRule="auto"/>
        <w:rPr>
          <w:sz w:val="20"/>
          <w:szCs w:val="20"/>
          <w:color w:val="auto"/>
        </w:rPr>
      </w:pPr>
      <w:r>
        <w:rPr>
          <w:rFonts w:ascii="Courier New" w:cs="Courier New" w:eastAsia="Courier New" w:hAnsi="Courier New"/>
          <w:sz w:val="18"/>
          <w:szCs w:val="18"/>
          <w:color w:val="auto"/>
        </w:rPr>
        <w:t>2005</w:t>
      </w:r>
    </w:p>
    <w:p>
      <w:pPr>
        <w:spacing w:after="0" w:line="5" w:lineRule="exact"/>
        <w:rPr>
          <w:sz w:val="24"/>
          <w:szCs w:val="24"/>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and have the following comment. We have limited our review to matters related to the issue raised in our comment. Where indicated,</w:t>
      </w:r>
    </w:p>
    <w:p>
      <w:pPr>
        <w:spacing w:after="0" w:line="6"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we think you should revise your future filings in response to this comment. If you disagree, we will consider your explanation as to why our comment is inapplicable or a revision is unnecessary. Please</w:t>
      </w:r>
    </w:p>
    <w:p>
      <w:pPr>
        <w:spacing w:after="0" w:line="5" w:lineRule="exact"/>
        <w:rPr>
          <w:sz w:val="24"/>
          <w:szCs w:val="24"/>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be as detailed as necessary in your explanation. In some of our comments, we may ask you to provide us with supplemental information</w:t>
      </w:r>
    </w:p>
    <w:p>
      <w:pPr>
        <w:spacing w:after="0" w:line="6"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so we may better understand your disclosure. After reviewing this information, we may or may not raise additional comments.</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on any other aspect</w:t>
      </w:r>
    </w:p>
    <w:p>
      <w:pPr>
        <w:spacing w:after="0" w:line="6" w:lineRule="exact"/>
        <w:rPr>
          <w:sz w:val="24"/>
          <w:szCs w:val="24"/>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of our review. Feel free to call us at the telephone numbers listed</w:t>
      </w:r>
    </w:p>
    <w:p>
      <w:pPr>
        <w:spacing w:after="0"/>
        <w:rPr>
          <w:sz w:val="20"/>
          <w:szCs w:val="20"/>
          <w:color w:val="auto"/>
        </w:rPr>
      </w:pPr>
      <w:r>
        <w:rPr>
          <w:rFonts w:ascii="Courier New" w:cs="Courier New" w:eastAsia="Courier New" w:hAnsi="Courier New"/>
          <w:sz w:val="18"/>
          <w:szCs w:val="18"/>
          <w:color w:val="auto"/>
        </w:rPr>
        <w:t>at the end of this letter.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fiscal year ended September 2, 2004</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Inventory write-downs - Page 16</w:t>
      </w:r>
    </w:p>
    <w:p>
      <w:pPr>
        <w:spacing w:after="0" w:line="4" w:lineRule="exact"/>
        <w:rPr>
          <w:sz w:val="24"/>
          <w:szCs w:val="24"/>
          <w:color w:val="auto"/>
        </w:rPr>
      </w:pPr>
    </w:p>
    <w:p>
      <w:pPr>
        <w:ind w:right="325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reviewed your response to comment 1. Both of your adjustments are considered recurring items and are not appropriate reconciling items in accordance with Item 10(e) of Regulation S-K unless you can meet the requirements of Question 8 of the Frequently</w:t>
      </w:r>
    </w:p>
    <w:p>
      <w:pPr>
        <w:spacing w:after="0" w:line="6"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Asked Questions Regarding the Use of Non-GAAP Financial Measures. In</w:t>
      </w:r>
    </w:p>
    <w:p>
      <w:pPr>
        <w:spacing w:after="0" w:line="5" w:lineRule="exact"/>
        <w:rPr>
          <w:rFonts w:ascii="Courier New" w:cs="Courier New" w:eastAsia="Courier New" w:hAnsi="Courier New"/>
          <w:sz w:val="18"/>
          <w:szCs w:val="18"/>
          <w:color w:val="auto"/>
        </w:rPr>
      </w:pPr>
    </w:p>
    <w:p>
      <w:pPr>
        <w:ind w:right="38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supplemental response please provide us with your revised disclosure for future filings as it relates to this non-GAAP measure.</w:t>
      </w:r>
    </w:p>
    <w:p>
      <w:pPr>
        <w:spacing w:after="0" w:line="6"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please provide a clear definition of both of the adjustments. What periods does each of the adjustments relate to and</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clearly discuss how they are calculated.</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520" w:val="left"/>
          <w:tab w:leader="none" w:pos="1040" w:val="left"/>
          <w:tab w:leader="none" w:pos="15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0" w:gutter="0" w:footer="0" w:header="0"/>
        </w:sectPr>
      </w:pPr>
    </w:p>
    <w:bookmarkStart w:id="1" w:name="page2"/>
    <w:bookmarkEnd w:id="1"/>
    <w:p>
      <w:pPr>
        <w:ind w:right="3259" w:firstLine="632"/>
        <w:spacing w:after="0" w:line="237" w:lineRule="auto"/>
        <w:rPr>
          <w:sz w:val="20"/>
          <w:szCs w:val="20"/>
          <w:color w:val="auto"/>
        </w:rPr>
      </w:pPr>
      <w:r>
        <w:rPr>
          <w:rFonts w:ascii="Courier New" w:cs="Courier New" w:eastAsia="Courier New" w:hAnsi="Courier New"/>
          <w:sz w:val="18"/>
          <w:szCs w:val="18"/>
          <w:color w:val="auto"/>
        </w:rPr>
        <w:t>As appropriate, please respond to this comment within 10 business days or tell us when you will provide us with a response. Please furnish a cover letter that keys your response to our comment</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and provides any requested supplemental information. Detailed cover</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letters greatly facilitate our review. Please file your cover letter</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on EDGAR. Please understand that we may have additional comments after reviewing your response to our comment.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You may contact Heather Tress, Staff Accountant, at (202)</w:t>
      </w:r>
    </w:p>
    <w:p>
      <w:pPr>
        <w:spacing w:after="0" w:line="238" w:lineRule="auto"/>
        <w:rPr>
          <w:sz w:val="20"/>
          <w:szCs w:val="20"/>
          <w:color w:val="auto"/>
        </w:rPr>
      </w:pPr>
      <w:r>
        <w:rPr>
          <w:rFonts w:ascii="Courier New" w:cs="Courier New" w:eastAsia="Courier New" w:hAnsi="Courier New"/>
          <w:sz w:val="18"/>
          <w:szCs w:val="18"/>
          <w:color w:val="auto"/>
        </w:rPr>
        <w:t>824-</w:t>
      </w:r>
    </w:p>
    <w:p>
      <w:pPr>
        <w:spacing w:after="0" w:line="5"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5263 or me at (202) 942-2813 if you have questions regarding comments</w:t>
      </w:r>
    </w:p>
    <w:p>
      <w:pPr>
        <w:spacing w:after="0" w:line="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on the financial statements and related matters. In this regard, do</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not hesitate to contact Martin James, the Senior Assistant Chief Accountant, at (202) 942-1984.</w:t>
      </w: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Daniel Gordon</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Accounting Branch Chief</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Wilbur G. Stover, Jr.</w:t>
      </w:r>
    </w:p>
    <w:p>
      <w:pPr>
        <w:spacing w:after="0" w:line="238" w:lineRule="auto"/>
        <w:rPr>
          <w:sz w:val="20"/>
          <w:szCs w:val="20"/>
          <w:color w:val="auto"/>
        </w:rPr>
      </w:pPr>
      <w:r>
        <w:rPr>
          <w:rFonts w:ascii="Courier New" w:cs="Courier New" w:eastAsia="Courier New" w:hAnsi="Courier New"/>
          <w:sz w:val="18"/>
          <w:szCs w:val="18"/>
          <w:color w:val="auto"/>
        </w:rPr>
        <w:t>Micron Technology, Inc.</w:t>
      </w:r>
    </w:p>
    <w:p>
      <w:pPr>
        <w:spacing w:after="0"/>
        <w:rPr>
          <w:sz w:val="20"/>
          <w:szCs w:val="20"/>
          <w:color w:val="auto"/>
        </w:rPr>
      </w:pPr>
      <w:r>
        <w:rPr>
          <w:rFonts w:ascii="Courier New" w:cs="Courier New" w:eastAsia="Courier New" w:hAnsi="Courier New"/>
          <w:sz w:val="18"/>
          <w:szCs w:val="18"/>
          <w:color w:val="auto"/>
        </w:rPr>
        <w:t>February 18, 2005</w:t>
      </w:r>
    </w:p>
    <w:p>
      <w:pPr>
        <w:spacing w:after="0" w:line="237" w:lineRule="auto"/>
        <w:rPr>
          <w:sz w:val="20"/>
          <w:szCs w:val="20"/>
          <w:color w:val="auto"/>
        </w:rPr>
      </w:pPr>
      <w:r>
        <w:rPr>
          <w:rFonts w:ascii="Courier New" w:cs="Courier New" w:eastAsia="Courier New" w:hAnsi="Courier New"/>
          <w:sz w:val="18"/>
          <w:szCs w:val="18"/>
          <w:color w:val="auto"/>
        </w:rPr>
        <w:t>Page 2 of 2</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2019-12-13T13:27:52Z</dcterms:created>
  <dcterms:modified xsi:type="dcterms:W3CDTF">2019-12-13T13:27:52Z</dcterms:modified>
</cp:coreProperties>
</file>